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w:hAnsi="Calibri"/>
          <w:b/>
          <w:color w:val="008080"/>
          <w:sz w:val="24"/>
        </w:rPr>
        <w:t>Python Data Wrangling Handbook</w:t>
      </w:r>
    </w:p>
    <w:p>
      <w:pPr>
        <w:spacing w:before="0" w:after="240"/>
      </w:pPr>
      <w:r>
        <w:rPr>
          <w:rFonts w:ascii="Calibri" w:hAnsi="Calibri"/>
          <w:b/>
          <w:color w:val="1B365D"/>
          <w:sz w:val="44"/>
        </w:rPr>
        <w:t>The Definitive Guide to Data Cleaning and Personally Identifiable Information (PII) De-Identification</w:t>
      </w:r>
    </w:p>
    <w:p>
      <w:pPr>
        <w:spacing w:after="480"/>
      </w:pPr>
      <w:r>
        <w:rPr>
          <w:rFonts w:ascii="Calibri" w:hAnsi="Calibri"/>
          <w:i/>
          <w:color w:val="808080"/>
          <w:sz w:val="20"/>
        </w:rPr>
        <w:t>Prepared by Gemini Notebook • Technical Guide &amp; Operational Manifesto</w:t>
      </w:r>
    </w:p>
    <w:p>
      <w:pPr>
        <w:spacing w:after="360"/>
        <w:pBdr>
          <w:bottom w:val="single" w:sz="12" w:space="1" w:color="1B365D"/>
        </w:pBdr>
      </w:pPr>
    </w:p>
    <w:p>
      <w:pPr>
        <w:pStyle w:val="Heading1"/>
        <w:keepNext/>
        <w:spacing w:before="240" w:after="120"/>
      </w:pPr>
      <w:r>
        <w:rPr>
          <w:rFonts w:ascii="Calibri" w:hAnsi="Calibri"/>
          <w:b/>
          <w:color w:val="1B365D"/>
          <w:sz w:val="36"/>
        </w:rPr>
        <w:t>1. Executive Summary: Connecting Tool to Purpose</w:t>
      </w:r>
    </w:p>
    <w:p>
      <w:pPr>
        <w:spacing w:after="200"/>
      </w:pPr>
      <w:r>
        <w:rPr>
          <w:rFonts w:ascii="Calibri" w:hAnsi="Calibri"/>
          <w:sz w:val="22"/>
        </w:rPr>
        <w:t>Data cleaning represents the foundational preparatory workflow required to ready raw, unstructured, or semi-structured datasets for statistical modeling and predictive analysis. When datasets contain personally identifiable information (PII), data preparation is no longer just a technical nice-to-have. It becomes a strict regulatory, ethical, and operational mandate. Mishandling sensitive attributes can expose organizations to severe legal penalties under global frameworks such as GDPR, HIPAA, and CCPA, while compromising development safety by introducing real production risks into staging environments.</w:t>
      </w:r>
    </w:p>
    <w:p>
      <w:pPr>
        <w:spacing w:after="200"/>
      </w:pPr>
      <w:r>
        <w:rPr>
          <w:rFonts w:ascii="Calibri" w:hAnsi="Calibri"/>
          <w:sz w:val="22"/>
        </w:rPr>
        <w:t>This handbook bridges theoretical privacy concepts with concrete, production-grade Python implementations. By establishing rigorous, reproducible methodologies that leverage standard scientific packages (Pandas, NumPy, Scikit-Learn) alongside modern, specialized de-identification libraries (Microsoft Presidio, Sanityze), data teams can securely strip identifying values. Critically, this guide prioritizes a core data-science objective: preserving the mathematical distributions, relational join integrity, and overall statistical utility of the underlying data so that downstream modeling remain valid and powerful.</w:t>
      </w:r>
    </w:p>
    <w:p>
      <w:pPr>
        <w:pStyle w:val="Heading1"/>
        <w:keepNext/>
        <w:spacing w:before="240" w:after="120"/>
      </w:pPr>
      <w:r>
        <w:rPr>
          <w:rFonts w:ascii="Calibri" w:hAnsi="Calibri"/>
          <w:b/>
          <w:color w:val="1B365D"/>
          <w:sz w:val="36"/>
        </w:rPr>
        <w:t>2. Core Python Ecosystem for Wrangling and Anonymization</w:t>
      </w:r>
    </w:p>
    <w:p>
      <w:pPr>
        <w:spacing w:after="200"/>
      </w:pPr>
      <w:r>
        <w:rPr>
          <w:rFonts w:ascii="Calibri" w:hAnsi="Calibri"/>
          <w:sz w:val="22"/>
        </w:rPr>
        <w:t>Executing robust data cleaning and anonymization pipelines requires a combination of fundamental scientific computation libraries and highly specialized NLP and pattern-matching tools. The following ecosystem forms the modern developer's toolkit:</w:t>
      </w:r>
    </w:p>
    <w:p>
      <w:pPr>
        <w:pStyle w:val="ListBullet"/>
        <w:spacing w:after="80"/>
      </w:pPr>
      <w:r>
        <w:rPr>
          <w:rFonts w:ascii="Calibri" w:hAnsi="Calibri"/>
          <w:b/>
          <w:color w:val="008080"/>
          <w:sz w:val="22"/>
        </w:rPr>
        <w:t xml:space="preserve">Pandas &amp; NumPy: </w:t>
      </w:r>
      <w:r>
        <w:rPr>
          <w:rFonts w:ascii="Calibri" w:hAnsi="Calibri"/>
          <w:sz w:val="21"/>
        </w:rPr>
        <w:t>The foundational engines for tabular data wrangling, serialization, and vectorized string operations. Pandas provides flexible indexing, missing-value imputation routines, and relational database connector tools, while NumPy enables high-performance conditional manipulation through fast array-level evaluations.</w:t>
      </w:r>
    </w:p>
    <w:p>
      <w:pPr>
        <w:pStyle w:val="ListBullet"/>
        <w:spacing w:after="80"/>
      </w:pPr>
      <w:r>
        <w:rPr>
          <w:rFonts w:ascii="Calibri" w:hAnsi="Calibri"/>
          <w:b/>
          <w:color w:val="008080"/>
          <w:sz w:val="22"/>
        </w:rPr>
        <w:t xml:space="preserve">Microsoft Presidio Engine: </w:t>
      </w:r>
      <w:r>
        <w:rPr>
          <w:rFonts w:ascii="Calibri" w:hAnsi="Calibri"/>
          <w:sz w:val="21"/>
        </w:rPr>
        <w:t>An industrial, ML-driven personally identifiable information detection and redaction framework. It consists of the Presidio Analyzer (which uses regular expressions, rule-based checksums, and spaCy Named Entity Recognition models to locate PII) and the Presidio Anonymizer (which applies configurable operators like redact, mask, hash, or encrypt to the detected text span).</w:t>
      </w:r>
    </w:p>
    <w:p>
      <w:pPr>
        <w:pStyle w:val="ListBullet"/>
        <w:spacing w:after="80"/>
      </w:pPr>
      <w:r>
        <w:rPr>
          <w:rFonts w:ascii="Calibri" w:hAnsi="Calibri"/>
          <w:b/>
          <w:color w:val="008080"/>
          <w:sz w:val="22"/>
        </w:rPr>
        <w:t xml:space="preserve">Sanityze: </w:t>
      </w:r>
      <w:r>
        <w:rPr>
          <w:rFonts w:ascii="Calibri" w:hAnsi="Calibri"/>
          <w:sz w:val="21"/>
        </w:rPr>
        <w:t>A specialized, PyPI-pioneered library specifically tailored to spot and redact PII from tabular structures. By utilizing dedicated 'Spotter' classes (such as EmailSpotter or CreditCardSpotter) integrated into a centralized Cleanser class, it executes targeted character redactions or MD5 hashing directly across active Pandas DataFrames.</w:t>
      </w:r>
    </w:p>
    <w:p>
      <w:pPr>
        <w:pStyle w:val="ListBullet"/>
        <w:spacing w:after="80"/>
      </w:pPr>
      <w:r>
        <w:rPr>
          <w:rFonts w:ascii="Calibri" w:hAnsi="Calibri"/>
          <w:b/>
          <w:color w:val="008080"/>
          <w:sz w:val="22"/>
        </w:rPr>
        <w:t xml:space="preserve">Scikit-Learn &amp; PyOD: </w:t>
      </w:r>
      <w:r>
        <w:rPr>
          <w:rFonts w:ascii="Calibri" w:hAnsi="Calibri"/>
          <w:sz w:val="21"/>
        </w:rPr>
        <w:t>Advanced mathematical utility toolkits. Scikit-Learn's KNNImputer uses multidimensional distance calculations to impute complex missing columns, while PyOD (Python Outlier Detection) and Scikit-Learn ensemble models (like KNN or Isolation Forest) systematically flag multivariate anomalies before they contaminate predictive modeling.</w:t>
      </w:r>
    </w:p>
    <w:tbl>
      <w:tblPr>
        <w:tblW w:type="auto" w:w="0"/>
        <w:jc w:val="center"/>
        <w:tblLayout w:type="fixed"/>
        <w:tblLook w:firstColumn="1" w:firstRow="1" w:lastColumn="0" w:lastRow="0" w:noHBand="0" w:noVBand="1" w:val="04A0"/>
      </w:tblPr>
      <w:tblGrid>
        <w:gridCol w:w="9360"/>
      </w:tblGrid>
      <w:tr>
        <w:tc>
          <w:tcPr>
            <w:tcW w:type="dxa" w:w="9360"/>
            <w:shd w:fill="F0F4F8"/>
            <w:tcMar>
              <w:top w:w="150" w:type="dxa"/>
              <w:bottom w:w="150" w:type="dxa"/>
              <w:left w:w="200" w:type="dxa"/>
              <w:right w:w="200" w:type="dxa"/>
            </w:tcMar>
            <w:tcBorders>
              <w:left w:val="single" w:sz="24" w:space="0" w:color="1B365D"/>
              <w:top w:val="nil"/>
              <w:bottom w:val="nil"/>
              <w:right w:val="nil"/>
            </w:tcBorders>
          </w:tcPr>
          <w:p>
            <w:pPr>
              <w:spacing w:before="0" w:after="80"/>
            </w:pPr>
            <w:r>
              <w:rPr>
                <w:rFonts w:ascii="Calibri" w:hAnsi="Calibri"/>
                <w:b/>
                <w:color w:val="1B365D"/>
                <w:sz w:val="22"/>
              </w:rPr>
              <w:t>★ PIPELINE ARCHITECTURE TIP</w:t>
              <w:br/>
            </w:r>
          </w:p>
          <w:p>
            <w:pPr>
              <w:spacing w:after="60"/>
            </w:pPr>
            <w:r>
              <w:rPr>
                <w:rFonts w:ascii="Calibri" w:hAnsi="Calibri"/>
                <w:color w:val="303030"/>
                <w:sz w:val="20"/>
              </w:rPr>
              <w:t>While Pandas contains built-in string methods (e.g., .str.replace), they scale poorly and depend entirely on manual regex definitions. Integrating Presidio and Sanityze into your data engineering pipelines introduces machine learning and automated pattern detection, capturing unstructured leaks (like names within raw text fields) that standard regex queries miss.</w:t>
            </w:r>
          </w:p>
        </w:tc>
      </w:tr>
    </w:tbl>
    <w:p>
      <w:pPr>
        <w:pStyle w:val="Heading1"/>
        <w:keepNext/>
        <w:spacing w:before="240" w:after="120"/>
      </w:pPr>
      <w:r>
        <w:rPr>
          <w:rFonts w:ascii="Calibri" w:hAnsi="Calibri"/>
          <w:b/>
          <w:color w:val="1B365D"/>
          <w:sz w:val="36"/>
        </w:rPr>
        <w:t>3. Core Data Cleaning and Anonymization Procedures</w:t>
      </w:r>
    </w:p>
    <w:p>
      <w:pPr>
        <w:pStyle w:val="Heading2"/>
        <w:keepNext/>
        <w:spacing w:before="240" w:after="120"/>
      </w:pPr>
      <w:r>
        <w:rPr>
          <w:rFonts w:ascii="Calibri" w:hAnsi="Calibri"/>
          <w:b/>
          <w:color w:val="008080"/>
          <w:sz w:val="28"/>
        </w:rPr>
        <w:t>3.1 Data Ingestion and Integrity Audits</w:t>
      </w:r>
    </w:p>
    <w:p>
      <w:pPr>
        <w:spacing w:after="200"/>
      </w:pPr>
      <w:r>
        <w:rPr>
          <w:rFonts w:ascii="Calibri" w:hAnsi="Calibri"/>
          <w:sz w:val="22"/>
        </w:rPr>
        <w:t>A rigorous ingestion workflow is critical to prevent importing corrupted rows, mixed data types, or hidden PII. Standard ingestion procedures must handle structural discrepancies across formats (CSV, Excel, SQL, SPSS, SAS, and R). Key operational steps include:</w:t>
      </w:r>
    </w:p>
    <w:p>
      <w:pPr>
        <w:pStyle w:val="ListBullet2"/>
        <w:spacing w:after="60"/>
      </w:pPr>
      <w:r>
        <w:rPr>
          <w:b/>
          <w:color w:val="404040"/>
          <w:sz w:val="20"/>
        </w:rPr>
        <w:t xml:space="preserve">☐  Column Sizing &amp; Index Validation: </w:t>
      </w:r>
      <w:r>
        <w:rPr>
          <w:sz w:val="20"/>
        </w:rPr>
        <w:t>Always verify that your row-identifiers (indices) are unique and fully represent the expected unit of analysis. When loading large files, set low_memory=False in Pandas to prevent type inference conflicts across batch chunks.</w:t>
      </w:r>
    </w:p>
    <w:p>
      <w:pPr>
        <w:pStyle w:val="ListBullet2"/>
        <w:spacing w:after="60"/>
      </w:pPr>
      <w:r>
        <w:rPr>
          <w:b/>
          <w:color w:val="404040"/>
          <w:sz w:val="20"/>
        </w:rPr>
        <w:t xml:space="preserve">☐  Whitespace &amp; Character Cleanup: </w:t>
      </w:r>
      <w:r>
        <w:rPr>
          <w:sz w:val="20"/>
        </w:rPr>
        <w:t>Character series data frequently contains leading or trailing spaces. Implement global string stripping (e.g., .str.strip()) shortly after ingestion to avoid logical mismatches during query operations and joins.</w:t>
      </w:r>
    </w:p>
    <w:p>
      <w:pPr>
        <w:pStyle w:val="ListBullet2"/>
        <w:spacing w:after="60"/>
      </w:pPr>
      <w:r>
        <w:rPr>
          <w:b/>
          <w:color w:val="404040"/>
          <w:sz w:val="20"/>
        </w:rPr>
        <w:t xml:space="preserve">☐  Exposing Coded Null Values: </w:t>
      </w:r>
      <w:r>
        <w:rPr>
          <w:sz w:val="20"/>
        </w:rPr>
        <w:t>Statisticians and database administrators often write specific code schemas (like -1, 99999, or -2147483648) to represent missing data. These values must be systematically captured and converted to NaN (pandas.NA) before statistical modeling to prevent extreme skewness in descriptive statistics.</w:t>
      </w:r>
    </w:p>
    <w:p>
      <w:pPr>
        <w:pStyle w:val="Heading2"/>
        <w:keepNext/>
        <w:spacing w:before="240" w:after="120"/>
      </w:pPr>
      <w:r>
        <w:rPr>
          <w:rFonts w:ascii="Calibri" w:hAnsi="Calibri"/>
          <w:b/>
          <w:color w:val="008080"/>
          <w:sz w:val="28"/>
        </w:rPr>
        <w:t>3.2 Detecting Statistical Anomalies and Outliers</w:t>
      </w:r>
    </w:p>
    <w:p>
      <w:pPr>
        <w:spacing w:after="200"/>
      </w:pPr>
      <w:r>
        <w:rPr>
          <w:rFonts w:ascii="Calibri" w:hAnsi="Calibri"/>
          <w:sz w:val="22"/>
        </w:rPr>
        <w:t>Outliers are not necessarily errors, but extreme values exert severe influence on statistical models dependent on normality assumptions. Analysts must determine a variable's distribution shape before attempting outlier detection. For normal distributions, Standard Deviation (z-scores) or Interquartile Range (IQR) bounds can successfully isolate anomalies. For highly skewed data, logarithmic transformations help compress extreme right-side tails.</w:t>
      </w:r>
    </w:p>
    <w:p>
      <w:pPr>
        <w:spacing w:after="200"/>
      </w:pPr>
      <w:r>
        <w:rPr>
          <w:rFonts w:ascii="Calibri" w:hAnsi="Calibri"/>
          <w:sz w:val="22"/>
        </w:rPr>
        <w:t>For complex, multi-dimensional tables, univariate checks fall short. Machine learning anomaly detection routines should be utilized:</w:t>
      </w:r>
    </w:p>
    <w:p>
      <w:pPr>
        <w:pStyle w:val="ListBullet2"/>
        <w:spacing w:after="60"/>
      </w:pPr>
      <w:r>
        <w:rPr>
          <w:b/>
          <w:sz w:val="20"/>
        </w:rPr>
        <w:t xml:space="preserve">K-Nearest Neighbors (KNN): </w:t>
      </w:r>
      <w:r>
        <w:rPr>
          <w:sz w:val="20"/>
        </w:rPr>
        <w:t>Scans the multi-dimensional dataset and evaluates the spatial density of each observation. Points with exceptionally large distance metrics (decision scores) are flagged as global outliers.</w:t>
      </w:r>
    </w:p>
    <w:p>
      <w:pPr>
        <w:pStyle w:val="ListBullet2"/>
        <w:spacing w:after="60"/>
      </w:pPr>
      <w:r>
        <w:rPr>
          <w:b/>
          <w:sz w:val="20"/>
        </w:rPr>
        <w:t xml:space="preserve">Isolation Forest: </w:t>
      </w:r>
      <w:r>
        <w:rPr>
          <w:sz w:val="20"/>
        </w:rPr>
        <w:t>Optimized specifically to isolate anomalies rather than model normal space. It iteratively and randomly partitions data; records requiring very few splits to isolate receive high anomaly scores. This algorithm scales efficiently to massive databases and high feature counts.</w:t>
      </w:r>
    </w:p>
    <w:p>
      <w:pPr>
        <w:pStyle w:val="Heading2"/>
        <w:keepNext/>
        <w:spacing w:before="240" w:after="120"/>
      </w:pPr>
      <w:r>
        <w:rPr>
          <w:rFonts w:ascii="Calibri" w:hAnsi="Calibri"/>
          <w:b/>
          <w:color w:val="008080"/>
          <w:sz w:val="28"/>
        </w:rPr>
        <w:t>3.3 PII Classification and De-Identification Directory</w:t>
      </w:r>
    </w:p>
    <w:p>
      <w:pPr>
        <w:spacing w:after="200"/>
      </w:pPr>
      <w:r>
        <w:rPr>
          <w:rFonts w:ascii="Calibri" w:hAnsi="Calibri"/>
          <w:sz w:val="22"/>
        </w:rPr>
        <w:t>To properly de-identify data without stripping its analytical power, data must be classified into risk tiers, with a specific technique mapped to each class: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B365D"/>
            <w:tcMar>
              <w:top w:w="120" w:type="dxa"/>
              <w:bottom w:w="120" w:type="dxa"/>
              <w:left w:w="150" w:type="dxa"/>
              <w:right w:w="150" w:type="dxa"/>
            </w:tcMar>
          </w:tcPr>
          <w:p>
            <w:pPr>
              <w:jc w:val="center"/>
            </w:pPr>
            <w:r>
              <w:rPr>
                <w:rFonts w:ascii="Calibri" w:hAnsi="Calibri"/>
                <w:b/>
                <w:color w:val="FFFFFF"/>
                <w:sz w:val="20"/>
              </w:rPr>
              <w:t>Data Category</w:t>
            </w:r>
          </w:p>
        </w:tc>
        <w:tc>
          <w:tcPr>
            <w:tcW w:type="dxa" w:w="2160"/>
            <w:shd w:fill="1B365D"/>
            <w:tcMar>
              <w:top w:w="120" w:type="dxa"/>
              <w:bottom w:w="120" w:type="dxa"/>
              <w:left w:w="150" w:type="dxa"/>
              <w:right w:w="150" w:type="dxa"/>
            </w:tcMar>
          </w:tcPr>
          <w:p>
            <w:pPr>
              <w:jc w:val="center"/>
            </w:pPr>
            <w:r>
              <w:rPr>
                <w:rFonts w:ascii="Calibri" w:hAnsi="Calibri"/>
                <w:b/>
                <w:color w:val="FFFFFF"/>
                <w:sz w:val="20"/>
              </w:rPr>
              <w:t>Attributes</w:t>
            </w:r>
          </w:p>
        </w:tc>
        <w:tc>
          <w:tcPr>
            <w:tcW w:type="dxa" w:w="2160"/>
            <w:shd w:fill="1B365D"/>
            <w:tcMar>
              <w:top w:w="120" w:type="dxa"/>
              <w:bottom w:w="120" w:type="dxa"/>
              <w:left w:w="150" w:type="dxa"/>
              <w:right w:w="150" w:type="dxa"/>
            </w:tcMar>
          </w:tcPr>
          <w:p>
            <w:pPr>
              <w:jc w:val="center"/>
            </w:pPr>
            <w:r>
              <w:rPr>
                <w:rFonts w:ascii="Calibri" w:hAnsi="Calibri"/>
                <w:b/>
                <w:color w:val="FFFFFF"/>
                <w:sz w:val="20"/>
              </w:rPr>
              <w:t>Target Technique</w:t>
            </w:r>
          </w:p>
        </w:tc>
        <w:tc>
          <w:tcPr>
            <w:tcW w:type="dxa" w:w="3312"/>
            <w:shd w:fill="1B365D"/>
            <w:tcMar>
              <w:top w:w="120" w:type="dxa"/>
              <w:bottom w:w="120" w:type="dxa"/>
              <w:left w:w="150" w:type="dxa"/>
              <w:right w:w="150" w:type="dxa"/>
            </w:tcMar>
          </w:tcPr>
          <w:p>
            <w:pPr>
              <w:jc w:val="center"/>
            </w:pPr>
            <w:r>
              <w:rPr>
                <w:rFonts w:ascii="Calibri" w:hAnsi="Calibri"/>
                <w:b/>
                <w:color w:val="FFFFFF"/>
                <w:sz w:val="20"/>
              </w:rPr>
              <w:t>Operational Objective</w:t>
            </w:r>
          </w:p>
        </w:tc>
      </w:tr>
      <w:tr>
        <w:tc>
          <w:tcPr>
            <w:tcW w:type="dxa" w:w="1728"/>
            <w:shd w:fill="FFFFFF"/>
            <w:tcMar>
              <w:top w:w="100" w:type="dxa"/>
              <w:bottom w:w="100" w:type="dxa"/>
              <w:left w:w="120" w:type="dxa"/>
              <w:right w:w="120" w:type="dxa"/>
            </w:tcMar>
          </w:tcPr>
          <w:p>
            <w:pPr>
              <w:jc w:val="left"/>
            </w:pPr>
            <w:r>
              <w:rPr>
                <w:rFonts w:ascii="Calibri" w:hAnsi="Calibri"/>
                <w:color w:val="303030"/>
                <w:sz w:val="19"/>
              </w:rPr>
              <w:t>Direct Identifiers</w:t>
            </w:r>
          </w:p>
        </w:tc>
        <w:tc>
          <w:tcPr>
            <w:tcW w:type="dxa" w:w="2160"/>
            <w:shd w:fill="FFFFFF"/>
            <w:tcMar>
              <w:top w:w="100" w:type="dxa"/>
              <w:bottom w:w="100" w:type="dxa"/>
              <w:left w:w="120" w:type="dxa"/>
              <w:right w:w="120" w:type="dxa"/>
            </w:tcMar>
          </w:tcPr>
          <w:p>
            <w:pPr>
              <w:jc w:val="left"/>
            </w:pPr>
            <w:r>
              <w:rPr>
                <w:rFonts w:ascii="Calibri" w:hAnsi="Calibri"/>
                <w:color w:val="303030"/>
                <w:sz w:val="19"/>
              </w:rPr>
              <w:t>Names, Emails, SSNs, National IDs, Phone Numbers</w:t>
            </w:r>
          </w:p>
        </w:tc>
        <w:tc>
          <w:tcPr>
            <w:tcW w:type="dxa" w:w="2160"/>
            <w:shd w:fill="FFFFFF"/>
            <w:tcMar>
              <w:top w:w="100" w:type="dxa"/>
              <w:bottom w:w="100" w:type="dxa"/>
              <w:left w:w="120" w:type="dxa"/>
              <w:right w:w="120" w:type="dxa"/>
            </w:tcMar>
          </w:tcPr>
          <w:p>
            <w:pPr>
              <w:jc w:val="left"/>
            </w:pPr>
            <w:r>
              <w:rPr>
                <w:rFonts w:ascii="Calibri" w:hAnsi="Calibri"/>
                <w:color w:val="303030"/>
                <w:sz w:val="19"/>
              </w:rPr>
              <w:t>Complete Removal, Pattern Masking, Deterministic Hashing</w:t>
            </w:r>
          </w:p>
        </w:tc>
        <w:tc>
          <w:tcPr>
            <w:tcW w:type="dxa" w:w="3312"/>
            <w:shd w:fill="FFFFFF"/>
            <w:tcMar>
              <w:top w:w="100" w:type="dxa"/>
              <w:bottom w:w="100" w:type="dxa"/>
              <w:left w:w="120" w:type="dxa"/>
              <w:right w:w="120" w:type="dxa"/>
            </w:tcMar>
          </w:tcPr>
          <w:p>
            <w:pPr>
              <w:jc w:val="left"/>
            </w:pPr>
            <w:r>
              <w:rPr>
                <w:rFonts w:ascii="Calibri" w:hAnsi="Calibri"/>
                <w:color w:val="303030"/>
                <w:sz w:val="19"/>
              </w:rPr>
              <w:t>Eradicate any direct individual trace. Preserve structure for formatting tests, or use unique salts to maintain primary-foreign key joins across tables.</w:t>
            </w:r>
          </w:p>
        </w:tc>
      </w:tr>
      <w:tr>
        <w:tc>
          <w:tcPr>
            <w:tcW w:type="dxa" w:w="1728"/>
            <w:shd w:fill="F2F5F8"/>
            <w:tcMar>
              <w:top w:w="100" w:type="dxa"/>
              <w:bottom w:w="100" w:type="dxa"/>
              <w:left w:w="120" w:type="dxa"/>
              <w:right w:w="120" w:type="dxa"/>
            </w:tcMar>
          </w:tcPr>
          <w:p>
            <w:pPr>
              <w:jc w:val="left"/>
            </w:pPr>
            <w:r>
              <w:rPr>
                <w:rFonts w:ascii="Calibri" w:hAnsi="Calibri"/>
                <w:color w:val="303030"/>
                <w:sz w:val="19"/>
              </w:rPr>
              <w:t>Quasi-Identifiers</w:t>
            </w:r>
          </w:p>
        </w:tc>
        <w:tc>
          <w:tcPr>
            <w:tcW w:type="dxa" w:w="2160"/>
            <w:shd w:fill="F2F5F8"/>
            <w:tcMar>
              <w:top w:w="100" w:type="dxa"/>
              <w:bottom w:w="100" w:type="dxa"/>
              <w:left w:w="120" w:type="dxa"/>
              <w:right w:w="120" w:type="dxa"/>
            </w:tcMar>
          </w:tcPr>
          <w:p>
            <w:pPr>
              <w:jc w:val="left"/>
            </w:pPr>
            <w:r>
              <w:rPr>
                <w:rFonts w:ascii="Calibri" w:hAnsi="Calibri"/>
                <w:color w:val="303030"/>
                <w:sz w:val="19"/>
              </w:rPr>
              <w:t>ZIP Codes, Birth Dates, Gender, Location Codes</w:t>
            </w:r>
          </w:p>
        </w:tc>
        <w:tc>
          <w:tcPr>
            <w:tcW w:type="dxa" w:w="2160"/>
            <w:shd w:fill="F2F5F8"/>
            <w:tcMar>
              <w:top w:w="100" w:type="dxa"/>
              <w:bottom w:w="100" w:type="dxa"/>
              <w:left w:w="120" w:type="dxa"/>
              <w:right w:w="120" w:type="dxa"/>
            </w:tcMar>
          </w:tcPr>
          <w:p>
            <w:pPr>
              <w:jc w:val="left"/>
            </w:pPr>
            <w:r>
              <w:rPr>
                <w:rFonts w:ascii="Calibri" w:hAnsi="Calibri"/>
                <w:color w:val="303030"/>
                <w:sz w:val="19"/>
              </w:rPr>
              <w:t>Generalization, Binning, Random Range Perturbation</w:t>
            </w:r>
          </w:p>
        </w:tc>
        <w:tc>
          <w:tcPr>
            <w:tcW w:type="dxa" w:w="3312"/>
            <w:shd w:fill="F2F5F8"/>
            <w:tcMar>
              <w:top w:w="100" w:type="dxa"/>
              <w:bottom w:w="100" w:type="dxa"/>
              <w:left w:w="120" w:type="dxa"/>
              <w:right w:w="120" w:type="dxa"/>
            </w:tcMar>
          </w:tcPr>
          <w:p>
            <w:pPr>
              <w:jc w:val="left"/>
            </w:pPr>
            <w:r>
              <w:rPr>
                <w:rFonts w:ascii="Calibri" w:hAnsi="Calibri"/>
                <w:color w:val="303030"/>
                <w:sz w:val="19"/>
              </w:rPr>
              <w:t>Reduce specificity so an individual cannot be distinguished from a group of k-1 peers (K-Anonymity implementation).</w:t>
            </w:r>
          </w:p>
        </w:tc>
      </w:tr>
      <w:tr>
        <w:tc>
          <w:tcPr>
            <w:tcW w:type="dxa" w:w="1728"/>
            <w:shd w:fill="FFFFFF"/>
            <w:tcMar>
              <w:top w:w="100" w:type="dxa"/>
              <w:bottom w:w="100" w:type="dxa"/>
              <w:left w:w="120" w:type="dxa"/>
              <w:right w:w="120" w:type="dxa"/>
            </w:tcMar>
          </w:tcPr>
          <w:p>
            <w:pPr>
              <w:jc w:val="left"/>
            </w:pPr>
            <w:r>
              <w:rPr>
                <w:rFonts w:ascii="Calibri" w:hAnsi="Calibri"/>
                <w:color w:val="303030"/>
                <w:sz w:val="19"/>
              </w:rPr>
              <w:t>Sensitive Attributes</w:t>
            </w:r>
          </w:p>
        </w:tc>
        <w:tc>
          <w:tcPr>
            <w:tcW w:type="dxa" w:w="2160"/>
            <w:shd w:fill="FFFFFF"/>
            <w:tcMar>
              <w:top w:w="100" w:type="dxa"/>
              <w:bottom w:w="100" w:type="dxa"/>
              <w:left w:w="120" w:type="dxa"/>
              <w:right w:w="120" w:type="dxa"/>
            </w:tcMar>
          </w:tcPr>
          <w:p>
            <w:pPr>
              <w:jc w:val="left"/>
            </w:pPr>
            <w:r>
              <w:rPr>
                <w:rFonts w:ascii="Calibri" w:hAnsi="Calibri"/>
                <w:color w:val="303030"/>
                <w:sz w:val="19"/>
              </w:rPr>
              <w:t>Medical Records, Salary, Transaction Totals</w:t>
            </w:r>
          </w:p>
        </w:tc>
        <w:tc>
          <w:tcPr>
            <w:tcW w:type="dxa" w:w="2160"/>
            <w:shd w:fill="FFFFFF"/>
            <w:tcMar>
              <w:top w:w="100" w:type="dxa"/>
              <w:bottom w:w="100" w:type="dxa"/>
              <w:left w:w="120" w:type="dxa"/>
              <w:right w:w="120" w:type="dxa"/>
            </w:tcMar>
          </w:tcPr>
          <w:p>
            <w:pPr>
              <w:jc w:val="left"/>
            </w:pPr>
            <w:r>
              <w:rPr>
                <w:rFonts w:ascii="Calibri" w:hAnsi="Calibri"/>
                <w:color w:val="303030"/>
                <w:sz w:val="19"/>
              </w:rPr>
              <w:t>Noise Addition, Synthetic Generation, Differential Privacy</w:t>
            </w:r>
          </w:p>
        </w:tc>
        <w:tc>
          <w:tcPr>
            <w:tcW w:type="dxa" w:w="3312"/>
            <w:shd w:fill="FFFFFF"/>
            <w:tcMar>
              <w:top w:w="100" w:type="dxa"/>
              <w:bottom w:w="100" w:type="dxa"/>
              <w:left w:w="120" w:type="dxa"/>
              <w:right w:w="120" w:type="dxa"/>
            </w:tcMar>
          </w:tcPr>
          <w:p>
            <w:pPr>
              <w:jc w:val="left"/>
            </w:pPr>
            <w:r>
              <w:rPr>
                <w:rFonts w:ascii="Calibri" w:hAnsi="Calibri"/>
                <w:color w:val="303030"/>
                <w:sz w:val="19"/>
              </w:rPr>
              <w:t>Inject controlled Gaussian or scale noise. This preserves overall population means and variances while protecting specific record disclosures.</w:t>
            </w:r>
          </w:p>
        </w:tc>
      </w:tr>
      <w:tr>
        <w:tc>
          <w:tcPr>
            <w:tcW w:type="dxa" w:w="1728"/>
            <w:shd w:fill="F2F5F8"/>
            <w:tcMar>
              <w:top w:w="100" w:type="dxa"/>
              <w:bottom w:w="100" w:type="dxa"/>
              <w:left w:w="120" w:type="dxa"/>
              <w:right w:w="120" w:type="dxa"/>
            </w:tcMar>
          </w:tcPr>
          <w:p>
            <w:pPr>
              <w:jc w:val="left"/>
            </w:pPr>
            <w:r>
              <w:rPr>
                <w:rFonts w:ascii="Calibri" w:hAnsi="Calibri"/>
                <w:color w:val="303030"/>
                <w:sz w:val="19"/>
              </w:rPr>
              <w:t>Non-Sensitive Data</w:t>
            </w:r>
          </w:p>
        </w:tc>
        <w:tc>
          <w:tcPr>
            <w:tcW w:type="dxa" w:w="2160"/>
            <w:shd w:fill="F2F5F8"/>
            <w:tcMar>
              <w:top w:w="100" w:type="dxa"/>
              <w:bottom w:w="100" w:type="dxa"/>
              <w:left w:w="120" w:type="dxa"/>
              <w:right w:w="120" w:type="dxa"/>
            </w:tcMar>
          </w:tcPr>
          <w:p>
            <w:pPr>
              <w:jc w:val="left"/>
            </w:pPr>
            <w:r>
              <w:rPr>
                <w:rFonts w:ascii="Calibri" w:hAnsi="Calibri"/>
                <w:color w:val="303030"/>
                <w:sz w:val="19"/>
              </w:rPr>
              <w:t>Product Categories, General Timestamps</w:t>
            </w:r>
          </w:p>
        </w:tc>
        <w:tc>
          <w:tcPr>
            <w:tcW w:type="dxa" w:w="2160"/>
            <w:shd w:fill="F2F5F8"/>
            <w:tcMar>
              <w:top w:w="100" w:type="dxa"/>
              <w:bottom w:w="100" w:type="dxa"/>
              <w:left w:w="120" w:type="dxa"/>
              <w:right w:w="120" w:type="dxa"/>
            </w:tcMar>
          </w:tcPr>
          <w:p>
            <w:pPr>
              <w:jc w:val="left"/>
            </w:pPr>
            <w:r>
              <w:rPr>
                <w:rFonts w:ascii="Calibri" w:hAnsi="Calibri"/>
                <w:color w:val="303030"/>
                <w:sz w:val="19"/>
              </w:rPr>
              <w:t>None (Baseline Wrangling)</w:t>
            </w:r>
          </w:p>
        </w:tc>
        <w:tc>
          <w:tcPr>
            <w:tcW w:type="dxa" w:w="3312"/>
            <w:shd w:fill="F2F5F8"/>
            <w:tcMar>
              <w:top w:w="100" w:type="dxa"/>
              <w:bottom w:w="100" w:type="dxa"/>
              <w:left w:w="120" w:type="dxa"/>
              <w:right w:w="120" w:type="dxa"/>
            </w:tcMar>
          </w:tcPr>
          <w:p>
            <w:pPr>
              <w:jc w:val="left"/>
            </w:pPr>
            <w:r>
              <w:rPr>
                <w:rFonts w:ascii="Calibri" w:hAnsi="Calibri"/>
                <w:color w:val="303030"/>
                <w:sz w:val="19"/>
              </w:rPr>
              <w:t>Audit for potential secondary linkage risks, but typically retain in raw form to drive downstream statistical models.</w:t>
            </w:r>
          </w:p>
        </w:tc>
      </w:tr>
    </w:tbl>
    <w:p>
      <w:pPr>
        <w:spacing w:after="200"/>
      </w:pPr>
    </w:p>
    <w:p>
      <w:pPr>
        <w:pStyle w:val="Heading1"/>
        <w:keepNext/>
        <w:spacing w:before="240" w:after="120"/>
      </w:pPr>
      <w:r>
        <w:rPr>
          <w:rFonts w:ascii="Calibri" w:hAnsi="Calibri"/>
          <w:b/>
          <w:color w:val="1B365D"/>
          <w:sz w:val="36"/>
        </w:rPr>
        <w:t>4. Step-by-Step Pipeline: Python Implementation Guide</w:t>
      </w:r>
    </w:p>
    <w:p>
      <w:pPr>
        <w:spacing w:after="200"/>
      </w:pPr>
      <w:r>
        <w:rPr>
          <w:rFonts w:ascii="Calibri" w:hAnsi="Calibri"/>
          <w:sz w:val="22"/>
        </w:rPr>
        <w:t>A robust de-identification process must follow a structured pipeline. Running anonymization transformations on a live, production database is an anti-pattern. Instead, implement a five-step pipeline to guarantee data security:</w:t>
      </w:r>
    </w:p>
    <w:p>
      <w:pPr>
        <w:spacing w:before="80" w:after="120"/>
        <w:ind w:left="360"/>
      </w:pPr>
      <w:r>
        <w:rPr>
          <w:rFonts w:ascii="Calibri" w:hAnsi="Calibri"/>
          <w:b/>
          <w:color w:val="1B365D"/>
          <w:sz w:val="22"/>
        </w:rPr>
        <w:t>★  Phase 1: Safe Ingestion &amp; Isolation</w:t>
        <w:br/>
      </w:r>
      <w:r>
        <w:rPr>
          <w:rFonts w:ascii="Calibri" w:hAnsi="Calibri"/>
          <w:color w:val="404040"/>
          <w:sz w:val="20"/>
        </w:rPr>
        <w:t>Extract raw tables from production and load them into a secure, read-only staging workspace. Never proceed until you have confirmed a physical schema separation between raw data and de-identified outputs.</w:t>
      </w:r>
    </w:p>
    <w:p>
      <w:pPr>
        <w:spacing w:before="80" w:after="120"/>
        <w:ind w:left="360"/>
      </w:pPr>
      <w:r>
        <w:rPr>
          <w:rFonts w:ascii="Calibri" w:hAnsi="Calibri"/>
          <w:b/>
          <w:color w:val="1B365D"/>
          <w:sz w:val="22"/>
        </w:rPr>
        <w:t>★  Phase 2: Master Schema &amp; Attribute Audit</w:t>
        <w:br/>
      </w:r>
      <w:r>
        <w:rPr>
          <w:rFonts w:ascii="Calibri" w:hAnsi="Calibri"/>
          <w:color w:val="404040"/>
          <w:sz w:val="20"/>
        </w:rPr>
        <w:t>Audit columns and map every variable to its respective Direct, Quasi, or Sensitive tier. Document your classification dictionary to serve as a legal proof-of-compliance audit log.</w:t>
      </w:r>
    </w:p>
    <w:p>
      <w:pPr>
        <w:spacing w:before="80" w:after="120"/>
        <w:ind w:left="360"/>
      </w:pPr>
      <w:r>
        <w:rPr>
          <w:rFonts w:ascii="Calibri" w:hAnsi="Calibri"/>
          <w:b/>
          <w:color w:val="1B365D"/>
          <w:sz w:val="22"/>
        </w:rPr>
        <w:t>★  Phase 3: Automated PII Discovery</w:t>
        <w:br/>
      </w:r>
      <w:r>
        <w:rPr>
          <w:rFonts w:ascii="Calibri" w:hAnsi="Calibri"/>
          <w:color w:val="404040"/>
          <w:sz w:val="20"/>
        </w:rPr>
        <w:t>Execute spaCy and Presidio Named Entity Recognition scanners on unstructured text fields. Programmatically audit relational tables to isolate hidden emails, phone numbers, or credit card formats.</w:t>
      </w:r>
    </w:p>
    <w:p>
      <w:pPr>
        <w:spacing w:before="80" w:after="120"/>
        <w:ind w:left="360"/>
      </w:pPr>
      <w:r>
        <w:rPr>
          <w:rFonts w:ascii="Calibri" w:hAnsi="Calibri"/>
          <w:b/>
          <w:color w:val="1B365D"/>
          <w:sz w:val="22"/>
        </w:rPr>
        <w:t>★  Phase 4: Transformation Execution</w:t>
        <w:br/>
      </w:r>
      <w:r>
        <w:rPr>
          <w:rFonts w:ascii="Calibri" w:hAnsi="Calibri"/>
          <w:color w:val="404040"/>
          <w:sz w:val="20"/>
        </w:rPr>
        <w:t>Run vectorized Python operations (using salted SHA-256 hashing, pattern preservation, and binning) to completely replace direct and quasi-identifiers.</w:t>
      </w:r>
    </w:p>
    <w:p>
      <w:pPr>
        <w:spacing w:before="80" w:after="120"/>
        <w:ind w:left="360"/>
      </w:pPr>
      <w:r>
        <w:rPr>
          <w:rFonts w:ascii="Calibri" w:hAnsi="Calibri"/>
          <w:b/>
          <w:color w:val="1B365D"/>
          <w:sz w:val="22"/>
        </w:rPr>
        <w:t>★  Phase 5: Post-Anonymization Validation</w:t>
        <w:br/>
      </w:r>
      <w:r>
        <w:rPr>
          <w:rFonts w:ascii="Calibri" w:hAnsi="Calibri"/>
          <w:color w:val="404040"/>
          <w:sz w:val="20"/>
        </w:rPr>
        <w:t>Verify that no residual identifiers exist (e.g., query for remaining '@' domains). Check that overall statistics (mean, variance, counts) remain aligned to ensure downstream model validity.</w:t>
      </w:r>
    </w:p>
    <w:p>
      <w:pPr>
        <w:pStyle w:val="Heading2"/>
        <w:keepNext/>
        <w:spacing w:before="240" w:after="120"/>
      </w:pPr>
      <w:r>
        <w:rPr>
          <w:rFonts w:ascii="Calibri" w:hAnsi="Calibri"/>
          <w:b/>
          <w:color w:val="008080"/>
          <w:sz w:val="28"/>
        </w:rPr>
        <w:t>4.2 Production-Grade Python Implementation Snippet</w:t>
      </w:r>
    </w:p>
    <w:p>
      <w:pPr>
        <w:spacing w:after="120"/>
      </w:pPr>
      <w:r>
        <w:rPr>
          <w:i/>
          <w:sz w:val="20"/>
        </w:rPr>
        <w:t>The following script demonstrates a complete, localized PII sanitization routine using Pandas, Presidio, and Sanityze:</w:t>
      </w:r>
    </w:p>
    <w:tbl>
      <w:tblPr>
        <w:tblW w:type="auto" w:w="0"/>
        <w:jc w:val="center"/>
        <w:tblLayout w:type="fixed"/>
        <w:tblLook w:firstColumn="1" w:firstRow="1" w:lastColumn="0" w:lastRow="0" w:noHBand="0" w:noVBand="1" w:val="04A0"/>
      </w:tblPr>
      <w:tblGrid>
        <w:gridCol w:w="9360"/>
      </w:tblGrid>
      <w:tr>
        <w:tc>
          <w:tcPr>
            <w:tcW w:type="dxa" w:w="9360"/>
            <w:shd w:fill="1E1E1E"/>
            <w:tcMar>
              <w:top w:w="150" w:type="dxa"/>
              <w:bottom w:w="150" w:type="dxa"/>
              <w:left w:w="150" w:type="dxa"/>
              <w:right w:w="150" w:type="dxa"/>
            </w:tcMar>
            <w:tcBorders>
              <w:left w:val="single" w:sz="24" w:color="008080"/>
              <w:top w:val="nil"/>
              <w:bottom w:val="nil"/>
              <w:right w:val="nil"/>
            </w:tcBorders>
          </w:tcPr>
          <w:p>
            <w:pPr>
              <w:spacing w:before="0" w:after="0"/>
            </w:pPr>
            <w:r>
              <w:rPr>
                <w:rFonts w:ascii="Consolas" w:hAnsi="Consolas"/>
                <w:color w:val="F0F0F0"/>
                <w:sz w:val="17"/>
              </w:rPr>
              <w:t>import pandas as pd</w:t>
              <w:br/>
              <w:t>import numpy as np</w:t>
              <w:br/>
              <w:t>import hashlib</w:t>
              <w:br/>
              <w:t>from presidio_analyzer import AnalyzerEngine</w:t>
              <w:br/>
              <w:t>from presidio_anonymizer import AnonymizerEngine</w:t>
              <w:br/>
              <w:t>from sanityze import Cleanser, EmailSpotter, CreditCardSpotter</w:t>
              <w:br/>
              <w:br/>
              <w:t># 1. Setup Salted Hash Function for relational consistency</w:t>
              <w:br/>
              <w:t>def det_hash(val, salt='SUPER_SECRET_SALT_2026'):</w:t>
              <w:br/>
              <w:t xml:space="preserve">    if pd.isna(val):</w:t>
              <w:br/>
              <w:t xml:space="preserve">        return np.nan</w:t>
              <w:br/>
              <w:t xml:space="preserve">    input_bytes = (str(val) + salt).encode('utf-8')</w:t>
              <w:br/>
              <w:t xml:space="preserve">    return hashlib.sha256(input_bytes).hexdigest()</w:t>
              <w:br/>
              <w:br/>
              <w:t># 2. Vectorized character masking with format preservation</w:t>
              <w:br/>
              <w:t>def mask_phone_vectorized(series):</w:t>
              <w:br/>
              <w:t xml:space="preserve">    # Format: 555-XXX-XXXX</w:t>
              <w:br/>
              <w:t xml:space="preserve">    return series.astype(str).str.replace(r'(\d{3})-(\d{3})-(\d{4})', r'\1-XXX-\3', regex=True)</w:t>
              <w:br/>
              <w:br/>
              <w:t># 3. Unstructured text scrubbing with Microsoft Presidio</w:t>
              <w:br/>
              <w:t>def scrub_unstructured_text(text, analyzer, anonymizer):</w:t>
              <w:br/>
              <w:t xml:space="preserve">    if not text or pd.isna(text):</w:t>
              <w:br/>
              <w:t xml:space="preserve">        return text</w:t>
              <w:br/>
              <w:t xml:space="preserve">    results = analyzer.analyze(text=str(text), language='en', entities=['PERSON', 'EMAIL_ADDRESS'])</w:t>
              <w:br/>
              <w:t xml:space="preserve">    anonymized = anonymizer.anonymize(text=str(text), analyzer_results=results)</w:t>
              <w:br/>
              <w:t xml:space="preserve">    return anonymized.text</w:t>
              <w:br/>
              <w:br/>
              <w:t># 4. High-performance tabular cleansing with Sanityze</w:t>
              <w:br/>
              <w:t>def sanityze_dataframe(df):</w:t>
              <w:br/>
              <w:t xml:space="preserve">    cleanser = Cleanser()</w:t>
              <w:br/>
              <w:t xml:space="preserve">    cleanser.add_spotter(EmailSpotter())</w:t>
              <w:br/>
              <w:t xml:space="preserve">    cleanser.add_spotter(CreditCardSpotter())</w:t>
              <w:br/>
              <w:t xml:space="preserve">    return cleanser.clean(df)  # Returns df with PII elements replaced with unique hashes</w:t>
            </w:r>
          </w:p>
        </w:tc>
      </w:tr>
    </w:tbl>
    <w:p>
      <w:pPr>
        <w:spacing w:after="200"/>
      </w:pPr>
    </w:p>
    <w:p>
      <w:pPr>
        <w:pStyle w:val="Heading1"/>
        <w:keepNext/>
        <w:spacing w:before="240" w:after="120"/>
      </w:pPr>
      <w:r>
        <w:rPr>
          <w:rFonts w:ascii="Calibri" w:hAnsi="Calibri"/>
          <w:b/>
          <w:color w:val="1B365D"/>
          <w:sz w:val="36"/>
        </w:rPr>
        <w:t>5. Ethical Considerations &amp; Regulatory Mandates</w:t>
      </w:r>
    </w:p>
    <w:p>
      <w:pPr>
        <w:spacing w:after="200"/>
      </w:pPr>
      <w:r>
        <w:rPr>
          <w:rFonts w:ascii="Calibri" w:hAnsi="Calibri"/>
          <w:sz w:val="22"/>
        </w:rPr>
        <w:t>Modern data science operates under strict regulatory frameworks. Failing to implement secure de-identification pipelines exposes organizations to legal liabilities and severe ethical violations. The following global mandates govern de-identification standards:</w:t>
      </w:r>
    </w:p>
    <w:p>
      <w:pPr>
        <w:pStyle w:val="ListBullet"/>
        <w:spacing w:after="80"/>
      </w:pPr>
      <w:r>
        <w:rPr>
          <w:b/>
          <w:color w:val="1B365D"/>
          <w:sz w:val="22"/>
        </w:rPr>
        <w:t xml:space="preserve">General Data Protection Regulation (GDPR): </w:t>
      </w:r>
      <w:r>
        <w:rPr>
          <w:sz w:val="21"/>
        </w:rPr>
        <w:t>Enforces the principle of 'Data Minimization' and advocates for pseudonymization. Under GDPR, pseudonymized data remains subject to compliance, whereas fully anonymized, irreversible data is exempted from further processing restrictions.</w:t>
      </w:r>
    </w:p>
    <w:p>
      <w:pPr>
        <w:pStyle w:val="ListBullet"/>
        <w:spacing w:after="80"/>
      </w:pPr>
      <w:r>
        <w:rPr>
          <w:b/>
          <w:color w:val="1B365D"/>
          <w:sz w:val="22"/>
        </w:rPr>
        <w:t xml:space="preserve">Health Insurance Portability and Accountability Act (HIPAA): </w:t>
      </w:r>
      <w:r>
        <w:rPr>
          <w:sz w:val="21"/>
        </w:rPr>
        <w:t>Defines two strict routes to achieve patient de-identification: (1) The Safe Harbor Method (requiring the complete removal of 18 specific identifiers, including exact dates, ZIP codes, and names), and (2) The Expert Determination Method (requiring mathematical proof by a statistical expert that the risk of re-identification is minimal).</w:t>
      </w:r>
    </w:p>
    <w:p>
      <w:pPr>
        <w:pStyle w:val="ListBullet"/>
        <w:spacing w:after="80"/>
      </w:pPr>
      <w:r>
        <w:rPr>
          <w:b/>
          <w:color w:val="1B365D"/>
          <w:sz w:val="22"/>
        </w:rPr>
        <w:t xml:space="preserve">California Consumer Privacy Act (CCPA): </w:t>
      </w:r>
      <w:r>
        <w:rPr>
          <w:sz w:val="21"/>
        </w:rPr>
        <w:t>Provides consumers with strict 'Right to Deletion' and 'Opt-Out' parameters. CCPA protects aggregated or de-identified datasets, provided the organization implements technical safeguards and operational policies that prevent re-identification.</w:t>
      </w:r>
    </w:p>
    <w:p>
      <w:pPr>
        <w:pStyle w:val="ListBullet"/>
        <w:spacing w:after="80"/>
      </w:pPr>
      <w:r>
        <w:rPr>
          <w:b/>
          <w:color w:val="1B365D"/>
          <w:sz w:val="22"/>
        </w:rPr>
        <w:t xml:space="preserve">PCI DSS (Payment Card Industry Standards): </w:t>
      </w:r>
      <w:r>
        <w:rPr>
          <w:sz w:val="21"/>
        </w:rPr>
        <w:t>Mandates strict protective measures for primary account numbers (PAN). PANs must be masked (rendering only the first six and last four digits readable) and deterministically hashed/encrypted whenever stored.</w:t>
      </w:r>
    </w:p>
    <w:tbl>
      <w:tblPr>
        <w:tblW w:type="auto" w:w="0"/>
        <w:jc w:val="center"/>
        <w:tblLayout w:type="fixed"/>
        <w:tblLook w:firstColumn="1" w:firstRow="1" w:lastColumn="0" w:lastRow="0" w:noHBand="0" w:noVBand="1" w:val="04A0"/>
      </w:tblPr>
      <w:tblGrid>
        <w:gridCol w:w="9360"/>
      </w:tblGrid>
      <w:tr>
        <w:tc>
          <w:tcPr>
            <w:tcW w:type="dxa" w:w="9360"/>
            <w:shd w:fill="F0F4F8"/>
            <w:tcMar>
              <w:top w:w="150" w:type="dxa"/>
              <w:bottom w:w="150" w:type="dxa"/>
              <w:left w:w="200" w:type="dxa"/>
              <w:right w:w="200" w:type="dxa"/>
            </w:tcMar>
            <w:tcBorders>
              <w:left w:val="single" w:sz="24" w:space="0" w:color="1B365D"/>
              <w:top w:val="nil"/>
              <w:bottom w:val="nil"/>
              <w:right w:val="nil"/>
            </w:tcBorders>
          </w:tcPr>
          <w:p>
            <w:pPr>
              <w:spacing w:before="0" w:after="80"/>
            </w:pPr>
            <w:r>
              <w:rPr>
                <w:rFonts w:ascii="Calibri" w:hAnsi="Calibri"/>
                <w:b/>
                <w:color w:val="1B365D"/>
                <w:sz w:val="22"/>
              </w:rPr>
              <w:t>★ ETHICAL RISK ALERT</w:t>
              <w:br/>
            </w:r>
          </w:p>
          <w:p>
            <w:pPr>
              <w:spacing w:after="60"/>
            </w:pPr>
            <w:r>
              <w:rPr>
                <w:rFonts w:ascii="Calibri" w:hAnsi="Calibri"/>
                <w:color w:val="303030"/>
                <w:sz w:val="20"/>
              </w:rPr>
              <w:t>Pseudonymization vs. Anonymization: Pseudonymization is a reversible process where identifying values are replaced with keys or artificial tokens, allowing linkability if the encryption key is recovered. Anonymization is completely irreversible. Always aim for irreversible anonymization when exporting datasets for external analysis, performance testing, or staging environments.</w:t>
            </w:r>
          </w:p>
        </w:tc>
      </w:tr>
    </w:tbl>
    <w:p>
      <w:pPr>
        <w:pStyle w:val="Heading1"/>
        <w:keepNext/>
        <w:spacing w:before="240" w:after="120"/>
      </w:pPr>
      <w:r>
        <w:rPr>
          <w:rFonts w:ascii="Calibri" w:hAnsi="Calibri"/>
          <w:b/>
          <w:color w:val="1B365D"/>
          <w:sz w:val="36"/>
        </w:rPr>
        <w:t>6. Actionable Operational Checklist</w:t>
      </w:r>
    </w:p>
    <w:p>
      <w:pPr>
        <w:spacing w:after="160"/>
      </w:pPr>
      <w:r>
        <w:rPr>
          <w:i/>
          <w:sz w:val="21"/>
        </w:rPr>
        <w:t>Data engineering teams must complete and document the following verification checklist before releasing any dataset for analytical modeling:</w:t>
      </w:r>
    </w:p>
    <w:p>
      <w:pPr>
        <w:spacing w:after="80"/>
        <w:ind w:left="288"/>
      </w:pPr>
      <w:r>
        <w:rPr>
          <w:rFonts w:ascii="Consolas" w:hAnsi="Consolas"/>
          <w:b/>
          <w:color w:val="008080"/>
          <w:sz w:val="22"/>
        </w:rPr>
        <w:t xml:space="preserve">☐  </w:t>
      </w:r>
      <w:r>
        <w:rPr>
          <w:rFonts w:ascii="Calibri" w:hAnsi="Calibri"/>
          <w:b/>
          <w:sz w:val="20"/>
        </w:rPr>
        <w:t xml:space="preserve">Data Ingestion Audit Completed: </w:t>
      </w:r>
      <w:r>
        <w:rPr>
          <w:rFonts w:ascii="Calibri" w:hAnsi="Calibri"/>
          <w:color w:val="404040"/>
          <w:sz w:val="19"/>
        </w:rPr>
        <w:t>Ensured index variables are verified, trailing whitespaces stripped, and logical missing codes (e.g., -1, 99999) fully converted to NaN.</w:t>
      </w:r>
    </w:p>
    <w:p>
      <w:pPr>
        <w:spacing w:after="80"/>
        <w:ind w:left="288"/>
      </w:pPr>
      <w:r>
        <w:rPr>
          <w:rFonts w:ascii="Consolas" w:hAnsi="Consolas"/>
          <w:b/>
          <w:color w:val="008080"/>
          <w:sz w:val="22"/>
        </w:rPr>
        <w:t xml:space="preserve">☐  </w:t>
      </w:r>
      <w:r>
        <w:rPr>
          <w:rFonts w:ascii="Calibri" w:hAnsi="Calibri"/>
          <w:b/>
          <w:sz w:val="20"/>
        </w:rPr>
        <w:t xml:space="preserve">Master PII Column Schema Mapped: </w:t>
      </w:r>
      <w:r>
        <w:rPr>
          <w:rFonts w:ascii="Calibri" w:hAnsi="Calibri"/>
          <w:color w:val="404040"/>
          <w:sz w:val="19"/>
        </w:rPr>
        <w:t>Cataloged and documented all Direct Identifiers, Quasi-Identifiers, and Sensitive Attributes in a central audit log.</w:t>
      </w:r>
    </w:p>
    <w:p>
      <w:pPr>
        <w:spacing w:after="80"/>
        <w:ind w:left="288"/>
      </w:pPr>
      <w:r>
        <w:rPr>
          <w:rFonts w:ascii="Consolas" w:hAnsi="Consolas"/>
          <w:b/>
          <w:color w:val="008080"/>
          <w:sz w:val="22"/>
        </w:rPr>
        <w:t xml:space="preserve">☐  </w:t>
      </w:r>
      <w:r>
        <w:rPr>
          <w:rFonts w:ascii="Calibri" w:hAnsi="Calibri"/>
          <w:b/>
          <w:sz w:val="20"/>
        </w:rPr>
        <w:t xml:space="preserve">Staging Environment Isolate Confirmed: </w:t>
      </w:r>
      <w:r>
        <w:rPr>
          <w:rFonts w:ascii="Calibri" w:hAnsi="Calibri"/>
          <w:color w:val="404040"/>
          <w:sz w:val="19"/>
        </w:rPr>
        <w:t>Verified that de-identification scripts are executed exclusively within a safe staging sandbox—never directly on the production database.</w:t>
      </w:r>
    </w:p>
    <w:p>
      <w:pPr>
        <w:spacing w:after="80"/>
        <w:ind w:left="288"/>
      </w:pPr>
      <w:r>
        <w:rPr>
          <w:rFonts w:ascii="Consolas" w:hAnsi="Consolas"/>
          <w:b/>
          <w:color w:val="008080"/>
          <w:sz w:val="22"/>
        </w:rPr>
        <w:t xml:space="preserve">☐  </w:t>
      </w:r>
      <w:r>
        <w:rPr>
          <w:rFonts w:ascii="Calibri" w:hAnsi="Calibri"/>
          <w:b/>
          <w:sz w:val="20"/>
        </w:rPr>
        <w:t xml:space="preserve">Relational Constraints Safe-Handled: </w:t>
      </w:r>
      <w:r>
        <w:rPr>
          <w:rFonts w:ascii="Calibri" w:hAnsi="Calibri"/>
          <w:color w:val="404040"/>
          <w:sz w:val="19"/>
        </w:rPr>
        <w:t>Temporarily disabled foreign key checks (e.g., SET FOREIGN_KEY_CHECKS=0) when processing matching transformations across nested parent-child tables to prevent relational breakage.</w:t>
      </w:r>
    </w:p>
    <w:p>
      <w:pPr>
        <w:spacing w:after="80"/>
        <w:ind w:left="288"/>
      </w:pPr>
      <w:r>
        <w:rPr>
          <w:rFonts w:ascii="Consolas" w:hAnsi="Consolas"/>
          <w:b/>
          <w:color w:val="008080"/>
          <w:sz w:val="22"/>
        </w:rPr>
        <w:t xml:space="preserve">☐  </w:t>
      </w:r>
      <w:r>
        <w:rPr>
          <w:rFonts w:ascii="Calibri" w:hAnsi="Calibri"/>
          <w:b/>
          <w:sz w:val="20"/>
        </w:rPr>
        <w:t xml:space="preserve">Salted Hashing Implemented Globally: </w:t>
      </w:r>
      <w:r>
        <w:rPr>
          <w:rFonts w:ascii="Calibri" w:hAnsi="Calibri"/>
          <w:color w:val="404040"/>
          <w:sz w:val="19"/>
        </w:rPr>
        <w:t>Utilized SHA-256 hashing alongside a unique, highly secure secret salt for all primary keys to maintain join integrity while preventing dictionary attacks.</w:t>
      </w:r>
    </w:p>
    <w:p>
      <w:pPr>
        <w:spacing w:after="80"/>
        <w:ind w:left="288"/>
      </w:pPr>
      <w:r>
        <w:rPr>
          <w:rFonts w:ascii="Consolas" w:hAnsi="Consolas"/>
          <w:b/>
          <w:color w:val="008080"/>
          <w:sz w:val="22"/>
        </w:rPr>
        <w:t xml:space="preserve">☐  </w:t>
      </w:r>
      <w:r>
        <w:rPr>
          <w:rFonts w:ascii="Calibri" w:hAnsi="Calibri"/>
          <w:b/>
          <w:sz w:val="20"/>
        </w:rPr>
        <w:t xml:space="preserve">Quasi-Identifiers Generalized: </w:t>
      </w:r>
      <w:r>
        <w:rPr>
          <w:rFonts w:ascii="Calibri" w:hAnsi="Calibri"/>
          <w:color w:val="404040"/>
          <w:sz w:val="19"/>
        </w:rPr>
        <w:t>Grouped birth dates into age ranges, scaled ZIP codes, or applied K-Anonymity boundaries to eliminate secondary linkage vulnerability.</w:t>
      </w:r>
    </w:p>
    <w:p>
      <w:pPr>
        <w:spacing w:after="80"/>
        <w:ind w:left="288"/>
      </w:pPr>
      <w:r>
        <w:rPr>
          <w:rFonts w:ascii="Consolas" w:hAnsi="Consolas"/>
          <w:b/>
          <w:color w:val="008080"/>
          <w:sz w:val="22"/>
        </w:rPr>
        <w:t xml:space="preserve">☐  </w:t>
      </w:r>
      <w:r>
        <w:rPr>
          <w:rFonts w:ascii="Calibri" w:hAnsi="Calibri"/>
          <w:b/>
          <w:sz w:val="20"/>
        </w:rPr>
        <w:t xml:space="preserve">Post-Transformation Leakage Scanned: </w:t>
      </w:r>
      <w:r>
        <w:rPr>
          <w:rFonts w:ascii="Calibri" w:hAnsi="Calibri"/>
          <w:color w:val="404040"/>
          <w:sz w:val="19"/>
        </w:rPr>
        <w:t>Conducted automated queries searching for remaining common domains (e.g., @gmail, @yahoo) or identifying patterns (SSN formats) to ensure zero data leakage.</w:t>
      </w:r>
    </w:p>
    <w:p>
      <w:pPr>
        <w:spacing w:after="80"/>
        <w:ind w:left="288"/>
      </w:pPr>
      <w:r>
        <w:rPr>
          <w:rFonts w:ascii="Consolas" w:hAnsi="Consolas"/>
          <w:b/>
          <w:color w:val="008080"/>
          <w:sz w:val="22"/>
        </w:rPr>
        <w:t xml:space="preserve">☐  </w:t>
      </w:r>
      <w:r>
        <w:rPr>
          <w:rFonts w:ascii="Calibri" w:hAnsi="Calibri"/>
          <w:b/>
          <w:sz w:val="20"/>
        </w:rPr>
        <w:t xml:space="preserve">Statistical Utility Validated: </w:t>
      </w:r>
      <w:r>
        <w:rPr>
          <w:rFonts w:ascii="Calibri" w:hAnsi="Calibri"/>
          <w:color w:val="404040"/>
          <w:sz w:val="19"/>
        </w:rPr>
        <w:t>Verified that pre-and-post aggregate measures (mean, median, standard deviation) of sensitive attributes match, proving that statistical validity is structurally preserved.</w:t>
      </w:r>
    </w:p>
    <w:p>
      <w:pPr>
        <w:spacing w:after="80"/>
        <w:ind w:left="288"/>
      </w:pPr>
      <w:r>
        <w:rPr>
          <w:rFonts w:ascii="Consolas" w:hAnsi="Consolas"/>
          <w:b/>
          <w:color w:val="008080"/>
          <w:sz w:val="22"/>
        </w:rPr>
        <w:t xml:space="preserve">☐  </w:t>
      </w:r>
      <w:r>
        <w:rPr>
          <w:rFonts w:ascii="Calibri" w:hAnsi="Calibri"/>
          <w:b/>
          <w:sz w:val="20"/>
        </w:rPr>
        <w:t xml:space="preserve">Performance Tuning Applied: </w:t>
      </w:r>
      <w:r>
        <w:rPr>
          <w:rFonts w:ascii="Calibri" w:hAnsi="Calibri"/>
          <w:color w:val="404040"/>
          <w:sz w:val="19"/>
        </w:rPr>
        <w:t>For tables exceeding 100,000 rows, processed data in batches (e.g., 10,000 records per loop) with short delay sleep intervals to avoid table locking.</w:t>
      </w:r>
    </w:p>
    <w:p>
      <w:pPr>
        <w:pStyle w:val="Heading1"/>
        <w:keepNext/>
        <w:spacing w:before="240" w:after="120"/>
      </w:pPr>
      <w:r>
        <w:rPr>
          <w:rFonts w:ascii="Calibri" w:hAnsi="Calibri"/>
          <w:b/>
          <w:color w:val="1B365D"/>
          <w:sz w:val="36"/>
        </w:rPr>
        <w:t>7. References &amp; Standards Directory</w:t>
      </w:r>
    </w:p>
    <w:p>
      <w:pPr>
        <w:spacing w:after="160"/>
      </w:pPr>
      <w:r>
        <w:rPr>
          <w:rFonts w:ascii="Calibri" w:hAnsi="Calibri"/>
          <w:sz w:val="22"/>
        </w:rPr>
        <w:t>To ground these cleaning and de-identification methodologies, refer to the following authoritative data protection documentation and open-source software standards:</w:t>
      </w:r>
    </w:p>
    <w:p>
      <w:pPr>
        <w:spacing w:after="80"/>
        <w:ind w:left="360"/>
      </w:pPr>
      <w:r>
        <w:rPr>
          <w:rFonts w:ascii="Calibri" w:hAnsi="Calibri"/>
          <w:b/>
          <w:color w:val="808080"/>
          <w:sz w:val="20"/>
        </w:rPr>
        <w:t xml:space="preserve">[1] </w:t>
      </w:r>
      <w:r>
        <w:rPr>
          <w:rFonts w:ascii="Calibri" w:hAnsi="Calibri"/>
          <w:color w:val="404040"/>
          <w:sz w:val="19"/>
        </w:rPr>
        <w:t>Microsoft Presidio Analyzer and Anonymizer Documentation: https://microsoft.github.io/presidio/</w:t>
      </w:r>
    </w:p>
    <w:p>
      <w:pPr>
        <w:spacing w:after="80"/>
        <w:ind w:left="360"/>
      </w:pPr>
      <w:r>
        <w:rPr>
          <w:rFonts w:ascii="Calibri" w:hAnsi="Calibri"/>
          <w:b/>
          <w:color w:val="808080"/>
          <w:sz w:val="20"/>
        </w:rPr>
        <w:t xml:space="preserve">[2] </w:t>
      </w:r>
      <w:r>
        <w:rPr>
          <w:rFonts w:ascii="Calibri" w:hAnsi="Calibri"/>
          <w:color w:val="404040"/>
          <w:sz w:val="19"/>
        </w:rPr>
        <w:t>Sanityze Tabular Redaction Utility (v1.0.2), Caesar Wong, Jonah Hamilton, Tony Zoght, PyPI: https://pypi.org/project/sanityze/</w:t>
      </w:r>
    </w:p>
    <w:p>
      <w:pPr>
        <w:spacing w:after="80"/>
        <w:ind w:left="360"/>
      </w:pPr>
      <w:r>
        <w:rPr>
          <w:rFonts w:ascii="Calibri" w:hAnsi="Calibri"/>
          <w:b/>
          <w:color w:val="808080"/>
          <w:sz w:val="20"/>
        </w:rPr>
        <w:t xml:space="preserve">[3] </w:t>
      </w:r>
      <w:r>
        <w:rPr>
          <w:rFonts w:ascii="Calibri" w:hAnsi="Calibri"/>
          <w:color w:val="404040"/>
          <w:sz w:val="19"/>
        </w:rPr>
        <w:t>Python Data Cleaning Cookbook: Modern Techniques and Python Tools, Michael Walker, Packt Publishing.</w:t>
      </w:r>
    </w:p>
    <w:p>
      <w:pPr>
        <w:spacing w:after="80"/>
        <w:ind w:left="360"/>
      </w:pPr>
      <w:r>
        <w:rPr>
          <w:rFonts w:ascii="Calibri" w:hAnsi="Calibri"/>
          <w:b/>
          <w:color w:val="808080"/>
          <w:sz w:val="20"/>
        </w:rPr>
        <w:t xml:space="preserve">[4] </w:t>
      </w:r>
      <w:r>
        <w:rPr>
          <w:rFonts w:ascii="Calibri" w:hAnsi="Calibri"/>
          <w:color w:val="404040"/>
          <w:sz w:val="19"/>
        </w:rPr>
        <w:t>CCPA and GDPR Guidelines on Pseudonymization and Anonymization Best Practices.</w:t>
      </w:r>
    </w:p>
    <w:p>
      <w:pPr>
        <w:spacing w:after="80"/>
        <w:ind w:left="360"/>
      </w:pPr>
      <w:r>
        <w:rPr>
          <w:rFonts w:ascii="Calibri" w:hAnsi="Calibri"/>
          <w:b/>
          <w:color w:val="808080"/>
          <w:sz w:val="20"/>
        </w:rPr>
        <w:t xml:space="preserve">[5] </w:t>
      </w:r>
      <w:r>
        <w:rPr>
          <w:rFonts w:ascii="Calibri" w:hAnsi="Calibri"/>
          <w:color w:val="404040"/>
          <w:sz w:val="19"/>
        </w:rPr>
        <w:t>HIPAA De-identification Standards, Safe Harbor &amp; Expert Determination Methodologies.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GUIDE: DATA CLEANING &amp; PII DE-IDENTIFICATION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