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Instrumental Variable Methods</w:t>
      </w:r>
    </w:p>
    <w:p>
      <w:pPr>
        <w:spacing w:after="60"/>
      </w:pPr>
      <w:r>
        <w:rPr>
          <w:color w:val="2E5A88"/>
          <w:sz w:val="32"/>
          <w:szCs w:val="32"/>
        </w:rPr>
        <w:t xml:space="preserve">Applicability Checklist &amp; Key Takeaways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Based on: Chapters 21–25 — An Experimental Perspective of the IV; Disentangling Mixture Distributions &amp; IV Inequalities; An Econometric Perspective of the IV; Fuzzy Regression Discontinuity; Mendelian Randomization</w:t>
      </w:r>
    </w:p>
    <w:p>
      <w:pPr>
        <w:pStyle w:val="Heading1"/>
        <w:spacing w:after="150" w:before="300"/>
      </w:pPr>
      <w:r>
        <w:t xml:space="preserve">Part I — Applicability Checklist</w:t>
      </w:r>
    </w:p>
    <w:p>
      <w:pPr>
        <w:spacing w:after="120"/>
      </w:pPr>
      <w:r>
        <w:t xml:space="preserve">Use this checklist to decide whether the IV framework fits your project, which assumptions you must defend, and which estimator/inference strategy to use. Work through the sections in order; an unresolved item in Section B is a stop-and-reconsider signal.</w:t>
      </w:r>
    </w:p>
    <w:p>
      <w:pPr>
        <w:pStyle w:val="Heading2"/>
        <w:spacing w:after="120" w:before="240"/>
      </w:pPr>
      <w:r>
        <w:t xml:space="preserve">A. Problem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a treatment D and outcome Y for which unmeasured confounding or reverse causation is plausible, ruling out a simple unconfoundedness-based analysis?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a fully controlled randomized experiment on D infeasible, unethical, or already compromised by noncompliance?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name a candidate instrument Z — an assigned encouragement, a natural/quasi-random shock, a genetic variant, or a running-variable-induced discontinuity?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you written out the causal diagram (Z → D → Y, with U confounding D–Y) and checked that no arrow runs directly from Z to Y or from Z to U?</w:t>
      </w:r>
    </w:p>
    <w:p>
      <w:pPr>
        <w:pStyle w:val="Heading2"/>
        <w:spacing w:after="120" w:before="240"/>
      </w:pPr>
      <w:r>
        <w:t xml:space="preserve">B. Core Identifying Assumptions (defend each explicitly)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Randomization / as-good-as-random: Is Z independent of {D(1), D(0), Y(1), Y(0)} (and of U)? Cite the design (RCT, lottery, genetic transmission) or institutional feature that makes this plausible.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Relevance (non-zero first stage): Does Z move D by a nontrivial, statistically detectable amount? Report τD = E(D|Z=1) − E(D|Z=0) or the first-stage coefficient γ1 with its 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Monotonicity (no defiers): Is D(1) ≥ D(0) plausible for every unit? Check the testable implication pr(D=1|Z=1) ≥ pr(D=1|Z=0); note this does not prove the individual-level assumption.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Exclusion restriction: Does Z affect Y only through D (Y(1)=Y(0) for always-takers and never-takers)? Is this justified by blinding, institutional design, or biology (and could pleiotropy / direct pathways break it)?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applicable: is noncompliance one-sided (control units truly cannot access treatment) or two-sided? One-sided noncompliance simplifies identification (no always-takers) and yields a cleaner exclusion-restriction statement.</w:t>
      </w:r>
    </w:p>
    <w:p>
      <w:pPr>
        <w:pStyle w:val="Heading2"/>
        <w:spacing w:after="120" w:before="240"/>
      </w:pPr>
      <w:r>
        <w:t xml:space="preserve">C. Data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unit-level (Z, D, Y[, X]) data, or only aggregate/summary statistics (as in Mendelian Randomization)? This determines which estimator family is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pre-treatment covariates X that (i) could sharpen precision via covariate-adjusted estimators (Lin-type), or (ii) are required because randomization only holds conditionally?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sample large enough, and is the instrument strong enough, to avoid weak-IV finite-sample pathologies? A useful proxy: how far is τ̂D (or γ̂1) from 0 relative to its 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fuzzy RD: do you have a running variable X and a credible, pre-registered cutoff x0 that was not manipulable by units near the threshold?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MR: do your per-SNP exposure and outcome coefficients come from independent (non-overlapping) samples, supporting the joint-independence assumption?</w:t>
      </w:r>
    </w:p>
    <w:p>
      <w:pPr>
        <w:pStyle w:val="Heading2"/>
        <w:spacing w:after="120" w:before="240"/>
      </w:pPr>
      <w:r>
        <w:t xml:space="preserve">D. Estimation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binary instrument, individual data → Wald/ratio estimator τ̂c = τ̂Y/τ̂D (Ch. 21).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Multiple/continuous instruments or covariates, individual data → Two-Stage Least Squares (TSLS), or the numerically identical Indirect Least Squares / control-function estimator (Ch. 23).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Running-variable-induced treatment probability jump → Fuzzy RD: local linear TSLS within bandwidth h, instrumenting D with Z=1(X≥x0) (Ch. 24).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summary statistics across many instruments (SNPs) → Fisher-weighting (fixed effect) or Egger regression (Ch. 25).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a variance/inference approach: delta method, nonparametric bootstrap, EHW/robust sandwich SEs, or — whenever the instrument might be weak — the Fieller–Anderson–Rubin (FAR) confidence set obtained by inverting tests of H0(b): τc = b.</w:t>
      </w:r>
    </w:p>
    <w:p>
      <w:pPr>
        <w:pStyle w:val="Heading2"/>
        <w:spacing w:after="120" w:before="240"/>
      </w:pPr>
      <w:r>
        <w:t xml:space="preserve">E. Diagnostics &amp; Robustness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binary D and Y: test the Instrumental Variable Inequalities (Ch. 22); a clear violation is evidence against randomization, monotonicity, or exclusion restriction.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the Intention-To-Treat (ITT) estimate (effect of Z on Y) with the IV/CACE estimate — they must agree in sign/significance since τc = τY/τD.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sensitivity/placebo analysis on the exclusion restriction: e.g., in fuzzy RD, vary the bandwidth h over a wide range and plot the estimate; in MR, check the Egger-regression intercept for evidence of average pleiotropy.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feasible, contrast the IV/CACE estimate with naive as-treated and per-protocol estimates to gauge the direction and rough size of confounding bias being corrected for.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monotonicity is doubtful, consider bounding analyses or explicitly quantify the bias term πd(τc+τd)/(πc−πd) from Theorem 22.4.</w:t>
      </w:r>
    </w:p>
    <w:p>
      <w:pPr>
        <w:pStyle w:val="Heading2"/>
        <w:spacing w:after="120" w:before="240"/>
      </w:pPr>
      <w:r>
        <w:t xml:space="preserve">F. Interpretation &amp;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the estimate as a Complier/Local Average Treatment Effect (CACE/LATE): it applies to the sub-population of compliers, not to always-takers, never-takers, or the full population.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possible, describe who the compliers are (e.g., via covariate profiles) so readers know to whom the effect generalizes.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explicitly which core assumptions are non-testable (exclusion restriction, individual-level monotonicity) and why you believe they hold in this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the point estimate together with a weak-IV-robust confidence interval (FAR / Anderson–Rubin type) alongside the standard Wald-type CI, and flag any material disagreement between the two.</w:t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Part II — Key Takeaways by Chapter</w:t>
      </w:r>
    </w:p>
    <w:p>
      <w:pPr>
        <w:spacing w:after="120"/>
      </w:pPr>
      <w:r>
        <w:t xml:space="preserve">A condensed, project-oriented summary of the theoretical results, organized by chapter, to use as a quick reference while designing or reviewing an IV analysis.</w:t>
      </w:r>
    </w:p>
    <w:p>
      <w:pPr>
        <w:pStyle w:val="Heading2"/>
        <w:spacing w:after="120" w:before="240"/>
      </w:pPr>
      <w:r>
        <w:t xml:space="preserve">Ch. 21 — Experimental Perspective of IV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encouragement design with noncompliance (Z = assigned, D = received) is the experimental analog of the IV method.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unit has a latent compliance type U ∈ {always-taker, complier, never-taker, defier}, defined by (D(1), D(0)).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Under randomization + monotonicity (no defiers) + exclusion restriction (Z affects Y only via D for always/never-takers), the Complier Average Causal Effect (CACE, a.k.a. LATE) is identified as τc = τY / τD (Wald/ratio estimator).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Variance can be estimated via the delta method (adjusted-outcome trick) or the bootstrap; covariate adjustment uses Lin's estimator for both τY and τD.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τD is close to 0 (weak IV), the Wald estimator has poor finite-sample properties (possibly infinite variance); use the Fieller–Anderson–Rubin (FAR) confidence set, built by inverting tests on Ai(b) = Yi − bDi, instead of a Wald-type CI.</w:t>
      </w:r>
    </w:p>
    <w:p>
      <w:pPr>
        <w:pStyle w:val="Heading2"/>
        <w:spacing w:after="120" w:before="240"/>
      </w:pPr>
      <w:r>
        <w:t xml:space="preserve">Ch. 22 — Disentangling Mixtures &amp; IV Inequalities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 though individual compliance type is unobserved, its proportion (πa, πn, πc) and the type-specific mean potential outcomes (µn, µa, µ1c, µ0c) are all nonparametrically identified from observed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a binary outcome, valid identification implies four testable Instrumental Variable Inequalities (Balke–Pearl); systematic violation is evidence against the IV assumptions.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same machinery quantifies the bias of naive alternatives: as-treated analysis, per-protocol analysis, and 'treatment vs. control within assignment arm' comparisons — all mix complier and non-complier effects in identifiable but biased ways.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Without exclusion restriction or monotonicity, the Wald ratio no longer equals τc; Theorem 22.4 gives the exact bias terms, which is useful for a sensitivity analysis.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only partial identification is possible (e.g., effect on the whole population, not just compliers), sharp bounds can still be derived from bounded outcomes.</w:t>
      </w:r>
    </w:p>
    <w:p>
      <w:pPr>
        <w:pStyle w:val="Heading2"/>
        <w:spacing w:after="120" w:before="240"/>
      </w:pPr>
      <w:r>
        <w:t xml:space="preserve">Ch. 23 — Econometric Perspective of IV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OLS assumes E(Dε)=0 (exogeneity); when a regressor is endogenous (E(Dε)≠0), OLS is inconsistent and an instrument satisfying E(Zε)=0 plus relevance is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Just-identified case: β = E(ZD^T)^-1 E(ZY); with a single binary Z and D this collapses to the same Wald/CACE formula from Ch. 21 — the econometric and potential-outcome perspectives coincide.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Over-identified case: Two-Stage Least Squares (TSLS), Indirect Least Squares (ILS), and the control-function estimator are all numerically identical under the linear IV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Weak-instrument-robust inference: invert tests on the reduced-form coefficient of Z (testing H0: β=b) rather than relying on the TSLS Wald CI — mirrors the FAR approach of Ch. 21.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Correct standard errors for TSLS require recomputing residuals with the structural (not first-stage-fitted) regressors before applying the robust sandwich formula.</w:t>
      </w:r>
    </w:p>
    <w:p>
      <w:pPr>
        <w:pStyle w:val="Heading2"/>
        <w:spacing w:after="120" w:before="240"/>
      </w:pPr>
      <w:r>
        <w:t xml:space="preserve">Ch. 24 — Fuzzy Regression Discontinuity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Fuzzy RD arises when a running variable X only shifts the *probability* of treatment at a cutoff x0, rather than deterministically assigning it (sharp RD).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 = 1(X ≥ x0) is used as an instrument for D near x0; the local CACE, τc(x0), is the ratio of the RD jump in E(Y|X) to the RD jump in E(D|X) at x0 — a superposition of sharp-RD (Ch. 20) and IV (Ch. 21) theorems.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Estimation: local linear regressions of D and Y on (1, Z, running-var-left, running-var-right) within bandwidth h, combined via TSLS/ILS (numerically identical, Theorem 23.1).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Bandwidth choice is a bias–variance trade-off; report a sensitivity curve across a range of h (and/or use automated bandwidth selectors, e.g., the rdrobust package) rather than a single arbitrary 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Continuity of conditional-expectation functions at x0 (or, alternatively, local randomization near x0) is the core, non-testable identifying assumption.</w:t>
      </w:r>
    </w:p>
    <w:p>
      <w:pPr>
        <w:pStyle w:val="Heading2"/>
        <w:spacing w:after="120" w:before="240"/>
      </w:pPr>
      <w:r>
        <w:t xml:space="preserve">Ch. 25 — Mendelian Randomization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Genetic variants (SNPs) are used as instruments for a modifiable exposure (e.g., BMI, cholesterol) to avoid confounding and reverse causation, leveraging Mendel's second law for as-good-as-random assignment.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MR is typically run on GWAS *summary statistics* (per-SNP coefficient + SE for exposure and outcome), not individual-level data, under an assumption of (asymptotic) joint independence and normality of these summary estimates.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Fixed-effect / Fisher-weighting estimators combine per-SNP ratio estimates (Γj/γj) via inverse-variance weighting; consistent only if all SNPs satisfy exclusion restriction (no pleiotropy).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Egger regression (WLS of Γ̂j on γ̂j) relaxes this to the InSIDE assumption (instrument strength independent of direct/pleiotropic effect); its intercept is a diagnostic for average pleiotropic bias.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MR rests on strong, partly untestable conceptual (ill-defined composite treatments), biological (pleiotropy, hidden gene–confounder links), and statistical (linearity, independence of summary stats) assumptions — always pair point estimates with a critical discussion of these.</w:t>
      </w:r>
    </w:p>
    <w:p>
      <w:pPr>
        <w:pStyle w:val="Heading1"/>
        <w:spacing w:after="150" w:before="300"/>
      </w:pPr>
      <w:r>
        <w:t xml:space="preserve">Part III — Quick Reference: Which Theorem / Estimator Do I Need?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860"/>
      </w:tblGrid>
      <w:tr>
        <w:tc>
          <w:tcPr>
            <w:tcW w:type="dxa" w:w="3200"/>
            <w:shd w:fill="2E4B6B" w:val="clear"/>
          </w:tcPr>
          <w:p>
            <w:r>
              <w:rPr>
                <w:b/>
                <w:bCs/>
                <w:color w:val="FFFFFF"/>
              </w:rPr>
              <w:t xml:space="preserve">Design</w:t>
            </w:r>
          </w:p>
        </w:tc>
        <w:tc>
          <w:tcPr>
            <w:tcW w:type="dxa" w:w="3600"/>
            <w:shd w:fill="2E4B6B" w:val="clear"/>
          </w:tcPr>
          <w:p>
            <w:r>
              <w:rPr>
                <w:b/>
                <w:bCs/>
                <w:color w:val="FFFFFF"/>
              </w:rPr>
              <w:t xml:space="preserve">Key result</w:t>
            </w:r>
          </w:p>
        </w:tc>
        <w:tc>
          <w:tcPr>
            <w:tcW w:type="dxa" w:w="2860"/>
            <w:shd w:fill="2E4B6B" w:val="clear"/>
          </w:tcPr>
          <w:p>
            <w:r>
              <w:rPr>
                <w:b/>
                <w:bCs/>
                <w:color w:val="FFFFFF"/>
              </w:rPr>
              <w:t xml:space="preserve">Estimator</w:t>
            </w:r>
          </w:p>
        </w:tc>
      </w:tr>
      <w:tr>
        <w:tc>
          <w:tcPr>
            <w:tcW w:type="dxa" w:w="3200"/>
          </w:tcPr>
          <w:p>
            <w:r>
              <w:t xml:space="preserve">Encouragement design, binary Z &amp; D, individual data</w:t>
            </w:r>
          </w:p>
        </w:tc>
        <w:tc>
          <w:tcPr>
            <w:tcW w:type="dxa" w:w="3600"/>
          </w:tcPr>
          <w:p>
            <w:r>
              <w:t xml:space="preserve">Theorem 21.1 / Corollary 21.1 (CACE = τY/τD)</w:t>
            </w:r>
          </w:p>
        </w:tc>
        <w:tc>
          <w:tcPr>
            <w:tcW w:type="dxa" w:w="2860"/>
          </w:tcPr>
          <w:p>
            <w:r>
              <w:t xml:space="preserve">Wald estimator + delta-method or bootstrap SE</w:t>
            </w:r>
          </w:p>
        </w:tc>
      </w:tr>
      <w:tr>
        <w:tc>
          <w:tcPr>
            <w:tcW w:type="dxa" w:w="3200"/>
          </w:tcPr>
          <w:p>
            <w:r>
              <w:t xml:space="preserve">Encouragement design + covariates</w:t>
            </w:r>
          </w:p>
        </w:tc>
        <w:tc>
          <w:tcPr>
            <w:tcW w:type="dxa" w:w="3600"/>
          </w:tcPr>
          <w:p>
            <w:r>
              <w:t xml:space="preserve">Lin (2013)-adjusted τY,L, τD,L</w:t>
            </w:r>
          </w:p>
        </w:tc>
        <w:tc>
          <w:tcPr>
            <w:tcW w:type="dxa" w:w="2860"/>
          </w:tcPr>
          <w:p>
            <w:r>
              <w:t xml:space="preserve">τ̂c,L = τ̂Y,L/τ̂D,L + bootstrap SE</w:t>
            </w:r>
          </w:p>
        </w:tc>
      </w:tr>
      <w:tr>
        <w:tc>
          <w:tcPr>
            <w:tcW w:type="dxa" w:w="3200"/>
          </w:tcPr>
          <w:p>
            <w:r>
              <w:t xml:space="preserve">Weak instrument (τD near 0)</w:t>
            </w:r>
          </w:p>
        </w:tc>
        <w:tc>
          <w:tcPr>
            <w:tcW w:type="dxa" w:w="3600"/>
          </w:tcPr>
          <w:p>
            <w:r>
              <w:t xml:space="preserve">Fieller–Creasy / Anderson–Rubin duality</w:t>
            </w:r>
          </w:p>
        </w:tc>
        <w:tc>
          <w:tcPr>
            <w:tcW w:type="dxa" w:w="2860"/>
          </w:tcPr>
          <w:p>
            <w:r>
              <w:t xml:space="preserve">Fieller–Anderson–Rubin (FAR) confidence set</w:t>
            </w:r>
          </w:p>
        </w:tc>
      </w:tr>
      <w:tr>
        <w:tc>
          <w:tcPr>
            <w:tcW w:type="dxa" w:w="3200"/>
          </w:tcPr>
          <w:p>
            <w:r>
              <w:t xml:space="preserve">Binary Y, D — testing assumptions</w:t>
            </w:r>
          </w:p>
        </w:tc>
        <w:tc>
          <w:tcPr>
            <w:tcW w:type="dxa" w:w="3600"/>
          </w:tcPr>
          <w:p>
            <w:r>
              <w:t xml:space="preserve">Theorem 22.1 / 22.2</w:t>
            </w:r>
          </w:p>
        </w:tc>
        <w:tc>
          <w:tcPr>
            <w:tcW w:type="dxa" w:w="2860"/>
          </w:tcPr>
          <w:p>
            <w:r>
              <w:t xml:space="preserve">IVbinary()-style mixture decomposition + IV inequalities</w:t>
            </w:r>
          </w:p>
        </w:tc>
      </w:tr>
      <w:tr>
        <w:tc>
          <w:tcPr>
            <w:tcW w:type="dxa" w:w="3200"/>
          </w:tcPr>
          <w:p>
            <w:r>
              <w:t xml:space="preserve">General linear model, endogenous D</w:t>
            </w:r>
          </w:p>
        </w:tc>
        <w:tc>
          <w:tcPr>
            <w:tcW w:type="dxa" w:w="3600"/>
          </w:tcPr>
          <w:p>
            <w:r>
              <w:t xml:space="preserve">Definition 23.2–23.3</w:t>
            </w:r>
          </w:p>
        </w:tc>
        <w:tc>
          <w:tcPr>
            <w:tcW w:type="dxa" w:w="2860"/>
          </w:tcPr>
          <w:p>
            <w:r>
              <w:t xml:space="preserve">TSLS / ILS / control function (numerically identical)</w:t>
            </w:r>
          </w:p>
        </w:tc>
      </w:tr>
      <w:tr>
        <w:tc>
          <w:tcPr>
            <w:tcW w:type="dxa" w:w="3200"/>
          </w:tcPr>
          <w:p>
            <w:r>
              <w:t xml:space="preserve">Running variable with fuzzy treatment jump</w:t>
            </w:r>
          </w:p>
        </w:tc>
        <w:tc>
          <w:tcPr>
            <w:tcW w:type="dxa" w:w="3600"/>
          </w:tcPr>
          <w:p>
            <w:r>
              <w:t xml:space="preserve">Theorem 24.1 (RD × IV superposition)</w:t>
            </w:r>
          </w:p>
        </w:tc>
        <w:tc>
          <w:tcPr>
            <w:tcW w:type="dxa" w:w="2860"/>
          </w:tcPr>
          <w:p>
            <w:r>
              <w:t xml:space="preserve">Local-linear TSLS in bandwidth h + sensitivity curve</w:t>
            </w:r>
          </w:p>
        </w:tc>
      </w:tr>
      <w:tr>
        <w:tc>
          <w:tcPr>
            <w:tcW w:type="dxa" w:w="3200"/>
          </w:tcPr>
          <w:p>
            <w:r>
              <w:t xml:space="preserve">Only GWAS summary statistics</w:t>
            </w:r>
          </w:p>
        </w:tc>
        <w:tc>
          <w:tcPr>
            <w:tcW w:type="dxa" w:w="3600"/>
          </w:tcPr>
          <w:p>
            <w:r>
              <w:t xml:space="preserve">Assumption 25.1</w:t>
            </w:r>
          </w:p>
        </w:tc>
        <w:tc>
          <w:tcPr>
            <w:tcW w:type="dxa" w:w="2860"/>
          </w:tcPr>
          <w:p>
            <w:r>
              <w:t xml:space="preserve">Fisher weighting (fixed effect) or Egger regression</w:t>
            </w:r>
          </w:p>
        </w:tc>
      </w:tr>
    </w:tbl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2026-08-19T10:40:50.794Z</dcterms:created>
  <dcterms:modified xsi:type="dcterms:W3CDTF">2026-08-19T10:40:50.807Z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