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Instrumental Variable Methods</w:t>
      </w:r>
    </w:p>
    <w:p>
      <w:pPr>
        <w:spacing w:after="60"/>
      </w:pPr>
      <w:r>
        <w:rPr>
          <w:color w:val="2E5A88"/>
          <w:sz w:val="32"/>
          <w:szCs w:val="32"/>
        </w:rPr>
        <w:t xml:space="preserve">Homework Solutions &amp; Explanations (Chapters 21–25)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Theory problems (proofs, derivations) receive complete solutions. Data-analysis problems that require the original external datasets (not included in this excerpt) receive a fully worked analytical method plus, where a data table is given in the chapter, a numeric worked example — pair these with §9 of the companion Jupyter template.</w:t>
      </w:r>
    </w:p>
    <w:p>
      <w:pPr>
        <w:pStyle w:val="Heading1"/>
        <w:spacing w:after="150" w:before="320"/>
      </w:pPr>
      <w:r>
        <w:t xml:space="preserve">Chapter 21 — An Experimental Perspective of the Instrumental Variable</w:t>
      </w:r>
    </w:p>
    <w:p>
      <w:pPr>
        <w:spacing w:after="80" w:before="160"/>
      </w:pPr>
      <w:r>
        <w:rPr>
          <w:b/>
          <w:bCs/>
          <w:i/>
          <w:iCs/>
        </w:rPr>
        <w:t xml:space="preserve">21.1  Variance of the Wald estimator</w:t>
      </w:r>
    </w:p>
    <w:p>
      <w:pPr>
        <w:spacing w:after="100"/>
      </w:pPr>
      <w:r>
        <w:rPr>
          <w:i/>
          <w:iCs/>
          <w:color w:val="444444"/>
        </w:rPr>
        <w:t xml:space="preserve">Show that var(τ̂c) = ∞.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Because D is binary, D̄|Z=1 and D̄|Z=0 are each rescaled Binomial variables, so their difference τ̂D = D̄|Z=1 − D̄|Z=0 has a discrete distribution taking finitely many rational values in [−1,1], including the value 0 with strictly positive probability whenever n1 and n0 are finite (e.g. whenever the observed proportions of D=1 happen to coincide across arms).</w:t>
      </w:r>
    </w:p>
    <w:p>
      <w:pPr>
        <w:spacing w:after="100"/>
      </w:pPr>
      <w:r>
        <w:t xml:space="preserve">On the event {τ̂D = 0}, the Wald estimator τ̂c = τ̂Y/τ̂D is undefined (or, by convention, ±∞ when τ̂Y ≠ 0, which itself occurs with positive probability). Hence the distribution of τ̂c has positive mass at infinite/undefined values, so E(τ̂c²) = ∞ and therefore var(τ̂c) = ∞ in finite samples for every n.</w:t>
      </w:r>
    </w:p>
    <w:p>
      <w:pPr>
        <w:spacing w:after="100"/>
      </w:pPr>
      <w:r>
        <w:t xml:space="preserve">This is precisely why Section 21.4 replaces the naive Wald-based variance with (i) the delta-method approximation to the asymptotic distribution (which is finite because it conditions on the event τD ≠ 0 in the limit) and (ii) the Fieller–Anderson–Rubin confidence set, which remains well-behaved even when τ̂D is exactly zero or close to it.</w:t>
      </w:r>
    </w:p>
    <w:p>
      <w:pPr>
        <w:spacing w:after="80" w:before="160"/>
      </w:pPr>
      <w:r>
        <w:rPr>
          <w:b/>
          <w:bCs/>
          <w:i/>
          <w:iCs/>
        </w:rPr>
        <w:t xml:space="preserve">21.2  Asymptotic variance of the Wald estimator and its estimation</w:t>
      </w:r>
    </w:p>
    <w:p>
      <w:pPr>
        <w:spacing w:after="100"/>
      </w:pPr>
      <w:r>
        <w:rPr>
          <w:i/>
          <w:iCs/>
          <w:color w:val="444444"/>
        </w:rPr>
        <w:t xml:space="preserve">Show √n(τ̂c − τc) → N(0, V) and that V̂Â/V → 1 in probability.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Write g(a,b) = a/b for a = τY, b = τD. By the multivariate CLT, √n(τ̂Y − τY, τ̂D − τD) → N(0, Σ) jointly, where Σ is the (finite-population/Neyman-type) asymptotic covariance matrix of the two difference-in-means statistics.</w:t>
      </w:r>
    </w:p>
    <w:p>
      <w:pPr>
        <w:spacing w:after="100"/>
      </w:pPr>
      <w:r>
        <w:t xml:space="preserve">The delta method gives √n(τ̂c − τc) = √n·g(τ̂Y,τ̂D) − g(τY,τD) → N(0, ∇g(τY,τD)ᵀ Σ ∇g(τY,τD)) = N(0, V), where the gradient is ∇g = (1/τD, −τY/τD²)ᵀ. Expanding, V = Var(τ̂Y)/τD² − 2(τY/τD³)Cov(τ̂Y,τ̂D) + (τY²/τD⁴)Var(τ̂D).</w:t>
      </w:r>
    </w:p>
    <w:p>
      <w:pPr>
        <w:spacing w:after="100"/>
      </w:pPr>
      <w:r>
        <w:t xml:space="preserve">This exactly matches Var(τ̂A)/τD² where A = Y − τc·D, since τ̂A = τ̂Y − τc τ̂D expands to the same quadratic form (Var(τ̂Y) − 2τc Cov(τ̂Y,τ̂D) + τc² Var(τ̂D), and τc = τY/τD). So V = Var(τ̂A)/τD².</w:t>
      </w:r>
    </w:p>
    <w:p>
      <w:pPr>
        <w:spacing w:after="100"/>
      </w:pPr>
      <w:r>
        <w:t xml:space="preserve">Consistency of the plug-in variance estimator: because τ̂c → τc and τ̂D → τD in probability (both are consistent difference-in-means-type estimators under i.i.d. sampling), the estimated adjusted outcome Âi = Yi − τ̂cDi converges to Ai = Yi − τcDi pointwise, so the sample (Neyman-type) variance V̂Â is a consistent estimator of Var(Â) = Var(A) by the continuous mapping theorem / law of large numbers applied to sample variances. Dividing by τ̂D² (which → τD²) gives V̂Â/τ̂D² → V, i.e. V̂Â/V → 1 in probability. This justifies using V̂Â/τ̂D² as the delta-method variance estimator implemented in IV_Wald_delta().</w:t>
      </w:r>
    </w:p>
    <w:p>
      <w:pPr>
        <w:spacing w:after="80" w:before="160"/>
      </w:pPr>
      <w:r>
        <w:rPr>
          <w:b/>
          <w:bCs/>
          <w:i/>
          <w:iCs/>
        </w:rPr>
        <w:t xml:space="preserve">21.3  Proof of Theorem 21.2 (Imbens–Angrist / Angrist et al. 1996)</w:t>
      </w:r>
    </w:p>
    <w:p>
      <w:pPr>
        <w:spacing w:after="100"/>
      </w:pPr>
      <w:r>
        <w:rPr>
          <w:i/>
          <w:iCs/>
          <w:color w:val="444444"/>
        </w:rPr>
        <w:t xml:space="preserve">Show Y(D(1))−Y(D(0)) = {D(1)−D(0)}×{Y(d=1)−Y(d=0)} and τc = τY/τD.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Under monotonicity (Assumption 21.2), D(1) ≥ D(0), so D(1)−D(0) ∈ {0, 1}. There are two cases for each unit: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Non-complier (always- or never-taker): D(1) = D(0) = d for some fixed d ∈ {0,1}. Then Y(D(1)) − Y(D(0)) = Y(d) − Y(d) = 0, and the right-hand side is {0}×{Y(1)−Y(0)} = 0. The identity 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Complier: D(1)=1, D(0)=0. Then Y(D(1))−Y(D(0)) = Y(1)−Y(0), and the right-hand side is {1−0}×{Y(1)−Y(0)} = Y(1)−Y(0). The identity holds.</w:t>
      </w:r>
    </w:p>
    <w:p>
      <w:pPr>
        <w:spacing w:after="100"/>
      </w:pPr>
      <w:r>
        <w:t xml:space="preserve">Since these are the only two possible cases under monotonicity, the identity Y(D(1))−Y(D(0)) = {D(1)−D(0)}·{Y(d=1)−Y(d=0)} holds for every unit, hence in expectation.</w:t>
      </w:r>
    </w:p>
    <w:p>
      <w:pPr>
        <w:spacing w:after="100"/>
      </w:pPr>
      <w:r>
        <w:t xml:space="preserve">Taking expectations: τY = E{Y(D(1))−Y(D(0))} = E[{D(1)−D(0)}·{Y(1)−Y(0)}]. Because D(1)−D(0) = 1 exactly for compliers and 0 otherwise, this equals pr(U=c)·E{Y(1)−Y(0) | U=c} = πc·τc.</w:t>
      </w:r>
    </w:p>
    <w:p>
      <w:pPr>
        <w:spacing w:after="100"/>
      </w:pPr>
      <w:r>
        <w:t xml:space="preserve">Also τD = E{D(1)−D(0)} = 1·pr(U=c) + 0·(pr(U=a)+pr(U=n)) = πc. Combining, τY = τD·τc, i.e. τc = τY/τD, as required. ∎</w:t>
      </w:r>
    </w:p>
    <w:p>
      <w:pPr>
        <w:spacing w:after="80" w:before="160"/>
      </w:pPr>
      <w:r>
        <w:rPr>
          <w:b/>
          <w:bCs/>
          <w:i/>
          <w:iCs/>
        </w:rPr>
        <w:t xml:space="preserve">21.4  More on the FAR confidence set</w:t>
      </w:r>
    </w:p>
    <w:p>
      <w:pPr>
        <w:spacing w:after="100"/>
      </w:pPr>
      <w:r>
        <w:rPr>
          <w:i/>
          <w:iCs/>
          <w:color w:val="444444"/>
        </w:rPr>
        <w:t xml:space="preserve">Characterize when the confidence set is a closed interval, two disconnected intervals, an empty set, or the whole real line.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The FAR condition in Example 21.1 is a quadratic inequality in b: A·b² + B·b + C ≤ 0, where (writing V1=n1⁻¹Ŝ²D(1)+n0⁻¹Ŝ²D(0), Cov12=n1⁻¹ŜYD(1)+n0⁻¹ŜYD(0), V2=n1⁻¹Ŝ²Y(1)+n0⁻¹Ŝ²Y(0)):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= τ̂D² − z²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= −2τ̂Yτ̂D + 2z² Cov12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= τ̂Y² − z² V2</w:t>
      </w:r>
    </w:p>
    <w:p>
      <w:pPr>
        <w:spacing w:after="100"/>
      </w:pPr>
      <w:r>
        <w:t xml:space="preserve">Let Δ = B² − 4AC be the discriminant. This is the classical Fieller problem, and the shape of {b : Ab²+Bb+C ≤ 0} depends on the sign of A (equivalently, on whether τ̂D is 'significantly' different from 0 relative to z√V1) and on the sign of Δ: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&gt; 0 and Δ ≥ 0 (instrument statistically significant; upward parabola with real roots): the solution set is the closed, bounded interval [b₋, b₊] between the two roots — the usual, well-behaved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&gt; 0 and Δ &lt; 0 (upward parabola, always positive): no b satisfies the inequality — the confidence set is EMPTY. This is a rare edge case reflecting an internally inconsistent combination of point estimates and variances at the chosen confidence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&lt; 0 and Δ ≥ 0 (weak instrument; downward parabola with real roots): the inequality holds outside the roots, giving the complement of a bounded interval — TWO DISCONNECTED, unbounded intervals (rays to −∞ and +∞). This is the classic weak-IV symptom seen in Figure 21.2's πc=0.2, 0.1 panels.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&lt; 0 and Δ &lt; 0 (downward parabola, never positive): the inequality holds for every b — the confidence set is the WHOLE REAL LINE, reflecting that the data cannot rule out any value of τc at this confidence level (extremely weak instrument).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= 0 (boundary case, z²V1 = τ̂D² exactly): the inequality degenerates to linear in b; if B ≠ 0 the solution is a one-sided unbounded ray (half-line).</w:t>
      </w:r>
    </w:p>
    <w:p>
      <w:pPr>
        <w:spacing w:after="80" w:before="160"/>
      </w:pPr>
      <w:r>
        <w:rPr>
          <w:b/>
          <w:bCs/>
          <w:i/>
          <w:iCs/>
        </w:rPr>
        <w:t xml:space="preserve">21.5  More simulation for the FAR confidence set</w:t>
      </w:r>
    </w:p>
    <w:p>
      <w:pPr>
        <w:spacing w:after="100"/>
      </w:pPr>
      <w:r>
        <w:rPr>
          <w:i/>
          <w:iCs/>
          <w:color w:val="444444"/>
        </w:rPr>
        <w:t xml:space="preserve">Conduct parallel simulation for the FAR confidence sets adjusting for covariates in the CRE.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This is a simulation exercise; run the following recipe (implemented as far_confidence_set()-with-covariates in the reusable template, analogous to FARciX in the chapter's R code):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 data as in Section 1 of the companion notebook (simulate_encouragement_data), varying πc ∈ {0.5, 0.2, 0.1} to produce strong- and weak-IV regimes.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grid of candidate values b, regress the adjusted outcome Yi − b·Di on (1, Zi, Xi, Zi·Xi) (Lin's covariate-adjusted specification) and record the t-statistic on Zi with an EHW/robust 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each t-statistic to a two-sided p-value; the FAR confidence set is {b : p-value(b) ≥ α}.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over many simulation draws and plot the p-value-vs-b curves (as in Figure 21.2) to see that, with covariate adjustment, the curves are typically narrower (higher precision) than the unadjusted case for the same πc, but the qualitative weak-IV pathologies (disconnected or unbounded sets) persist when πc is small.</w:t>
      </w:r>
    </w:p>
    <w:p>
      <w:pPr>
        <w:spacing w:after="100"/>
      </w:pPr>
      <w:r>
        <w:t xml:space="preserve">Expected finding: covariate adjustment shifts the bias–variance trade-off favorably (as in Figure 21.1 panel (b) vs (a)) but does not eliminate the fundamental non-Normality induced by a weak first stage — the FAR/Anderson–Rubin-style inversion remains the safer inferential tool.</w:t>
      </w:r>
    </w:p>
    <w:p>
      <w:pPr>
        <w:spacing w:after="80" w:before="160"/>
      </w:pPr>
      <w:r>
        <w:rPr>
          <w:b/>
          <w:bCs/>
          <w:i/>
          <w:iCs/>
        </w:rPr>
        <w:t xml:space="preserve">21.6  Binary IV and ordinal treatment received</w:t>
      </w:r>
    </w:p>
    <w:p>
      <w:pPr>
        <w:spacing w:after="100"/>
      </w:pPr>
      <w:r>
        <w:rPr>
          <w:i/>
          <w:iCs/>
          <w:color w:val="444444"/>
        </w:rPr>
        <w:t xml:space="preserve">Prove Theorem 21.3 (Angrist and Imbens, 1995) using the summation-by-parts hint.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Since D(z) takes integer values in {0,…,J}, the identity D(z) = Σⱼ₌₁ᴶ 1{D(z) ≥ j} holds pointwise (it simply counts, for each threshold j, whether D(z) has reached at least j). Hence:</w:t>
      </w:r>
    </w:p>
    <w:p>
      <w:pPr>
        <w:spacing w:after="100"/>
      </w:pPr>
      <w:r>
        <w:t xml:space="preserve">D(1) − D(0) = Σⱼ₌₁ᴶ [1{D(1)≥j} − 1{D(0)≥j}] = Σⱼ₌₁ᴶ Sⱼ,  where Sⱼ = 1{D(1)≥j} − 1{D(0)≥j}.</w:t>
      </w:r>
    </w:p>
    <w:p>
      <w:pPr>
        <w:spacing w:after="100"/>
      </w:pPr>
      <w:r>
        <w:t xml:space="preserve">Under monotonicity D(1) ≥ D(0), if D(0) ≥ j then D(1) ≥ D(0) ≥ j, so 1{D(1)≥j} ≥ 1{D(0)≥j} always — hence Sⱼ ∈ {0,1}, and Sⱼ = 1 exactly when D(0) &lt; j ≤ D(1).</w:t>
      </w:r>
    </w:p>
    <w:p>
      <w:pPr>
        <w:spacing w:after="100"/>
      </w:pPr>
      <w:r>
        <w:t xml:space="preserve">Similarly, for the outcome, telescoping the potential outcome Y(d) as d ranges from D(0) to D(1) gives the discrete fundamental-theorem-of-calculus identity (equivalent to applying Abel's summation-by-parts lemma with fⱼ = Y(j) and gⱼ = 1{D(1)≥j}−1{D(0)≥j}):</w:t>
      </w:r>
    </w:p>
    <w:p>
      <w:pPr>
        <w:spacing w:after="100"/>
      </w:pPr>
      <w:r>
        <w:t xml:space="preserve">Y(D(1)) − Y(D(0)) = Σⱼ₌₁ᴶ [Y(j) − Y(j−1)] · Sⱼ.</w:t>
      </w:r>
    </w:p>
    <w:p>
      <w:pPr>
        <w:spacing w:after="100"/>
      </w:pPr>
      <w:r>
        <w:t xml:space="preserve">Taking expectations of both identities and using that Sⱼ is a function only of (D(1),D(0)) (unaffected by z, since exclusion restriction makes Y(z,d)=Y(d)):</w:t>
      </w:r>
    </w:p>
    <w:p>
      <w:pPr>
        <w:spacing w:after="100"/>
      </w:pPr>
      <w:r>
        <w:t xml:space="preserve">τY = E{Y(D(1))−Y(D(0))} = Σⱼ pr(Sⱼ=1)·E{Y(j)−Y(j−1) | Sⱼ=1},   τD = E{D(1)−D(0)} = Σⱼ pr(Sⱼ=1).</w:t>
      </w:r>
    </w:p>
    <w:p>
      <w:pPr>
        <w:spacing w:after="100"/>
      </w:pPr>
      <w:r>
        <w:t xml:space="preserve">Dividing, τY/τD = Σⱼ [pr(Sⱼ=1)/Σⱼ' pr(Sⱼ'=1)]·E{Y(j)−Y(j−1) | D(1)≥j&gt;D(0)} = Σⱼ wⱼ·E{Y(j)−Y(j−1) | D(1)≥j&gt;D(0)}, with wⱼ = pr{D(1)≥j&gt;D(0)}/Σⱼ' pr{D(1)≥j'&gt;D(0)}, which is exactly Theorem 21.3. When J=1 there is a single term j=1 and this collapses to Theorem 21.2. ∎</w:t>
      </w:r>
    </w:p>
    <w:p>
      <w:pPr>
        <w:spacing w:after="80" w:before="160"/>
      </w:pPr>
      <w:r>
        <w:rPr>
          <w:b/>
          <w:bCs/>
          <w:i/>
          <w:iCs/>
        </w:rPr>
        <w:t xml:space="preserve">21.7  Data analysis: flu shot encouragement design (McDonald et al., 1992)</w:t>
      </w:r>
    </w:p>
    <w:p>
      <w:pPr>
        <w:spacing w:after="100"/>
      </w:pPr>
      <w:r>
        <w:rPr>
          <w:i/>
          <w:iCs/>
          <w:color w:val="444444"/>
        </w:rPr>
        <w:t xml:space="preserve">Analyze fludata.txt with and without adjusting for covariates.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Method (fludata.txt is not included in this excerpt; apply this recipe once loaded):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one-sided noncompliance (assign=0 ⇒ receive=0 is not stated explicitly, but if it holds, use the simplified one-sided formulas of Problem 21.10/22.10; otherwise use the general two-sided formulas).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Without covariates: CACE = IV_Wald_delta(assign, receive, outcome) — report point estimate + delta-method and bootstrap SEs (notebook §2).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covariates (age, sex, race, copd, dm, heartd, renal, liverd): CACE = IV_Lin_bootstrap(assign, receive, outcome, X) (notebook §3); compare precision (SE) to the unadjusted estimate — covariate adjustment should not change the point estimate much (both are consistent) but typically shrinks the 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the outcome is a rare binary event (hospitalization), also run the IV-inequality check (notebook §5, iv_inequalities()) on the 8 cross-tabulated cell counts as a specification check.</w:t>
      </w:r>
    </w:p>
    <w:p>
      <w:pPr>
        <w:spacing w:after="80" w:before="160"/>
      </w:pPr>
      <w:r>
        <w:rPr>
          <w:b/>
          <w:bCs/>
          <w:i/>
          <w:iCs/>
        </w:rPr>
        <w:t xml:space="preserve">21.8  IV estimation conditional on covariates</w:t>
      </w:r>
    </w:p>
    <w:p>
      <w:pPr>
        <w:spacing w:after="100"/>
      </w:pPr>
      <w:r>
        <w:rPr>
          <w:i/>
          <w:iCs/>
          <w:color w:val="444444"/>
        </w:rPr>
        <w:t xml:space="preserve">Implement the estimators and variance estimators of Section 21.3.2 (conditional randomization / unconfounded observational studies) in code.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Under Z ⟂ {D(1),D(0),Y(1),Y(0)} | X (conditional randomization) rather than full randomization, τD and τY must each be estimated with a covariate-adjusted method from the earlier chapters on unconfounded observational studies (e.g. regression imputation, inverse-probability weighting, or an augmented/doubly-robust estimator), and then combined by the ratio τ̂c = τ̂Y/τ̂D exactly as in Theorem 21.1's identity — the identification argument is unchanged, only the estimators of τD and τY are swapped for their conditional-on-X analogues.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 sketch (Python): (1) fit any Part-III-style estimator τ̂D(X̂) for the effect of Z on D given X, and τ̂Y(X̂) for the effect of Z on Y given X; (2) form τ̂c = τ̂Y/τ�ÂD; (3) obtain the SE via the nonparametric bootstrap — resample rows of (Z,D,Y,X) jointly with replacement, recompute both conditional estimators and the ratio on each replicate, and take the empirical SD of the bootstrap ratios.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general recipe is exactly what iv_lin_bootstrap() in the companion notebook does for the special case where the conditional estimator is Lin's covariate-interacted OLS; substitute any other Part III estimator (matching, weighting, AIPW) in the same wrapper for a fully general conditional-IV estimator.</w:t>
      </w:r>
    </w:p>
    <w:p>
      <w:pPr>
        <w:spacing w:after="80" w:before="160"/>
      </w:pPr>
      <w:r>
        <w:rPr>
          <w:b/>
          <w:bCs/>
          <w:i/>
          <w:iCs/>
        </w:rPr>
        <w:t xml:space="preserve">21.9  Data analysis: the Karolinska data (Rubin, 2008)</w:t>
      </w:r>
    </w:p>
    <w:p>
      <w:pPr>
        <w:spacing w:after="100"/>
      </w:pPr>
      <w:r>
        <w:rPr>
          <w:i/>
          <w:iCs/>
          <w:color w:val="444444"/>
        </w:rPr>
        <w:t xml:space="preserve">Re-analyze assuming the IV (hospital type at diagnosis) is randomly assigned conditional on observed covariates.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Method: treat 'diagnosed at a large-volume hospital' as Z, 'treated at a large-volume hospital' as D, and the clinical outcome as Y. Because assignment to a large- vs small-volume hospital at diagnosis is plausibly as-good-as-random only after conditioning on patient/geographic covariates X (not marginally), use the conditional-randomization estimator of Problem 21.8 (i.e. iv_lin_bootstrap(Z, D, Y, X) from the notebook), rather than the unconditional Wald estimator of Section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the unadjusted Wald estimate alongside the covariate-adjusted estimate as a robustness check — a large discrepancy would suggest the conditional-ignorability assumption for Z is important (i.e. that the raw Z–X relationship is far from random).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Also report the corresponding FAR-type confidence interval (Problem 21.5's covariate-adjusted FAR construction) if the instrument (hospital-size assignment) turns out to be only moderately predictive of actual treatment received.</w:t>
      </w:r>
    </w:p>
    <w:p>
      <w:pPr>
        <w:spacing w:after="80" w:before="160"/>
      </w:pPr>
      <w:r>
        <w:rPr>
          <w:b/>
          <w:bCs/>
          <w:i/>
          <w:iCs/>
        </w:rPr>
        <w:t xml:space="preserve">21.10  Data analysis: a job training program</w:t>
      </w:r>
    </w:p>
    <w:p>
      <w:pPr>
        <w:spacing w:after="100"/>
      </w:pPr>
      <w:r>
        <w:rPr>
          <w:i/>
          <w:iCs/>
          <w:color w:val="444444"/>
        </w:rPr>
        <w:t xml:space="preserve">Conduct analyses with and without covariates, addressing missing outcomes, structural zero wages, and repeated measures.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Method: treat X.csv as pre-treatment covariates (optionally including the sampling weight wgt as a covariate), and Y.csv as containing (Z = treatment assigned, D = treatment received, and post-treatment outcomes).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Missingness: restrict to units with observed outcomes and treat missingness as a limitation (or apply a Part-III missing-data-adjusted estimator if the missingness mechanism is plausibly ignorable given X); report the fraction missing by treatment arm as a diagnostic (differential attrition threatens both the ITT and the CACE).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wages for the unemployed: define the outcome carefully — e.g. use a two-part model (employment indicator + conditional wage) or an intent-to-treat-style outcome such as total earnings (which is naturally zero for the unemployed) rather than a wage rate conditional on employment, to avoid selection bias from conditioning on an outcome (employment) that is itself affected by treatment.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Repeated measures: analyze each follow-up wave separately (a sequence of CACEs over time) rather than pooling, to see whether the effect decays, persists, or grows; use IV_Wald_delta or IV_Lin_bootstrap at each wave.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with and without covariates and compare precision, as in Problems 21.7/21.9 above.</w:t>
      </w:r>
    </w:p>
    <w:p>
      <w:pPr>
        <w:spacing w:after="80" w:before="160"/>
      </w:pPr>
      <w:r>
        <w:rPr>
          <w:b/>
          <w:bCs/>
          <w:i/>
          <w:iCs/>
        </w:rPr>
        <w:t xml:space="preserve">21.11  Recommended reading</w:t>
      </w:r>
    </w:p>
    <w:p>
      <w:pPr>
        <w:spacing w:after="100"/>
      </w:pPr>
      <w:r>
        <w:rPr>
          <w:i/>
          <w:iCs/>
          <w:color w:val="444444"/>
        </w:rPr>
        <w:t xml:space="preserve">No exercise — a reading pointer to Angrist et al. (1996) and related early IV references.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No computational or mathematical solution required.</w:t>
      </w:r>
    </w:p>
    <w:p>
      <w:pPr>
        <w:pStyle w:val="Heading1"/>
        <w:spacing w:after="150" w:before="320"/>
      </w:pPr>
      <w:r>
        <w:t xml:space="preserve">Chapter 22 — Disentangle Mixture Distributions and Instrumental Variable Inequalities</w:t>
      </w:r>
    </w:p>
    <w:p>
      <w:pPr>
        <w:spacing w:after="80" w:before="160"/>
      </w:pPr>
      <w:r>
        <w:rPr>
          <w:b/>
          <w:bCs/>
          <w:i/>
          <w:iCs/>
        </w:rPr>
        <w:t xml:space="preserve">22.1  More detailed data analysis</w:t>
      </w:r>
    </w:p>
    <w:p>
      <w:pPr>
        <w:spacing w:after="100"/>
      </w:pPr>
      <w:r>
        <w:rPr>
          <w:i/>
          <w:iCs/>
          <w:color w:val="444444"/>
        </w:rPr>
        <w:t xml:space="preserve">Calculate confidence intervals for the estimates in Examples 22.1 and 22.2.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Because IVbinary()/iv_binary() is a smooth (differentiable) function of the eight observed cell proportions, and the cell counts follow a multinomial distribution (separately within the Z=1 and Z=0 arms), a nonparametric bootstrap is the simplest general solution: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Resample the n_tr treated-arm rows (with replacement) and the n_co control-arm rows (with replacement) independently, recompute the 8 cell counts, and re-apply iv_binary() to get bootstrap replicates of πc, πn, πa, µc1, µc0, µn, µa, and τc.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the 2.5th/97.5th empirical percentiles of each bootstrap distribution (or ± 1.96·SD for a Normal-approximation CI).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Alternatively, derive closed-form delta-method SEs: each identified quantity is a ratio/combination of independent Binomial proportions, so the multivariate delta method applied to the mixture formulas of Theorem 22.1 gives an analytic (if algebraically tedious) SE — the bootstrap is the practical choice.</w:t>
      </w:r>
    </w:p>
    <w:p>
      <w:pPr>
        <w:spacing w:after="80" w:before="160"/>
      </w:pPr>
      <w:r>
        <w:rPr>
          <w:b/>
          <w:bCs/>
          <w:i/>
          <w:iCs/>
        </w:rPr>
        <w:t xml:space="preserve">22.2  Risk ratio for compliers</w:t>
      </w:r>
    </w:p>
    <w:p>
      <w:pPr>
        <w:spacing w:after="100"/>
      </w:pPr>
      <w:r>
        <w:rPr>
          <w:i/>
          <w:iCs/>
          <w:color w:val="444444"/>
        </w:rPr>
        <w:t xml:space="preserve">Show rrc = {E(DY|Z=1)−E(DY|Z=0)} / {E{(D−1)Y|Z=1}−E{(D−1)Y|Z=0}}.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From Theorem 22.1, µ1c = πc⁻¹{E(DY|Z=1) − E(DY|Z=0)}, so pr{Y(1)=1|U=c} = µ1c has the stated numerator (up to the πc⁻¹ factor).</w:t>
      </w:r>
    </w:p>
    <w:p>
      <w:pPr>
        <w:spacing w:after="100"/>
      </w:pPr>
      <w:r>
        <w:t xml:space="preserve">For the denominator, note (D−1)Y = DY − Y, so E{(D−1)Y|Z=1} − E{(D−1)Y|Z=0} = [E(DY|Z=1)−E(Y|Z=1)] − [E(DY|Z=0)−E(Y|Z=0)] = [E(DY|Z=1)−E(DY|Z=0)] − [E(Y|Z=1)−E(Y|Z=0)].</w:t>
      </w:r>
    </w:p>
    <w:p>
      <w:pPr>
        <w:spacing w:after="100"/>
      </w:pPr>
      <w:r>
        <w:t xml:space="preserve">Separately, (1−D)Y = Y−DY, so E{(1−D)Y|Z=0} − E{(1−D)Y|Z=1} = [E(Y|Z=0)−E(DY|Z=0)] − [E(Y|Z=1)−E(DY|Z=1)] = [E(DY|Z=1)−E(DY|Z=0)] − [E(Y|Z=1)−E(Y|Z=0)] — identical to the previous expression. Hence E{(D−1)Y|Z=1} − E{(D−1)Y|Z=0} = E{(1−D)Y|Z=0} − E{(1−D)Y|Z=1} = πc·µ0c (the second identity in Theorem 22.1).</w:t>
      </w:r>
    </w:p>
    <w:p>
      <w:pPr>
        <w:spacing w:after="100"/>
      </w:pPr>
      <w:r>
        <w:t xml:space="preserve">Therefore rrc = µ1c/µ0c = [πc⁻¹{E(DY|Z=1)−E(DY|Z=0)}] / [πc⁻¹{E{(D−1)Y|Z=1}−E{(D−1)Y|Z=0}}] = {E(DY|Z=1)−E(DY|Z=0)} / {E{(D−1)Y|Z=1}−E{(D−1)Y|Z=0}}, as claimed (the πc⁻¹ factors cancel). ∎</w:t>
      </w:r>
    </w:p>
    <w:p>
      <w:pPr>
        <w:spacing w:after="80" w:before="160"/>
      </w:pPr>
      <w:r>
        <w:rPr>
          <w:b/>
          <w:bCs/>
          <w:i/>
          <w:iCs/>
        </w:rPr>
        <w:t xml:space="preserve">22.3  Disentangle the mixtures: distributional results</w:t>
      </w:r>
    </w:p>
    <w:p>
      <w:pPr>
        <w:spacing w:after="100"/>
      </w:pPr>
      <w:r>
        <w:rPr>
          <w:i/>
          <w:iCs/>
          <w:color w:val="444444"/>
        </w:rPr>
        <w:t xml:space="preserve">Prove Theorem 22.3 (density version of Theorem 22.1).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The proof mirrors Theorem 22.1's proof exactly, replacing means with densities. Group (Z=1,D=0) contains only never-takers (since compliers and always-takers have D=1 when Z=1), so g10(y) = pr(Y=y|Z=1,D=0) = pr{Y(1)=y|U=n} = f1n(y) = fn(y) by exclusion restriction. Similarly group (Z=0,D=1) contains only always-takers: g01(y) = fa(y).</w:t>
      </w:r>
    </w:p>
    <w:p>
      <w:pPr>
        <w:spacing w:after="100"/>
      </w:pPr>
      <w:r>
        <w:t xml:space="preserve">Group (Z=1,D=1) is a mixture of compliers and always-takers in proportions πc/(πc+πa) and πa/(πc+πa) [since pr(U=c|Z=1,D=1) = pr(U=c)/{pr(U=c)+pr(U=a)}]: g11(y) = {πc/(πc+πa)}·f1c(y) + {πa/(πc+πa)}·fa(y). Solving for f1c(y): f1c(y) = πc⁻¹{(πc+πa)g11(y) − πa fa(y)} = πc⁻¹{pr(D=1|Z=1)g11(y) − pr(D=1|Z=0)g01(y)}, using πc+πa=pr(D=1|Z=1) and πa=pr(D=1|Z=0).</w:t>
      </w:r>
    </w:p>
    <w:p>
      <w:pPr>
        <w:spacing w:after="100"/>
      </w:pPr>
      <w:r>
        <w:t xml:space="preserve">Group (Z=0,D=0) is a mixture of compliers and never-takers: g00(y) = {πc/(πc+πn)}f0c(y) + {πn/(πc+πn)}fn(y), giving f0c(y) = πc⁻¹{pr(D=0|Z=0)g00(y) − pr(D=0|Z=1)g10(y)}. These four formulas are exactly Theorem 22.3. ∎</w:t>
      </w:r>
    </w:p>
    <w:p>
      <w:pPr>
        <w:spacing w:after="80" w:before="160"/>
      </w:pPr>
      <w:r>
        <w:rPr>
          <w:b/>
          <w:bCs/>
          <w:i/>
          <w:iCs/>
        </w:rPr>
        <w:t xml:space="preserve">22.4  Alternative form of Theorem 22.2</w:t>
      </w:r>
    </w:p>
    <w:p>
      <w:pPr>
        <w:spacing w:after="100"/>
      </w:pPr>
      <w:r>
        <w:rPr>
          <w:i/>
          <w:iCs/>
          <w:color w:val="444444"/>
        </w:rPr>
        <w:t xml:space="preserve">Show the inequalities (22.1) are equivalent to pr(D=1,Y=y|Z=1) ≥ pr(D=1,Y=y|Z=0) and pr(D=0,Y=y|Z=0) ≥ pr(D=0,Y=y|Z=1) for y=0,1.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For binary Y: DY = D·1{Y=1}, so E(DY|Z) = pr(D=1,Y=1|Z), giving the y=1 case of the first inequality directly. D(1−Y) = D·1{Y=0}, so E{D(1−Y)|Z} = pr(D=1,Y=0|Z), giving the y=0 case.</w:t>
      </w:r>
    </w:p>
    <w:p>
      <w:pPr>
        <w:spacing w:after="100"/>
      </w:pPr>
      <w:r>
        <w:t xml:space="preserve">For the D=0 side: (D−1)Y = −(1−D)Y, so the third inequality E{(D−1)Y|Z=1}−E{(D−1)Y|Z=0} ≥ 0 is equivalent to E{(1−D)Y|Z=0}−E{(1−D)Y|Z=1} ≥ 0, i.e. pr(D=0,Y=1|Z=0) ≥ pr(D=0,Y=1|Z=1), the y=1 case of the second inequality.</w:t>
      </w:r>
    </w:p>
    <w:p>
      <w:pPr>
        <w:spacing w:after="100"/>
      </w:pPr>
      <w:r>
        <w:t xml:space="preserve">Finally, D+Y−DY = 1 − (1−D)(1−Y), so E(Q|Z=1)−E(Q|Z=0) ≥ 0 with Q=D+Y−DY is equivalent to [1−pr(D=0,Y=0|Z=1)] − [1−pr(D=0,Y=0|Z=0)] ≥ 0, i.e. pr(D=0,Y=0|Z=0) ≥ pr(D=0,Y=0|Z=1), the y=0 case of the second inequality. All four original inequalities map one-to-one onto the four (D,y) combinations, establishing the equivalence. ∎</w:t>
      </w:r>
    </w:p>
    <w:p>
      <w:pPr>
        <w:spacing w:after="80" w:before="160"/>
      </w:pPr>
      <w:r>
        <w:rPr>
          <w:b/>
          <w:bCs/>
          <w:i/>
          <w:iCs/>
        </w:rPr>
        <w:t xml:space="preserve">22.5  IV inequalities for a general outcome</w:t>
      </w:r>
    </w:p>
    <w:p>
      <w:pPr>
        <w:spacing w:after="100"/>
      </w:pPr>
      <w:r>
        <w:rPr>
          <w:i/>
          <w:iCs/>
          <w:color w:val="444444"/>
        </w:rPr>
        <w:t xml:space="preserve">Show the four inequalities hold for pr(D=1,Y≥y|Z), pr(D=1,Y&lt;y|Z), pr(D=0,Y≥y|Z), pr(D=0,Y&lt;y|Z) for all y.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Fix a threshold y and define the binary variable Ỹ = 1{Y ≥ y} (which inherits the same potential-outcome structure and exclusion restriction as Y, since Ỹ(z,d) = 1{Y(z,d) ≥ y} = 1{Y(d) ≥ y} = Ỹ(d) under Assumption 21.4). Theorem 22.2 applies verbatim to the binary variable Ỹ in place of Y, giving E(DỸ|Z=1) ≥ E(DỸ|Z=0), i.e. pr(D=1,Y≥y|Z=1) ≥ pr(D=1,Y≥y|Z=0) — the first inequality — and similarly for the other three by the same substitution argument used in Problem 22.4 (with Ỹ replacing Y and 1−Ỹ = 1{Y&lt;y}).</w:t>
      </w:r>
    </w:p>
    <w:p>
      <w:pPr>
        <w:spacing w:after="100"/>
      </w:pPr>
      <w:r>
        <w:t xml:space="preserve">Because this holds for every fixed y, all four inequalities hold simultaneously for all y. ∎ (This underlies the Kolmogorov–Smirnov-type test statistic KS1 given in the remark, which checks the first inequality uniformly over y.)</w:t>
      </w:r>
    </w:p>
    <w:p>
      <w:pPr>
        <w:spacing w:after="80" w:before="160"/>
      </w:pPr>
      <w:r>
        <w:rPr>
          <w:b/>
          <w:bCs/>
          <w:i/>
          <w:iCs/>
        </w:rPr>
        <w:t xml:space="preserve">22.6  Example for the IV inequalities</w:t>
      </w:r>
    </w:p>
    <w:p>
      <w:pPr>
        <w:spacing w:after="100"/>
      </w:pPr>
      <w:r>
        <w:rPr>
          <w:i/>
          <w:iCs/>
          <w:color w:val="444444"/>
        </w:rPr>
        <w:t xml:space="preserve">Give one joint distribution of (Z,D,Y) where all IV inequalities hold, and one where they do not.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Inequalities hold (valid IV): Z ~ Bernoulli(0.5); D = Z with probability 0.9 and D = 1−Z with probability 0.1 (mostly compliers, a few defiers/noise — but constructed so pr(D=1|Z=1) ≥ pr(D=1|Z=0) holds); Y = D with probability 0.7, Y = 1−D with probability 0.3, independent of Z given D (pure exclusion restriction: Z affects Y only through D). Direct computation gives pr(D=1,Y=1|Z=1) = 0.9×0.7+0.1×0.3=0.66 ≥ pr(D=1,Y=1|Z=0)=0.1×0.7+0.9×0.3=0.34, and the analogous checks for the other three cells all hold — this is a standard valid encouragement design.</w:t>
      </w:r>
    </w:p>
    <w:p>
      <w:pPr>
        <w:spacing w:after="100"/>
      </w:pPr>
      <w:r>
        <w:t xml:space="preserve">Inequalities violated (broken exclusion restriction): keep Z, D as above, but let Z have a strong DIRECT effect on Y for never-takers: e.g. redefine Y = 1 whenever Z=1 and D=0 (regardless of the D-based rule), and Y as above otherwise. This creates a large direct Z→Y pathway among the D=0 stratum. Then pr(D=0,Y=1|Z=1) is inflated toward 1 while pr(D=0,Y=1|Z=0) stays near 0.34×(share with D=0) — reversing the sign needed for the second inequality (pr(D=0,Y=1|Z=0) ≥ pr(D=0,Y=1|Z=1) now fails), signaling a violation of the IV assumptions that the inequality test would correctly flag.</w:t>
      </w:r>
    </w:p>
    <w:p>
      <w:pPr>
        <w:spacing w:after="80" w:before="160"/>
      </w:pPr>
      <w:r>
        <w:rPr>
          <w:b/>
          <w:bCs/>
          <w:i/>
          <w:iCs/>
        </w:rPr>
        <w:t xml:space="preserve">22.7  Violations of the key assumptions</w:t>
      </w:r>
    </w:p>
    <w:p>
      <w:pPr>
        <w:spacing w:after="100"/>
      </w:pPr>
      <w:r>
        <w:rPr>
          <w:i/>
          <w:iCs/>
          <w:color w:val="444444"/>
        </w:rPr>
        <w:t xml:space="preserve">Prove Theorem 22.4 (a) without exclusion restriction, (b) without monotonicity.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(a) Without exclusion restriction, monotonicity still holds so τD = πc as before, but the full four-term decomposition (21.1) applies: τY = πaτa + πcτc + πdτd(=0, no defiers) + πnτn = πaτa + πcτc + πnτn. Dividing by τD = πc: τY/τD − τc = (πaτa+πcτc+πnτn)/πc − τc = (πaτa+πnτn)/πc, exactly Theorem 22.4(a). ∎</w:t>
      </w:r>
    </w:p>
    <w:p>
      <w:pPr>
        <w:spacing w:after="100"/>
      </w:pPr>
      <w:r>
        <w:t xml:space="preserve">(b) Without monotonicity, defiers may exist, so τD = E{D(1)−D(0)} = πc − πd (compliers contribute +1, defiers contribute −1, always/never-takers contribute 0). With exclusion restriction still holding for always- and never-takers (but not restricting defiers), τY = πcτc + πdτd (the a,n terms vanish; the defier term does not, since exclusion restriction was never assumed to hold for defiers).</w:t>
      </w:r>
    </w:p>
    <w:p>
      <w:pPr>
        <w:spacing w:after="100"/>
      </w:pPr>
      <w:r>
        <w:t xml:space="preserve">Then τY/τD − τc = (πcτc+πdτd)/(πc−πd) − τc = [πcτc+πdτd − τc(πc−πd)]/(πc−πd) = [πdτd+τcπd]/(πc−πd) = πd(τc+τd)/(πc−πd), exactly Theorem 22.4(b). ∎</w:t>
      </w:r>
    </w:p>
    <w:p>
      <w:pPr>
        <w:spacing w:after="80" w:before="160"/>
      </w:pPr>
      <w:r>
        <w:rPr>
          <w:b/>
          <w:bCs/>
          <w:i/>
          <w:iCs/>
        </w:rPr>
        <w:t xml:space="preserve">22.8  Problems of other analyses</w:t>
      </w:r>
    </w:p>
    <w:p>
      <w:pPr>
        <w:spacing w:after="100"/>
      </w:pPr>
      <w:r>
        <w:rPr>
          <w:i/>
          <w:iCs/>
          <w:color w:val="444444"/>
        </w:rPr>
        <w:t xml:space="preserve">Derive the as-treated, per-protocol, and within-arm estimators' probability limits.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Building block (from the proof of Theorem 22.1): E(DY|Z=1)=πcµ1c+πaµa, E(DY|Z=0)=πaµa, E{(1−D)Y|Z=1}=πnµn, E{(1−D)Y|Z=0}=πcµ0c+πnµn, and the observed group means E(Y|Z=1,D=1)=(πcµ1c+πaµa)/(πc+πa), E(Y|Z=0,D=0)=(πcµ0c+πnµn)/(πc+πn), E(Y|Z=1,D=0)=µn, E(Y|Z=0,D=1)=µa.</w:t>
      </w:r>
    </w:p>
    <w:p>
      <w:pPr>
        <w:spacing w:after="100"/>
      </w:pPr>
      <w:r>
        <w:t xml:space="preserve">As-treated: E(Y|D=1) = E(DY)/pr(D=1) where E(DY) = pr(Z=1)E(DY|Z=1) + pr(Z=0)E(DY|Z=0) = pr(Z=1)(πcµ1c+πaµa) + pr(Z=0)πaµa = pr(Z=1)πcµ1c + πaµa. So E(Y|D=1) = {πaµa + pr(Z=1)πcµ1c}/pr(D=1), and symmetrically E(Y|D=0) = {πnµn + pr(Z=0)πcµ0c}/pr(D=0). Subtracting gives τat exactly as stated. ∎</w:t>
      </w:r>
    </w:p>
    <w:p>
      <w:pPr>
        <w:spacing w:after="100"/>
      </w:pPr>
      <w:r>
        <w:t xml:space="preserve">Per-protocol: τpp = E(Y|Z=1,D=1) − E(Y|Z=0,D=0) is immediate by substituting the two group means listed above: τpp = (πaµa+πcµ1c)/(πa+πc) − (πnµn+πcµ0c)/(πn+πc). ∎</w:t>
      </w:r>
    </w:p>
    <w:p>
      <w:pPr>
        <w:spacing w:after="100"/>
      </w:pPr>
      <w:r>
        <w:t xml:space="preserve">Within-arm comparisons: τZ=1 = E(Y|Z=1,D=1) − E(Y|Z=1,D=0) = (πaµa+πcµ1c)/(πa+πc) − µn (using E(Y|Z=1,D=0)=µn directly); τZ=0 = E(Y|Z=0,D=1) − E(Y|Z=0,D=0) = µa − (πnµn+πcµ0c)/(πn+πc) (using E(Y|Z=0,D=1)=µa directly). Both match the stated formulas. ∎</w:t>
      </w:r>
    </w:p>
    <w:p>
      <w:pPr>
        <w:spacing w:after="100"/>
      </w:pPr>
      <w:r>
        <w:t xml:space="preserve">Practical takeaway: all three naive estimators are identifiable weighted blends of {µa, µn, µ1c, µ0c} with different (and generally non-causal) weights — they equal τc = µ1c−µ0c only in the degenerate case πa=πn=0 (perfect compliance).</w:t>
      </w:r>
    </w:p>
    <w:p>
      <w:pPr>
        <w:spacing w:after="80" w:before="160"/>
      </w:pPr>
      <w:r>
        <w:rPr>
          <w:b/>
          <w:bCs/>
          <w:i/>
          <w:iCs/>
        </w:rPr>
        <w:t xml:space="preserve">22.9  Bounds on the average causal effect on the whole population</w:t>
      </w:r>
    </w:p>
    <w:p>
      <w:pPr>
        <w:spacing w:after="100"/>
      </w:pPr>
      <w:r>
        <w:rPr>
          <w:i/>
          <w:iCs/>
          <w:color w:val="444444"/>
        </w:rPr>
        <w:t xml:space="preserve">Prove Theorem 22.5.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δ = Σ_u πu(m1u−m0u) = πa(µ1a−m0a) + πn(m1n−µ0n) + πc(µ1c−µ0c), where m0a=E{Y(d=0)|U=a} and m1n=E{Y(d=1)|U=n} are NOT identified (always-takers are never observed with d=0, and never-takers are never observed with d=1).</w:t>
      </w:r>
    </w:p>
    <w:p>
      <w:pPr>
        <w:spacing w:after="100"/>
      </w:pPr>
      <w:r>
        <w:t xml:space="preserve">With outcome bounded in [y̲, ȳ], m0a and m1n can each range over the whole interval [y̲, ȳ] without contradicting any observed data, so we bound δ by extremizing over these two unidentified terms while holding the identified pieces fixed.</w:t>
      </w:r>
    </w:p>
    <w:p>
      <w:pPr>
        <w:spacing w:after="100"/>
      </w:pPr>
      <w:r>
        <w:t xml:space="preserve">Writing δ' = E(DY|Z=1) − E(Y−DY|Z=0), algebra using the identities in Problem 22.8's building block shows δ' = πc(µ1c−µ0c) + πaµ1a − πnµ0n.</w:t>
      </w:r>
    </w:p>
    <w:p>
      <w:pPr>
        <w:spacing w:after="100"/>
      </w:pPr>
      <w:r>
        <w:t xml:space="preserve">Minimizing δ over m0a ∈ [y̲,ȳ] and m1n ∈ [y̲,ȳ]: the πa(µ1a−m0a) term is minimized by taking m0a = ȳ (largest subtracted value), and the πn(m1n−µ0n) term is minimized by taking m1n = y̲ (smallest added value). This gives δ_min = δ' − πa·ȳ + πn·y̲. Maximizing analogously (m0a=y̲, m1n=ȳ) gives δ_max = δ' − πa·y̲ + πn·ȳ. Recognizing πa = pr(D=1|Z=0) and πn = pr(D=0|Z=1), these are exactly the two bounds δ ≤ δ ≤ δ̄ of Theorem 22.5 (with δ̲ and δ̄ assigned to δ_min, δ_max respectively). ∎</w:t>
      </w:r>
    </w:p>
    <w:p>
      <w:pPr>
        <w:spacing w:after="100"/>
      </w:pPr>
      <w:r>
        <w:t xml:space="preserve">For binary outcome (y̲=0, ȳ=1): δ_min = δ' − πa = E(DY|Z=1) − E(D+Y−DY|Z=0) and δ_max = δ' + πn = E(DY+1−D|Z=1) − E(Y−DY|Z=0), matching the remark's simplified formulas.</w:t>
      </w:r>
    </w:p>
    <w:p>
      <w:pPr>
        <w:spacing w:after="80" w:before="160"/>
      </w:pPr>
      <w:r>
        <w:rPr>
          <w:b/>
          <w:bCs/>
          <w:i/>
          <w:iCs/>
        </w:rPr>
        <w:t xml:space="preserve">22.10  One-sided noncompliance and statistical inference</w:t>
      </w:r>
    </w:p>
    <w:p>
      <w:pPr>
        <w:spacing w:after="100"/>
      </w:pPr>
      <w:r>
        <w:rPr>
          <w:i/>
          <w:iCs/>
          <w:color w:val="444444"/>
        </w:rPr>
        <w:t xml:space="preserve">Five-part problem, culminating in the Sommer &amp; Zeger (1991) vitamin-A data.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80" w:before="160"/>
      </w:pPr>
      <w:r>
        <w:rPr>
          <w:b/>
          <w:bCs/>
          <w:i/>
          <w:iCs/>
        </w:rPr>
        <w:t xml:space="preserve">1. Monotonicity and latent strata</w:t>
      </w:r>
    </w:p>
    <w:p>
      <w:pPr>
        <w:spacing w:after="100"/>
      </w:pPr>
      <w:r>
        <w:t xml:space="preserve">One-sided noncompliance means Z=0 ⇒ D=0, i.e. D(0)=0 for every unit. Then D(1)−D(0)=D(1) ≥ 0 automatically for every unit, so monotonicity (Assumption 21.2) holds by construction — there can be no defiers, and there are also no always-takers (since D(0)=0 rules out U=a). Only two latent strata remain: complier (D(1)=1, D(0)=0) and never-taker (D(1)=0, D(0)=0).</w:t>
      </w:r>
    </w:p>
    <w:p>
      <w:pPr>
        <w:spacing w:after="100"/>
      </w:pPr>
      <w:r>
        <w:t xml:space="preserve">Their proportions are directly identified: πn = pr(D=0|Z=1) and πc = pr(D=1|Z=1) = 1−πn = τD = E(D|Z=1)−E(D|Z=0) (the last equality holds since E(D|Z=0)=0).</w:t>
      </w:r>
    </w:p>
    <w:p>
      <w:pPr>
        <w:spacing w:after="80" w:before="160"/>
      </w:pPr>
      <w:r>
        <w:rPr>
          <w:b/>
          <w:bCs/>
          <w:i/>
          <w:iCs/>
        </w:rPr>
        <w:t xml:space="preserve">2. Exclusion restriction and identification</w:t>
      </w:r>
    </w:p>
    <w:p>
      <w:pPr>
        <w:spacing w:after="100"/>
      </w:pPr>
      <w:r>
        <w:t xml:space="preserve">Exclusion restriction here need only be stated for never-takers: Yi(1)=Yi(0) for Ui=n. Then: µn ≡ E{Y(1)|U=n} = E{Y(0)|U=n} is identified as E(Y|Z=1,D=0) (never-takers are exactly the Z=1,D=0 group). For compliers, µ1c = E{Y(1)|U=c} is identified as E(Y|Z=1,D=1) (compliers are exactly the Z=1,D=1 group). And µ0c = E{Y(0)|U=c} is identified by unmixing the Z=0 group (a blend of compliers and never-takers, both with D=0): E(Y|Z=0) = πc·µ0c + πn·µn, so µ0c = {E(Y|Z=0) − πn·µn}/πc. The CACE is then τc = µ1c − µ0c, which is numerically identical to the simple Wald ratio τ̂c = τ̂Y/τ̂D (the Bloom, 1984, estimator) — algebra as in Theorem 21.1, specialized to πa=0.</w:t>
      </w:r>
    </w:p>
    <w:p>
      <w:pPr>
        <w:spacing w:after="80" w:before="160"/>
      </w:pPr>
      <w:r>
        <w:rPr>
          <w:b/>
          <w:bCs/>
          <w:i/>
          <w:iCs/>
        </w:rPr>
        <w:t xml:space="preserve">3. Using covariates</w:t>
      </w:r>
    </w:p>
    <w:p>
      <w:pPr>
        <w:spacing w:after="100"/>
      </w:pPr>
      <w:r>
        <w:t xml:space="preserve">With covariates X, use a Lin-type (or any other Part-III) covariate-adjusted estimator for both τD = E(D|Z=1)−E(D|Z=0) and τY = E(Y|Z=1)−E(Y|Z=0), then take the ratio — exactly iv_lin_bootstrap(Z, D, Y, X) in the companion notebook — to reduce variance while preserving consistency, since covariate adjustment does not change what is identified, only the precision.</w:t>
      </w:r>
    </w:p>
    <w:p>
      <w:pPr>
        <w:spacing w:after="80" w:before="160"/>
      </w:pPr>
      <w:r>
        <w:rPr>
          <w:b/>
          <w:bCs/>
          <w:i/>
          <w:iCs/>
        </w:rPr>
        <w:t xml:space="preserve">4. IV inequalities under one-sided noncompliance</w:t>
      </w:r>
    </w:p>
    <w:p>
      <w:pPr>
        <w:spacing w:after="100"/>
      </w:pPr>
      <w:r>
        <w:t xml:space="preserve">With πa=0, D=0 deterministically whenever Z=0, so E(DY|Z=0)=0 and E{D(1−Y)|Z=0}=0 trivially, making the first two IV inequalities of Theorem 22.2 hold automatically (as 'something non-negative ≥ 0'). The two remaining, non-trivial inequalities reduce (after substituting E(Y|Z=0)=πcµ0c+πnµn and E{(1−D)Y|Z=1}=πnµn) to 0 ≤ µ0c ≤ 1 for binary Y — i.e., the identified complier control-arm mean must be a valid probability. This is the operative testable implication of exclusion restriction in the one-sided design.</w:t>
      </w:r>
    </w:p>
    <w:p>
      <w:pPr>
        <w:spacing w:after="80" w:before="160"/>
      </w:pPr>
      <w:r>
        <w:rPr>
          <w:b/>
          <w:bCs/>
          <w:i/>
          <w:iCs/>
        </w:rPr>
        <w:t xml:space="preserve">5. Sommer &amp; Zeger vitamin-A data — worked numeric analysis</w:t>
      </w:r>
    </w:p>
    <w:p>
      <w:pPr>
        <w:spacing w:after="100"/>
      </w:pPr>
      <w:r>
        <w:t xml:space="preserve">Cell counts: Z=1 (n=12,094): (D=1,Y=1)=9663, (D=1,Y=0)=12, (D=0,Y=1)=2385, (D=0,Y=0)=34. Z=0 (n=11,588): (D=0,Y=1)=11,514, (D=0,Y=0)=74 (D=1 impossible by one-sided design).</w:t>
      </w:r>
    </w:p>
    <w:p>
      <w:pPr>
        <w:spacing w:after="100"/>
      </w:pPr>
      <w:r>
        <w:t xml:space="preserve">τ̂D = 9675/12094 = 0.8000 (= π̂c). τ̂Y = 12048/12094 − 11514/11588 = 0.99620 − 0.99361 = 0.002582.</w:t>
      </w:r>
    </w:p>
    <w:p>
      <w:pPr>
        <w:spacing w:after="100"/>
      </w:pPr>
      <w:r>
        <w:t xml:space="preserve">CACE = τ̂Y/τ̂D = 0.002582/0.8000 ≈ 0.00323. Using the delta-method SE (as in IV_Wald_delta), SE ≈ 0.00116, giving a 95% CI of approximately [0.00096, 0.00550].</w:t>
      </w:r>
    </w:p>
    <w:p>
      <w:pPr>
        <w:spacing w:after="100"/>
      </w:pPr>
      <w:r>
        <w:t xml:space="preserve">Interpretation: among compliers (children who would receive vitamin A supplementation if and only if assigned to it), the supplement raises the survival probability by about 0.32 percentage points. Relative to the roughly 0.6% mortality rate among controls, this corresponds to roughly a 50% relative reduction in mortality risk for compliers — consistent with the well-documented mortality benefit of vitamin A supplementation in the epidemiological literature.</w:t>
      </w:r>
    </w:p>
    <w:p>
      <w:pPr>
        <w:spacing w:after="80" w:before="160"/>
      </w:pPr>
      <w:r>
        <w:rPr>
          <w:b/>
          <w:bCs/>
          <w:i/>
          <w:iCs/>
        </w:rPr>
        <w:t xml:space="preserve">22.11  One-sided noncompliance with partial adherence</w:t>
      </w:r>
    </w:p>
    <w:p>
      <w:pPr>
        <w:spacing w:after="100"/>
      </w:pPr>
      <w:r>
        <w:rPr>
          <w:i/>
          <w:iCs/>
          <w:color w:val="444444"/>
        </w:rPr>
        <w:t xml:space="preserve">Analyze the Sanders &amp; Karim (2021) three-level treatment-received smoking-cessation data.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With D ∈ {0 (none), 0.5 (partial), 1 (full)} and D(0)=0 forced by one-sided design, the latent strata U={D(1),D(0)} collapse to three possibilities determined entirely by D(1) ∈ {0, 0.5, 1}: never-attender, partial-attender, full-attender. Because D(0)=0 for everyone, these three strata's proportions are directly identified from the observed distribution of D within the Z=1 (treatment) arm: pr(D=0|Z=1), pr(D=0.5|Z=1), pr(D=1|Z=1).</w:t>
      </w:r>
    </w:p>
    <w:p>
      <w:pPr>
        <w:spacing w:after="100"/>
      </w:pPr>
      <w:r>
        <w:t xml:space="preserve">The exclusion restriction generalizes to Assumption 25.1-style Yi(z,d)=Yi(d) for all z, d — the assignment Z affects the outcome only through the actual number of sessions attended, not directly (e.g. not via a pure encouragement/placebo effect of being assigned to the program).</w:t>
      </w:r>
    </w:p>
    <w:p>
      <w:pPr>
        <w:spacing w:after="100"/>
      </w:pPr>
      <w:r>
        <w:t xml:space="preserve">Causal effects of interest include a full dose-response curve — e.g. the effect of full vs. none, and of partial vs. none — but with only a binary instrument Z, only a weighted average of the underlying step effects is identified (an extension of Theorem 21.3's ordinal-treatment result, using D as a 'dose'). A simple, fully identified summary is the dose-weighted average causal effect: treat D as continuous (0, 0.5, 1) and instrument it with Z, exactly as in Section 21.2 with D replaced by dose.</w:t>
      </w:r>
    </w:p>
    <w:p>
      <w:pPr>
        <w:spacing w:after="100"/>
      </w:pPr>
      <w:r>
        <w:t xml:space="preserve">Numeric analysis: Control arm: n=151, positive outcomes=25 → E(Y|Z=0)=0.1656, E(D|Z=0)=0. Treatment arm: n=147 (35 none, 42 partial, 70 full; positives 7, 17, 40) → E(D|Z=1) = (0×35+0.5×42+1×70)/147 = 0.6190, E(Y|Z=1) = 64/147 = 0.4354.</w:t>
      </w:r>
    </w:p>
    <w:p>
      <w:pPr>
        <w:spacing w:after="100"/>
      </w:pPr>
      <w:r>
        <w:t xml:space="preserve">τD = 0.6190, τY = 0.4354−0.1656 = 0.2698, giving a dose-weighted CACE ≈ 0.2698/0.6190 ≈ 0.436. Interpretation: moving a complier from 'no attendance' to 'full attendance' (a one-unit dose increase) is associated with roughly a 43.6 percentage-point increase in the probability of ≥50% smoking reduction — a large effect, though it is a weighted average across the partial/full dose-response, not a fully separated effect of partial vs. full attendance (which is not point-identified with only a binary instrument).</w:t>
      </w:r>
    </w:p>
    <w:p>
      <w:pPr>
        <w:spacing w:after="80" w:before="160"/>
      </w:pPr>
      <w:r>
        <w:rPr>
          <w:b/>
          <w:bCs/>
          <w:i/>
          <w:iCs/>
        </w:rPr>
        <w:t xml:space="preserve">22.12  Recommended reading</w:t>
      </w:r>
    </w:p>
    <w:p>
      <w:pPr>
        <w:spacing w:after="100"/>
      </w:pPr>
      <w:r>
        <w:rPr>
          <w:i/>
          <w:iCs/>
          <w:color w:val="444444"/>
        </w:rPr>
        <w:t xml:space="preserve">No exercise — pointer to Balke and Pearl (1997).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No computational or mathematical solution required.</w:t>
      </w:r>
    </w:p>
    <w:p>
      <w:pPr>
        <w:pStyle w:val="Heading1"/>
        <w:spacing w:after="150" w:before="320"/>
      </w:pPr>
      <w:r>
        <w:t xml:space="preserve">Chapter 23 — An Econometric Perspective of the Instrumental Variable</w:t>
      </w:r>
    </w:p>
    <w:p>
      <w:pPr>
        <w:spacing w:after="80" w:before="160"/>
      </w:pPr>
      <w:r>
        <w:rPr>
          <w:b/>
          <w:bCs/>
          <w:i/>
          <w:iCs/>
        </w:rPr>
        <w:t xml:space="preserve">23.1  More algebra for TSLS</w:t>
      </w:r>
    </w:p>
    <w:p>
      <w:pPr>
        <w:spacing w:after="100"/>
      </w:pPr>
      <w:r>
        <w:rPr>
          <w:i/>
          <w:iCs/>
          <w:color w:val="444444"/>
        </w:rPr>
        <w:t xml:space="preserve">(1) Show Γ̂ = (ΣZZᵀ)⁻¹ΣZDᵀ. (2) Show β̂tsls = β̂iv when Z and D have the same dimension.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(1) Γ̂ is defined via D̂i = Γ̂ᵀZi, i.e. the fitted values from the (multivariate) OLS regression of D on Z. The standard OLS normal equations for that regression are exactly Γ̂ = (ΣZiZiᵀ)⁻¹ΣZiDiᵀ — this is definitionally the first-stage coefficient matrix, matching (23.8). ∎</w:t>
      </w:r>
    </w:p>
    <w:p>
      <w:pPr>
        <w:spacing w:after="100"/>
      </w:pPr>
      <w:r>
        <w:t xml:space="preserve">(2) From (23.9), β̂tsls = β + (Γ̂ᵀAΓ̂)⁻¹Γ̂ᵀ(n⁻¹ΣZε) with A = n⁻¹ΣZZᵀ. When Z and D have the same dimension and both ΣZZᵀ and ΣZDᵀ are invertible, Γ̂ is a square, invertible matrix, so (Γ̂ᵀAΓ̂)⁻¹Γ̂ᵀ = Γ̂⁻¹A⁻¹(Γ̂ᵀ)⁻¹Γ̂ᵀ = Γ̂⁻¹A⁻¹.</w:t>
      </w:r>
    </w:p>
    <w:p>
      <w:pPr>
        <w:spacing w:after="100"/>
      </w:pPr>
      <w:r>
        <w:t xml:space="preserve">Hence β̂tsls − β = Γ̂⁻¹A⁻¹(n⁻¹ΣZε) = Γ̂⁻¹(ΣZZᵀ)⁻¹ΣZε (the n's cancel). Substituting Γ̂⁻¹ = (ΣZDᵀ)⁻¹(ΣZZᵀ) (from part 1, matrix-inverted): β̂tsls − β = (ΣZDᵀ)⁻¹(ΣZZᵀ)(ΣZZᵀ)⁻¹ΣZε = (ΣZDᵀ)⁻¹ΣZε.</w:t>
      </w:r>
    </w:p>
    <w:p>
      <w:pPr>
        <w:spacing w:after="100"/>
      </w:pPr>
      <w:r>
        <w:t xml:space="preserve">Finally, ΣZε = ΣZ(Y−Dᵀβ) = ΣZY − (ΣZDᵀ)β, so β̂tsls = β + (ΣZDᵀ)⁻¹[ΣZY−(ΣZDᵀ)β] = (ΣZDᵀ)⁻¹ΣZY = β̂iv (the definition in (23.4)). ∎</w:t>
      </w:r>
    </w:p>
    <w:p>
      <w:pPr>
        <w:spacing w:after="80" w:before="160"/>
      </w:pPr>
      <w:r>
        <w:rPr>
          <w:b/>
          <w:bCs/>
          <w:i/>
          <w:iCs/>
        </w:rPr>
        <w:t xml:space="preserve">23.2  Equivalence between TSLS and ILS</w:t>
      </w:r>
    </w:p>
    <w:p>
      <w:pPr>
        <w:spacing w:after="100"/>
      </w:pPr>
      <w:r>
        <w:rPr>
          <w:i/>
          <w:iCs/>
          <w:color w:val="444444"/>
        </w:rPr>
        <w:t xml:space="preserve">Prove Theorem 23.1 using the Frisch–Waugh–Lovell (FWL) theorem.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By FWL, the reduced-form coefficient Γ1 (coefficient of Z in the OLS fit of Y on 1, Z, X) equals the simple-regression coefficient of the X-and-intercept-residualized Ỹ on the X-and-intercept-residualized Z̃. Similarly γ1 (coefficient of Z in the OLS fit of D on 1, Z, X) equals the coefficient of D̃ (residualized D) on Z̃.</w:t>
      </w:r>
    </w:p>
    <w:p>
      <w:pPr>
        <w:spacing w:after="100"/>
      </w:pPr>
      <w:r>
        <w:t xml:space="preserve">For TSLS, the first-stage fitted values are D̂ = γ̂0 + γ̂1Z + γ̂2ᵀX, a linear function of (1,Z,X). After residualizing on (1,X), the part of D̂ orthogonal to X is exactly D̃̂ = γ̂1·Z̃ (since the (1,X)-components of D̂ are absorbed by the residualization, leaving only the Z-driven part).</w:t>
      </w:r>
    </w:p>
    <w:p>
      <w:pPr>
        <w:spacing w:after="100"/>
      </w:pPr>
      <w:r>
        <w:t xml:space="preserve">Applying FWL again to the second-stage regression of Y on (1, D̂, X): the coefficient on D̂ equals the simple-regression coefficient of Ỹ on D̃̂ = γ̂1Z̃, i.e. β̂1,tsls = Cov(Ỹ, γ̂1Z̃)/Var(γ̂1Z̃) = [Cov(Ỹ,Z̃)/Var(Z̃)] / γ̂1 = Γ̂1/γ̂1 = β̂1,ils. ∎</w:t>
      </w:r>
    </w:p>
    <w:p>
      <w:pPr>
        <w:spacing w:after="80" w:before="160"/>
      </w:pPr>
      <w:r>
        <w:rPr>
          <w:b/>
          <w:bCs/>
          <w:i/>
          <w:iCs/>
        </w:rPr>
        <w:t xml:space="preserve">23.3  Control function in the linear IV model</w:t>
      </w:r>
    </w:p>
    <w:p>
      <w:pPr>
        <w:spacing w:after="100"/>
      </w:pPr>
      <w:r>
        <w:rPr>
          <w:i/>
          <w:iCs/>
          <w:color w:val="444444"/>
        </w:rPr>
        <w:t xml:space="preserve">Show β̂CF = β̂TSLS.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Write the first-stage OLS decomposition D = D̂ + Ď, where D̂ (fitted values) and Ď (residuals) are orthogonal: ΣᵢD̂iĎi = 0. The control-function regression fits Y on the two regressors (D, Ď); reparametrize using the bijective linear change of variables D = D̂ + Ď (so the span of {D, Ď} equals the span of {D̂, Ď}).</w:t>
      </w:r>
    </w:p>
    <w:p>
      <w:pPr>
        <w:spacing w:after="100"/>
      </w:pPr>
      <w:r>
        <w:t xml:space="preserve">Because D̂ ⟂ Ď by construction, applying FWL to the regression of Y on {D̂, Ď} shows the coefficient on D̂ equals the simple-regression coefficient of Y (residualized on Ď) on D̂ (residualized on Ď) — but D̂ is already orthogonal to Ď, so no further residualization changes it; this coefficient is exactly β̂1,tsls, the second-stage TSLS coefficient of Section 23.4/23.6.1.</w:t>
      </w:r>
    </w:p>
    <w:p>
      <w:pPr>
        <w:spacing w:after="100"/>
      </w:pPr>
      <w:r>
        <w:t xml:space="preserve">Since the {D,Ď} and {D̂,Ď} parametrizations span the same two-dimensional space and D̂,Ď are orthogonal, the OLS coefficient attached to 'the D-direction' is identical whichever orthogonal basis is used for that direction — i.e. the coefficient on D in the control-function regression (fit on D and Ď) equals the coefficient on D̂ in the TSLS second stage (fit on D̂ and Ď). Hence β̂CF = β̂TSLS. ∎ (Problems B.4–B.5, on partitioned/partialled-out OLS, formalize the orthogonal reparametrization step used here.)</w:t>
      </w:r>
    </w:p>
    <w:p>
      <w:pPr>
        <w:spacing w:after="80" w:before="160"/>
      </w:pPr>
      <w:r>
        <w:rPr>
          <w:b/>
          <w:bCs/>
          <w:i/>
          <w:iCs/>
        </w:rPr>
        <w:t xml:space="preserve">23.4  Data analysis: Efron and Feldman (1991)</w:t>
      </w:r>
    </w:p>
    <w:p>
      <w:pPr>
        <w:spacing w:after="100"/>
      </w:pPr>
      <w:r>
        <w:rPr>
          <w:i/>
          <w:iCs/>
          <w:color w:val="444444"/>
        </w:rPr>
        <w:t xml:space="preserve">Analyze the LRC-CPPT cholestyramine compliance data (EF.csv).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Method: here the 'treatment received' is a continuous compliance proportion (fraction of nominal dose actually taken) rather than a binary indicator, so this is a dose-response IV problem, not the simple binary-noncompliance case of Chapter 21.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Z = random assignment (cholestyramine vs. placebo), D = proportion of nominal dose taken, Y = change in cholesterol C5 − 0.25·C3 − 0.75·C4 (as defined by Efron &amp; Feldman).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 TSLS (or the equivalent Wald ratio, since Z is binary) of Y on D instrumented by Z: β̂ = τ̂Y/τ̂D estimates the average effect of a one-unit (0%→100%) increase in compliance on cholesterol change, under a linear dose-response and exclusion-restriction assumption analogous to Section 21.2's extension for ordinal/continuous D (justify carefully: exclusion restriction here requires that assignment status, being unknown to participants in this double-blind trial, cannot affect cholesterol except through actual drug taken — plausible given blinding, though adverse-effect-driven differential compliance is a genuine threat noted in the chapter).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robustness check, discretize D into a few compliance bins and re-run IV_Lin/TSLS to see whether the dose-response looks linear; also compare against a naive as-treated (OLS of Y on D) estimate to gauge the direction of confounding bias being corrected for.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(per the exercise remark) that the standard two-sided binary-noncompliance model in Chapters 21–22 does not directly nest this continuous-compliance setting; Jin and Rubin (2008) develop a full principal-stratification treatment (previewed in Chapter 26) as a more rigorous alternative — mention this as a caveat/extension in the final write-up rather than treating the simple ratio estimator as fully rigorous.</w:t>
      </w:r>
    </w:p>
    <w:p>
      <w:pPr>
        <w:spacing w:after="80" w:before="160"/>
      </w:pPr>
      <w:r>
        <w:rPr>
          <w:b/>
          <w:bCs/>
          <w:i/>
          <w:iCs/>
        </w:rPr>
        <w:t xml:space="preserve">23.5  Recommended reading</w:t>
      </w:r>
    </w:p>
    <w:p>
      <w:pPr>
        <w:spacing w:after="100"/>
      </w:pPr>
      <w:r>
        <w:rPr>
          <w:i/>
          <w:iCs/>
          <w:color w:val="444444"/>
        </w:rPr>
        <w:t xml:space="preserve">No exercise — pointer to Imbens (2014).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No computational or mathematical solution required.</w:t>
      </w:r>
    </w:p>
    <w:p>
      <w:pPr>
        <w:pStyle w:val="Heading1"/>
        <w:spacing w:after="150" w:before="320"/>
      </w:pPr>
      <w:r>
        <w:t xml:space="preserve">Chapter 24 — Application of the IV Method: Fuzzy Regression Discontinuity</w:t>
      </w:r>
    </w:p>
    <w:p>
      <w:pPr>
        <w:spacing w:after="80" w:before="160"/>
      </w:pPr>
      <w:r>
        <w:rPr>
          <w:b/>
          <w:bCs/>
          <w:i/>
          <w:iCs/>
        </w:rPr>
        <w:t xml:space="preserve">24.1  Proof of Theorem 24.1</w:t>
      </w:r>
    </w:p>
    <w:p>
      <w:pPr>
        <w:spacing w:after="100"/>
      </w:pPr>
      <w:r>
        <w:rPr>
          <w:i/>
          <w:iCs/>
          <w:color w:val="444444"/>
        </w:rPr>
        <w:t xml:space="preserve">Prove the fuzzy-RD identification result (superposition of Theorems 20.2 and 21.1).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Step 1 (sharp-RD limits, Theorem 20.2): under continuity of E{D(1)|X=x} from the right and E{D(0)|X=x} from the left at x0, lim_{ε→0+}E(D|Z=1,X=x0+ε) − lim_{ε→0+}E(D|Z=0,X=x0−ε) = E{D(1)−D(0)|X=x0} = τD(x0); analogously for Y, giving τY(x0).</w:t>
      </w:r>
    </w:p>
    <w:p>
      <w:pPr>
        <w:spacing w:after="100"/>
      </w:pPr>
      <w:r>
        <w:t xml:space="preserve">Step 2 (local IV assumptions): treat Z = 1(X≥x0) as an instrument for D within an infinitesimal neighborhood of x0, where monotonicity D(1)≥D(0) and the local exclusion restriction {D(1)=D(0) ⟹ Y(1)=Y(0)} are assumed to hold (exactly as Assumptions 21.2–21.3, but now stated conditionally at X=x0).</w:t>
      </w:r>
    </w:p>
    <w:p>
      <w:pPr>
        <w:spacing w:after="100"/>
      </w:pPr>
      <w:r>
        <w:t xml:space="preserve">Step 3 (apply Theorem 21.1 at X=x0): given randomization-like local independence of Z (justified by the RD design — units are 'as-if randomized' in a shrinking neighborhood of the cutoff) plus the two assumptions in Step 2, Theorem 21.1's algebra applies verbatim conditionally on X=x0: E{Y(1)−Y(0)|D(1)&gt;D(0),X=x0} = E{Y(1)−Y(0)|X=x0}/E{D(1)−D(0)|X=x0} = τY(x0)/τD(x0) — this is precisely the local CACE τc(x0).</w:t>
      </w:r>
    </w:p>
    <w:p>
      <w:pPr>
        <w:spacing w:after="100"/>
      </w:pPr>
      <w:r>
        <w:t xml:space="preserve">Step 4 (combine): substituting the sharp-RD identification of τY(x0) and τD(x0) from Step 1 into the ratio from Step 3 gives τc(x0) = [lim_{ε→0+}E(Y|Z=1,X=x0+ε) − lim_{ε→0+}E(Y|Z=0,X=x0−ε)] / [lim_{ε→0+}E(D|Z=1,X=x0+ε) − lim_{ε→0+}E(D|Z=0,X=x0−ε)], provided the denominator is a genuine non-zero jump — exactly Theorem 24.1. ∎</w:t>
      </w:r>
    </w:p>
    <w:p>
      <w:pPr>
        <w:spacing w:after="80" w:before="160"/>
      </w:pPr>
      <w:r>
        <w:rPr>
          <w:b/>
          <w:bCs/>
          <w:i/>
          <w:iCs/>
        </w:rPr>
        <w:t xml:space="preserve">24.2  Data analysis: further outcomes in Asher and Novosad (2020)</w:t>
      </w:r>
    </w:p>
    <w:p>
      <w:pPr>
        <w:spacing w:after="100"/>
      </w:pPr>
      <w:r>
        <w:rPr>
          <w:i/>
          <w:iCs/>
          <w:color w:val="444444"/>
        </w:rPr>
        <w:t xml:space="preserve">Estimate effects on transport_index_andrsn, firms_index_andrsn, consumption_index_andrsn, agriculture_index_andrsn.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Method: re-run the exact sensitivity-analysis recipe of Section 24.3.1 (and frd_sensitivity() in the companion notebook §7) once for each of the four outcomes, substituting the outcome column while keeping the running variable, cutoff, and bandwidth grid unchanged: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outcome and each bandwidth h in the grid, restrict to |running variable| ≤ h, run local-linear TSLS of the outcome on D̂ (D instrumented by Z) with separate left/right slopes, and record the coefficient + robust 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Plot the resulting estimate-vs-h curve with a shaded 95% CI band (as in Figure 24.2) for each of the four outcomes, and additionally report the automatically-selected-bandwidth rdrobust()-style estimate for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Interpret: if none of the five outcomes (including the original occupation index) show a significant jump at the cutoff, that is evidence the new-road program had limited detectable short/medium-run economic impact in this setting — consistent with the chapter's own finding for the occupation index.</w:t>
      </w:r>
    </w:p>
    <w:p>
      <w:pPr>
        <w:spacing w:after="80" w:before="160"/>
      </w:pPr>
      <w:r>
        <w:rPr>
          <w:b/>
          <w:bCs/>
          <w:i/>
          <w:iCs/>
        </w:rPr>
        <w:t xml:space="preserve">24.3  Reflection on the analysis of Li et al. (2015)'s data</w:t>
      </w:r>
    </w:p>
    <w:p>
      <w:pPr>
        <w:spacing w:after="100"/>
      </w:pPr>
      <w:r>
        <w:rPr>
          <w:i/>
          <w:iCs/>
          <w:color w:val="444444"/>
        </w:rPr>
        <w:t xml:space="preserve">Prove equation (24.1) and explain why restricting to applicants (A=1) only is problematic.</w:t>
      </w:r>
    </w:p>
    <w:p>
      <w:pPr>
        <w:spacing w:after="60"/>
      </w:pPr>
      <w:r>
        <w:rPr>
          <w:b/>
          <w:bCs/>
          <w:color w:val="1F5C8A"/>
          <w:sz w:val="18"/>
          <w:szCs w:val="18"/>
        </w:rPr>
        <w:t xml:space="preserve">THEORY — FULL SOLUTION</w:t>
      </w:r>
    </w:p>
    <w:p>
      <w:pPr>
        <w:spacing w:after="100"/>
      </w:pPr>
      <w:r>
        <w:t xml:space="preserve">At X=x0+ε (i.e. Z=1, eligible side), every observed applicant has A = A(1) and outcome Y = Y(1) (since Z=1 there). So lim_{ε→0+}E{Y|A=1,X=x0+ε} = E{Y(1)|A(1)=1,X=x0}.</w:t>
      </w:r>
    </w:p>
    <w:p>
      <w:pPr>
        <w:spacing w:after="100"/>
      </w:pPr>
      <w:r>
        <w:t xml:space="preserve">At X=x0−ε (Z=0, ineligible side), every observed applicant has A = A(0) and outcome Y = Y(0). So lim_{ε→0+}E{Y|A=1,X=x0−ε} = E{Y(0)|A(0)=1,X=x0}. Subtracting the two limits gives exactly equation (24.1): E{Y(1)|A(1)=1,X=x0} − E{Y(0)|A(0)=1,X=x0}. ∎</w:t>
      </w:r>
    </w:p>
    <w:p>
      <w:pPr>
        <w:spacing w:after="100"/>
      </w:pPr>
      <w:r>
        <w:t xml:space="preserve">Why this is problematic: the two conditioning events, {A(1)=1} and {A(0)=1}, are in general two DIFFERENT subsets of units near x0 (whoever would apply if eligible need not coincide with whoever would apply if ineligible — indeed A(0)=1 for ineligible applicants is a somewhat unusual/self-selected group). The quantity (24.1) is therefore the difference between the mean of Y(1) over one subpopulation and the mean of Y(0) over a generally DIFFERENT subpopulation — it is not of the form E{Y(1)−Y(0) | fixed group}, so it is not a valid causal contrast for any well-defined group of units. It conflates any genuine treatment effect with a selection effect from comparing non-comparable applicant pools, and can be non-zero even when the grant has no effect on anyone (pure selection bias). This is exactly why Theorem 24.1's full-sample IV/CACE analysis — which conditions only on the exogenous running variable X, not on the post-'treatment-assignment' variable A — is the valid approach.</w:t>
      </w:r>
    </w:p>
    <w:p>
      <w:pPr>
        <w:spacing w:after="80" w:before="160"/>
      </w:pPr>
      <w:r>
        <w:rPr>
          <w:b/>
          <w:bCs/>
          <w:i/>
          <w:iCs/>
        </w:rPr>
        <w:t xml:space="preserve">24.4  Recommended reading</w:t>
      </w:r>
    </w:p>
    <w:p>
      <w:pPr>
        <w:spacing w:after="100"/>
      </w:pPr>
      <w:r>
        <w:rPr>
          <w:i/>
          <w:iCs/>
          <w:color w:val="444444"/>
        </w:rPr>
        <w:t xml:space="preserve">No exercise — pointers to Imbens &amp; Lemieux (2008) and Lee &amp; Lemieux (2010).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No computational or mathematical solution required.</w:t>
      </w:r>
    </w:p>
    <w:p>
      <w:pPr>
        <w:pStyle w:val="Heading1"/>
        <w:spacing w:after="150" w:before="320"/>
      </w:pPr>
      <w:r>
        <w:t xml:space="preserve">Chapter 25 — Application of the IV Method: Mendelian Randomization</w:t>
      </w:r>
    </w:p>
    <w:p>
      <w:pPr>
        <w:spacing w:after="80" w:before="160"/>
      </w:pPr>
      <w:r>
        <w:rPr>
          <w:b/>
          <w:bCs/>
          <w:i/>
          <w:iCs/>
        </w:rPr>
        <w:t xml:space="preserve">25.1  Data analysis: bmi.bmi (mr.raps package)</w:t>
      </w:r>
    </w:p>
    <w:p>
      <w:pPr>
        <w:spacing w:after="100"/>
      </w:pPr>
      <w:r>
        <w:rPr>
          <w:i/>
          <w:iCs/>
          <w:color w:val="444444"/>
        </w:rPr>
        <w:t xml:space="preserve">Analyze the bmi-on-bmi 'null'/benchmark dataset.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Method: this dataset regresses BMI (as 'exposure', from one GWAS) on BMI (as 'outcome', from an independent or overlapping GWAS) using shared genetic instruments — the true causal effect is definitionally 1 (BMI predicting itself), making it a natural benchmark for detecting weak-instrument / winner's-curse bias in MR pipelines.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fisher_weighted_mr() and egger_regression() from the companion notebook (§8) to the per-SNP (γ̂j, se_γj, Γ̂j, se_Γj) summary statistics.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both point estimates to the known truth (β=1): systematic downward bias toward 0 is the signature of weak-instrument attenuation / winner's-curse bias (SNPs selected for their exposure association in the same or a correlated sample tend to have inflated γ̂j, deflating the ratio Γ̂j/γ̂j on average).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Egger-regression intercept: since the true model has no pleiotropy (BMI's genetic instruments affect the 'outcome' BMI through nothing but 'exposure' BMI, being the same trait), a materially non-zero intercept in this benchmark would itself indicate an estimation-pipeline artifact (e.g. overlapping-sample bias) rather than genuine pleiotropy — useful diagnostic context before applying the same pipeline to a real exposure–outcome pair.</w:t>
      </w:r>
    </w:p>
    <w:p>
      <w:pPr>
        <w:spacing w:after="80" w:before="160"/>
      </w:pPr>
      <w:r>
        <w:rPr>
          <w:b/>
          <w:bCs/>
          <w:i/>
          <w:iCs/>
        </w:rPr>
        <w:t xml:space="preserve">25.2  Recommended reading</w:t>
      </w:r>
    </w:p>
    <w:p>
      <w:pPr>
        <w:spacing w:after="100"/>
      </w:pPr>
      <w:r>
        <w:rPr>
          <w:i/>
          <w:iCs/>
          <w:color w:val="444444"/>
        </w:rPr>
        <w:t xml:space="preserve">No exercise — pointer to Davey Smith and Ebrahim (2003).</w:t>
      </w:r>
    </w:p>
    <w:p>
      <w:pPr>
        <w:spacing w:after="60"/>
      </w:pPr>
      <w:r>
        <w:rPr>
          <w:b/>
          <w:bCs/>
          <w:color w:val="8A5A00"/>
          <w:sz w:val="18"/>
          <w:szCs w:val="18"/>
        </w:rPr>
        <w:t xml:space="preserve">APPLIED / DATA-DEPENDENT — WORKED METHOD &amp; TEMPLATE</w:t>
      </w:r>
    </w:p>
    <w:p>
      <w:pPr>
        <w:spacing w:after="100"/>
      </w:pPr>
      <w:r>
        <w:t xml:space="preserve">No computational or mathematical solution required.</w:t>
      </w:r>
    </w:p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2026-08-19T15:23:45.566Z</dcterms:created>
  <dcterms:modified xsi:type="dcterms:W3CDTF">2026-08-19T15:23:45.715Z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