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Instrumental Variable Methods</w:t>
      </w:r>
    </w:p>
    <w:p>
      <w:pPr>
        <w:spacing w:after="60"/>
      </w:pPr>
      <w:r>
        <w:rPr>
          <w:color w:val="2E5A88"/>
          <w:sz w:val="32"/>
          <w:szCs w:val="32"/>
        </w:rPr>
        <w:t xml:space="preserve">Top 10 Practical Project Applications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Ten ready-to-scope project ideas that map directly onto the estimators and diagnostics from Chapters 21–25 — spanning healthcare, product/marketing analytics, labor and family economics, policy evaluation, and genetic epidemiology.</w:t>
      </w:r>
    </w:p>
    <w:p>
      <w:pPr>
        <w:spacing w:after="100"/>
      </w:pPr>
      <w:r>
        <w:t xml:space="preserve">Each card lists the treatment, outcome, and candidate instrument, the chapter/estimator to reuse from the companion notebook, the data you'd need, the core assumption to defend, and the expected analytical deliverable.</w:t>
      </w:r>
    </w:p>
    <w:p>
      <w:pPr>
        <w:pBdr>
          <w:top w:val="single" w:color="2E5A88" w:sz="2"/>
          <w:bottom w:val="single" w:color="2E5A88" w:sz="2"/>
          <w:left w:val="single" w:color="2E5A88" w:sz="2"/>
          <w:right w:val="single" w:color="2E5A88" w:sz="2"/>
        </w:pBdr>
        <w:shd w:fill="2E5A88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#1   Drug / Device Trial with Noncompliance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Recover the true efficacy of a therapy from a double-blind RCT where some patients don't take the assigned treatment.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21 — Wald / CACE estimator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Drug actually taken (yes/no)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Clinical endpoint (e.g., symptom relief, biomarker change, survival)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Random assignment to drug vs. placebo arm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Individual-level (Z, D, Y[, covariates]) from the trial database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Double-blinding supports exclusion restriction (assignment can't affect outcome except via actual drug taken)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CACE point estimate + delta-method/bootstrap CI, ITT-vs-CACE comparison, and an as-treated/per-protocol sensitivity table (Ch. 22 bias formulas)</w:t>
            </w:r>
          </w:p>
        </w:tc>
      </w:tr>
    </w:tbl>
    <w:p>
      <w:pPr>
        <w:spacing w:after="200"/>
      </w:pPr>
    </w:p>
    <w:p>
      <w:pPr>
        <w:pBdr>
          <w:top w:val="single" w:color="2E5A88" w:sz="2"/>
          <w:bottom w:val="single" w:color="2E5A88" w:sz="2"/>
          <w:left w:val="single" w:color="2E5A88" w:sz="2"/>
          <w:right w:val="single" w:color="2E5A88" w:sz="2"/>
        </w:pBdr>
        <w:shd w:fill="2E5A88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#2   Product-Adoption Nudge Experiment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Estimate the true effect of actually using a new feature, from an email/in-app encouragement A/B test with imperfect opt-in.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21 — Wald / CACE + Lin covariate adjustment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Feature actually activated by the user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Retention, revenue, or engagement metric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Random assignment to receive the nudge/encouragement email or in-app prompt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Experiment logs (Z, D, Y) plus user covariates (tenure, plan, prior usage) for Lin adjustment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The prompt itself has no direct effect on the outcome other than through actual feature use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CACE for 'compliers' (users who adopt only because nudged), with a weak-IV-robust FAR interval if opt-in is rare</w:t>
            </w:r>
          </w:p>
        </w:tc>
      </w:tr>
    </w:tbl>
    <w:p>
      <w:pPr>
        <w:spacing w:after="200"/>
      </w:pPr>
    </w:p>
    <w:p>
      <w:pPr>
        <w:pBdr>
          <w:top w:val="single" w:color="2E7D5B" w:sz="2"/>
          <w:bottom w:val="single" w:color="2E7D5B" w:sz="2"/>
          <w:left w:val="single" w:color="2E7D5B" w:sz="2"/>
          <w:right w:val="single" w:color="2E7D5B" w:sz="2"/>
        </w:pBdr>
        <w:shd w:fill="2E7D5B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#3   Vaccination / Preventive-Care Encouragement Campaign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One-sided noncompliance design: estimate the health benefit of an intervention that control-group members simply cannot access.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21 §one-sided + Ch. 22 IV inequalities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Vaccine / preventive service actually received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Disease incidence, hospitalization, or mortality indicator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Random or as-good-as-random encouragement/access to the program (control group has no access, so D(0)=0)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Binary (Z, D, Y) cell counts; the Bloom (1984) estimator applies directly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Exclusion restriction only needs to hold for never-takers (simpler than the two-sided case)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Bloom/Wald CACE with delta-method CI, plus the binary IV-inequality diagnostic table (iv_inequalities()) as a validity check</w:t>
            </w:r>
          </w:p>
        </w:tc>
      </w:tr>
    </w:tbl>
    <w:p>
      <w:pPr>
        <w:spacing w:after="200"/>
      </w:pPr>
    </w:p>
    <w:p>
      <w:pPr>
        <w:pBdr>
          <w:top w:val="single" w:color="8A5A00" w:sz="2"/>
          <w:bottom w:val="single" w:color="8A5A00" w:sz="2"/>
          <w:left w:val="single" w:color="8A5A00" w:sz="2"/>
          <w:right w:val="single" w:color="8A5A00" w:sz="2"/>
        </w:pBdr>
        <w:shd w:fill="8A5A00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#4   Returns to Schooling via Compulsory-Schooling / Birth-Timing Rules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Classic labor-economics natural experiment: use institutional quirks in schooling laws to instrument years of education.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23 — TSLS / ILS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Years of completed education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Log wages / earnings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Quarter of birth interacted with compulsory-schooling cutoffs (Angrist &amp; Krueger, 1991 design)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Census/labor-survey microdata with birth quarter, education, earnings, and demographic controls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Quarter of birth affects earnings only through the years of schooling it induces, not directly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TSLS estimate of the return to schooling with EHW robust SE, first-stage F-statistic, and a weak-IV-robust reduced-form test</w:t>
            </w:r>
          </w:p>
        </w:tc>
      </w:tr>
    </w:tbl>
    <w:p>
      <w:pPr>
        <w:spacing w:after="200"/>
      </w:pPr>
    </w:p>
    <w:p>
      <w:pPr>
        <w:pBdr>
          <w:top w:val="single" w:color="8A5A00" w:sz="2"/>
          <w:bottom w:val="single" w:color="8A5A00" w:sz="2"/>
          <w:left w:val="single" w:color="8A5A00" w:sz="2"/>
          <w:right w:val="single" w:color="8A5A00" w:sz="2"/>
        </w:pBdr>
        <w:shd w:fill="8A5A00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#5   Effect of Military Service on Later-Life Outcomes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Use lottery-based conscription as a randomized instrument for actually serving in the military.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23 — TSLS / Wald ratio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Military service (served / did not serve)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Later earnings, mortality, or health outcomes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Randomly drawn draft lottery number (below/above induction cutoff)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Administrative or survey data linking lottery numbers to service status and outcomes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The lottery number itself has no direct effect on the outcome except by changing the probability of service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TSLS/Wald estimate of the service effect, with a FAR confidence interval given historically noted weak-instrument concerns in some cohorts</w:t>
            </w:r>
          </w:p>
        </w:tc>
      </w:tr>
    </w:tbl>
    <w:p>
      <w:pPr>
        <w:spacing w:after="200"/>
      </w:pPr>
    </w:p>
    <w:p>
      <w:pPr>
        <w:pBdr>
          <w:top w:val="single" w:color="8A5A00" w:sz="2"/>
          <w:bottom w:val="single" w:color="8A5A00" w:sz="2"/>
          <w:left w:val="single" w:color="8A5A00" w:sz="2"/>
          <w:right w:val="single" w:color="8A5A00" w:sz="2"/>
        </w:pBdr>
        <w:shd w:fill="8A5A00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#6   Family Size and Parental Labor Supply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Use sibling sex composition as a natural, pseudo-random instrument for having an additional child.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23 — TSLS with covariates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Having a third (or additional) child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Mother's labor-force participation / hours worked / earnings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Indicator that the first two children are the same sex (parents with same-sex pairs are more likely to have a third child)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Household survey/census data on fertility, sibling sex, and maternal labor outcomes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Sibling sex composition does not directly affect the mother's labor supply except via family size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TSLS coefficient on family size, plus a covariate-adjusted (Lin-type) robustness check</w:t>
            </w:r>
          </w:p>
        </w:tc>
      </w:tr>
    </w:tbl>
    <w:p>
      <w:pPr>
        <w:spacing w:after="200"/>
      </w:pPr>
    </w:p>
    <w:p>
      <w:pPr>
        <w:pBdr>
          <w:top w:val="single" w:color="8A1F5C" w:sz="2"/>
          <w:bottom w:val="single" w:color="8A1F5C" w:sz="2"/>
          <w:left w:val="single" w:color="8A1F5C" w:sz="2"/>
          <w:right w:val="single" w:color="8A1F5C" w:sz="2"/>
        </w:pBdr>
        <w:shd w:fill="8A1F5C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#7   Eligibility-Threshold Program Impact (Fuzzy RD)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Evaluate an infrastructure, welfare, or scholarship program that prioritizes applicants above/below an administrative cutoff, but take-up isn't guaranteed.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24 — Fuzzy Regression Discontinuity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Program actually received (road built, benefit disbursed, grant awarded)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Economic/welfare index (income, consumption, employment, health)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/ running variable (Z, X)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Z = 1(eligibility score X ≥ threshold x0), e.g. population size, income score, or predicted-poverty score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Unit-level running variable, treatment-received indicator, and outcomes near the cutoff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No manipulation of the running variable near x0; continuity of potential outcomes in X at x0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Local-linear TSLS estimate of the local CACE at x0 with a bandwidth-sensitivity plot (as in Figures 24.2–24.3) and an rdrobust cross-check</w:t>
            </w:r>
          </w:p>
        </w:tc>
      </w:tr>
    </w:tbl>
    <w:p>
      <w:pPr>
        <w:spacing w:after="200"/>
      </w:pPr>
    </w:p>
    <w:p>
      <w:pPr>
        <w:pBdr>
          <w:top w:val="single" w:color="8A1F5C" w:sz="2"/>
          <w:bottom w:val="single" w:color="8A1F5C" w:sz="2"/>
          <w:left w:val="single" w:color="8A1F5C" w:sz="2"/>
          <w:right w:val="single" w:color="8A1F5C" w:sz="2"/>
        </w:pBdr>
        <w:shd w:fill="8A1F5C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#8   Financial-Aid / Scholarship Effect on Student Outcomes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University or government aid programs where eligibility is threshold-based but students must still apply — a textbook fuzzy RD with an endogenous application step.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24 — Fuzzy RD (+ Problem 24.3 caveat)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Grant/aid actually disbursed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Dropout rate, GPA, or time-to-graduation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/ running variable (Z, X)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Z = 1(family income below the eligibility threshold x0)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Student-level income score, application status, aid receipt, and academic outcomes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Analyze the FULL sample near x0 (not just applicants) — conditioning on 'applied' breaks identification (see Ch. 24 Problem 24.3)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Local CACE of aid on dropout with bandwidth sensitivity analysis; an explicit note on why an applicants-only subgroup analysis was avoided</w:t>
            </w:r>
          </w:p>
        </w:tc>
      </w:tr>
    </w:tbl>
    <w:p>
      <w:pPr>
        <w:spacing w:after="200"/>
      </w:pPr>
    </w:p>
    <w:p>
      <w:pPr>
        <w:pBdr>
          <w:top w:val="single" w:color="1F5C8A" w:sz="2"/>
          <w:bottom w:val="single" w:color="1F5C8A" w:sz="2"/>
          <w:left w:val="single" w:color="1F5C8A" w:sz="2"/>
          <w:right w:val="single" w:color="1F5C8A" w:sz="2"/>
        </w:pBdr>
        <w:shd w:fill="1F5C8A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#9   Causal Effect of a Modifiable Risk Factor on Disease (Mendelian Randomization)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Use genetic variants as instruments for an exposure (BMI, LDL cholesterol, blood pressure) to sidestep confounding and reverse causation in disease-risk research.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25 — Fisher-weighted / Egger regression MR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/ exposure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Modifiable biomarker or trait (e.g., LDL cholesterol, BMI)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Disease incidence (e.g., coronary heart disease, stroke)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Panel of genome-wide-significant SNPs associated with the exposure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Publicly available GWAS summary statistics (per-SNP coefficient + SE) for exposure and outcome, ideally from non-overlapping cohorts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No/limited pleiotropy (exclusion restriction) — test via the Egger-regression intercept and the InSIDE assumption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Fisher-weighted and Egger-regression causal estimates side-by-side, an Egger-intercept pleiotropy diagnostic, and a written discussion of the conceptual/biological/technical caveats (Ch. 25.4)</w:t>
            </w:r>
          </w:p>
        </w:tc>
      </w:tr>
    </w:tbl>
    <w:p>
      <w:pPr>
        <w:spacing w:after="200"/>
      </w:pPr>
    </w:p>
    <w:p>
      <w:pPr>
        <w:pBdr>
          <w:top w:val="single" w:color="8A5A00" w:sz="2"/>
          <w:bottom w:val="single" w:color="8A5A00" w:sz="2"/>
          <w:left w:val="single" w:color="8A5A00" w:sz="2"/>
          <w:right w:val="single" w:color="8A5A00" w:sz="2"/>
        </w:pBdr>
        <w:shd w:fill="8A5A00" w:val="clear"/>
        <w:spacing w:after="0" w:before="260"/>
      </w:pPr>
      <w:r>
        <w:rPr>
          <w:b/>
          <w:bCs/>
          <w:color w:val="FFFFFF"/>
          <w:sz w:val="26"/>
          <w:szCs w:val="26"/>
        </w:rPr>
        <w:t xml:space="preserve">  #10   Program Take-Up via Geographic / Access-Based Instrument</w:t>
      </w:r>
    </w:p>
    <w:p>
      <w:pPr>
        <w:spacing w:after="100" w:before="80"/>
      </w:pPr>
      <w:r>
        <w:rPr>
          <w:i/>
          <w:iCs/>
          <w:color w:val="555555"/>
          <w:sz w:val="20"/>
          <w:szCs w:val="20"/>
        </w:rPr>
        <w:t xml:space="preserve">Use distance to a facility, branch, or service point (school, bank, clinic) as an instrument for actually using a program, in the spirit of Card (1993).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60"/>
      </w:tblGrid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Domain / method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Ch. 23 — TSLS with geographic instrument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Treatment (D)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Program take-up / years of use (e.g., years of schooling, microfinance participation, clinic visits)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Outcome (Y)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Downstream economic or welfare outcome (wages, business revenue, health status)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Instrument (Z)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Proximity indicator (grew up near a two-/four-year college; branch opened nearby; distance to nearest clinic)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 needed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Individual/household outcomes plus geocoded distance or proximity measures and demographic controls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assumption to defend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Location/proximity is not itself driven by unobserved factors that also affect the outcome (a known weak point of this design — discuss explicitly, per the chapter's critique of Card, 1993)</w:t>
            </w:r>
          </w:p>
        </w:tc>
      </w:tr>
      <w:tr>
        <w:tc>
          <w:tcPr>
            <w:tcW w:type="dxa" w:w="2200"/>
            <w:shd w:fill="EAEFF5" w:val="clear"/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460"/>
          </w:tcPr>
          <w:p>
            <w:r>
              <w:rPr>
                <w:sz w:val="19"/>
                <w:szCs w:val="19"/>
              </w:rPr>
              <w:t xml:space="preserve">TSLS estimate with extensive covariate controls, plus an explicit limitations section addressing the non-random-location critique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How to Choose Among These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Individual-level data with a binary encouragement/assignment → projects #1–#3 (Ch. 21/22 toolkit).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Individual-level data, continuous or multiple instruments/covariates → projects #4–#6 and #10 (Ch. 23 TSLS toolkit).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running variable with an eligibility cutoff → projects #7–#8 (Ch. 24 fuzzy RD toolkit).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summary statistics across many instruments (e.g., genetic data) → project #9 (Ch. 25 MR toolkit).</w:t>
      </w:r>
    </w:p>
    <w:p>
      <w:pPr>
        <w:spacing w:after="100"/>
      </w:pPr>
      <w:r>
        <w:t xml:space="preserve">Pair your chosen project with the Applicability Checklist document to confirm the design fits, and with the reusable Jupyter template to run the actual estimation.</w:t>
      </w:r>
    </w:p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2026-08-19T21:08:41.440Z</dcterms:created>
  <dcterms:modified xsi:type="dcterms:W3CDTF">2026-08-19T21:08:41.453Z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