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Sports Ticket Classification with Logistic Regression</w:t>
      </w:r>
    </w:p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7"/>
          <w:szCs w:val="17"/>
        </w:rPr>
        <w:t xml:space="preserve">Short name: Bet_LogReg    |    L1-logistic (C=0.05, liblinear) on CLV, public %, line move, hours, stake, home, sport, market.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sportsbook blotter records whether each pre-game wager cashed (Won / Lost). The task is to build an interpretable logistic screen from market-microstructure features, name the house-edge imbalance, and evaluate with a confusion matrix plus ROC — not accuracy alone. The 12,000-row file is synthetic. This is a teaching lab, not a tipping model.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Load sports_tickets.csv. Lost is 61.1% — a book that always fades the customer is already “accurate.”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Dummy-encode sport and market (drop_first); y = 1 if Won. Check ranges: stake in dollars vs CLV in cents.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Fit the lesson spec: 80/20, seed=1, LogisticRegression(C=0.05, penalty='l1', solver='liblinear').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Read signs against desk knowledge: CLV and line-move should raise log-odds; public % should lower them.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Alternates: scaled pipeline, L2, CLV-only card, injury/weather/live, class_weight, threshold as hold %.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Solution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160"/>
      </w:tblGrid>
      <w:tr>
        <w:tc>
          <w:tcPr>
            <w:tcW w:type="dxa" w:w="24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/ cash rate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12,000 / 38.9%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0.627</w:t>
            </w:r>
          </w:p>
        </w:tc>
      </w:tr>
      <w:tr>
        <w:tc>
          <w:tcPr>
            <w:tcW w:type="dxa" w:w="24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Confusion (t=0.5)</w:t>
            </w:r>
          </w:p>
        </w:tc>
        <w:tc>
          <w:tcPr>
            <w:tcW w:type="dxa" w:w="18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1305  146 / 749  200</w:t>
            </w:r>
          </w:p>
        </w:tc>
        <w:tc>
          <w:tcPr>
            <w:tcW w:type="dxa" w:w="24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Won prec / recall</w:t>
            </w:r>
          </w:p>
        </w:tc>
        <w:tc>
          <w:tcPr>
            <w:tcW w:type="dxa" w:w="21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0.58 / 0.21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 AUC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0.633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L1 zeros / intercept</w:t>
            </w:r>
          </w:p>
        </w:tc>
        <w:tc>
          <w:tcPr>
            <w:tcW w:type="dxa" w:w="21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of 12  /  +0.21</w:t>
            </w:r>
          </w:p>
        </w:tc>
      </w:tr>
    </w:tbl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Lift over the Lost baseline (0.611) is about 1.6 accuracy points. line_move and clv_cents lead the positive side; public_pct is negative. Adding injury_star (β ≈ −0.50) edges AUC to ~0.64.</w:t>
      </w:r>
    </w:p>
    <w:p>
      <w:pPr>
        <w:spacing w:after="40" w:before="40"/>
        <w:jc w:val="center"/>
      </w:pPr>
      <w:r>
        <w:drawing>
          <wp:inline distT="0" distB="0" distL="0" distR="0">
            <wp:extent cx="447675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Left: L1 coefficients (zeros dropped). Right: hold-out ROC. t=0.30 raises Won-recall to 0.87 and floods false alarms; t=0.60 is a tiny high-precision hold list.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Accuracy 63% next to a 61% house baseline is a rounding error unless you also show AUC and recall.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CLV is the sharp signature — and it is only known after the close. Using it as a pre-game feature is leakage.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high threshold is a hold/limit policy; a low threshold is a marketing blast. Do not ship the latter.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Good fit: blotter screens, juice education, threshold workshops. Not a fit: live picks, Kelly sizing, targeting losing customers.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 betting advice. Synthetic book. 18+ only in any real-world counterpart.</w:t>
      </w:r>
    </w:p>
    <w:sectPr>
      <w:headerReference w:type="default" r:id="rId7"/>
      <w:footerReference w:type="default" r:id="rId8"/>
      <w:pgSz w:w="12240" w:h="15840" w:orient="portrait"/>
      <w:pgMar w:top="520" w:right="640" w:bottom="52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Bet_LogReg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Bet_LogReg  ·  1-page summary  ·  sports ticket cash model  ·  not betting advice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6ea3841f107c62a0eda8492a0a08fd49f9786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2026-08-29T04:03:26.033Z</dcterms:created>
  <dcterms:modified xsi:type="dcterms:W3CDTF">2026-08-29T04:03:26.034Z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