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32"/>
          <w:szCs w:val="32"/>
        </w:rPr>
        <w:t xml:space="preserve">Incident Priority Classification</w:t>
      </w:r>
    </w:p>
    <w:p>
      <w:pPr>
        <w:spacing w:after="5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incidents.csv  ·  6,799 cleaned RMS codes  ·  Random Forest  ·  short name CrimRisk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Problem Statement</w:t>
      </w:r>
    </w:p>
    <w:p>
      <w:pPr>
        <w:spacing w:after="5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Flag whether a recorded incident is priority (p) or routine (r) from 21 categorical RMS marks (weapon, injury, offense, district, clearance). Missing clearance values are “?”; file-flag is constant; a missed priority case is the costly error. The unit is an incident row — not a person. The extract is synthetic.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Solution Strategy</w:t>
      </w:r>
    </w:p>
    <w:p>
      <w:pPr>
        <w:spacing w:after="5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Recode “?” → “u” in clearance and drop 11 exact duplicates. Plot priority balance, weapon × priority, and district × priority; rank a factorize encoding and draw a 12 × 12 heatmap. Drop file-flag. LabelEncode every remaining column (p→0, r→1). Freeze 80/20 at random_state=42. Fit RandomForestClassifier(random_state=42). Report accuracy, the costly cell, and Gini importances. Compare a decision tree, one-hot logistic regression, a weapon-majority rule, and mutual information. Sweep depth, dropped features, label-flip %, and training n. Gate go-live with the implementation checklist.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Solution</w:t>
      </w:r>
    </w:p>
    <w:p>
      <w:pPr>
        <w:spacing w:after="4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Cleaned frame: 6,799 × 22, 1,848 unknown clearances recoded to u, 11 duplicates dropped, 3,393 priority / 3,406 routine. After dropping file-flag: X_train (5,439 × 20), X_test (1,360 × 20). Default RF test accuracy = 0.773; confusion matrix [[503, 164], [145, 548]] — 164 missed priority cases. Weapon Gini ≈ 0.242, injury ≈ 0.106, offense ≈ 0.087. Weapon-majority rule scores 0.730; one-hot logistic regression (62 dummies) reaches 0.785. Dropping weapon+injury collapses accuracy to ≈ 0.54. Factorize |corr| ranks injury first; Gini and MI restore weapon.</w:t>
      </w:r>
    </w:p>
    <w:p>
      <w:pPr>
        <w:spacing w:after="40" w:before="40"/>
        <w:jc w:val="center"/>
      </w:pPr>
      <w:r>
        <w:drawing>
          <wp:inline distT="0" distB="0" distL="0" distR="0">
            <wp:extent cx="3333750" cy="1628775"/>
            <wp:effectExtent t="0" r="0" b="0" l="0"/>
            <wp:docPr id="1" name="Weapon versus priority" descr="Weapon versus priority" title="Weapon versus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5"/>
          <w:szCs w:val="15"/>
        </w:rPr>
        <w:t xml:space="preserve">Firearm and knife lean priority; no weapon leans routine. Unknown weapon is mixed.</w:t>
      </w:r>
    </w:p>
    <w:p>
      <w:pPr>
        <w:spacing w:after="40" w:before="40"/>
        <w:jc w:val="center"/>
      </w:pPr>
      <w:r>
        <w:drawing>
          <wp:inline distT="0" distB="0" distL="0" distR="0">
            <wp:extent cx="1409700" cy="1247775"/>
            <wp:effectExtent t="0" r="0" b="0" l="0"/>
            <wp:docPr id="1" name="Confusion matrix" descr="Confusion matrix" title="Confus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5"/>
          <w:szCs w:val="15"/>
        </w:rPr>
        <w:t xml:space="preserve">Hold-out CM. Top-right (164) is the costly cell: actual priority, predicted routine.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Weapon is the loud clue in this codebook. District is not.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Treat “?” as its own level. Document that u collides with some manuals’ “unfounded”.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LabelEncoder maps p→0, r→1. Score missed priority, not only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 0.77 hold-out is case triage practice — not a risk score for a person.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Do not add race, ethnicity, or tract proxies. Do not write the flag to a charging file.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Use the implementation checklist (shadow mode, override log, kill switch) before any RMS job.</w:t>
      </w:r>
    </w:p>
    <w:sectPr>
      <w:headerReference w:type="default" r:id="rId7"/>
      <w:footerReference w:type="default" r:id="rId8"/>
      <w:pgSz w:w="12240" w:h="15840" w:orient="portrait"/>
      <w:pgMar w:top="540" w:right="640" w:bottom="54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CrimRisk  · 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CrimRisk  ·  1-page summary  ·  not bail / sentencing / profiling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B5E2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4A14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9f175b0c140ce0e571b5211b4d18dab25a82878.png"/><Relationship Id="rId10" Type="http://schemas.openxmlformats.org/officeDocument/2006/relationships/image" Target="media/ef4a4577d88918b08cf857a0e1e4d38b8e6c5ca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2026-09-09T10:03:59.825Z</dcterms:created>
  <dcterms:modified xsi:type="dcterms:W3CDTF">2026-09-09T10:03:59.826Z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