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Implementation checklist — CrimRisk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Print this. Tick [ ] as you go. Teaching-lab numbers are in parentheses. A live RMS job must replace the random split with a date split and name a human override.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Phase A — Scope (do this before you open Python)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Write the unit of analysis in one sentence: an incident row, not a person.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Name the costly error in one sentence: actual priority predicted routine.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List banned fields: race, ethnicity, religion, immigration status, raw address, tract, school, name.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Name the override role (desk sergeant / crime analyst) and a backup.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Write what the model will never do: bail, charging, sentencing, stop lists.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Get written policy sign-off on the four bullets above.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Phase B — Extract and clean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Inventory source tables and the incident-number join key.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Export a codebook (letter → meaning) next to the CSV.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Count ?, blank, NULL, and 999-style sentinels in every column.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Choose and document the missing policy (this lab: clearance ? → u). Note any code collision.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Deduplicate on incident number first; then check exact feature-vector clones (this lab: 11).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Drop zero-variance columns (this lab: file-flag).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Confirm no banned field slipped in through a join.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Record row counts: raw 6,810 → cleaned 6,799 in the lab.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Phase C — Explore before you fit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Plot class balance (lab: 3,393 priority / 3,406 routine).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Plot the suspected key mark vs label (lab: weapon).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Plot a weak mark vs label so you can show overlap (lab: district).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Build a 12 × 12 factorize heatmap; do not append the target.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Write one sentence on whether |corr| and later Gini agree (lab: they do not — injury vs weapon).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Phase D — Encode, split, baseline, model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LabelEncode every remaining column. Write the class map (lab: p=0, r=1).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If you also fit logistic regression or kNN, one-hot on a copy — do not reuse LE integers.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Lab only: 80/20 random_state=42. Production: split on incident date, never on a shuffled row.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Fit the one-feature majority rule (lab: weapon rule acc 0.730). This is the number to beat.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Fit RandomForestClassifier(random_state=42) (lab: acc 0.773, shapes 5439 / 1360 × 20).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Fit one alternate (lab: DT 0.677, one-hot LR 0.785).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Print the costly cell in absolute counts (lab: 164 missed priority).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Print top-5 Gini and top-5 mutual information. They should mention weapon.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Phase E — Threshold vs desk capacity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Keep predict_proba. Remember class 0 is priority, so use proba[:, 0].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Ask the desk how many extra cases they can review per week.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Sweep 0.50 / 0.40 / 0.30 / 0.20. Record missed priority vs extra alarms.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Pick a cut that fits capacity, not the cut that maximizes accuracy.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Build the 2-feature fallback card (weapon + injury) for incomplete RMS posts.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Phase F — Simulation and drift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Rerun with max_depth 1 / 4 / 8 (lab: ~0.74 / 0.74 / 0.77).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Drop weapon, then weapon+injury (lab: ~0.62 / 0.54). If a live extract loses those fields, stop.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Flip 10% and 20% of train labels to see noisy RMS coding (lab: ~0.75 / 0.72).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Subsample training n = 50 / 200 / 800 (lab: ~0.64 / 0.72 / 0.75).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Schedule a monthly mix check: weapon, injury, offense shares vs the training window.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Phase G — Human review and go-live gates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Rewrite the same matrix for analyst, RMS tech, commander, and public (see the memo).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Stand up shadow mode: model scores, humans decide, flags are not written to charging.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Log every override with a reason code for at least N weeks.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Compare costly-cell counts: human-only vs human+model. Do not go live on accuracy alone.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Name a kill switch owner. Triggers: missingness jump, new offense code, banned field appears.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Legal / policy review signed. Training for the override role completed.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Only then consider writing a *review-queue* flag — never a liberty decision.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4A148C"/>
          <w:sz w:val="22"/>
          <w:szCs w:val="22"/>
        </w:rPr>
        <w:t xml:space="preserve">Phase H — Teaching-lab acceptance (this package)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Skeleton runs once every YOUR CODE HERE is filled.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Solution prints shapes (5439, 20) / (1360, 20) and a 12-column heatmap.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Disclaimer is in the intro cell, the 1-pager, the memo, and this checklist.</w:t>
      </w:r>
    </w:p>
    <w:p>
      <w:pPr>
        <w:spacing w:after="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 ]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Zip name stays short: CrimRisk_Extended_Project.zip.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Gate rule: if any Phase A box is unchecked, do not start Phase B. If any Phase G box is unchecked, do not call the model operational.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Not bail. Not sentencing. Not profiling. Incident triage practice only.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CrimRisk implementation checklist  ·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CrimRisk implementation checklist  ·  step by step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B5E2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4A14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2026-09-09T10:03:59.845Z</dcterms:created>
  <dcterms:modified xsi:type="dcterms:W3CDTF">2026-09-09T10:03:59.845Z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