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 w:line="2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B5E20"/>
          <w:sz w:val="32"/>
          <w:szCs w:val="32"/>
        </w:rPr>
        <w:t xml:space="preserve">Strategy guide — CrimRisk pattern</w:t>
      </w:r>
    </w:p>
    <w:p>
      <w:pPr>
        <w:pStyle w:val="Heading1"/>
        <w:spacing w:after="80" w:before="160"/>
      </w:pPr>
      <w:r>
        <w:rPr>
          <w:rFonts w:ascii="Arial" w:cs="Arial" w:eastAsia="Arial" w:hAnsi="Arial"/>
          <w:b/>
          <w:bCs/>
          <w:color w:val="1B5E20"/>
          <w:sz w:val="26"/>
          <w:szCs w:val="26"/>
        </w:rPr>
        <w:t xml:space="preserve">Use this pattern when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22222"/>
          <w:sz w:val="19"/>
          <w:szCs w:val="19"/>
        </w:rPr>
        <w:t xml:space="preserve">The row is a case or incident with a small codebook, not a person-year.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22222"/>
          <w:sz w:val="19"/>
          <w:szCs w:val="19"/>
        </w:rPr>
        <w:t xml:space="preserve">Missing a priority case is much costlier than an extra desk review.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22222"/>
          <w:sz w:val="19"/>
          <w:szCs w:val="19"/>
        </w:rPr>
        <w:t xml:space="preserve">You need the clean → two plots → encode → tree → costly cell → checklist sequence.</w:t>
      </w:r>
    </w:p>
    <w:p>
      <w:pPr>
        <w:pStyle w:val="Heading1"/>
        <w:spacing w:after="80" w:before="160"/>
      </w:pPr>
      <w:r>
        <w:rPr>
          <w:rFonts w:ascii="Arial" w:cs="Arial" w:eastAsia="Arial" w:hAnsi="Arial"/>
          <w:b/>
          <w:bCs/>
          <w:color w:val="1B5E20"/>
          <w:sz w:val="26"/>
          <w:szCs w:val="26"/>
        </w:rPr>
        <w:t xml:space="preserve">Do not use this pattern when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22222"/>
          <w:sz w:val="19"/>
          <w:szCs w:val="19"/>
        </w:rPr>
        <w:t xml:space="preserve">The question is “will this person offend?” — that is a different (and constrained) literature.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22222"/>
          <w:sz w:val="19"/>
          <w:szCs w:val="19"/>
        </w:rPr>
        <w:t xml:space="preserve">You need calibrated probabilities for a liberty decision.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22222"/>
          <w:sz w:val="19"/>
          <w:szCs w:val="19"/>
        </w:rPr>
        <w:t xml:space="preserve">The only available features are demographics or raw geography.</w:t>
      </w:r>
    </w:p>
    <w:p>
      <w:pPr>
        <w:pStyle w:val="Heading1"/>
        <w:spacing w:after="80" w:before="160"/>
      </w:pPr>
      <w:r>
        <w:rPr>
          <w:rFonts w:ascii="Arial" w:cs="Arial" w:eastAsia="Arial" w:hAnsi="Arial"/>
          <w:b/>
          <w:bCs/>
          <w:color w:val="1B5E20"/>
          <w:sz w:val="26"/>
          <w:szCs w:val="26"/>
        </w:rPr>
        <w:t xml:space="preserve">Recommended vs not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Recommended</w:t>
            </w:r>
          </w:p>
        </w:tc>
        <w:tc>
          <w:tcPr>
            <w:tcW w:type="dxa" w:w="5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Not recommended</w:t>
            </w:r>
          </w:p>
        </w:tc>
      </w:tr>
      <w:tr>
        <w:tc>
          <w:tcPr>
            <w:tcW w:type="dxa" w:w="5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Teaching categorical RF + costly FN</w:t>
            </w:r>
          </w:p>
        </w:tc>
        <w:tc>
          <w:tcPr>
            <w:tcW w:type="dxa" w:w="5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Bail / pretrial / sentencing</w:t>
            </w:r>
          </w:p>
        </w:tc>
      </w:tr>
      <w:tr>
        <w:tc>
          <w:tcPr>
            <w:tcW w:type="dxa" w:w="5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Weapon+injury 2-feature card</w:t>
            </w:r>
          </w:p>
        </w:tc>
        <w:tc>
          <w:tcPr>
            <w:tcW w:type="dxa" w:w="5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Person-level recidivism score</w:t>
            </w:r>
          </w:p>
        </w:tc>
      </w:tr>
      <w:tr>
        <w:tc>
          <w:tcPr>
            <w:tcW w:type="dxa" w:w="5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Shadow mode + override log</w:t>
            </w:r>
          </w:p>
        </w:tc>
        <w:tc>
          <w:tcPr>
            <w:tcW w:type="dxa" w:w="5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Writing the flag to the charging file</w:t>
            </w:r>
          </w:p>
        </w:tc>
      </w:tr>
      <w:tr>
        <w:tc>
          <w:tcPr>
            <w:tcW w:type="dxa" w:w="5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Documenting ? → u collision</w:t>
            </w:r>
          </w:p>
        </w:tc>
        <w:tc>
          <w:tcPr>
            <w:tcW w:type="dxa" w:w="5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Adding race to raise accuracy</w:t>
            </w:r>
          </w:p>
        </w:tc>
      </w:tr>
    </w:tbl>
    <w:p>
      <w:pPr>
        <w:pStyle w:val="Heading1"/>
        <w:spacing w:after="80" w:before="160"/>
      </w:pPr>
      <w:r>
        <w:rPr>
          <w:rFonts w:ascii="Arial" w:cs="Arial" w:eastAsia="Arial" w:hAnsi="Arial"/>
          <w:b/>
          <w:bCs/>
          <w:color w:val="1B5E20"/>
          <w:sz w:val="26"/>
          <w:szCs w:val="26"/>
        </w:rPr>
        <w:t xml:space="preserve">File contract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5280"/>
      </w:tblGrid>
      <w:tr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File</w:t>
            </w:r>
          </w:p>
        </w:tc>
        <w:tc>
          <w:tcPr>
            <w:tcW w:type="dxa" w:w="5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Role</w:t>
            </w:r>
          </w:p>
        </w:tc>
      </w:tr>
      <w:tr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CrimRisk_Practice_Skeleton.ipynb</w:t>
            </w:r>
          </w:p>
        </w:tc>
        <w:tc>
          <w:tcPr>
            <w:tcW w:type="dxa" w:w="5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Student work</w:t>
            </w:r>
          </w:p>
        </w:tc>
      </w:tr>
      <w:tr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CrimRisk_Solution.ipynb</w:t>
            </w:r>
          </w:p>
        </w:tc>
        <w:tc>
          <w:tcPr>
            <w:tcW w:type="dxa" w:w="5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Worked key</w:t>
            </w:r>
          </w:p>
        </w:tc>
      </w:tr>
      <w:tr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CrimRisk_Implementation_Checklist.docx</w:t>
            </w:r>
          </w:p>
        </w:tc>
        <w:tc>
          <w:tcPr>
            <w:tcW w:type="dxa" w:w="5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Go-live gates</w:t>
            </w:r>
          </w:p>
        </w:tc>
      </w:tr>
      <w:tr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data/incidents.csv</w:t>
            </w:r>
          </w:p>
        </w:tc>
        <w:tc>
          <w:tcPr>
            <w:tcW w:type="dxa" w:w="5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synthetic RMS codes</w:t>
            </w:r>
          </w:p>
        </w:tc>
      </w:tr>
      <w:tr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crimrisk_*.png</w:t>
            </w:r>
          </w:p>
        </w:tc>
        <w:tc>
          <w:tcPr>
            <w:tcW w:type="dxa" w:w="5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flowchart + EDA + CM + sim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55555"/>
        <w:sz w:val="16"/>
        <w:szCs w:val="16"/>
      </w:rPr>
      <w:t xml:space="preserve">CrimRisk strategy  ·  </w:t>
    </w:r>
    <w:r>
      <w:rPr>
        <w:rFonts w:ascii="Arial" w:cs="Arial" w:eastAsia="Arial" w:hAnsi="Arial"/>
        <w:color w:val="55555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 w:line="240"/>
      <w:jc w:val="left"/>
    </w:pPr>
    <w:r>
      <w:rPr>
        <w:rFonts w:ascii="Arial" w:cs="Arial" w:eastAsia="Arial" w:hAnsi="Arial"/>
        <w:b w:val="false"/>
        <w:bCs w:val="false"/>
        <w:i w:val="false"/>
        <w:iCs w:val="false"/>
        <w:color w:val="555555"/>
        <w:sz w:val="16"/>
        <w:szCs w:val="16"/>
      </w:rPr>
      <w:t xml:space="preserve">CrimRisk strategy guide  ·  when to reuse this pattern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8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80" w:before="160"/>
      <w:outlineLvl w:val="0"/>
    </w:pPr>
    <w:rPr>
      <w:rFonts w:ascii="Arial" w:cs="Arial" w:eastAsia="Arial" w:hAnsi="Arial"/>
      <w:b/>
      <w:bCs/>
      <w:color w:val="1B5E20"/>
      <w:sz w:val="24"/>
      <w:szCs w:val="24"/>
    </w:rPr>
  </w:style>
  <w:style w:type="paragraph" w:styleId="Heading2">
    <w:name w:val="Heading 2"/>
    <w:basedOn w:val="Normal"/>
    <w:next w:val="Normal"/>
    <w:qFormat/>
    <w:pPr>
      <w:spacing w:after="60" w:before="140"/>
      <w:outlineLvl w:val="1"/>
    </w:pPr>
    <w:rPr>
      <w:rFonts w:ascii="Arial" w:cs="Arial" w:eastAsia="Arial" w:hAnsi="Arial"/>
      <w:b/>
      <w:bCs/>
      <w:color w:val="4A148C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2026-09-09T10:03:59.842Z</dcterms:created>
  <dcterms:modified xsi:type="dcterms:W3CDTF">2026-09-09T10:03:59.842Z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