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Sklearn Gradient-Descent Linear Regression (House Prices)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Extended Optional Lab – C1_W2_Lab05 | Multi-feature prediction with StandardScaler + SGDRegressor</w:t>
      </w:r>
    </w:p>
    <w:p>
      <w:pPr>
        <w:spacing w:after="60" w:before="80"/>
      </w:pPr>
      <w:r>
        <w:rPr>
          <w:b/>
          <w:bCs/>
          <w:color w:val="1F4E79"/>
          <w:sz w:val="22"/>
          <w:szCs w:val="22"/>
        </w:rPr>
        <w:t xml:space="preserve">Problem Statement</w:t>
      </w:r>
    </w:p>
    <w:p>
      <w:pPr>
        <w:spacing w:after="120"/>
      </w:pPr>
      <w:r>
        <w:rPr>
          <w:sz w:val="19"/>
          <w:szCs w:val="19"/>
        </w:rPr>
        <w:t xml:space="preserve">Given 100 houses described by size (sqft), number of bedrooms, number of floors and age, predict selling price (in $1000s). The classic closed-form normal equation works, but the learning objective is to master an iterative, scalable solver—stochastic gradient descent—inside scikit-learn, together with the mandatory z-score normalization that makes SGD converge reliably. The extended lab also asks how sensitive the solution is to noise, sample size and hyper-parameters, and how to communicate results to different audiences.</w:t>
      </w:r>
    </w:p>
    <w:p>
      <w:pPr>
        <w:spacing w:after="60" w:before="80"/>
      </w:pPr>
      <w:r>
        <w:rPr>
          <w:b/>
          <w:bCs/>
          <w:color w:val="1F4E79"/>
          <w:sz w:val="22"/>
          <w:szCs w:val="22"/>
        </w:rPr>
        <w:t xml:space="preserve">Solution Strategy</w:t>
      </w:r>
    </w:p>
    <w:p>
      <w:pPr>
        <w:spacing w:after="120"/>
      </w:pPr>
      <w:r>
        <w:rPr>
          <w:sz w:val="19"/>
          <w:szCs w:val="19"/>
        </w:rPr>
        <w:t xml:space="preserve">1) Load houses.txt → X (n×4), y (n). 2) Fit StandardScaler on training features and transform. 3) Instantiate SGDRegressor(max_iter=1000) and call fit on the normalized matrix. 4) Extract coef_ / intercept_ (normalized scale), predict, compute R² / RMSE. 5) Visualize target-vs-prediction per feature. 6) Provide three alternates (OLS LinearRegression, pure-NumPy batch GD, Pipeline). 7) Monte-Carlo simulation over noise σ and sample size n. 8) Explicit “what the model can / cannot predict” and audience-adaptation notes.</w:t>
      </w:r>
    </w:p>
    <w:p>
      <w:pPr>
        <w:spacing w:after="60" w:before="80"/>
      </w:pPr>
      <w:r>
        <w:rPr>
          <w:b/>
          <w:bCs/>
          <w:color w:val="1F4E79"/>
          <w:sz w:val="22"/>
          <w:szCs w:val="22"/>
        </w:rPr>
        <w:t xml:space="preserve">Solution (Key Results)</w:t>
      </w:r>
    </w:p>
    <w:p>
      <w:pPr>
        <w:spacing w:after="80"/>
      </w:pPr>
      <w:r>
        <w:rPr>
          <w:sz w:val="19"/>
          <w:szCs w:val="19"/>
        </w:rPr>
        <w:t xml:space="preserve">Normalized coefficients ≈ [109.85, –21.08, –32.26, –37.93], intercept ≈ 362.2 (very close to the pure-Python GD lab). Training R² ≈ 0.959, RMSE ≈ $21k. Size is the dominant positive driver; age and floors are strong negative drivers after scaling. A production Pipeline(StandardScaler, SGDRegressor) yields identical scores while eliminating the risk of forgetting to scale at inference time.</w:t>
      </w:r>
    </w:p>
    <w:p>
      <w:pPr>
        <w:spacing w:after="60"/>
        <w:jc w:val="center"/>
      </w:pPr>
      <w:r>
        <w:drawing>
          <wp:inline distT="0" distB="0" distL="0" distR="0">
            <wp:extent cx="4953000" cy="1238250"/>
            <wp:effectExtent t="0" r="0" b="0" l="0"/>
            <wp:docPr id="1" name="pred" descr="Target vs prediction plots" title="Predi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55555"/>
          <w:sz w:val="16"/>
          <w:szCs w:val="16"/>
        </w:rPr>
        <w:t xml:space="preserve">Figure: Target (blue) vs SGD prediction (orange) for each original feature. Strong linear association is visible for size and age.</w:t>
      </w:r>
    </w:p>
    <w:p>
      <w:pPr>
        <w:spacing w:after="40"/>
        <w:jc w:val="center"/>
      </w:pPr>
      <w:r>
        <w:drawing>
          <wp:inline distT="0" distB="0" distL="0" distR="0">
            <wp:extent cx="2667000" cy="1714500"/>
            <wp:effectExtent t="0" r="0" b="0" l="0"/>
            <wp:docPr id="1" name="sim" descr="R2 vs noise" title="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 xml:space="preserve">Monte-Carlo: mean R² falls and variance rises as observation noise σ increases—expected behaviour of any linear model.</w:t>
      </w:r>
    </w:p>
    <w:p>
      <w:pPr>
        <w:spacing w:after="60" w:before="40"/>
      </w:pPr>
      <w:r>
        <w:rPr>
          <w:b/>
          <w:bCs/>
          <w:color w:val="1F4E79"/>
          <w:sz w:val="22"/>
          <w:szCs w:val="22"/>
        </w:rPr>
        <w:t xml:space="preserve">Key Takeaways</w:t>
      </w:r>
    </w:p>
    <w:p>
      <w:pPr>
        <w:spacing w:after="40"/>
      </w:pPr>
      <w:r>
        <w:rPr>
          <w:sz w:val="19"/>
          <w:szCs w:val="19"/>
        </w:rPr>
        <w:t xml:space="preserve">• Feature scaling is not optional for SGD; peak-to-peak ranges must be comparable.</w:t>
      </w:r>
    </w:p>
    <w:p>
      <w:pPr>
        <w:spacing w:after="40"/>
      </w:pPr>
      <w:r>
        <w:rPr>
          <w:sz w:val="19"/>
          <w:szCs w:val="19"/>
        </w:rPr>
        <w:t xml:space="preserve">• Sklearn’s SGDRegressor recovers essentially the same parameters as hand-coded batch GD while scaling to larger data.</w:t>
      </w:r>
    </w:p>
    <w:p>
      <w:pPr>
        <w:spacing w:after="40"/>
      </w:pPr>
      <w:r>
        <w:rPr>
          <w:sz w:val="19"/>
          <w:szCs w:val="19"/>
        </w:rPr>
        <w:t xml:space="preserve">• Always wrap scaler + model in a Pipeline for production; otherwise inference will silently use the wrong scale.</w:t>
      </w:r>
    </w:p>
    <w:p>
      <w:pPr>
        <w:spacing w:after="40"/>
      </w:pPr>
      <w:r>
        <w:rPr>
          <w:sz w:val="19"/>
          <w:szCs w:val="19"/>
        </w:rPr>
        <w:t xml:space="preserve">• The model captures linear relationships inside the training support; it does not extrapolate safely, does not imply causality, and supplies no automatic uncertainty intervals.</w:t>
      </w:r>
    </w:p>
    <w:p>
      <w:pPr>
        <w:spacing w:after="80"/>
      </w:pPr>
      <w:r>
        <w:rPr>
          <w:sz w:val="19"/>
          <w:szCs w:val="19"/>
        </w:rPr>
        <w:t xml:space="preserve">• Report residual diagnostics and the training-data envelope; adapt vocabulary to data-literate vs executive vs non-specialist audiences.</w:t>
      </w:r>
    </w:p>
    <w:p>
      <w:r>
        <w:rPr>
          <w:color w:val="666666"/>
          <w:sz w:val="17"/>
          <w:szCs w:val="17"/>
        </w:rPr>
        <w:t xml:space="preserve">Files: Practice_Skeleton.ipynb | Solution.ipynb | Reusable_Template.ipynb | Cheatsheet | Responsible-Use &amp; Top-10 Applications document.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Sklearn SGD Linear Regression – Extended Lab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b67405b7067d55b28ccb4cc29b03e34ca88145.png"/><Relationship Id="rId10" Type="http://schemas.openxmlformats.org/officeDocument/2006/relationships/image" Target="media/a062cb4b68bd36ce0724274415870db09841e05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2026-08-23T21:34:55.983Z</dcterms:created>
  <dcterms:modified xsi:type="dcterms:W3CDTF">2026-08-23T21:34:55.983Z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