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28"/>
          <w:szCs w:val="28"/>
        </w:rPr>
        <w:t xml:space="preserve">RFM + K-Means Tourism Guest Segmentation</w:t>
      </w:r>
    </w:p>
    <w:p>
      <w:pPr>
        <w:spacing w:after="80" w:line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5"/>
          <w:szCs w:val="15"/>
        </w:rPr>
        <w:t xml:space="preserve">Short name: TourRFM   ·   Booking extract (14,354 lines → 3,111 guests)   ·   Dec 2010–Dec 2011</w:t>
      </w:r>
    </w:p>
    <w:p>
      <w:pPr>
        <w:pStyle w:val="Heading1"/>
        <w:spacing w:after="4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Problem Statement</w:t>
      </w:r>
    </w:p>
    <w:p>
      <w:pPr>
        <w:spacing w:after="5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A hotel / DMO book has stay-level activity and needs guest groups it can treat differently — protect loyalists, convert first-timers, win back coolers — without a labelled training set. Line items are the wrong grain: seven suite nights is one stay, not seven guests. Missing GuestID (~22%) and cancellations cannot join a segment. Monetary is right-skewed (group allotments), so raw-scale K-Means would be a wholesale detector, not a behaviour model.</w:t>
      </w:r>
    </w:p>
    <w:p>
      <w:pPr>
        <w:pStyle w:val="Heading1"/>
        <w:spacing w:after="4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Solution Strategy</w:t>
      </w:r>
    </w:p>
    <w:p>
      <w:pPr>
        <w:spacing w:after="5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Clean to stayed nights (drop NA GuestID, Quantity &gt; 0, UnitRate &gt; 0). Collapse to Recency / Frequency / Monetary against snapshot = max(StayDate)+1 day. Compress skew with log1p, z-score, choose k from elbow + silhouette + treatment capacity, fit K-Means (k=4, n_init=10, seed=42), name bins from median R/F/M in dollars and days, and use PCA only as a 2-D slide (97% of scaled variance).</w:t>
      </w:r>
    </w:p>
    <w:p>
      <w:pPr>
        <w:pStyle w:val="Heading1"/>
        <w:spacing w:after="4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Solution</w:t>
      </w:r>
    </w:p>
    <w:p>
      <w:pPr>
        <w:spacing w:after="5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8"/>
          <w:szCs w:val="18"/>
        </w:rPr>
        <w:t xml:space="preserve">Clean book: 10,857 stayed lines, 3,111 guests, $3.88M spend. RFM medians — Recency 105 days, Frequency 2 bookings, Monetary $179 (mean $1,247; max $123k). Elbow flattens after k=4; silhouette ~0.51. PCA: PC1 76% (+F +M −R), PC2 21% (recency contrast).</w:t>
      </w:r>
    </w:p>
    <w:tbl>
      <w:tblPr>
        <w:tblW w:type="dxa" w:w="94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1000"/>
        <w:gridCol w:w="1100"/>
        <w:gridCol w:w="3700"/>
      </w:tblGrid>
      <w:tr>
        <w:tc>
          <w:tcPr>
            <w:tcW w:type="dxa" w:w="28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 (k=4)</w:t>
            </w:r>
          </w:p>
        </w:tc>
        <w:tc>
          <w:tcPr>
            <w:tcW w:type="dxa" w:w="8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0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guests</w:t>
            </w:r>
          </w:p>
        </w:tc>
        <w:tc>
          <w:tcPr>
            <w:tcW w:type="dxa" w:w="11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spend</w:t>
            </w:r>
          </w:p>
        </w:tc>
        <w:tc>
          <w:tcPr>
            <w:tcW w:type="dxa" w:w="37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 R / F / $</w:t>
            </w:r>
          </w:p>
        </w:tc>
      </w:tr>
      <w:tr>
        <w:tc>
          <w:tcPr>
            <w:tcW w:type="dxa" w:w="28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Loyal / repeat (cl. 0)</w:t>
            </w:r>
          </w:p>
        </w:tc>
        <w:tc>
          <w:tcPr>
            <w:tcW w:type="dxa" w:w="8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511</w:t>
            </w:r>
          </w:p>
        </w:tc>
        <w:tc>
          <w:tcPr>
            <w:tcW w:type="dxa" w:w="10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16.4</w:t>
            </w:r>
          </w:p>
        </w:tc>
        <w:tc>
          <w:tcPr>
            <w:tcW w:type="dxa" w:w="11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82.0</w:t>
            </w:r>
          </w:p>
        </w:tc>
        <w:tc>
          <w:tcPr>
            <w:tcW w:type="dxa" w:w="37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12 d / 11 bk / $3,369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Recent first-timers (cl. 3)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600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19.3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2.4</w:t>
            </w:r>
          </w:p>
        </w:tc>
        <w:tc>
          <w:tcPr>
            <w:tcW w:type="dxa" w:w="3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14 d / 2 bk / $110</w:t>
            </w:r>
          </w:p>
        </w:tc>
      </w:tr>
      <w:tr>
        <w:tc>
          <w:tcPr>
            <w:tcW w:type="dxa" w:w="2800"/>
            <w:shd w:fill="FEF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Cooling repeaters (cl. 1)</w:t>
            </w:r>
          </w:p>
        </w:tc>
        <w:tc>
          <w:tcPr>
            <w:tcW w:type="dxa" w:w="800"/>
            <w:shd w:fill="FEF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824</w:t>
            </w:r>
          </w:p>
        </w:tc>
        <w:tc>
          <w:tcPr>
            <w:tcW w:type="dxa" w:w="1000"/>
            <w:shd w:fill="FEF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26.5</w:t>
            </w:r>
          </w:p>
        </w:tc>
        <w:tc>
          <w:tcPr>
            <w:tcW w:type="dxa" w:w="1100"/>
            <w:shd w:fill="FEF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13.3</w:t>
            </w:r>
          </w:p>
        </w:tc>
        <w:tc>
          <w:tcPr>
            <w:tcW w:type="dxa" w:w="3700"/>
            <w:shd w:fill="FEF9E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109 d / 3 bk / $487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Lost / lapsed (cl. 2)</w:t>
            </w:r>
          </w:p>
        </w:tc>
        <w:tc>
          <w:tcPr>
            <w:tcW w:type="dxa" w:w="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1,176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37.8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2.2</w:t>
            </w:r>
          </w:p>
        </w:tc>
        <w:tc>
          <w:tcPr>
            <w:tcW w:type="dxa" w:w="37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233 d / 1 bk / $56</w:t>
            </w:r>
          </w:p>
        </w:tc>
      </w:tr>
    </w:tbl>
    <w:p>
      <w:pPr>
        <w:spacing w:after="40" w:before="40"/>
        <w:jc w:val="center"/>
      </w:pPr>
      <w:r>
        <w:drawing>
          <wp:inline distT="0" distB="0" distL="0" distR="0">
            <wp:extent cx="295275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40" w:before="8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Log first, then scale. Clustering raw Monetary is a group-allotment detector.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Name clusters from original-unit medians. Cluster integers shuffle with seed and 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16% of guests produce 82% of observed spend — protect loyalists; cooling repeaters are the cheapest win-back.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PCA is a picture (97% in 2-D here), not the model. Frequency must be nunique(BookingNo), not night count.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Not a yield engine and not an STR filing. Refit before quoting another property’s k.</w:t>
      </w:r>
    </w:p>
    <w:sectPr>
      <w:headerReference w:type="default" r:id="rId7"/>
      <w:footerReference w:type="default" r:id="rId8"/>
      <w:pgSz w:w="12240" w:h="15840" w:orient="portrait"/>
      <w:pgMar w:top="560" w:right="640" w:bottom="56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left"/>
    </w:pPr>
    <w:r>
      <w:rPr>
        <w:rFonts w:ascii="Arial" w:cs="Arial" w:eastAsia="Arial" w:hAnsi="Arial"/>
        <w:b w:val="false"/>
        <w:bCs w:val="false"/>
        <w:i/>
        <w:iCs/>
        <w:color w:val="888888"/>
        <w:sz w:val="13"/>
        <w:szCs w:val="13"/>
      </w:rPr>
      <w:t xml:space="preserve">Not a yield engine. Cluster ids are arbitrary — name bins from original-unit medians.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4"/>
        <w:szCs w:val="14"/>
      </w:rPr>
      <w:t xml:space="preserve">TourRFM  ·  RFM + K-Means Tourism Segmentation  ·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100"/>
      <w:outlineLvl w:val="0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4024802c540aaa02e9d12da103131798fff920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2026-09-09T06:49:54.138Z</dcterms:created>
  <dcterms:modified xsi:type="dcterms:W3CDTF">2026-09-09T06:49:54.138Z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