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B4F72"/>
          <w:sz w:val="36"/>
          <w:szCs w:val="36"/>
        </w:rPr>
        <w:t xml:space="preserve">Strategy guide</w:t>
      </w:r>
    </w:p>
    <w:p>
      <w:pPr>
        <w:spacing w:after="160" w:lin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6655"/>
          <w:sz w:val="22"/>
          <w:szCs w:val="22"/>
        </w:rPr>
        <w:t xml:space="preserve">When tourism RFM + K-Means is the right next project — and when it is not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have identifiable guests, stay timestamps, and a money column.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grain of the raw file is a night / ticket / add-on, not a guest.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Nobody will give you a labelled “segment” column, but CRM can fund 3–5 treatments.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business already talks in recency / loyalty / guest value.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Do not use this pattern when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The question is “will this guest cancel / no-show?” — that is a supervised label (see LogReg_Tour).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only have anonymous website sessions. RFM needs a stable GuestID.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You want a yield / BAR recommendation. Those use occupancy and a different owner.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Legal needs an explainable scorecard with monotonic bins, not a centroid.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Recommended / not recommended</w:t>
      </w:r>
    </w:p>
    <w:tbl>
      <w:tblPr>
        <w:tblW w:type="dxa" w:w="9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200"/>
      </w:tblGrid>
      <w:tr>
        <w:tc>
          <w:tcPr>
            <w:tcW w:type="dxa" w:w="2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18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5200"/>
            <w:shd w:fill="1B4F72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8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Hotel / resort CRM</w:t>
            </w:r>
          </w:p>
        </w:tc>
        <w:tc>
          <w:tcPr>
            <w:tcW w:type="dxa" w:w="18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5200"/>
            <w:shd w:fill="E8F8F5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RFM was built for this grain.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DMO / destination book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Adapt</w:t>
            </w:r>
          </w:p>
        </w:tc>
        <w:tc>
          <w:tcPr>
            <w:tcW w:type="dxa" w:w="5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Frequency = distinct trips; Monetary = in-market spend if you have it.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OTA / tour-operator ledger</w:t>
            </w:r>
          </w:p>
        </w:tc>
        <w:tc>
          <w:tcPr>
            <w:tcW w:type="dxa" w:w="1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Adapt</w:t>
            </w:r>
          </w:p>
        </w:tc>
        <w:tc>
          <w:tcPr>
            <w:tcW w:type="dxa" w:w="52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 BookingNo as the visit key; watch wholesale whales.</w:t>
            </w:r>
          </w:p>
        </w:tc>
      </w:tr>
      <w:tr>
        <w:tc>
          <w:tcPr>
            <w:tcW w:type="dxa" w:w="2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Cancellation / no-show PD</w:t>
            </w:r>
          </w:p>
        </w:tc>
        <w:tc>
          <w:tcPr>
            <w:tcW w:type="dxa" w:w="18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Not recommended</w:t>
            </w:r>
          </w:p>
        </w:tc>
        <w:tc>
          <w:tcPr>
            <w:tcW w:type="dxa" w:w="520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You have a label. Use logistic regression, not K-Means.</w:t>
            </w:r>
          </w:p>
        </w:tc>
      </w:tr>
      <w:tr>
        <w:tc>
          <w:tcPr>
            <w:tcW w:type="dxa" w:w="2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Daily BAR / yield</w:t>
            </w:r>
          </w:p>
        </w:tc>
        <w:tc>
          <w:tcPr>
            <w:tcW w:type="dxa" w:w="18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Not recommended</w:t>
            </w:r>
          </w:p>
        </w:tc>
        <w:tc>
          <w:tcPr>
            <w:tcW w:type="dxa" w:w="5200"/>
            <w:shd w:fill="EAF2F8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Wrong features, wrong owner, wrong standard of evidence.</w:t>
            </w:r>
          </w:p>
        </w:tc>
      </w:tr>
    </w:tbl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Design choices that matter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Window: full-period Monetary rewards tenure. A trailing 180-day rebuild is the fairness check.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Cancellations: Quantity &gt; 0 drops them. Net spend if you must, then clip at 0.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k: elbow is clean at 4 here. Let treatment capacity break ties on messier books.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Scaler: persist μ and σ. A new guest is log1p’d and scored with the training scaler.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Names: store a mapping table. Never ship `if cluster == 0: elite = True`.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How to clone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Copy TourRFM_Reusable_Template.ipynb. Point PATH and the five column names.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Confirm datetime format (this extract is dd.mm.yyyy HH:MM).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Re-run elbow. Do not import k=4 as doctrine.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Rewrite the four audience sentences. Keep the disclaimer.</w:t>
      </w:r>
    </w:p>
    <w:p>
      <w:pPr>
        <w:pStyle w:val="Heading1"/>
        <w:spacing w:after="70" w:before="18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Good-fit vs limitations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Good fit: sharp spend concentration, 97% of scaled variance in 2-D, four names a GM will accept.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Limitation: synthetic extract; dollars; one year; no channel, occupancy, or ADR.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Limitation: stay spend ≠ contribution. A high-spend guest on a wholesale rate can still be unprofitable.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TourRFM strategy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TourRFM strategy guide  ·  when to clone this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70" w:before="180"/>
      <w:outlineLvl w:val="0"/>
    </w:pPr>
    <w:rPr>
      <w:rFonts w:ascii="Arial" w:cs="Arial" w:eastAsia="Arial" w:hAnsi="Arial"/>
      <w:b/>
      <w:bCs/>
      <w:color w:val="1B4F7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0E66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2026-09-09T06:49:54.151Z</dcterms:created>
  <dcterms:modified xsi:type="dcterms:W3CDTF">2026-09-09T06:49:54.151Z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