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276"/>
        </w:rPr>
        <w:t>Credit Scoring with Logistic Regression – 1-Page Summary Report</w:t>
      </w:r>
    </w:p>
    <w:p>
      <w:pPr>
        <w:pStyle w:val="Heading2"/>
      </w:pPr>
      <w:r>
        <w:rPr>
          <w:color w:val="1A5276"/>
        </w:rPr>
        <w:t>Problem Statement</w:t>
      </w:r>
    </w:p>
    <w:p>
      <w:r>
        <w:rPr>
          <w:sz w:val="19"/>
        </w:rPr>
        <w:t xml:space="preserve">A retail bank needs a transparent model that converts an applicant’s Debt-to-Income (DTI) ratio into a </w:t>
      </w:r>
      <w:r>
        <w:rPr>
          <w:i/>
        </w:rPr>
        <w:t>probability of default</w:t>
      </w:r>
      <w:r>
        <w:t>. The logistic regression model representation \( f_{w,b}(x) = \sigma(wx + b) \) supplies that probability. With a small illustrative data set the analyst must implement the sigmoid, form the probability curve, choose a decision threshold, and examine how credit-policy levers (w, b, threshold) affect the share of applicants that would be declined.</w:t>
      </w:r>
    </w:p>
    <w:p>
      <w:pPr>
        <w:pStyle w:val="Heading2"/>
      </w:pPr>
      <w:r>
        <w:rPr>
          <w:color w:val="1A5276"/>
        </w:rPr>
        <w:t>Solution Strategy</w:t>
      </w:r>
    </w:p>
    <w:p>
      <w:pPr>
        <w:pStyle w:val="ListBullet"/>
      </w:pPr>
      <w:r>
        <w:t>Define binary training data (DTI feature, default label 0/1) and visualise the outcomes.</w:t>
      </w:r>
    </w:p>
    <w:p>
      <w:pPr>
        <w:pStyle w:val="ListBullet"/>
      </w:pPr>
      <w:r>
        <w:t>Implement the sigmoid σ(z) = 1/(1+e^(−z)) and verify its limiting behaviour.</w:t>
      </w:r>
    </w:p>
    <w:p>
      <w:pPr>
        <w:pStyle w:val="ListBullet"/>
      </w:pPr>
      <w:r>
        <w:t>Build the logistic model f_w,b(x) = σ(wx + b) and plot the resulting probability curve together with the decision boundary.</w:t>
      </w:r>
    </w:p>
    <w:p>
      <w:pPr>
        <w:pStyle w:val="ListBullet"/>
      </w:pPr>
      <w:r>
        <w:t>Convert probabilities into hard decisions via a configurable threshold (risk appetite).</w:t>
      </w:r>
    </w:p>
    <w:p>
      <w:pPr>
        <w:pStyle w:val="ListBullet"/>
      </w:pPr>
      <w:r>
        <w:t>Provide vectorized and optional scipy alternatives; add residual/accuracy checks.</w:t>
      </w:r>
    </w:p>
    <w:p>
      <w:pPr>
        <w:pStyle w:val="ListBullet"/>
      </w:pPr>
      <w:r>
        <w:t>Run a simulation that lets the user change w, b and the threshold and immediately see the impact on approval rate.</w:t>
      </w:r>
    </w:p>
    <w:p>
      <w:pPr>
        <w:pStyle w:val="Heading2"/>
      </w:pPr>
      <w:r>
        <w:rPr>
          <w:color w:val="1A5276"/>
        </w:rPr>
        <w:t>Solution</w:t>
      </w:r>
    </w:p>
    <w:p>
      <w:r>
        <w:t>With parameters w = 2.0, b = −4.0 the model yields a decision boundary at DTI ≈ 2.0. At threshold 0.5 the six training applicants are classified perfectly (accuracy 100 %). New applicants with DTI = 0.8 / 1.8 / 2.7 receive probabilities 0.08 / 0.40 / 0.80 and are labelled LOW / LOW / HIGH risk respectively. Raising the threshold from 0.3 to 0.7 reduces the number of high-risk flags from 3 to 2 out of 6, illustrating the classic risk–volume trade-off.</w:t>
      </w:r>
    </w:p>
    <w:p>
      <w:r>
        <w:drawing>
          <wp:inline xmlns:a="http://schemas.openxmlformats.org/drawingml/2006/main" xmlns:pic="http://schemas.openxmlformats.org/drawingml/2006/picture">
            <wp:extent cx="5120640" cy="6396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dit_scoring_logistic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39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– Workflow flowchart</w:t>
      </w:r>
    </w:p>
    <w:p>
      <w:r>
        <w:drawing>
          <wp:inline xmlns:a="http://schemas.openxmlformats.org/drawingml/2006/main" xmlns:pic="http://schemas.openxmlformats.org/drawingml/2006/picture">
            <wp:extent cx="5120640" cy="3496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dit_scoring_probability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96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– Probability curve and decision boundary</w:t>
      </w:r>
    </w:p>
    <w:p>
      <w:r>
        <w:drawing>
          <wp:inline xmlns:a="http://schemas.openxmlformats.org/drawingml/2006/main" xmlns:pic="http://schemas.openxmlformats.org/drawingml/2006/picture">
            <wp:extent cx="5120640" cy="34964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dit_scoring_simu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96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– Credit-policy simulation (threshold &amp; boundary)</w:t>
      </w:r>
    </w:p>
    <w:p>
      <w:pPr>
        <w:pStyle w:val="Heading2"/>
      </w:pPr>
      <w:r>
        <w:rPr>
          <w:color w:val="1A5276"/>
        </w:rPr>
        <w:t>Key Takeaways</w:t>
      </w:r>
    </w:p>
    <w:p>
      <w:pPr>
        <w:pStyle w:val="ListBullet"/>
      </w:pPr>
      <w:r>
        <w:t>Logistic regression maps a linear credit score into a well-calibrated probability of default via the sigmoid.</w:t>
      </w:r>
    </w:p>
    <w:p>
      <w:pPr>
        <w:pStyle w:val="ListBullet"/>
      </w:pPr>
      <w:r>
        <w:t>The decision threshold is the primary policy lever that translates model output into approve/reject (or high-risk pricing) actions.</w:t>
      </w:r>
    </w:p>
    <w:p>
      <w:pPr>
        <w:pStyle w:val="ListBullet"/>
      </w:pPr>
      <w:r>
        <w:t>Changing w or b moves the entire probability curve and therefore the location of the decision boundary on the DTI axis.</w:t>
      </w:r>
    </w:p>
    <w:p>
      <w:pPr>
        <w:pStyle w:val="ListBullet"/>
      </w:pPr>
      <w:r>
        <w:t>A simple simulation of threshold and parameter changes quickly communicates the volume-versus-risk trade-off to Credit Committees.</w:t>
      </w:r>
    </w:p>
    <w:p>
      <w:pPr>
        <w:pStyle w:val="ListBullet"/>
      </w:pPr>
      <w:r>
        <w:t>This notebook is pedagogical; production PD models are estimated on large historical portfolios under strict regulatory governance.</w:t>
      </w:r>
    </w:p>
    <w:sectPr w:rsidR="00FC693F" w:rsidRPr="0006063C" w:rsidSect="00034616"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