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276"/>
        </w:rPr>
        <w:t>Feature Engineering Techniques – 1-Page Summary Report</w:t>
      </w:r>
    </w:p>
    <w:p>
      <w:pPr>
        <w:pStyle w:val="Heading2"/>
      </w:pPr>
      <w:r>
        <w:rPr>
          <w:color w:val="1A5276"/>
        </w:rPr>
        <w:t>Problem Statement</w:t>
      </w:r>
    </w:p>
    <w:p>
      <w:r>
        <w:t>Raw applicant attributes (income, debt, age, employment, credit limits, …) are rarely optimal inputs for a credit-scoring or probability-of-default model. Feature engineering turns those raw fields into ratios, scaled variables, bins, encodings and interactions that carry clearer signal and behave better for linear and tree-based models.</w:t>
      </w:r>
    </w:p>
    <w:p>
      <w:pPr>
        <w:pStyle w:val="Heading2"/>
      </w:pPr>
      <w:r>
        <w:rPr>
          <w:color w:val="1A5276"/>
        </w:rPr>
        <w:t>Solution Strategy</w:t>
      </w:r>
    </w:p>
    <w:p>
      <w:pPr>
        <w:pStyle w:val="ListBullet"/>
      </w:pPr>
      <w:r>
        <w:t>Create a small but realistic synthetic credit portfolio with controlled missingness.</w:t>
      </w:r>
    </w:p>
    <w:p>
      <w:pPr>
        <w:pStyle w:val="ListBullet"/>
      </w:pPr>
      <w:r>
        <w:t>Derive classic domain features: DTI, utilisation, log-income, credit age.</w:t>
      </w:r>
    </w:p>
    <w:p>
      <w:pPr>
        <w:pStyle w:val="ListBullet"/>
      </w:pPr>
      <w:r>
        <w:t>Apply numerical transforms: standard / min-max scaling and quantile / custom binning.</w:t>
      </w:r>
    </w:p>
    <w:p>
      <w:pPr>
        <w:pStyle w:val="ListBullet"/>
      </w:pPr>
      <w:r>
        <w:t>Encode the categorical employment variable (one-hot, ordinal, simple target encoding).</w:t>
      </w:r>
    </w:p>
    <w:p>
      <w:pPr>
        <w:pStyle w:val="ListBullet"/>
      </w:pPr>
      <w:r>
        <w:t>Add interaction and polynomial terms that domain experts often find useful.</w:t>
      </w:r>
    </w:p>
    <w:p>
      <w:pPr>
        <w:pStyle w:val="ListBullet"/>
      </w:pPr>
      <w:r>
        <w:t>Flag missing values and perform simple median / mode imputation.</w:t>
      </w:r>
    </w:p>
    <w:p>
      <w:pPr>
        <w:pStyle w:val="ListBullet"/>
      </w:pPr>
      <w:r>
        <w:t>Assemble a final numeric feature matrix and inspect correlations with default.</w:t>
      </w:r>
    </w:p>
    <w:p>
      <w:pPr>
        <w:pStyle w:val="ListBullet"/>
      </w:pPr>
      <w:r>
        <w:t>Provide a simulation that lets the user change bin count, scaling method and interactions.</w:t>
      </w:r>
    </w:p>
    <w:p>
      <w:pPr>
        <w:pStyle w:val="Heading2"/>
      </w:pPr>
      <w:r>
        <w:rPr>
          <w:color w:val="1A5276"/>
        </w:rPr>
        <w:t>Solution</w:t>
      </w:r>
    </w:p>
    <w:p>
      <w:r>
        <w:t>On a 40-applicant synthetic book the engineered features show clear relationships with default (utilisation², employment encoding and missingness indicators rank among the strongest). Default rate rises from 0 % in the lowest DTI bin to ~40 % in the highest bins. A high-utilisation flag (utilisation &gt; 0.7) doubles the observed default rate (20 % → 50 %). Scaling produces well-centred distributions ready for regularised models; binning creates monotonic risk segments that are easy to explain to credit committees.</w:t>
      </w:r>
    </w:p>
    <w:p>
      <w:r>
        <w:drawing>
          <wp:inline xmlns:a="http://schemas.openxmlformats.org/drawingml/2006/main" xmlns:pic="http://schemas.openxmlformats.org/drawingml/2006/picture">
            <wp:extent cx="5029200" cy="6536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engineering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36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– Feature-engineering workflow</w:t>
      </w:r>
    </w:p>
    <w:p>
      <w:r>
        <w:drawing>
          <wp:inline xmlns:a="http://schemas.openxmlformats.org/drawingml/2006/main" xmlns:pic="http://schemas.openxmlformats.org/drawingml/2006/picture">
            <wp:extent cx="5029200" cy="1436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eng_scaling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– Effect of Standard vs MinMax scaling on DTI</w:t>
      </w:r>
    </w:p>
    <w:p>
      <w:r>
        <w:drawing>
          <wp:inline xmlns:a="http://schemas.openxmlformats.org/drawingml/2006/main" xmlns:pic="http://schemas.openxmlformats.org/drawingml/2006/picture">
            <wp:extent cx="5029200" cy="2898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eng_dti_bin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– Default rate by DTI bin (business-friendly view)</w:t>
      </w:r>
    </w:p>
    <w:p>
      <w:pPr>
        <w:pStyle w:val="Heading2"/>
      </w:pPr>
      <w:r>
        <w:rPr>
          <w:color w:val="1A5276"/>
        </w:rPr>
        <w:t>Key Takeaways</w:t>
      </w:r>
    </w:p>
    <w:p>
      <w:pPr>
        <w:pStyle w:val="ListBullet"/>
      </w:pPr>
      <w:r>
        <w:t>Domain-derived ratios (DTI, utilisation) almost always outperform the raw dollar amounts that created them.</w:t>
      </w:r>
    </w:p>
    <w:p>
      <w:pPr>
        <w:pStyle w:val="ListBullet"/>
      </w:pPr>
      <w:r>
        <w:t>Scaling is essential for distance-based and regularised linear models; binning is valuable for both modelling and business communication.</w:t>
      </w:r>
    </w:p>
    <w:p>
      <w:pPr>
        <w:pStyle w:val="ListBullet"/>
      </w:pPr>
      <w:r>
        <w:t>Simple target encoding can be powerful but must be nested inside cross-validation to avoid leakage.</w:t>
      </w:r>
    </w:p>
    <w:p>
      <w:pPr>
        <w:pStyle w:val="ListBullet"/>
      </w:pPr>
      <w:r>
        <w:t>Missing-value indicators often carry signal (the fact that a field is missing can itself be predictive).</w:t>
      </w:r>
    </w:p>
    <w:p>
      <w:pPr>
        <w:pStyle w:val="ListBullet"/>
      </w:pPr>
      <w:r>
        <w:t>A short simulation of bin count / scaling choice quickly shows stakeholders how engineering decisions change risk segmentation.</w:t>
      </w:r>
    </w:p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