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22"/>
          <w:szCs w:val="22"/>
        </w:rPr>
        <w:t xml:space="preserve">TO:		</w:t>
      </w:r>
      <w:r>
        <w:rPr>
          <w:rFonts w:ascii="Arial" w:cs="Arial" w:eastAsia="Arial" w:hAnsi="Arial"/>
          <w:sz w:val="22"/>
          <w:szCs w:val="22"/>
        </w:rPr>
        <w:t xml:space="preserve">Leadership Team &amp; Resource Allocation Committee</w:t>
      </w:r>
    </w:p>
    <w:p>
      <w:pPr>
        <w:spacing w:after="60"/>
      </w:pPr>
      <w:r>
        <w:rPr>
          <w:rFonts w:ascii="Arial" w:cs="Arial" w:eastAsia="Arial" w:hAnsi="Arial"/>
          <w:b/>
          <w:bCs/>
          <w:sz w:val="22"/>
          <w:szCs w:val="22"/>
        </w:rPr>
        <w:t xml:space="preserve">FROM:		</w:t>
      </w:r>
      <w:r>
        <w:rPr>
          <w:rFonts w:ascii="Arial" w:cs="Arial" w:eastAsia="Arial" w:hAnsi="Arial"/>
          <w:sz w:val="22"/>
          <w:szCs w:val="22"/>
        </w:rPr>
        <w:t xml:space="preserve">Data Analytics Unit</w:t>
      </w:r>
    </w:p>
    <w:p>
      <w:pPr>
        <w:spacing w:after="60"/>
      </w:pPr>
      <w:r>
        <w:rPr>
          <w:rFonts w:ascii="Arial" w:cs="Arial" w:eastAsia="Arial" w:hAnsi="Arial"/>
          <w:b/>
          <w:bCs/>
          <w:sz w:val="22"/>
          <w:szCs w:val="22"/>
        </w:rPr>
        <w:t xml:space="preserve">DATE:		</w:t>
      </w:r>
      <w:r>
        <w:rPr>
          <w:rFonts w:ascii="Arial" w:cs="Arial" w:eastAsia="Arial" w:hAnsi="Arial"/>
          <w:sz w:val="22"/>
          <w:szCs w:val="22"/>
        </w:rPr>
        <w:t xml:space="preserve">August 17, 2026</w:t>
      </w:r>
    </w:p>
    <w:p>
      <w:pPr>
        <w:pBdr>
          <w:bottom w:val="single" w:color="CCCCCC" w:sz="6" w:space="8"/>
        </w:pBdr>
        <w:spacing w:after="200"/>
      </w:pPr>
      <w:r>
        <w:rPr>
          <w:rFonts w:ascii="Arial" w:cs="Arial" w:eastAsia="Arial" w:hAnsi="Arial"/>
          <w:b/>
          <w:bCs/>
          <w:sz w:val="22"/>
          <w:szCs w:val="22"/>
        </w:rPr>
        <w:t xml:space="preserve">SUBJECT:	</w:t>
      </w:r>
      <w:r>
        <w:rPr>
          <w:rFonts w:ascii="Arial" w:cs="Arial" w:eastAsia="Arial" w:hAnsi="Arial"/>
          <w:sz w:val="22"/>
          <w:szCs w:val="22"/>
        </w:rPr>
        <w:t xml:space="preserve">Identification of High-Vulnerability Counties Using U.S. Census Data – Findings &amp; Recommendations</w:t>
      </w:r>
    </w:p>
    <w:p>
      <w:pPr>
        <w:spacing w:after="200"/>
      </w:pPr>
      <w:r>
        <w:rPr>
          <w:sz w:val="22"/>
          <w:szCs w:val="22"/>
        </w:rPr>
        <w:t xml:space="preserve">This memorandum summarizes the results of our Module 2 analysis project that leveraged the U.S. Census API to identify communities most in need of targeted support. The work produces a transparent, multi-factor vulnerability score and a priority ranking that can guide near-term resource allocation decisions.</w:t>
      </w:r>
    </w:p>
    <w:p>
      <w:pPr>
        <w:pStyle w:val="Heading1"/>
      </w:pPr>
      <w:r>
        <w:t xml:space="preserve">1. Purpose &amp; Scope</w:t>
      </w:r>
    </w:p>
    <w:p>
      <w:pPr>
        <w:spacing w:after="160"/>
      </w:pPr>
      <w:r>
        <w:t xml:space="preserve">Our non-profit seeks to allocate limited resources to the most vulnerable communities. Using publicly available census data at the county level, we constructed a composite vulnerability metric that jointly considers overall poverty, child poverty concentration, and employment conditions. The analysis covers all counties returned by the authenticated Census endpoint and produces both continuous scores and discrete priority categories.</w:t>
      </w:r>
    </w:p>
    <w:p>
      <w:pPr>
        <w:pStyle w:val="Heading1"/>
      </w:pPr>
      <w:r>
        <w:t xml:space="preserve">2. Methodology Summary</w:t>
      </w:r>
    </w:p>
    <w:p>
      <w:pPr>
        <w:pStyle w:val="ListParagraph"/>
        <w:numPr>
          <w:ilvl w:val="0"/>
          <w:numId w:val="2"/>
        </w:numPr>
      </w:pPr>
      <w:r>
        <w:t xml:space="preserve">Data acquisition via authenticated Census API; response parsed into a pandas DataFrame.</w:t>
      </w:r>
    </w:p>
    <w:p>
      <w:pPr>
        <w:pStyle w:val="ListParagraph"/>
        <w:numPr>
          <w:ilvl w:val="0"/>
          <w:numId w:val="2"/>
        </w:numPr>
      </w:pPr>
      <w:r>
        <w:t xml:space="preserve">Cleaning: removal of incomplete records and conversion of numeric fields to nullable Int64.</w:t>
      </w:r>
    </w:p>
    <w:p>
      <w:pPr>
        <w:pStyle w:val="ListParagraph"/>
        <w:numPr>
          <w:ilvl w:val="0"/>
          <w:numId w:val="2"/>
        </w:numPr>
      </w:pPr>
      <w:r>
        <w:t xml:space="preserve">Derived features: total poverty rate, under-5 poverty rate, over-75 poverty rate, employment rate, and under-5 poverty proportion of total poverty.</w:t>
      </w:r>
    </w:p>
    <w:p>
      <w:pPr>
        <w:pStyle w:val="ListParagraph"/>
        <w:numPr>
          <w:ilvl w:val="0"/>
          <w:numId w:val="2"/>
        </w:numPr>
      </w:pPr>
      <w:r>
        <w:t xml:space="preserve">Composite vulnerability score = 0.35 × total poverty rate + 0.40 × under-5 poverty proportion + 0.25 × (1 − employment rate).</w:t>
      </w:r>
    </w:p>
    <w:p>
      <w:pPr>
        <w:pStyle w:val="ListParagraph"/>
        <w:numPr>
          <w:ilvl w:val="0"/>
          <w:numId w:val="2"/>
        </w:numPr>
      </w:pPr>
      <w:r>
        <w:t xml:space="preserve">Score normalized to [0,1] then scaled to 0–100 for interpretability.</w:t>
      </w:r>
    </w:p>
    <w:p>
      <w:pPr>
        <w:pStyle w:val="ListParagraph"/>
        <w:numPr>
          <w:ilvl w:val="0"/>
          <w:numId w:val="2"/>
        </w:numPr>
      </w:pPr>
      <w:r>
        <w:t xml:space="preserve">Quantile binning (5 bins) into priority categories: Very Low, Low, Medium, High, Very High.</w:t>
      </w:r>
    </w:p>
    <w:p>
      <w:pPr>
        <w:pStyle w:val="ListParagraph"/>
        <w:numPr>
          <w:ilvl w:val="0"/>
          <w:numId w:val="2"/>
        </w:numPr>
      </w:pPr>
      <w:r>
        <w:t xml:space="preserve">Z-score outlier detection on absolute poverty counts (threshold = 3) to flag counties with extreme absolute need.</w:t>
      </w:r>
    </w:p>
    <w:p>
      <w:pPr>
        <w:pStyle w:val="Heading1"/>
      </w:pPr>
      <w:r>
        <w:t xml:space="preserve">3. Key Findings</w:t>
      </w:r>
    </w:p>
    <w:p>
      <w:pPr>
        <w:spacing w:after="120"/>
      </w:pPr>
      <w:r>
        <w:rPr>
          <w:b/>
          <w:bCs/>
        </w:rPr>
        <w:t xml:space="preserve">Poverty patterns by age group</w:t>
      </w:r>
    </w:p>
    <w:p>
      <w:pPr>
        <w:spacing w:after="160"/>
      </w:pPr>
      <w:r>
        <w:t xml:space="preserve">Poverty rates among children under five years of age are systematically higher than both the overall population rate and the rate among adults aged 75 and older. This pattern is visible across the majority of states and underscores the developmental risk faced by young children in high-poverty counties.</w:t>
      </w:r>
    </w:p>
    <w:p>
      <w:pPr>
        <w:spacing w:after="120"/>
      </w:pPr>
      <w:r>
        <w:rPr>
          <w:b/>
          <w:bCs/>
        </w:rPr>
        <w:t xml:space="preserve">Geographic concentration of high priority</w:t>
      </w:r>
    </w:p>
    <w:p>
      <w:pPr>
        <w:spacing w:after="160"/>
      </w:pPr>
      <w:r>
        <w:t xml:space="preserve">A modest number of states contain a disproportionate share of counties classified as "Very High" priority. Focusing state-level partnerships and multi-county interventions on these jurisdictions is likely to yield the greatest marginal impact per dollar invested.</w:t>
      </w:r>
    </w:p>
    <w:p>
      <w:pPr>
        <w:spacing w:after="120"/>
      </w:pPr>
      <w:r>
        <w:rPr>
          <w:b/>
          <w:bCs/>
        </w:rPr>
        <w:t xml:space="preserve">Absolute outliers</w:t>
      </w:r>
    </w:p>
    <w:p>
      <w:pPr>
        <w:spacing w:after="160"/>
      </w:pPr>
      <w:r>
        <w:t xml:space="preserve">Several large-population counties exhibit poverty counts more than three standard deviations above the national mean. These counties combine high absolute numbers of people in poverty with elevated vulnerability scores and should be treated as priority intervention sites regardless of their relative rate ranking.</w:t>
      </w:r>
    </w:p>
    <w:p>
      <w:pPr>
        <w:pStyle w:val="Heading1"/>
      </w:pPr>
      <w:r>
        <w:t xml:space="preserve">4. Recommendations</w:t>
      </w:r>
    </w:p>
    <w:p>
      <w:pPr>
        <w:pStyle w:val="ListParagraph"/>
        <w:numPr>
          <w:ilvl w:val="0"/>
          <w:numId w:val="3"/>
        </w:numPr>
      </w:pPr>
      <w:r>
        <w:rPr>
          <w:b/>
          <w:bCs/>
        </w:rPr>
        <w:t xml:space="preserve">Immediate prioritization: </w:t>
      </w:r>
      <w:r>
        <w:t xml:space="preserve">Direct first-round resources to the top 5–10 counties by vulnerability score and to all counties flagged as statistical outliers on poverty count.</w:t>
      </w:r>
    </w:p>
    <w:p>
      <w:pPr>
        <w:pStyle w:val="ListParagraph"/>
        <w:numPr>
          <w:ilvl w:val="0"/>
          <w:numId w:val="3"/>
        </w:numPr>
      </w:pPr>
      <w:r>
        <w:rPr>
          <w:b/>
          <w:bCs/>
        </w:rPr>
        <w:t xml:space="preserve">Child-focused programming: </w:t>
      </w:r>
      <w:r>
        <w:t xml:space="preserve">Because under-5 poverty rates and proportions drive a large portion of the composite score, programs that support early childhood nutrition, health access, and caregiver economic stability should receive elevated weight.</w:t>
      </w:r>
    </w:p>
    <w:p>
      <w:pPr>
        <w:pStyle w:val="ListParagraph"/>
        <w:numPr>
          <w:ilvl w:val="0"/>
          <w:numId w:val="3"/>
        </w:numPr>
      </w:pPr>
      <w:r>
        <w:rPr>
          <w:b/>
          <w:bCs/>
        </w:rPr>
        <w:t xml:space="preserve">State partnership strategy: </w:t>
      </w:r>
      <w:r>
        <w:t xml:space="preserve">Engage state-level agencies in the jurisdictions that contain the largest number of "Very High" priority counties to coordinate multi-county delivery and avoid duplication.</w:t>
      </w:r>
    </w:p>
    <w:p>
      <w:pPr>
        <w:pStyle w:val="ListParagraph"/>
        <w:numPr>
          <w:ilvl w:val="0"/>
          <w:numId w:val="3"/>
        </w:numPr>
      </w:pPr>
      <w:r>
        <w:rPr>
          <w:b/>
          <w:bCs/>
        </w:rPr>
        <w:t xml:space="preserve">Monitoring &amp; refresh cadence: </w:t>
      </w:r>
      <w:r>
        <w:t xml:space="preserve">Re-run the pipeline quarterly (or upon release of new ACS data) to detect emerging high-need areas and to evaluate whether prior investments have shifted local scores.</w:t>
      </w:r>
    </w:p>
    <w:p>
      <w:pPr>
        <w:pStyle w:val="ListParagraph"/>
        <w:numPr>
          <w:ilvl w:val="0"/>
          <w:numId w:val="3"/>
        </w:numPr>
      </w:pPr>
      <w:r>
        <w:rPr>
          <w:b/>
          <w:bCs/>
        </w:rPr>
        <w:t xml:space="preserve">Transparency: </w:t>
      </w:r>
      <w:r>
        <w:t xml:space="preserve">Publish the scoring formula, weights, and county rankings so that community partners and local governments can understand and contest the prioritization logic.</w:t>
      </w:r>
    </w:p>
    <w:p>
      <w:pPr>
        <w:pStyle w:val="Heading1"/>
      </w:pPr>
      <w:r>
        <w:t xml:space="preserve">5. Limitations &amp; Caveats</w:t>
      </w:r>
    </w:p>
    <w:p>
      <w:pPr>
        <w:pStyle w:val="ListParagraph"/>
        <w:numPr>
          <w:ilvl w:val="0"/>
          <w:numId w:val="2"/>
        </w:numPr>
      </w:pPr>
      <w:r>
        <w:t xml:space="preserve">The analysis relies on the variables returned by the specific Census endpoint used in the assignment; additional ACS tables (housing, education, health insurance) would enrich the vulnerability construct.</w:t>
      </w:r>
    </w:p>
    <w:p>
      <w:pPr>
        <w:pStyle w:val="ListParagraph"/>
        <w:numPr>
          <w:ilvl w:val="0"/>
          <w:numId w:val="2"/>
        </w:numPr>
      </w:pPr>
      <w:r>
        <w:t xml:space="preserve">Weights (0.35 / 0.40 / 0.25) are analytically chosen but remain subjective; sensitivity analysis around the weights is recommended before final budget decisions.</w:t>
      </w:r>
    </w:p>
    <w:p>
      <w:pPr>
        <w:pStyle w:val="ListParagraph"/>
        <w:numPr>
          <w:ilvl w:val="0"/>
          <w:numId w:val="2"/>
        </w:numPr>
      </w:pPr>
      <w:r>
        <w:t xml:space="preserve">County-level aggregates can mask intra-county disparities (e.g., urban vs. rural tracts). Tract- or block-group analysis should be considered for operational planning.</w:t>
      </w:r>
    </w:p>
    <w:p>
      <w:pPr>
        <w:pStyle w:val="ListParagraph"/>
        <w:numPr>
          <w:ilvl w:val="0"/>
          <w:numId w:val="2"/>
        </w:numPr>
      </w:pPr>
      <w:r>
        <w:t xml:space="preserve">Employment rate is calculated against total population rather than working-age population; a refined labor-force denominator would improve precision.</w:t>
      </w:r>
    </w:p>
    <w:p>
      <w:pPr>
        <w:pStyle w:val="Heading1"/>
      </w:pPr>
      <w:r>
        <w:t xml:space="preserve">6. Requested Next Actions</w:t>
      </w:r>
    </w:p>
    <w:p>
      <w:pPr>
        <w:spacing w:after="120"/>
      </w:pPr>
      <w:r>
        <w:t xml:space="preserve">We request that the Resource Allocation Committee:</w:t>
      </w:r>
    </w:p>
    <w:p>
      <w:pPr>
        <w:pStyle w:val="ListParagraph"/>
        <w:numPr>
          <w:ilvl w:val="0"/>
          <w:numId w:val="3"/>
        </w:numPr>
      </w:pPr>
      <w:r>
        <w:t xml:space="preserve">Review and approve (or adjust) the weighting scheme used in the vulnerability score.</w:t>
      </w:r>
    </w:p>
    <w:p>
      <w:pPr>
        <w:pStyle w:val="ListParagraph"/>
        <w:numPr>
          <w:ilvl w:val="0"/>
          <w:numId w:val="3"/>
        </w:numPr>
      </w:pPr>
      <w:r>
        <w:t xml:space="preserve">Authorize a first tranche of funding targeted at the highest-ranked and outlier counties.</w:t>
      </w:r>
    </w:p>
    <w:p>
      <w:pPr>
        <w:pStyle w:val="ListParagraph"/>
        <w:numPr>
          <w:ilvl w:val="0"/>
          <w:numId w:val="3"/>
        </w:numPr>
      </w:pPr>
      <w:r>
        <w:t xml:space="preserve">Commission a follow-on analysis that incorporates housing cost burden and health-insurance coverage once the relevant ACS endpoints are available.</w:t>
      </w:r>
    </w:p>
    <w:p>
      <w:pPr>
        <w:spacing w:before="300"/>
      </w:pPr>
      <w:r>
        <w:rPr>
          <w:i/>
          <w:iCs/>
        </w:rPr>
        <w:t xml:space="preserve">Please contact the Data Analytics Unit with questions or requests for the underlying notebook, ranked county tables, or sensitivity analyses.</w:t>
      </w:r>
    </w:p>
    <w:p>
      <w:pPr>
        <w:spacing w:before="200"/>
      </w:pPr>
      <w:r>
        <w:rPr>
          <w:i/>
          <w:iCs/>
        </w:rPr>
        <w:t xml:space="preserve">Respectfully submitted,</w:t>
      </w:r>
    </w:p>
    <w:p>
      <w:pPr>
        <w:spacing w:before="120"/>
      </w:pPr>
      <w:r>
        <w:rPr>
          <w:b/>
          <w:bCs/>
        </w:rPr>
        <w:t xml:space="preserve">Data Analytics Unit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Confidential – For Internal Use Only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12" w:space="6"/>
      </w:pBdr>
    </w:pPr>
    <w:r>
      <w:rPr>
        <w:rFonts w:ascii="Arial" w:cs="Arial" w:eastAsia="Arial" w:hAnsi="Arial"/>
        <w:b/>
        <w:bCs/>
        <w:color w:val="1B2A4A"/>
        <w:sz w:val="18"/>
        <w:szCs w:val="18"/>
      </w:rPr>
      <w:t xml:space="preserve">INTERNAL MEMORANDUM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B2A4A"/>
      <w:sz w:val="28"/>
      <w:szCs w:val="28"/>
    </w:rPr>
  </w:style>
  <w:style w:type="paragraph" w:styleId="Heading2">
    <w:name w:val="Heading 2"/>
    <w:basedOn w:val="Normal"/>
    <w:next w:val="Normal"/>
    <w:qFormat/>
    <w:pPr>
      <w:spacing w:after="120" w:before="220"/>
      <w:outlineLvl w:val="1"/>
    </w:pPr>
    <w:rPr>
      <w:rFonts w:ascii="Arial" w:cs="Arial" w:eastAsia="Arial" w:hAnsi="Arial"/>
      <w:b/>
      <w:bCs/>
      <w:color w:val="0E7C8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2026-08-18T04:56:09.563Z</dcterms:created>
  <dcterms:modified xsi:type="dcterms:W3CDTF">2026-08-18T04:56:09.563Z</dcterms:modified>
</cp:coreProperties>
</file>

<file path=docProps/custom.xml><?xml version="1.0" encoding="utf-8"?>
<Properties xmlns="http://schemas.openxmlformats.org/officeDocument/2006/custom-properties" xmlns:vt="http://schemas.openxmlformats.org/officeDocument/2006/docPropsVTypes"/>
</file>