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Top 5 Topics That Can Be Analyzed with This Project Type</w:t>
      </w:r>
    </w:p>
    <w:p>
      <w:pPr>
        <w:spacing w:after="240"/>
      </w:pPr>
      <w:r>
        <w:rPr>
          <w:sz w:val="22"/>
          <w:szCs w:val="22"/>
        </w:rPr>
        <w:t xml:space="preserve">The core pattern of this project—authenticate to a public demographic API, clean and type-cast the response, engineer rates and proportions, construct a weighted composite score, categorize by quantiles, and flag statistical outliers—transfers cleanly to many other social-impact and policy questions. Below are five high-value extensions that reuse the same technical and analytical scaffolding.</w:t>
      </w:r>
    </w:p>
    <w:p>
      <w:pPr>
        <w:pStyle w:val="Heading2"/>
      </w:pPr>
      <w:r>
        <w:t xml:space="preserve">1. Housing Cost Burden &amp; Eviction Risk</w:t>
      </w:r>
    </w:p>
    <w:p>
      <w:pPr>
        <w:spacing w:after="120"/>
      </w:pPr>
      <w:r>
        <w:t xml:space="preserve">Replace or augment poverty variables with ACS housing-cost-burden metrics (households paying &gt;30 % or &gt;50 % of income on rent/mortgage), overcrowding rates, and vacancy indicators. A composite “housing vulnerability score” can identify counties where families are one missed paycheck away from displacement.</w:t>
      </w:r>
    </w:p>
    <w:p>
      <w:pPr>
        <w:spacing w:after="80"/>
      </w:pPr>
      <w:r>
        <w:rPr>
          <w:b/>
          <w:bCs/>
        </w:rPr>
        <w:t xml:space="preserve">Key reusable pieces: </w:t>
      </w:r>
      <w:r>
        <w:t xml:space="preserve">API authentication → DataFrame cleaning → rate construction → weighted score → qcut prioritization → z-score outliers on absolute counts of cost-burdened households.</w:t>
      </w:r>
    </w:p>
    <w:p>
      <w:pPr>
        <w:spacing w:after="200"/>
      </w:pPr>
      <w:r>
        <w:rPr>
          <w:i/>
          <w:iCs/>
        </w:rPr>
        <w:t xml:space="preserve">Why it matters: </w:t>
      </w:r>
      <w:r>
        <w:t xml:space="preserve">Housing instability is a leading predictor of school mobility, health deterioration, and long-term poverty traps.</w:t>
      </w:r>
    </w:p>
    <w:p>
      <w:pPr>
        <w:pStyle w:val="Heading2"/>
      </w:pPr>
      <w:r>
        <w:t xml:space="preserve">2. Digital Access &amp; Broadband Equity</w:t>
      </w:r>
    </w:p>
    <w:p>
      <w:pPr>
        <w:spacing w:after="120"/>
      </w:pPr>
      <w:r>
        <w:t xml:space="preserve">Use Census or FCC broadband-subscription data together with device-ownership and computer-access variables. Construct a “digital exclusion score” that weights lack of broadband, lack of a computer, and low educational attainment. Prioritize counties for infrastructure investment or device-lending programs.</w:t>
      </w:r>
    </w:p>
    <w:p>
      <w:pPr>
        <w:spacing w:after="80"/>
      </w:pPr>
      <w:r>
        <w:rPr>
          <w:b/>
          <w:bCs/>
        </w:rPr>
        <w:t xml:space="preserve">Key reusable pieces: </w:t>
      </w:r>
      <w:r>
        <w:t xml:space="preserve">Same pipeline; simply swap the input variables and re-tune the weights toward connectivity and device ownership.</w:t>
      </w:r>
    </w:p>
    <w:p>
      <w:pPr>
        <w:spacing w:after="200"/>
      </w:pPr>
      <w:r>
        <w:rPr>
          <w:i/>
          <w:iCs/>
        </w:rPr>
        <w:t xml:space="preserve">Why it matters: </w:t>
      </w:r>
      <w:r>
        <w:t xml:space="preserve">Remote work, telehealth, and online education all depend on reliable digital access; gaps reinforce existing socioeconomic divides.</w:t>
      </w:r>
    </w:p>
    <w:p>
      <w:pPr>
        <w:pStyle w:val="Heading2"/>
      </w:pPr>
      <w:r>
        <w:t xml:space="preserve">3. Health Insurance Coverage Gaps &amp; Preventive Care Access</w:t>
      </w:r>
    </w:p>
    <w:p>
      <w:pPr>
        <w:spacing w:after="120"/>
      </w:pPr>
      <w:r>
        <w:t xml:space="preserve">Combine uninsured rates (overall and by age/race), proximity to primary-care providers, and chronic-disease prevalence (when available) into a health-vulnerability index. Identify counties where expansions of Medicaid outreach, mobile clinics, or community health-worker programs would close the largest coverage and access gaps.</w:t>
      </w:r>
    </w:p>
    <w:p>
      <w:pPr>
        <w:spacing w:after="80"/>
      </w:pPr>
      <w:r>
        <w:rPr>
          <w:b/>
          <w:bCs/>
        </w:rPr>
        <w:t xml:space="preserve">Key reusable pieces: </w:t>
      </w:r>
      <w:r>
        <w:t xml:space="preserve">Rate calculations for uninsured proportions, composite scoring, quantile priority labels, and outlier detection on absolute numbers of uninsured residents.</w:t>
      </w:r>
    </w:p>
    <w:p>
      <w:pPr>
        <w:spacing w:after="200"/>
      </w:pPr>
      <w:r>
        <w:rPr>
          <w:i/>
          <w:iCs/>
        </w:rPr>
        <w:t xml:space="preserve">Why it matters: </w:t>
      </w:r>
      <w:r>
        <w:t xml:space="preserve">Uninsured populations delay care, experience higher preventable hospitalizations, and face greater financial toxicity when illness strikes.</w:t>
      </w:r>
    </w:p>
    <w:p>
      <w:pPr>
        <w:pStyle w:val="Heading2"/>
      </w:pPr>
      <w:r>
        <w:t xml:space="preserve">4. Educational Opportunity &amp; Early Childhood Readiness</w:t>
      </w:r>
    </w:p>
    <w:p>
      <w:pPr>
        <w:spacing w:after="120"/>
      </w:pPr>
      <w:r>
        <w:t xml:space="preserve">Merge ACS educational-attainment variables with under-5 population counts, preschool enrollment rates, and (where available) school-funding or teacher-quality proxies. Build an “opportunity gap score” that highlights counties where children face the steepest barriers to school readiness and long-term educational mobility.</w:t>
      </w:r>
    </w:p>
    <w:p>
      <w:pPr>
        <w:spacing w:after="80"/>
      </w:pPr>
      <w:r>
        <w:rPr>
          <w:b/>
          <w:bCs/>
        </w:rPr>
        <w:t xml:space="preserve">Key reusable pieces: </w:t>
      </w:r>
      <w:r>
        <w:t xml:space="preserve">Age-specific rate engineering (under-5 focus), multi-factor weighted scoring, state-level aggregation of high-priority counties, and visualization of rate distributions.</w:t>
      </w:r>
    </w:p>
    <w:p>
      <w:pPr>
        <w:spacing w:after="200"/>
      </w:pPr>
      <w:r>
        <w:rPr>
          <w:i/>
          <w:iCs/>
        </w:rPr>
        <w:t xml:space="preserve">Why it matters: </w:t>
      </w:r>
      <w:r>
        <w:t xml:space="preserve">Early childhood disparities compound over time; targeting the highest-need counties can improve lifetime earnings and reduce intergenerational poverty.</w:t>
      </w:r>
    </w:p>
    <w:p>
      <w:pPr>
        <w:pStyle w:val="Heading2"/>
      </w:pPr>
      <w:r>
        <w:t xml:space="preserve">5. Climate &amp; Environmental Justice Exposure</w:t>
      </w:r>
    </w:p>
    <w:p>
      <w:pPr>
        <w:spacing w:after="120"/>
      </w:pPr>
      <w:r>
        <w:t xml:space="preserve">Layer demographic vulnerability (poverty, age structure, race/ethnicity) with environmental indicators—flood-zone population, heat-island exposure, air-quality non-attainment, or proximity to Superfund sites. Produce a dual-axis “climate vulnerability × social vulnerability” ranking that guides equitable climate-adaptation investments.</w:t>
      </w:r>
    </w:p>
    <w:p>
      <w:pPr>
        <w:spacing w:after="80"/>
      </w:pPr>
      <w:r>
        <w:rPr>
          <w:b/>
          <w:bCs/>
        </w:rPr>
        <w:t xml:space="preserve">Key reusable pieces: </w:t>
      </w:r>
      <w:r>
        <w:t xml:space="preserve">Composite scoring framework, quantile categorization, outlier detection, and the overall reproducible notebook structure. External environmental layers can be joined on county FIPS codes.</w:t>
      </w:r>
    </w:p>
    <w:p>
      <w:pPr>
        <w:spacing w:after="200"/>
      </w:pPr>
      <w:r>
        <w:rPr>
          <w:i/>
          <w:iCs/>
        </w:rPr>
        <w:t xml:space="preserve">Why it matters: </w:t>
      </w:r>
      <w:r>
        <w:t xml:space="preserve">Low-income and minority communities often face the highest environmental risks and the lowest capacity to adapt; data-driven prioritization helps close that justice gap.</w:t>
      </w:r>
    </w:p>
    <w:p>
      <w:pPr>
        <w:pStyle w:val="Heading1"/>
      </w:pPr>
      <w:r>
        <w:t xml:space="preserve">How to Adapt the Template</w:t>
      </w:r>
    </w:p>
    <w:p>
      <w:pPr>
        <w:pStyle w:val="ListParagraph"/>
        <w:numPr>
          <w:ilvl w:val="0"/>
          <w:numId w:val="2"/>
        </w:numPr>
      </w:pPr>
      <w:r>
        <w:t xml:space="preserve">Keep the authentication → JSON → DataFrame → clean → rate-engineering sequence intact.</w:t>
      </w:r>
    </w:p>
    <w:p>
      <w:pPr>
        <w:pStyle w:val="ListParagraph"/>
        <w:numPr>
          <w:ilvl w:val="0"/>
          <w:numId w:val="2"/>
        </w:numPr>
      </w:pPr>
      <w:r>
        <w:t xml:space="preserve">Substitute the relevant ACS or other public-data variables for the poverty and employment fields.</w:t>
      </w:r>
    </w:p>
    <w:p>
      <w:pPr>
        <w:pStyle w:val="ListParagraph"/>
        <w:numPr>
          <w:ilvl w:val="0"/>
          <w:numId w:val="2"/>
        </w:numPr>
      </w:pPr>
      <w:r>
        <w:t xml:space="preserve">Re-justify and document the new weight vector for the composite score.</w:t>
      </w:r>
    </w:p>
    <w:p>
      <w:pPr>
        <w:pStyle w:val="ListParagraph"/>
        <w:numPr>
          <w:ilvl w:val="0"/>
          <w:numId w:val="2"/>
        </w:numPr>
      </w:pPr>
      <w:r>
        <w:t xml:space="preserve">Retain qcut prioritization and z-score outlier logic; only change the column being scored.</w:t>
      </w:r>
    </w:p>
    <w:p>
      <w:pPr>
        <w:pStyle w:val="ListParagraph"/>
        <w:numPr>
          <w:ilvl w:val="0"/>
          <w:numId w:val="2"/>
        </w:numPr>
      </w:pPr>
      <w:r>
        <w:t xml:space="preserve">Update visualizations and the narrative recommendations to match the new policy domain.</w:t>
      </w:r>
    </w:p>
    <w:p>
      <w:pPr>
        <w:spacing w:before="300"/>
      </w:pPr>
      <w:r>
        <w:rPr>
          <w:i/>
          <w:iCs/>
          <w:sz w:val="20"/>
          <w:szCs w:val="20"/>
        </w:rPr>
        <w:t xml:space="preserve">Each of these topics can be executed with the same reusable notebook template supplied alongside this document, requiring only modest changes to variable lists, formulas, and interpretive text.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86" w:sz="6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Extension Topics  |  Census / Demographic Vulnerability Projects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E7C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2026-08-18T04:56:53.401Z</dcterms:created>
  <dcterms:modified xsi:type="dcterms:W3CDTF">2026-08-18T04:56:53.401Z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