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CloPlayer</w:t>
      </w:r>
    </w:p>
    <w:p>
      <w:pPr>
        <w:jc w:val="center"/>
      </w:pPr>
      <w:r>
        <w:t>GP-200 + Hotone/Ampero CLO Playback Algorithm and File Format</w:t>
      </w:r>
    </w:p>
    <w:p>
      <w:pPr>
        <w:jc w:val="center"/>
      </w:pPr>
      <w:r>
        <w:rPr>
          <w:color w:val="595959"/>
          <w:sz w:val="28"/>
        </w:rPr>
        <w:t>Technical Documentation</w:t>
      </w:r>
    </w:p>
    <w:p/>
    <w:p/>
    <w:p>
      <w:pPr>
        <w:jc w:val="center"/>
      </w:pPr>
      <w:r>
        <w:t>Reference implementation: CloPlayer v1.2</w:t>
        <w:br/>
        <w:t>Validated device/firmware references: Valeton GP-200 firmware V1.8.0; Hotone Ampero II Stage firmware V1.7.0</w:t>
        <w:br/>
        <w:t>Framework: JUCE / VST3</w:t>
        <w:br/>
        <w:t>Native model sample rate: 44.1 kHz</w:t>
      </w:r>
    </w:p>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Pr>
          <w:p>
            <w:r>
              <w:t>Document status</w:t>
              <w:br/>
              <w:t>This document distinguishes experimentally reconstructed or firmware-validated behavior from CloPlayer implementation choices. Version 1.2 extends the player from GP-200 B1024 CLO files to the validated Hotone/Ampero B2048 layout while keeping one shared CLO playback core. Where exact hardware wrapper behavior or bit-level identity has not been established, the limitation is stated explicitly.</w:t>
            </w:r>
          </w:p>
        </w:tc>
      </w:tr>
    </w:tbl>
    <w:p/>
    <w:p>
      <w:pPr>
        <w:pStyle w:val="SmallNote"/>
        <w:jc w:val="center"/>
      </w:pPr>
      <w:r>
        <w:t>Research reimplementation. Not affiliated with or endorsed by Valeton.</w:t>
      </w:r>
    </w:p>
    <w:p>
      <w:r>
        <w:br w:type="page"/>
      </w:r>
    </w:p>
    <w:p>
      <w:pPr>
        <w:pStyle w:val="Heading1"/>
      </w:pPr>
      <w:r>
        <w:t>Contents</w:t>
      </w:r>
    </w:p>
    <w:p>
      <w:r>
        <w:t>1. Scope and reconstruction status</w:t>
      </w:r>
    </w:p>
    <w:p>
      <w:r>
        <w:t>2. End-to-end signal path</w:t>
      </w:r>
    </w:p>
    <w:p>
      <w:r>
        <w:t>3. CLO binary structure</w:t>
      </w:r>
    </w:p>
    <w:p>
      <w:r>
        <w:t>4. PRE and POST biquads</w:t>
      </w:r>
    </w:p>
    <w:p>
      <w:r>
        <w:t>5. FIR Block A and FIR Block B</w:t>
      </w:r>
    </w:p>
    <w:p>
      <w:r>
        <w:t>6. 4× oversampling architecture</w:t>
      </w:r>
    </w:p>
    <w:p>
      <w:r>
        <w:t>7. Asymmetric exponential waveshaper</w:t>
      </w:r>
    </w:p>
    <w:p>
      <w:r>
        <w:t>8. 4× downsampling architecture</w:t>
      </w:r>
    </w:p>
    <w:p>
      <w:r>
        <w:t>9. External Gain and Volume controls</w:t>
      </w:r>
    </w:p>
    <w:p>
      <w:r>
        <w:t>10. Complete sample-processing algorithm</w:t>
      </w:r>
    </w:p>
    <w:p>
      <w:r>
        <w:t>11. VST3/JUCE integration</w:t>
      </w:r>
    </w:p>
    <w:p>
      <w:r>
        <w:t>12. Session state and CLO embedding</w:t>
      </w:r>
    </w:p>
    <w:p>
      <w:r>
        <w:t>13. Validation against GP-200 hardware and Ampero firmware</w:t>
      </w:r>
    </w:p>
    <w:p>
      <w:r>
        <w:t>14. Confirmed behavior vs implementation choices</w:t>
      </w:r>
    </w:p>
    <w:p>
      <w:r>
        <w:t>15. Numerical and architectural limitations</w:t>
      </w:r>
    </w:p>
    <w:p>
      <w:r>
        <w:t>16. Reference constants and pseudocode</w:t>
      </w:r>
    </w:p>
    <w:p>
      <w:r>
        <w:br w:type="page"/>
      </w:r>
    </w:p>
    <w:p>
      <w:pPr>
        <w:pStyle w:val="Heading1"/>
      </w:pPr>
      <w:r>
        <w:t>1. Scope and Reconstruction Status</w:t>
      </w:r>
    </w:p>
    <w:p>
      <w:r>
        <w:t>CloPlayer is an independent software implementation of the Valeton/Hotone CLO playback core. Version 1.2 supports both the GP-200 layout with FIR A = 128 and FIR B = 1024 taps, and the Hotone/Ampero layout with FIR A = 128 and FIR B = 2048 taps. The DSP structure was reconstructed from GP-200 firmware V1.8.0, validated against captures from a physical GP-200, and cross-checked against Ampero II Stage firmware V1.7.0 and a native Hotone/Ampero B2048 CLO file.</w:t>
      </w:r>
    </w:p>
    <w:p>
      <w:r>
        <w:t>The implementation reproduces the CLO model itself plus external Gain before the CLO core and Volume after it. Bass, Middle and Treble remain outside the reconstructed CLO core and are intentionally omitted. For simplicity, v1.2 applies the experimentally validated GP-200 Gain/Volume wrapper mapping to both GP-200 and Hotone/Ampero CLO files; this is a deliberate compatibility choice and is not a claim that Ampero hardware uses the identical visible-control mapping.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880"/>
            <w:shd w:fill="D9EAF7"/>
          </w:tcPr>
          <w:p>
            <w:r>
              <w:rPr>
                <w:b/>
              </w:rPr>
              <w:t>Item</w:t>
            </w:r>
          </w:p>
        </w:tc>
        <w:tc>
          <w:tcPr>
            <w:tcW w:type="dxa" w:w="2304"/>
            <w:shd w:fill="D9EAF7"/>
          </w:tcPr>
          <w:p>
            <w:r>
              <w:rPr>
                <w:b/>
              </w:rPr>
              <w:t>Status</w:t>
            </w:r>
          </w:p>
        </w:tc>
        <w:tc>
          <w:tcPr>
            <w:tcW w:type="dxa" w:w="5328"/>
            <w:shd w:fill="D9EAF7"/>
          </w:tcPr>
          <w:p>
            <w:r>
              <w:rPr>
                <w:b/>
              </w:rPr>
              <w:t>Notes</w:t>
            </w:r>
          </w:p>
        </w:tc>
      </w:tr>
      <w:tr>
        <w:trPr>
          <w:cantSplit/>
        </w:trPr>
        <w:tc>
          <w:tcPr>
            <w:tcW w:type="dxa" w:w="2880"/>
            <w:vAlign w:val="center"/>
          </w:tcPr>
          <w:p>
            <w:r>
              <w:t>CLO header fields used by player</w:t>
            </w:r>
          </w:p>
        </w:tc>
        <w:tc>
          <w:tcPr>
            <w:tcW w:type="dxa" w:w="2304"/>
            <w:vAlign w:val="center"/>
          </w:tcPr>
          <w:p>
            <w:r>
              <w:t>Confirmed</w:t>
            </w:r>
          </w:p>
        </w:tc>
        <w:tc>
          <w:tcPr>
            <w:tcW w:type="dxa" w:w="5328"/>
            <w:vAlign w:val="center"/>
          </w:tcPr>
          <w:p>
            <w:r>
              <w:t>Offsets and data types reconstructed and used successfully.</w:t>
            </w:r>
          </w:p>
        </w:tc>
      </w:tr>
      <w:tr>
        <w:trPr>
          <w:cantSplit/>
        </w:trPr>
        <w:tc>
          <w:tcPr>
            <w:tcW w:type="dxa" w:w="2880"/>
            <w:vAlign w:val="center"/>
          </w:tcPr>
          <w:p>
            <w:r>
              <w:t>PRE biquad</w:t>
            </w:r>
          </w:p>
        </w:tc>
        <w:tc>
          <w:tcPr>
            <w:tcW w:type="dxa" w:w="2304"/>
            <w:vAlign w:val="center"/>
          </w:tcPr>
          <w:p>
            <w:r>
              <w:t>Confirmed</w:t>
            </w:r>
          </w:p>
        </w:tc>
        <w:tc>
          <w:tcPr>
            <w:tcW w:type="dxa" w:w="5328"/>
            <w:vAlign w:val="center"/>
          </w:tcPr>
          <w:p>
            <w:r>
              <w:t>Five double-precision coefficients stored in CLO.</w:t>
            </w:r>
          </w:p>
        </w:tc>
      </w:tr>
      <w:tr>
        <w:trPr>
          <w:cantSplit/>
        </w:trPr>
        <w:tc>
          <w:tcPr>
            <w:tcW w:type="dxa" w:w="2880"/>
            <w:vAlign w:val="center"/>
          </w:tcPr>
          <w:p>
            <w:r>
              <w:t>FIR A</w:t>
            </w:r>
          </w:p>
        </w:tc>
        <w:tc>
          <w:tcPr>
            <w:tcW w:type="dxa" w:w="2304"/>
            <w:vAlign w:val="center"/>
          </w:tcPr>
          <w:p>
            <w:r>
              <w:t>Confirmed</w:t>
            </w:r>
          </w:p>
        </w:tc>
        <w:tc>
          <w:tcPr>
            <w:tcW w:type="dxa" w:w="5328"/>
            <w:vAlign w:val="center"/>
          </w:tcPr>
          <w:p>
            <w:r>
              <w:t>Causal FIR before the nonlinear stage; validated CLO layouts use 128 taps.</w:t>
            </w:r>
          </w:p>
        </w:tc>
      </w:tr>
      <w:tr>
        <w:trPr>
          <w:cantSplit/>
        </w:trPr>
        <w:tc>
          <w:tcPr>
            <w:tcW w:type="dxa" w:w="2880"/>
            <w:vAlign w:val="center"/>
          </w:tcPr>
          <w:p>
            <w:r>
              <w:t>4× oversampling</w:t>
            </w:r>
          </w:p>
        </w:tc>
        <w:tc>
          <w:tcPr>
            <w:tcW w:type="dxa" w:w="2304"/>
            <w:vAlign w:val="center"/>
          </w:tcPr>
          <w:p>
            <w:r>
              <w:t>Confirmed</w:t>
            </w:r>
          </w:p>
        </w:tc>
        <w:tc>
          <w:tcPr>
            <w:tcW w:type="dxa" w:w="5328"/>
            <w:vAlign w:val="center"/>
          </w:tcPr>
          <w:p>
            <w:r>
              <w:t>Two cascaded 2× all-pass polyphase stages. The recovered coefficient sets from GP-200 firmware were also found byte-for-byte in Ampero II Stage firmware V1.7.0.</w:t>
            </w:r>
          </w:p>
        </w:tc>
      </w:tr>
      <w:tr>
        <w:trPr>
          <w:cantSplit/>
        </w:trPr>
        <w:tc>
          <w:tcPr>
            <w:tcW w:type="dxa" w:w="2880"/>
            <w:vAlign w:val="center"/>
          </w:tcPr>
          <w:p>
            <w:r>
              <w:t>P/K waveshaper</w:t>
            </w:r>
          </w:p>
        </w:tc>
        <w:tc>
          <w:tcPr>
            <w:tcW w:type="dxa" w:w="2304"/>
            <w:vAlign w:val="center"/>
          </w:tcPr>
          <w:p>
            <w:r>
              <w:t>Confirmed</w:t>
            </w:r>
          </w:p>
        </w:tc>
        <w:tc>
          <w:tcPr>
            <w:tcW w:type="dxa" w:w="5328"/>
            <w:vAlign w:val="center"/>
          </w:tcPr>
          <w:p>
            <w:r>
              <w:t>Asymmetric exponential positive and negative branches.</w:t>
            </w:r>
          </w:p>
        </w:tc>
      </w:tr>
      <w:tr>
        <w:trPr>
          <w:cantSplit/>
        </w:trPr>
        <w:tc>
          <w:tcPr>
            <w:tcW w:type="dxa" w:w="2880"/>
            <w:vAlign w:val="center"/>
          </w:tcPr>
          <w:p>
            <w:r>
              <w:t>4× downsampling</w:t>
            </w:r>
          </w:p>
        </w:tc>
        <w:tc>
          <w:tcPr>
            <w:tcW w:type="dxa" w:w="2304"/>
            <w:vAlign w:val="center"/>
          </w:tcPr>
          <w:p>
            <w:r>
              <w:t>Confirmed</w:t>
            </w:r>
          </w:p>
        </w:tc>
        <w:tc>
          <w:tcPr>
            <w:tcW w:type="dxa" w:w="5328"/>
            <w:vAlign w:val="center"/>
          </w:tcPr>
          <w:p>
            <w:r>
              <w:t>Two cascaded 2× coupled-allpass decimation stages.</w:t>
            </w:r>
          </w:p>
        </w:tc>
      </w:tr>
      <w:tr>
        <w:trPr>
          <w:cantSplit/>
        </w:trPr>
        <w:tc>
          <w:tcPr>
            <w:tcW w:type="dxa" w:w="2880"/>
            <w:vAlign w:val="center"/>
          </w:tcPr>
          <w:p>
            <w:r>
              <w:t>POST biquad</w:t>
            </w:r>
          </w:p>
        </w:tc>
        <w:tc>
          <w:tcPr>
            <w:tcW w:type="dxa" w:w="2304"/>
            <w:vAlign w:val="center"/>
          </w:tcPr>
          <w:p>
            <w:r>
              <w:t>Confirmed</w:t>
            </w:r>
          </w:p>
        </w:tc>
        <w:tc>
          <w:tcPr>
            <w:tcW w:type="dxa" w:w="5328"/>
            <w:vAlign w:val="center"/>
          </w:tcPr>
          <w:p>
            <w:r>
              <w:t>Five double-precision coefficients stored in CLO.</w:t>
            </w:r>
          </w:p>
        </w:tc>
      </w:tr>
      <w:tr>
        <w:trPr>
          <w:cantSplit/>
        </w:trPr>
        <w:tc>
          <w:tcPr>
            <w:tcW w:type="dxa" w:w="2880"/>
            <w:vAlign w:val="center"/>
          </w:tcPr>
          <w:p>
            <w:r>
              <w:t>FIR B</w:t>
            </w:r>
          </w:p>
        </w:tc>
        <w:tc>
          <w:tcPr>
            <w:tcW w:type="dxa" w:w="2304"/>
            <w:vAlign w:val="center"/>
          </w:tcPr>
          <w:p>
            <w:r>
              <w:t>Confirmed</w:t>
            </w:r>
          </w:p>
        </w:tc>
        <w:tc>
          <w:tcPr>
            <w:tcW w:type="dxa" w:w="5328"/>
            <w:vAlign w:val="center"/>
          </w:tcPr>
          <w:p>
            <w:r>
              <w:t>Causal FIR after the nonlinear stage; GP-200 layout uses 1024 taps and Hotone/Ampero layout uses 2048 taps.</w:t>
            </w:r>
          </w:p>
        </w:tc>
      </w:tr>
      <w:tr>
        <w:trPr>
          <w:cantSplit/>
        </w:trPr>
        <w:tc>
          <w:tcPr>
            <w:tcW w:type="dxa" w:w="2880"/>
            <w:vAlign w:val="center"/>
          </w:tcPr>
          <w:p>
            <w:r>
              <w:t>Visible Gain mapping</w:t>
            </w:r>
          </w:p>
        </w:tc>
        <w:tc>
          <w:tcPr>
            <w:tcW w:type="dxa" w:w="2304"/>
            <w:vAlign w:val="center"/>
          </w:tcPr>
          <w:p>
            <w:r>
              <w:t>Experimentally confirmed</w:t>
            </w:r>
          </w:p>
        </w:tc>
        <w:tc>
          <w:tcPr>
            <w:tcW w:type="dxa" w:w="5328"/>
            <w:vAlign w:val="center"/>
          </w:tcPr>
          <w:p>
            <w:r>
              <w:t>Derived from physical GP-200 measurements at UI 25/50/75/100.</w:t>
            </w:r>
          </w:p>
        </w:tc>
      </w:tr>
      <w:tr>
        <w:trPr>
          <w:cantSplit/>
        </w:trPr>
        <w:tc>
          <w:tcPr>
            <w:tcW w:type="dxa" w:w="2880"/>
            <w:vAlign w:val="center"/>
          </w:tcPr>
          <w:p>
            <w:r>
              <w:t>Volume control law</w:t>
            </w:r>
          </w:p>
        </w:tc>
        <w:tc>
          <w:tcPr>
            <w:tcW w:type="dxa" w:w="2304"/>
            <w:vAlign w:val="center"/>
          </w:tcPr>
          <w:p>
            <w:r>
              <w:t>Firmware-derived</w:t>
            </w:r>
          </w:p>
        </w:tc>
        <w:tc>
          <w:tcPr>
            <w:tcW w:type="dxa" w:w="5328"/>
            <w:vAlign w:val="center"/>
          </w:tcPr>
          <w:p>
            <w:r>
              <w:t>Post-CLO exponential control law.</w:t>
            </w:r>
          </w:p>
        </w:tc>
      </w:tr>
      <w:tr>
        <w:trPr>
          <w:cantSplit/>
        </w:trPr>
        <w:tc>
          <w:tcPr>
            <w:tcW w:type="dxa" w:w="2880"/>
            <w:vAlign w:val="center"/>
          </w:tcPr>
          <w:p>
            <w:r>
              <w:t>Exact FFT/FMA behavior</w:t>
            </w:r>
          </w:p>
        </w:tc>
        <w:tc>
          <w:tcPr>
            <w:tcW w:type="dxa" w:w="2304"/>
            <w:vAlign w:val="center"/>
          </w:tcPr>
          <w:p>
            <w:r>
              <w:t>Not reproduced</w:t>
            </w:r>
          </w:p>
        </w:tc>
        <w:tc>
          <w:tcPr>
            <w:tcW w:type="dxa" w:w="5328"/>
            <w:vAlign w:val="center"/>
          </w:tcPr>
          <w:p>
            <w:r>
              <w:t>CloPlayer uses direct FIR convolution rather than firmware partitioned FFT.</w:t>
            </w:r>
          </w:p>
        </w:tc>
      </w:tr>
      <w:tr>
        <w:trPr>
          <w:cantSplit/>
        </w:trPr>
        <w:tc>
          <w:tcPr>
            <w:tcW w:type="dxa" w:w="2880"/>
            <w:vAlign w:val="center"/>
          </w:tcPr>
          <w:p>
            <w:r>
              <w:t>Exact expf bit pattern</w:t>
            </w:r>
          </w:p>
        </w:tc>
        <w:tc>
          <w:tcPr>
            <w:tcW w:type="dxa" w:w="2304"/>
            <w:vAlign w:val="center"/>
          </w:tcPr>
          <w:p>
            <w:r>
              <w:t>Not reproduced</w:t>
            </w:r>
          </w:p>
        </w:tc>
        <w:tc>
          <w:tcPr>
            <w:tcW w:type="dxa" w:w="5328"/>
            <w:vAlign w:val="center"/>
          </w:tcPr>
          <w:p>
            <w:r>
              <w:t>CloPlayer uses std::exp.</w:t>
            </w:r>
          </w:p>
        </w:tc>
      </w:tr>
      <w:tr>
        <w:trPr>
          <w:cantSplit/>
        </w:trPr>
        <w:tc>
          <w:tcPr>
            <w:tcW w:type="dxa" w:w="3360"/>
          </w:tcPr>
          <w:p>
            <w:r>
              <w:t>GP-200 / Ampero CLO layout compatibility</w:t>
            </w:r>
          </w:p>
        </w:tc>
        <w:tc>
          <w:tcPr>
            <w:tcW w:type="dxa" w:w="3360"/>
          </w:tcPr>
          <w:p>
            <w:r>
              <w:t>Confirmed</w:t>
            </w:r>
          </w:p>
        </w:tc>
        <w:tc>
          <w:tcPr>
            <w:tcW w:type="dxa" w:w="3360"/>
          </w:tcPr>
          <w:p>
            <w:r>
              <w:t>A=128 with B=1024 (GP-200) or B=2048 (Hotone/Ampero); both use the same parsed CLO field layout.</w:t>
            </w:r>
          </w:p>
        </w:tc>
      </w:tr>
      <w:tr>
        <w:trPr>
          <w:cantSplit/>
        </w:trPr>
        <w:tc>
          <w:tcPr>
            <w:tcW w:type="dxa" w:w="3360"/>
          </w:tcPr>
          <w:p>
            <w:r>
              <w:t>Ampero oversampling/downsampling core</w:t>
            </w:r>
          </w:p>
        </w:tc>
        <w:tc>
          <w:tcPr>
            <w:tcW w:type="dxa" w:w="3360"/>
          </w:tcPr>
          <w:p>
            <w:r>
              <w:t>Firmware cross-validated</w:t>
            </w:r>
          </w:p>
        </w:tc>
        <w:tc>
          <w:tcPr>
            <w:tcW w:type="dxa" w:w="3360"/>
          </w:tcPr>
          <w:p>
            <w:r>
              <w:t>The GP-200 all-pass coefficient tables were found byte-for-byte in Ampero II Stage firmware V1.7.0.</w:t>
            </w:r>
          </w:p>
        </w:tc>
      </w:tr>
    </w:tbl>
    <w:p/>
    <w:p>
      <w:pPr>
        <w:pStyle w:val="Heading1"/>
      </w:pPr>
      <w:r>
        <w:t>2. End-to-End Signal Path</w:t>
      </w:r>
    </w:p>
    <w:p>
      <w:r>
        <w:t>The complete implemented path is:</w:t>
      </w:r>
    </w:p>
    <w:p>
      <w:pPr>
        <w:pStyle w:val="CodeBlock"/>
        <w:spacing w:before="0" w:after="40" w:line="216" w:lineRule="auto"/>
      </w:pPr>
      <w:r>
        <w:rPr>
          <w:rFonts w:ascii="Consolas" w:hAnsi="Consolas"/>
          <w:sz w:val="18"/>
        </w:rPr>
        <w:t>Input sample</w:t>
        <w:br/>
        <w:t xml:space="preserve">    ↓</w:t>
        <w:br/>
        <w:t>Visible Gain (0..100)</w:t>
        <w:br/>
        <w:t xml:space="preserve">    ↓</w:t>
        <w:br/>
        <w:t>UI-to-internal Gain mapping</w:t>
        <w:br/>
        <w:t xml:space="preserve">    ↓</w:t>
        <w:br/>
        <w:t>Firmware exponential gain law</w:t>
        <w:br/>
        <w:t xml:space="preserve">    ↓</w:t>
        <w:br/>
        <w:t>PRE biquad</w:t>
        <w:br/>
        <w:t xml:space="preserve">    ↓</w:t>
        <w:br/>
        <w:t>FIR A</w:t>
        <w:br/>
        <w:t xml:space="preserve">    ↓</w:t>
        <w:br/>
        <w:t>2× all-pass interpolator</w:t>
        <w:br/>
        <w:t xml:space="preserve">    ↓</w:t>
        <w:br/>
        <w:t>2× all-pass interpolator</w:t>
        <w:br/>
        <w:t xml:space="preserve">    ↓</w:t>
        <w:br/>
        <w:t>4× sample-rate domain</w:t>
        <w:br/>
        <w:t xml:space="preserve">    ↓</w:t>
        <w:br/>
        <w:t>Asymmetric exponential waveshaper</w:t>
        <w:br/>
        <w:t xml:space="preserve">    ↓</w:t>
        <w:br/>
        <w:t>2× coupled-allpass decimator</w:t>
        <w:br/>
        <w:t xml:space="preserve">    ↓</w:t>
        <w:br/>
        <w:t>2× coupled-allpass decimator</w:t>
        <w:br/>
        <w:t xml:space="preserve">    ↓</w:t>
        <w:br/>
        <w:t>POST biquad</w:t>
        <w:br/>
        <w:t xml:space="preserve">    ↓</w:t>
        <w:br/>
        <w:t>FIR B</w:t>
        <w:br/>
        <w:t xml:space="preserve">    ↓</w:t>
        <w:br/>
        <w:t>Visible Volume (0..100)</w:t>
        <w:br/>
        <w:t xml:space="preserve">    ↓</w:t>
        <w:br/>
        <w:t>Firmware exponential volume law</w:t>
        <w:br/>
        <w:t xml:space="preserve">    ↓</w:t>
        <w:br/>
        <w:t>Output sample</w:t>
      </w:r>
    </w:p>
    <w:tbl>
      <w:tblPr>
        <w:tblStyle w:val="TableGrid"/>
        <w:tblW w:type="auto" w:w="0"/>
        <w:jc w:val="center"/>
        <w:tblLook w:firstColumn="1" w:firstRow="1" w:lastColumn="0" w:lastRow="0" w:noHBand="0" w:noVBand="1" w:val="04A0"/>
      </w:tblPr>
      <w:tblGrid>
        <w:gridCol w:w="10080"/>
      </w:tblGrid>
      <w:tr>
        <w:trPr>
          <w:cantSplit/>
        </w:trPr>
        <w:tc>
          <w:tcPr>
            <w:tcW w:type="dxa" w:w="10080"/>
            <w:shd w:fill="DDEBF7"/>
          </w:tcPr>
          <w:p>
            <w:r>
              <w:rPr>
                <w:b/>
              </w:rPr>
              <w:t>Important architectural point</w:t>
              <w:br/>
            </w:r>
            <w:r>
              <w:t>The nonlinear waveshaper is evaluated at four times the native sample rate. FIR A is before the nonlinearity; FIR B is after it. This ordering is essential because A changes the spectrum presented to the nonlinear stage, while B can only filter the already-generated result.</w:t>
            </w:r>
          </w:p>
        </w:tc>
      </w:tr>
    </w:tbl>
    <w:p/>
    <w:p>
      <w:pPr>
        <w:pStyle w:val="Heading1"/>
      </w:pPr>
      <w:r>
        <w:t>3. CLO Binary Structure</w:t>
      </w:r>
    </w:p>
    <w:p>
      <w:r>
        <w:t>CloPlayer accepts CLO data with either the ASCII magic VTSI or HTSI. The implementation requires at least 0x88 bytes before the coefficient payload. Version 1.2 explicitly recognizes two validated layouts: GP-200 (A=128, B=1024) and Hotone/Ampero (A=128, B=2048).</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440"/>
            <w:shd w:fill="D9EAF7"/>
          </w:tcPr>
          <w:p>
            <w:r>
              <w:rPr>
                <w:b/>
              </w:rPr>
              <w:t>Offset</w:t>
            </w:r>
          </w:p>
        </w:tc>
        <w:tc>
          <w:tcPr>
            <w:tcW w:type="dxa" w:w="1728"/>
            <w:shd w:fill="D9EAF7"/>
          </w:tcPr>
          <w:p>
            <w:r>
              <w:rPr>
                <w:b/>
              </w:rPr>
              <w:t>Type</w:t>
            </w:r>
          </w:p>
        </w:tc>
        <w:tc>
          <w:tcPr>
            <w:tcW w:type="dxa" w:w="7200"/>
            <w:shd w:fill="D9EAF7"/>
          </w:tcPr>
          <w:p>
            <w:r>
              <w:rPr>
                <w:b/>
              </w:rPr>
              <w:t>Meaning</w:t>
            </w:r>
          </w:p>
        </w:tc>
      </w:tr>
      <w:tr>
        <w:trPr>
          <w:cantSplit/>
        </w:trPr>
        <w:tc>
          <w:tcPr>
            <w:tcW w:type="dxa" w:w="1440"/>
            <w:vAlign w:val="center"/>
          </w:tcPr>
          <w:p>
            <w:r>
              <w:t>0x00</w:t>
            </w:r>
          </w:p>
        </w:tc>
        <w:tc>
          <w:tcPr>
            <w:tcW w:type="dxa" w:w="1728"/>
            <w:vAlign w:val="center"/>
          </w:tcPr>
          <w:p>
            <w:r>
              <w:t>4 bytes</w:t>
            </w:r>
          </w:p>
        </w:tc>
        <w:tc>
          <w:tcPr>
            <w:tcW w:type="dxa" w:w="7200"/>
            <w:vAlign w:val="center"/>
          </w:tcPr>
          <w:p>
            <w:r>
              <w:t>Magic: VTSI or HTSI</w:t>
            </w:r>
          </w:p>
        </w:tc>
      </w:tr>
      <w:tr>
        <w:trPr>
          <w:cantSplit/>
        </w:trPr>
        <w:tc>
          <w:tcPr>
            <w:tcW w:type="dxa" w:w="1440"/>
            <w:vAlign w:val="center"/>
          </w:tcPr>
          <w:p>
            <w:r>
              <w:t>0x18</w:t>
            </w:r>
          </w:p>
        </w:tc>
        <w:tc>
          <w:tcPr>
            <w:tcW w:type="dxa" w:w="1728"/>
            <w:vAlign w:val="center"/>
          </w:tcPr>
          <w:p>
            <w:r>
              <w:t>double</w:t>
            </w:r>
          </w:p>
        </w:tc>
        <w:tc>
          <w:tcPr>
            <w:tcW w:type="dxa" w:w="7200"/>
            <w:vAlign w:val="center"/>
          </w:tcPr>
          <w:p>
            <w:r>
              <w:t>PRE b0</w:t>
            </w:r>
          </w:p>
        </w:tc>
      </w:tr>
      <w:tr>
        <w:trPr>
          <w:cantSplit/>
        </w:trPr>
        <w:tc>
          <w:tcPr>
            <w:tcW w:type="dxa" w:w="1440"/>
            <w:vAlign w:val="center"/>
          </w:tcPr>
          <w:p>
            <w:r>
              <w:t>0x20</w:t>
            </w:r>
          </w:p>
        </w:tc>
        <w:tc>
          <w:tcPr>
            <w:tcW w:type="dxa" w:w="1728"/>
            <w:vAlign w:val="center"/>
          </w:tcPr>
          <w:p>
            <w:r>
              <w:t>double</w:t>
            </w:r>
          </w:p>
        </w:tc>
        <w:tc>
          <w:tcPr>
            <w:tcW w:type="dxa" w:w="7200"/>
            <w:vAlign w:val="center"/>
          </w:tcPr>
          <w:p>
            <w:r>
              <w:t>PRE b1</w:t>
            </w:r>
          </w:p>
        </w:tc>
      </w:tr>
      <w:tr>
        <w:trPr>
          <w:cantSplit/>
        </w:trPr>
        <w:tc>
          <w:tcPr>
            <w:tcW w:type="dxa" w:w="1440"/>
            <w:vAlign w:val="center"/>
          </w:tcPr>
          <w:p>
            <w:r>
              <w:t>0x28</w:t>
            </w:r>
          </w:p>
        </w:tc>
        <w:tc>
          <w:tcPr>
            <w:tcW w:type="dxa" w:w="1728"/>
            <w:vAlign w:val="center"/>
          </w:tcPr>
          <w:p>
            <w:r>
              <w:t>double</w:t>
            </w:r>
          </w:p>
        </w:tc>
        <w:tc>
          <w:tcPr>
            <w:tcW w:type="dxa" w:w="7200"/>
            <w:vAlign w:val="center"/>
          </w:tcPr>
          <w:p>
            <w:r>
              <w:t>PRE b2</w:t>
            </w:r>
          </w:p>
        </w:tc>
      </w:tr>
      <w:tr>
        <w:trPr>
          <w:cantSplit/>
        </w:trPr>
        <w:tc>
          <w:tcPr>
            <w:tcW w:type="dxa" w:w="1440"/>
            <w:vAlign w:val="center"/>
          </w:tcPr>
          <w:p>
            <w:r>
              <w:t>0x30</w:t>
            </w:r>
          </w:p>
        </w:tc>
        <w:tc>
          <w:tcPr>
            <w:tcW w:type="dxa" w:w="1728"/>
            <w:vAlign w:val="center"/>
          </w:tcPr>
          <w:p>
            <w:r>
              <w:t>double</w:t>
            </w:r>
          </w:p>
        </w:tc>
        <w:tc>
          <w:tcPr>
            <w:tcW w:type="dxa" w:w="7200"/>
            <w:vAlign w:val="center"/>
          </w:tcPr>
          <w:p>
            <w:r>
              <w:t>PRE a1</w:t>
            </w:r>
          </w:p>
        </w:tc>
      </w:tr>
      <w:tr>
        <w:trPr>
          <w:cantSplit/>
        </w:trPr>
        <w:tc>
          <w:tcPr>
            <w:tcW w:type="dxa" w:w="1440"/>
            <w:vAlign w:val="center"/>
          </w:tcPr>
          <w:p>
            <w:r>
              <w:t>0x38</w:t>
            </w:r>
          </w:p>
        </w:tc>
        <w:tc>
          <w:tcPr>
            <w:tcW w:type="dxa" w:w="1728"/>
            <w:vAlign w:val="center"/>
          </w:tcPr>
          <w:p>
            <w:r>
              <w:t>double</w:t>
            </w:r>
          </w:p>
        </w:tc>
        <w:tc>
          <w:tcPr>
            <w:tcW w:type="dxa" w:w="7200"/>
            <w:vAlign w:val="center"/>
          </w:tcPr>
          <w:p>
            <w:r>
              <w:t>PRE a2</w:t>
            </w:r>
          </w:p>
        </w:tc>
      </w:tr>
      <w:tr>
        <w:trPr>
          <w:cantSplit/>
        </w:trPr>
        <w:tc>
          <w:tcPr>
            <w:tcW w:type="dxa" w:w="1440"/>
            <w:vAlign w:val="center"/>
          </w:tcPr>
          <w:p>
            <w:r>
              <w:t>0x40</w:t>
            </w:r>
          </w:p>
        </w:tc>
        <w:tc>
          <w:tcPr>
            <w:tcW w:type="dxa" w:w="1728"/>
            <w:vAlign w:val="center"/>
          </w:tcPr>
          <w:p>
            <w:r>
              <w:t>double</w:t>
            </w:r>
          </w:p>
        </w:tc>
        <w:tc>
          <w:tcPr>
            <w:tcW w:type="dxa" w:w="7200"/>
            <w:vAlign w:val="center"/>
          </w:tcPr>
          <w:p>
            <w:r>
              <w:t>POST b0</w:t>
            </w:r>
          </w:p>
        </w:tc>
      </w:tr>
      <w:tr>
        <w:trPr>
          <w:cantSplit/>
        </w:trPr>
        <w:tc>
          <w:tcPr>
            <w:tcW w:type="dxa" w:w="1440"/>
            <w:vAlign w:val="center"/>
          </w:tcPr>
          <w:p>
            <w:r>
              <w:t>0x48</w:t>
            </w:r>
          </w:p>
        </w:tc>
        <w:tc>
          <w:tcPr>
            <w:tcW w:type="dxa" w:w="1728"/>
            <w:vAlign w:val="center"/>
          </w:tcPr>
          <w:p>
            <w:r>
              <w:t>double</w:t>
            </w:r>
          </w:p>
        </w:tc>
        <w:tc>
          <w:tcPr>
            <w:tcW w:type="dxa" w:w="7200"/>
            <w:vAlign w:val="center"/>
          </w:tcPr>
          <w:p>
            <w:r>
              <w:t>POST b1</w:t>
            </w:r>
          </w:p>
        </w:tc>
      </w:tr>
      <w:tr>
        <w:trPr>
          <w:cantSplit/>
        </w:trPr>
        <w:tc>
          <w:tcPr>
            <w:tcW w:type="dxa" w:w="1440"/>
            <w:vAlign w:val="center"/>
          </w:tcPr>
          <w:p>
            <w:r>
              <w:t>0x50</w:t>
            </w:r>
          </w:p>
        </w:tc>
        <w:tc>
          <w:tcPr>
            <w:tcW w:type="dxa" w:w="1728"/>
            <w:vAlign w:val="center"/>
          </w:tcPr>
          <w:p>
            <w:r>
              <w:t>double</w:t>
            </w:r>
          </w:p>
        </w:tc>
        <w:tc>
          <w:tcPr>
            <w:tcW w:type="dxa" w:w="7200"/>
            <w:vAlign w:val="center"/>
          </w:tcPr>
          <w:p>
            <w:r>
              <w:t>POST b2</w:t>
            </w:r>
          </w:p>
        </w:tc>
      </w:tr>
      <w:tr>
        <w:trPr>
          <w:cantSplit/>
        </w:trPr>
        <w:tc>
          <w:tcPr>
            <w:tcW w:type="dxa" w:w="1440"/>
            <w:vAlign w:val="center"/>
          </w:tcPr>
          <w:p>
            <w:r>
              <w:t>0x58</w:t>
            </w:r>
          </w:p>
        </w:tc>
        <w:tc>
          <w:tcPr>
            <w:tcW w:type="dxa" w:w="1728"/>
            <w:vAlign w:val="center"/>
          </w:tcPr>
          <w:p>
            <w:r>
              <w:t>double</w:t>
            </w:r>
          </w:p>
        </w:tc>
        <w:tc>
          <w:tcPr>
            <w:tcW w:type="dxa" w:w="7200"/>
            <w:vAlign w:val="center"/>
          </w:tcPr>
          <w:p>
            <w:r>
              <w:t>POST a1</w:t>
            </w:r>
          </w:p>
        </w:tc>
      </w:tr>
      <w:tr>
        <w:trPr>
          <w:cantSplit/>
        </w:trPr>
        <w:tc>
          <w:tcPr>
            <w:tcW w:type="dxa" w:w="1440"/>
            <w:vAlign w:val="center"/>
          </w:tcPr>
          <w:p>
            <w:r>
              <w:t>0x60</w:t>
            </w:r>
          </w:p>
        </w:tc>
        <w:tc>
          <w:tcPr>
            <w:tcW w:type="dxa" w:w="1728"/>
            <w:vAlign w:val="center"/>
          </w:tcPr>
          <w:p>
            <w:r>
              <w:t>double</w:t>
            </w:r>
          </w:p>
        </w:tc>
        <w:tc>
          <w:tcPr>
            <w:tcW w:type="dxa" w:w="7200"/>
            <w:vAlign w:val="center"/>
          </w:tcPr>
          <w:p>
            <w:r>
              <w:t>POST a2</w:t>
            </w:r>
          </w:p>
        </w:tc>
      </w:tr>
      <w:tr>
        <w:trPr>
          <w:cantSplit/>
        </w:trPr>
        <w:tc>
          <w:tcPr>
            <w:tcW w:type="dxa" w:w="1440"/>
            <w:vAlign w:val="center"/>
          </w:tcPr>
          <w:p>
            <w:r>
              <w:t>0x68</w:t>
            </w:r>
          </w:p>
        </w:tc>
        <w:tc>
          <w:tcPr>
            <w:tcW w:type="dxa" w:w="1728"/>
            <w:vAlign w:val="center"/>
          </w:tcPr>
          <w:p>
            <w:r>
              <w:t>float</w:t>
            </w:r>
          </w:p>
        </w:tc>
        <w:tc>
          <w:tcPr>
            <w:tcW w:type="dxa" w:w="7200"/>
            <w:vAlign w:val="center"/>
          </w:tcPr>
          <w:p>
            <w:r>
              <w:t>Ppos</w:t>
            </w:r>
          </w:p>
        </w:tc>
      </w:tr>
      <w:tr>
        <w:trPr>
          <w:cantSplit/>
        </w:trPr>
        <w:tc>
          <w:tcPr>
            <w:tcW w:type="dxa" w:w="1440"/>
            <w:vAlign w:val="center"/>
          </w:tcPr>
          <w:p>
            <w:r>
              <w:t>0x6C</w:t>
            </w:r>
          </w:p>
        </w:tc>
        <w:tc>
          <w:tcPr>
            <w:tcW w:type="dxa" w:w="1728"/>
            <w:vAlign w:val="center"/>
          </w:tcPr>
          <w:p>
            <w:r>
              <w:t>float</w:t>
            </w:r>
          </w:p>
        </w:tc>
        <w:tc>
          <w:tcPr>
            <w:tcW w:type="dxa" w:w="7200"/>
            <w:vAlign w:val="center"/>
          </w:tcPr>
          <w:p>
            <w:r>
              <w:t>Pneg</w:t>
            </w:r>
          </w:p>
        </w:tc>
      </w:tr>
      <w:tr>
        <w:trPr>
          <w:cantSplit/>
        </w:trPr>
        <w:tc>
          <w:tcPr>
            <w:tcW w:type="dxa" w:w="1440"/>
            <w:vAlign w:val="center"/>
          </w:tcPr>
          <w:p>
            <w:r>
              <w:t>0x70</w:t>
            </w:r>
          </w:p>
        </w:tc>
        <w:tc>
          <w:tcPr>
            <w:tcW w:type="dxa" w:w="1728"/>
            <w:vAlign w:val="center"/>
          </w:tcPr>
          <w:p>
            <w:r>
              <w:t>float</w:t>
            </w:r>
          </w:p>
        </w:tc>
        <w:tc>
          <w:tcPr>
            <w:tcW w:type="dxa" w:w="7200"/>
            <w:vAlign w:val="center"/>
          </w:tcPr>
          <w:p>
            <w:r>
              <w:t>Kpos</w:t>
            </w:r>
          </w:p>
        </w:tc>
      </w:tr>
      <w:tr>
        <w:trPr>
          <w:cantSplit/>
        </w:trPr>
        <w:tc>
          <w:tcPr>
            <w:tcW w:type="dxa" w:w="1440"/>
            <w:vAlign w:val="center"/>
          </w:tcPr>
          <w:p>
            <w:r>
              <w:t>0x74</w:t>
            </w:r>
          </w:p>
        </w:tc>
        <w:tc>
          <w:tcPr>
            <w:tcW w:type="dxa" w:w="1728"/>
            <w:vAlign w:val="center"/>
          </w:tcPr>
          <w:p>
            <w:r>
              <w:t>float</w:t>
            </w:r>
          </w:p>
        </w:tc>
        <w:tc>
          <w:tcPr>
            <w:tcW w:type="dxa" w:w="7200"/>
            <w:vAlign w:val="center"/>
          </w:tcPr>
          <w:p>
            <w:r>
              <w:t>Kneg</w:t>
            </w:r>
          </w:p>
        </w:tc>
      </w:tr>
      <w:tr>
        <w:trPr>
          <w:cantSplit/>
        </w:trPr>
        <w:tc>
          <w:tcPr>
            <w:tcW w:type="dxa" w:w="1440"/>
            <w:vAlign w:val="center"/>
          </w:tcPr>
          <w:p>
            <w:r>
              <w:t>0x78</w:t>
            </w:r>
          </w:p>
        </w:tc>
        <w:tc>
          <w:tcPr>
            <w:tcW w:type="dxa" w:w="1728"/>
            <w:vAlign w:val="center"/>
          </w:tcPr>
          <w:p>
            <w:r>
              <w:t>uint32</w:t>
            </w:r>
          </w:p>
        </w:tc>
        <w:tc>
          <w:tcPr>
            <w:tcW w:type="dxa" w:w="7200"/>
            <w:vAlign w:val="center"/>
          </w:tcPr>
          <w:p>
            <w:r>
              <w:t>startA: index into coefficient array</w:t>
            </w:r>
          </w:p>
        </w:tc>
      </w:tr>
      <w:tr>
        <w:trPr>
          <w:cantSplit/>
        </w:trPr>
        <w:tc>
          <w:tcPr>
            <w:tcW w:type="dxa" w:w="1440"/>
            <w:vAlign w:val="center"/>
          </w:tcPr>
          <w:p>
            <w:r>
              <w:t>0x7C</w:t>
            </w:r>
          </w:p>
        </w:tc>
        <w:tc>
          <w:tcPr>
            <w:tcW w:type="dxa" w:w="1728"/>
            <w:vAlign w:val="center"/>
          </w:tcPr>
          <w:p>
            <w:r>
              <w:t>uint32</w:t>
            </w:r>
          </w:p>
        </w:tc>
        <w:tc>
          <w:tcPr>
            <w:tcW w:type="dxa" w:w="7200"/>
            <w:vAlign w:val="center"/>
          </w:tcPr>
          <w:p>
            <w:r>
              <w:t>countA: FIR A tap count</w:t>
            </w:r>
          </w:p>
        </w:tc>
      </w:tr>
      <w:tr>
        <w:trPr>
          <w:cantSplit/>
        </w:trPr>
        <w:tc>
          <w:tcPr>
            <w:tcW w:type="dxa" w:w="1440"/>
            <w:vAlign w:val="center"/>
          </w:tcPr>
          <w:p>
            <w:r>
              <w:t>0x80</w:t>
            </w:r>
          </w:p>
        </w:tc>
        <w:tc>
          <w:tcPr>
            <w:tcW w:type="dxa" w:w="1728"/>
            <w:vAlign w:val="center"/>
          </w:tcPr>
          <w:p>
            <w:r>
              <w:t>uint32</w:t>
            </w:r>
          </w:p>
        </w:tc>
        <w:tc>
          <w:tcPr>
            <w:tcW w:type="dxa" w:w="7200"/>
            <w:vAlign w:val="center"/>
          </w:tcPr>
          <w:p>
            <w:r>
              <w:t>startB: index into coefficient array</w:t>
            </w:r>
          </w:p>
        </w:tc>
      </w:tr>
      <w:tr>
        <w:trPr>
          <w:cantSplit/>
        </w:trPr>
        <w:tc>
          <w:tcPr>
            <w:tcW w:type="dxa" w:w="1440"/>
            <w:vAlign w:val="center"/>
          </w:tcPr>
          <w:p>
            <w:r>
              <w:t>0x84</w:t>
            </w:r>
          </w:p>
        </w:tc>
        <w:tc>
          <w:tcPr>
            <w:tcW w:type="dxa" w:w="1728"/>
            <w:vAlign w:val="center"/>
          </w:tcPr>
          <w:p>
            <w:r>
              <w:t>uint32</w:t>
            </w:r>
          </w:p>
        </w:tc>
        <w:tc>
          <w:tcPr>
            <w:tcW w:type="dxa" w:w="7200"/>
            <w:vAlign w:val="center"/>
          </w:tcPr>
          <w:p>
            <w:r>
              <w:t>countB: FIR B tap count</w:t>
            </w:r>
          </w:p>
        </w:tc>
      </w:tr>
      <w:tr>
        <w:trPr>
          <w:cantSplit/>
        </w:trPr>
        <w:tc>
          <w:tcPr>
            <w:tcW w:type="dxa" w:w="1440"/>
            <w:vAlign w:val="center"/>
          </w:tcPr>
          <w:p>
            <w:r>
              <w:t>0x88</w:t>
            </w:r>
          </w:p>
        </w:tc>
        <w:tc>
          <w:tcPr>
            <w:tcW w:type="dxa" w:w="1728"/>
            <w:vAlign w:val="center"/>
          </w:tcPr>
          <w:p>
            <w:r>
              <w:t>float[]</w:t>
            </w:r>
          </w:p>
        </w:tc>
        <w:tc>
          <w:tcPr>
            <w:tcW w:type="dxa" w:w="7200"/>
            <w:vAlign w:val="center"/>
          </w:tcPr>
          <w:p>
            <w:r>
              <w:t>Coefficient array base</w:t>
            </w:r>
          </w:p>
        </w:tc>
      </w:tr>
    </w:tbl>
    <w:p/>
    <w:p>
      <w:r>
        <w:t>All values are read little-endian. PRE and POST coefficients are stored as IEEE-754 doubles, while P/K and FIR coefficients are IEEE-754 floats. startA and startB are coefficient indices, not byte offsets.</w:t>
      </w:r>
    </w:p>
    <w:p>
      <w:r>
        <w:t>CloPlayer validates that startA=0, countA=128 and startB=128, that both FIR ranges fit inside the available coefficient data, and that countB is exactly 1024 or 2048. The format is detected from this validated FIR layout rather than from the physical file size, because GP-200 files may contain trailing data beyond the declared 1024-tap runtime payload.</w:t>
      </w:r>
    </w:p>
    <w:p>
      <w:pPr>
        <w:pStyle w:val="Heading1"/>
      </w:pPr>
      <w:r>
        <w:t>4. PRE and POST Biquads</w:t>
      </w:r>
    </w:p>
    <w:p>
      <w:r>
        <w:t>Both IIR sections are implemented as transposed direct-form II biquads using double-precision state and arithmetic.</w:t>
      </w:r>
    </w:p>
    <w:p>
      <w:pPr>
        <w:pStyle w:val="CodeBlock"/>
      </w:pPr>
      <w:r>
        <w:rPr>
          <w:rFonts w:ascii="Consolas" w:hAnsi="Consolas"/>
        </w:rPr>
        <w:t>y[n]  = b0*x[n] + z1</w:t>
        <w:br/>
        <w:t>z1'   = b1*x[n] - a1*y[n] + z2</w:t>
        <w:br/>
        <w:t>z2'   = b2*x[n] - a2*y[n]</w:t>
      </w:r>
    </w:p>
    <w:p>
      <w:r>
        <w:t>The reconstructed firmware contains reciprocal ×1000 and ×0.001 scalings around its recurrence. They cancel functionally, so CloPlayer omits them. This preserves the transfer function while simplifying the implementation.</w:t>
      </w:r>
    </w:p>
    <w:p>
      <w:pPr>
        <w:pStyle w:val="Heading1"/>
      </w:pPr>
      <w:r>
        <w:t>5. FIR Block A and FIR Block B</w:t>
      </w:r>
    </w:p>
    <w:p>
      <w:r>
        <w:t>FIR A and FIR B are ordinary causal finite impulse response filters. CloPlayer implements them with a circular history buffer and direct convolution.</w:t>
      </w:r>
    </w:p>
    <w:p>
      <w:pPr>
        <w:pStyle w:val="CodeBlock"/>
      </w:pPr>
      <w:r>
        <w:rPr>
          <w:rFonts w:ascii="Consolas" w:hAnsi="Consolas"/>
        </w:rPr>
        <w:t>history[index] = x[n]</w:t>
        <w:br/>
        <w:br/>
        <w:t>y[n] = Σ(k=0..N-1) taps[k] * history[index-k]</w:t>
        <w:br/>
        <w:br/>
        <w:t>index = (index + 1) mod N</w:t>
      </w:r>
    </w:p>
    <w:p>
      <w:r>
        <w:t>The summation is accumulated in double precision and converted back to float at the output.</w:t>
      </w:r>
    </w:p>
    <w:p>
      <w:pPr>
        <w:pStyle w:val="ListBullet"/>
      </w:pPr>
      <w:r>
        <w:t>FIR A is located before oversampling and the waveshaper.</w:t>
      </w:r>
    </w:p>
    <w:p>
      <w:pPr>
        <w:pStyle w:val="ListBullet"/>
      </w:pPr>
      <w:r>
        <w:t>FIR B is located after downsampling and the POST biquad.</w:t>
      </w:r>
    </w:p>
    <w:p>
      <w:pPr>
        <w:pStyle w:val="ListBullet"/>
      </w:pPr>
      <w:r>
        <w:t>The supported B length is format-dependent: GP-200 uses 1024 taps, while Hotone/Ampero uses 2048 taps. CloPlayer v1.2 processes all 2048 Hotone/Ampero taps; it does not truncate them to the GP-200 limit.</w:t>
      </w:r>
    </w:p>
    <w:p>
      <w:pPr>
        <w:pStyle w:val="ListBullet"/>
      </w:pPr>
      <w:r>
        <w:t>The software player uses direct convolution for both layouts rather than reproducing the firmware's partitioned FFT/FMA implementation.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FCE4D6"/>
          </w:tcPr>
          <w:p>
            <w:r>
              <w:rPr>
                <w:b/>
              </w:rPr>
              <w:t>Functional equivalence vs bit identity</w:t>
              <w:br/>
            </w:r>
            <w:r>
              <w:t>For a fixed FIR coefficient set, direct convolution implements the same linear convolution mathematically. However, floating-point accumulation order differs from a partitioned FFT/FMA implementation, so last-bit identity with the Cortex-M7 firmware is not expected.</w:t>
            </w:r>
          </w:p>
        </w:tc>
      </w:tr>
    </w:tbl>
    <w:p/>
    <w:p>
      <w:pPr>
        <w:pStyle w:val="Heading1"/>
      </w:pPr>
      <w:r>
        <w:t>6. 4× Oversampling Architecture</w:t>
      </w:r>
    </w:p>
    <w:p>
      <w:r>
        <w:t>The nonlinear section is run at 4× the 44.1 kHz native rate. Oversampling is implemented as two cascaded 2× polyphase interpolators. The coefficient sets reconstructed from GP-200 firmware V1.8.0 were also found byte-for-byte in Ampero II Stage firmware V1.7.0, supporting use of the same playback core for both layouts.</w:t>
      </w:r>
    </w:p>
    <w:p>
      <w:pPr>
        <w:pStyle w:val="Heading2"/>
      </w:pPr>
      <w:r>
        <w:t>6.1 First-order all-pass section</w:t>
      </w:r>
    </w:p>
    <w:p>
      <w:pPr>
        <w:pStyle w:val="CodeBlock"/>
      </w:pPr>
      <w:r>
        <w:rPr>
          <w:rFonts w:ascii="Consolas" w:hAnsi="Consolas"/>
        </w:rPr>
        <w:t>y = state + a*x</w:t>
        <w:br/>
        <w:t>state = x - a*y</w:t>
      </w:r>
    </w:p>
    <w:p>
      <w:r>
        <w:t>For each 2× interpolator, the same input sample is passed through two all-pass branches. Their outputs form the even and odd phases of the doubled-rate sequence.</w:t>
      </w:r>
    </w:p>
    <w:p>
      <w:pPr>
        <w:pStyle w:val="Heading2"/>
      </w:pPr>
      <w:r>
        <w:t>6.2 Stage 1 interpolation coefficients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728"/>
            <w:shd w:fill="D9EAF7"/>
          </w:tcPr>
          <w:p>
            <w:r>
              <w:rPr>
                <w:b/>
              </w:rPr>
              <w:t>Branch</w:t>
            </w:r>
          </w:p>
        </w:tc>
        <w:tc>
          <w:tcPr>
            <w:tcW w:type="dxa" w:w="8496"/>
            <w:shd w:fill="D9EAF7"/>
          </w:tcPr>
          <w:p>
            <w:r>
              <w:rPr>
                <w:b/>
              </w:rPr>
              <w:t>Coefficients</w:t>
            </w:r>
          </w:p>
        </w:tc>
      </w:tr>
      <w:tr>
        <w:trPr>
          <w:cantSplit/>
        </w:trPr>
        <w:tc>
          <w:tcPr>
            <w:tcW w:type="dxa" w:w="1728"/>
            <w:vAlign w:val="center"/>
          </w:tcPr>
          <w:p>
            <w:r>
              <w:t>Branch 0</w:t>
            </w:r>
          </w:p>
        </w:tc>
        <w:tc>
          <w:tcPr>
            <w:tcW w:type="dxa" w:w="8496"/>
            <w:vAlign w:val="center"/>
          </w:tcPr>
          <w:p>
            <w:r>
              <w:t>0.0457281470, 0.3325011134, 0.6632020473, 0.9338558316</w:t>
            </w:r>
          </w:p>
        </w:tc>
      </w:tr>
      <w:tr>
        <w:trPr>
          <w:cantSplit/>
        </w:trPr>
        <w:tc>
          <w:tcPr>
            <w:tcW w:type="dxa" w:w="1728"/>
            <w:vAlign w:val="center"/>
          </w:tcPr>
          <w:p>
            <w:r>
              <w:t>Branch 1</w:t>
            </w:r>
          </w:p>
        </w:tc>
        <w:tc>
          <w:tcPr>
            <w:tcW w:type="dxa" w:w="8496"/>
            <w:vAlign w:val="center"/>
          </w:tcPr>
          <w:p>
            <w:r>
              <w:t>0.1680875421, 0.5044857264, 0.8037808537</w:t>
            </w:r>
          </w:p>
        </w:tc>
      </w:tr>
    </w:tbl>
    <w:p/>
    <w:p>
      <w:pPr>
        <w:pStyle w:val="Heading2"/>
      </w:pPr>
      <w:r>
        <w:t>6.3 Stage 2 interpolation coefficients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728"/>
            <w:shd w:fill="D9EAF7"/>
          </w:tcPr>
          <w:p>
            <w:r>
              <w:rPr>
                <w:b/>
              </w:rPr>
              <w:t>Branch</w:t>
            </w:r>
          </w:p>
        </w:tc>
        <w:tc>
          <w:tcPr>
            <w:tcW w:type="dxa" w:w="8496"/>
            <w:shd w:fill="D9EAF7"/>
          </w:tcPr>
          <w:p>
            <w:r>
              <w:rPr>
                <w:b/>
              </w:rPr>
              <w:t>Coefficients</w:t>
            </w:r>
          </w:p>
        </w:tc>
      </w:tr>
      <w:tr>
        <w:trPr>
          <w:cantSplit/>
        </w:trPr>
        <w:tc>
          <w:tcPr>
            <w:tcW w:type="dxa" w:w="1728"/>
            <w:vAlign w:val="center"/>
          </w:tcPr>
          <w:p>
            <w:r>
              <w:t>Branch 0</w:t>
            </w:r>
          </w:p>
        </w:tc>
        <w:tc>
          <w:tcPr>
            <w:tcW w:type="dxa" w:w="8496"/>
            <w:vAlign w:val="center"/>
          </w:tcPr>
          <w:p>
            <w:r>
              <w:t>0.0542307794, 0.3987969756, 0.8629178405</w:t>
            </w:r>
          </w:p>
        </w:tc>
      </w:tr>
      <w:tr>
        <w:trPr>
          <w:cantSplit/>
        </w:trPr>
        <w:tc>
          <w:tcPr>
            <w:tcW w:type="dxa" w:w="1728"/>
            <w:vAlign w:val="center"/>
          </w:tcPr>
          <w:p>
            <w:r>
              <w:t>Branch 1</w:t>
            </w:r>
          </w:p>
        </w:tc>
        <w:tc>
          <w:tcPr>
            <w:tcW w:type="dxa" w:w="8496"/>
            <w:vAlign w:val="center"/>
          </w:tcPr>
          <w:p>
            <w:r>
              <w:t>0.1996995807, 0.6210968494</w:t>
            </w:r>
          </w:p>
        </w:tc>
      </w:tr>
    </w:tbl>
    <w:p/>
    <w:p>
      <w:r>
        <w:t>After the first 2× stage, two phase samples exist. Each of those samples is separately passed through the second 2× interpolator, producing four samples q0, q1, q2 and q3 for every original-rate input sample.</w:t>
      </w:r>
    </w:p>
    <w:p>
      <w:pPr>
        <w:pStyle w:val="Heading1"/>
      </w:pPr>
      <w:r>
        <w:t>7. Asymmetric Exponential Waveshaper</w:t>
      </w:r>
    </w:p>
    <w:p>
      <w:r>
        <w:t>The CLO stores four scalar nonlinear parameters: Ppos, Pneg, Kpos and Kneg. Positive and non-positive samples use different exponential curves.</w:t>
      </w:r>
    </w:p>
    <w:p>
      <w:pPr>
        <w:pStyle w:val="CodeBlock"/>
      </w:pPr>
      <w:r>
        <w:rPr>
          <w:rFonts w:ascii="Consolas" w:hAnsi="Consolas"/>
        </w:rPr>
        <w:t>For x &gt; 0:</w:t>
        <w:br/>
        <w:t xml:space="preserve">    y = Ppos * (1 - exp(-Kpos * x))</w:t>
        <w:br/>
        <w:br/>
        <w:t>For x &lt;= 0:</w:t>
        <w:br/>
        <w:t xml:space="preserve">    y = Pneg * (exp(Kneg * x) - 1)</w:t>
      </w:r>
    </w:p>
    <w:p>
      <w:r>
        <w:t>P controls the asymptotic output magnitude of each polarity, while K controls how quickly the curve approaches that asymptote. Because positive and negative values have separate P and K values, the model can produce asymmetric saturation and therefore both even- and odd-order harmonic behavior.</w:t>
      </w:r>
    </w:p>
    <w:p>
      <w:r>
        <w:t>In CloPlayer, std::exp is used. The original firmware's exact expf helper and floating-point implementation have not been ported bit-for-bit.</w:t>
      </w:r>
    </w:p>
    <w:p>
      <w:pPr>
        <w:pStyle w:val="Heading1"/>
      </w:pPr>
      <w:r>
        <w:t>8. 4× Downsampling Architecture</w:t>
      </w:r>
    </w:p>
    <w:p>
      <w:r>
        <w:t>After waveshaping the four oversampled samples, CloPlayer returns to 44.1 kHz using two cascaded 2× coupled-allpass decimators.</w:t>
      </w:r>
    </w:p>
    <w:p>
      <w:pPr>
        <w:pStyle w:val="Heading2"/>
      </w:pPr>
      <w:r>
        <w:t>8.1 Coupled-allpass decimator equation</w:t>
      </w:r>
    </w:p>
    <w:p>
      <w:pPr>
        <w:pStyle w:val="CodeBlock"/>
      </w:pPr>
      <w:r>
        <w:rPr>
          <w:rFonts w:ascii="Consolas" w:hAnsi="Consolas"/>
        </w:rPr>
        <w:t>a = run(branch0, even)</w:t>
        <w:br/>
        <w:t>b = run(branch1, odd)</w:t>
        <w:br/>
        <w:br/>
        <w:t>y = 0.5 * (a + delayedBranch1)</w:t>
        <w:br/>
        <w:t>delayedBranch1 = b</w:t>
      </w:r>
    </w:p>
    <w:p>
      <w:r>
        <w:t>The one-sample delay on branch 1 is part of the reconstructed phase relationship. GP-200 firmware V1.8.0 explicitly applies the 0.5 factor; the same all-pass coefficient families are present in Ampero II Stage firmware V1.7.0.</w:t>
      </w:r>
    </w:p>
    <w:p>
      <w:pPr>
        <w:pStyle w:val="Heading2"/>
      </w:pPr>
      <w:r>
        <w:t>8.2 First decimation stage coefficients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728"/>
            <w:shd w:fill="D9EAF7"/>
          </w:tcPr>
          <w:p>
            <w:r>
              <w:rPr>
                <w:b/>
              </w:rPr>
              <w:t>Branch</w:t>
            </w:r>
          </w:p>
        </w:tc>
        <w:tc>
          <w:tcPr>
            <w:tcW w:type="dxa" w:w="8496"/>
            <w:shd w:fill="D9EAF7"/>
          </w:tcPr>
          <w:p>
            <w:r>
              <w:rPr>
                <w:b/>
              </w:rPr>
              <w:t>Coefficients</w:t>
            </w:r>
          </w:p>
        </w:tc>
      </w:tr>
      <w:tr>
        <w:trPr>
          <w:cantSplit/>
        </w:trPr>
        <w:tc>
          <w:tcPr>
            <w:tcW w:type="dxa" w:w="1728"/>
            <w:vAlign w:val="center"/>
          </w:tcPr>
          <w:p>
            <w:r>
              <w:t>Branch 0</w:t>
            </w:r>
          </w:p>
        </w:tc>
        <w:tc>
          <w:tcPr>
            <w:tcW w:type="dxa" w:w="8496"/>
            <w:vAlign w:val="center"/>
          </w:tcPr>
          <w:p>
            <w:r>
              <w:t>0.0707659498, 0.5131675601</w:t>
            </w:r>
          </w:p>
        </w:tc>
      </w:tr>
      <w:tr>
        <w:trPr>
          <w:cantSplit/>
        </w:trPr>
        <w:tc>
          <w:tcPr>
            <w:tcW w:type="dxa" w:w="1728"/>
            <w:vAlign w:val="center"/>
          </w:tcPr>
          <w:p>
            <w:r>
              <w:t>Branch 1</w:t>
            </w:r>
          </w:p>
        </w:tc>
        <w:tc>
          <w:tcPr>
            <w:tcW w:type="dxa" w:w="8496"/>
            <w:vAlign w:val="center"/>
          </w:tcPr>
          <w:p>
            <w:r>
              <w:t>0.2578530908, 0.8173173666</w:t>
            </w:r>
          </w:p>
        </w:tc>
      </w:tr>
    </w:tbl>
    <w:p/>
    <w:p>
      <w:pPr>
        <w:pStyle w:val="Heading2"/>
      </w:pPr>
      <w:r>
        <w:t>8.3 Second decimation stage coefficients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728"/>
            <w:shd w:fill="D9EAF7"/>
          </w:tcPr>
          <w:p>
            <w:r>
              <w:rPr>
                <w:b/>
              </w:rPr>
              <w:t>Branch</w:t>
            </w:r>
          </w:p>
        </w:tc>
        <w:tc>
          <w:tcPr>
            <w:tcW w:type="dxa" w:w="8496"/>
            <w:shd w:fill="D9EAF7"/>
          </w:tcPr>
          <w:p>
            <w:r>
              <w:rPr>
                <w:b/>
              </w:rPr>
              <w:t>Coefficients</w:t>
            </w:r>
          </w:p>
        </w:tc>
      </w:tr>
      <w:tr>
        <w:trPr>
          <w:cantSplit/>
        </w:trPr>
        <w:tc>
          <w:tcPr>
            <w:tcW w:type="dxa" w:w="1728"/>
            <w:vAlign w:val="center"/>
          </w:tcPr>
          <w:p>
            <w:r>
              <w:t>Branch 0</w:t>
            </w:r>
          </w:p>
        </w:tc>
        <w:tc>
          <w:tcPr>
            <w:tcW w:type="dxa" w:w="8496"/>
            <w:vAlign w:val="center"/>
          </w:tcPr>
          <w:p>
            <w:r>
              <w:t>0.0542175248, 0.3830873370, 0.7487209439</w:t>
            </w:r>
          </w:p>
        </w:tc>
      </w:tr>
      <w:tr>
        <w:trPr>
          <w:cantSplit/>
        </w:trPr>
        <w:tc>
          <w:tcPr>
            <w:tcW w:type="dxa" w:w="1728"/>
            <w:vAlign w:val="center"/>
          </w:tcPr>
          <w:p>
            <w:r>
              <w:t>Branch 1</w:t>
            </w:r>
          </w:p>
        </w:tc>
        <w:tc>
          <w:tcPr>
            <w:tcW w:type="dxa" w:w="8496"/>
            <w:vAlign w:val="center"/>
          </w:tcPr>
          <w:p>
            <w:r>
              <w:t>0.1967979670, 0.5731363893, 0.9142937064</w:t>
            </w:r>
          </w:p>
        </w:tc>
      </w:tr>
    </w:tbl>
    <w:p/>
    <w:p>
      <w:pPr>
        <w:pStyle w:val="Heading1"/>
      </w:pPr>
      <w:r>
        <w:t>9. External Gain and Volume Controls</w:t>
      </w:r>
    </w:p>
    <w:p>
      <w:r>
        <w:t>Gain and Volume are not stored as part of the CLO nonlinear model. In the GP-200 they belong to the SnapTone wrapper. CloPlayer v1.2 uses the same external control mapping for both GP-200 and Hotone/Ampero CLO files to keep host automation and behavior consistent.</w:t>
      </w:r>
    </w:p>
    <w:p>
      <w:pPr>
        <w:pStyle w:val="CodeBlock"/>
      </w:pPr>
      <w:r>
        <w:rPr>
          <w:rFonts w:ascii="Consolas" w:hAnsi="Consolas"/>
        </w:rPr>
        <w:t>Input → Gain → CLO core → Volume → Output</w:t>
      </w:r>
    </w:p>
    <w:p>
      <w:pPr>
        <w:pStyle w:val="Heading2"/>
      </w:pPr>
      <w:r>
        <w:t>9.1 Visible Gain to DSP Gain</w:t>
      </w:r>
    </w:p>
    <w:p>
      <w:r>
        <w:t>Physical GP-200 measurements showed that the visible Gain value is first mapped to an internal control value. The experimentally reconstructed mapping used by CloPlayer is:</w:t>
      </w:r>
    </w:p>
    <w:p>
      <w:pPr>
        <w:pStyle w:val="CodeBlock"/>
      </w:pPr>
      <w:r>
        <w:rPr>
          <w:rFonts w:ascii="Consolas" w:hAnsi="Consolas"/>
        </w:rPr>
        <w:t>internalGain = 0.69311597 * visibleGain + 25.201331</w:t>
      </w:r>
    </w:p>
    <w:tbl>
      <w:tblPr>
        <w:tblStyle w:val="TableGrid"/>
        <w:tblW w:type="auto" w:w="0"/>
        <w:jc w:val="center"/>
        <w:tblLook w:firstColumn="1" w:firstRow="1" w:lastColumn="0" w:lastRow="0" w:noHBand="0" w:noVBand="1" w:val="04A0"/>
      </w:tblPr>
      <w:tblGrid>
        <w:gridCol w:w="5040"/>
        <w:gridCol w:w="5040"/>
      </w:tblGrid>
      <w:tr>
        <w:trPr>
          <w:cantSplit/>
        </w:trPr>
        <w:tc>
          <w:tcPr>
            <w:tcW w:type="dxa" w:w="3600"/>
            <w:shd w:fill="D9EAF7"/>
          </w:tcPr>
          <w:p>
            <w:r>
              <w:rPr>
                <w:b/>
              </w:rPr>
              <w:t>Visible GP-200 Gain</w:t>
            </w:r>
          </w:p>
        </w:tc>
        <w:tc>
          <w:tcPr>
            <w:tcW w:type="dxa" w:w="4896"/>
            <w:shd w:fill="D9EAF7"/>
          </w:tcPr>
          <w:p>
            <w:r>
              <w:rPr>
                <w:b/>
              </w:rPr>
              <w:t>Equivalent internal control</w:t>
            </w:r>
          </w:p>
        </w:tc>
      </w:tr>
      <w:tr>
        <w:trPr>
          <w:cantSplit/>
        </w:trPr>
        <w:tc>
          <w:tcPr>
            <w:tcW w:type="dxa" w:w="3600"/>
            <w:vAlign w:val="center"/>
          </w:tcPr>
          <w:p>
            <w:r>
              <w:t>25</w:t>
            </w:r>
          </w:p>
        </w:tc>
        <w:tc>
          <w:tcPr>
            <w:tcW w:type="dxa" w:w="4896"/>
            <w:vAlign w:val="center"/>
          </w:tcPr>
          <w:p>
            <w:r>
              <w:t>42.5287</w:t>
            </w:r>
          </w:p>
        </w:tc>
      </w:tr>
      <w:tr>
        <w:trPr>
          <w:cantSplit/>
        </w:trPr>
        <w:tc>
          <w:tcPr>
            <w:tcW w:type="dxa" w:w="3600"/>
            <w:vAlign w:val="center"/>
          </w:tcPr>
          <w:p>
            <w:r>
              <w:t>50</w:t>
            </w:r>
          </w:p>
        </w:tc>
        <w:tc>
          <w:tcPr>
            <w:tcW w:type="dxa" w:w="4896"/>
            <w:vAlign w:val="center"/>
          </w:tcPr>
          <w:p>
            <w:r>
              <w:t>59.8574</w:t>
            </w:r>
          </w:p>
        </w:tc>
      </w:tr>
      <w:tr>
        <w:trPr>
          <w:cantSplit/>
        </w:trPr>
        <w:tc>
          <w:tcPr>
            <w:tcW w:type="dxa" w:w="3600"/>
            <w:vAlign w:val="center"/>
          </w:tcPr>
          <w:p>
            <w:r>
              <w:t>75</w:t>
            </w:r>
          </w:p>
        </w:tc>
        <w:tc>
          <w:tcPr>
            <w:tcW w:type="dxa" w:w="4896"/>
            <w:vAlign w:val="center"/>
          </w:tcPr>
          <w:p>
            <w:r>
              <w:t>77.1860</w:t>
            </w:r>
          </w:p>
        </w:tc>
      </w:tr>
      <w:tr>
        <w:trPr>
          <w:cantSplit/>
        </w:trPr>
        <w:tc>
          <w:tcPr>
            <w:tcW w:type="dxa" w:w="3600"/>
            <w:vAlign w:val="center"/>
          </w:tcPr>
          <w:p>
            <w:r>
              <w:t>100</w:t>
            </w:r>
          </w:p>
        </w:tc>
        <w:tc>
          <w:tcPr>
            <w:tcW w:type="dxa" w:w="4896"/>
            <w:vAlign w:val="center"/>
          </w:tcPr>
          <w:p>
            <w:r>
              <w:t>94.5122</w:t>
            </w:r>
          </w:p>
        </w:tc>
      </w:tr>
    </w:tbl>
    <w:p/>
    <w:p>
      <w:r>
        <w:t>The firmware exponential gain law is then applied:</w:t>
      </w:r>
    </w:p>
    <w:p>
      <w:pPr>
        <w:pStyle w:val="CodeBlock"/>
      </w:pPr>
      <w:r>
        <w:rPr>
          <w:rFonts w:ascii="Consolas" w:hAnsi="Consolas"/>
        </w:rPr>
        <w:t>gainLinear = exp(-3.986313819885254</w:t>
        <w:br/>
        <w:t xml:space="preserve">                 + internalGain * 0.07972627133131027)</w:t>
      </w:r>
    </w:p>
    <w:p>
      <w:r>
        <w:t>This mapping is critical because Gain changes the signal level entering FIR A and the waveshaper, and therefore changes nonlinear saturation. It is experimentally validated for GP-200 hardware. Its use for Hotone/Ampero in v1.2 is an intentional compatibility/simplicity choice rather than a hardware-validated Ampero UI law.</w:t>
      </w:r>
    </w:p>
    <w:p>
      <w:pPr>
        <w:pStyle w:val="Heading2"/>
      </w:pPr>
      <w:r>
        <w:t>9.2 Volume</w:t>
      </w:r>
    </w:p>
    <w:p>
      <w:r>
        <w:t>Volume is post-CLO and uses the direct exponential control law shown below. CloPlayer v1.2 applies it to both supported formats.</w:t>
      </w:r>
    </w:p>
    <w:p>
      <w:pPr>
        <w:pStyle w:val="CodeBlock"/>
      </w:pPr>
      <w:r>
        <w:rPr>
          <w:rFonts w:ascii="Consolas" w:hAnsi="Consolas"/>
        </w:rPr>
        <w:t>volumeLinear = exp(-3.986313819885254</w:t>
        <w:br/>
        <w:t xml:space="preserve">                   + visibleVolume * 0.07972627133131027)</w:t>
      </w:r>
    </w:p>
    <w:p>
      <w:r>
        <w:t>Because Volume is after the nonlinear core, it changes output level but not the nonlinear excitation. Absolute level differences can therefore be compensated independently during validation.</w:t>
      </w:r>
    </w:p>
    <w:p>
      <w:pPr>
        <w:pStyle w:val="Heading1"/>
      </w:pPr>
      <w:r>
        <w:t>10. Complete Sample-Processing Algorithm</w:t>
      </w:r>
    </w:p>
    <w:p>
      <w:r>
        <w:t>For each native-rate input sample x[n], CloPlayer performs the following sequence:</w:t>
      </w:r>
    </w:p>
    <w:p>
      <w:pPr>
        <w:pStyle w:val="ListNumber"/>
      </w:pPr>
      <w:r>
        <w:t>Multiply the input sample by gainLinear.</w:t>
      </w:r>
    </w:p>
    <w:p>
      <w:pPr>
        <w:pStyle w:val="ListNumber"/>
      </w:pPr>
      <w:r>
        <w:t>Process the sample through the PRE biquad.</w:t>
      </w:r>
    </w:p>
    <w:p>
      <w:pPr>
        <w:pStyle w:val="ListNumber"/>
      </w:pPr>
      <w:r>
        <w:t>Process the result through FIR A.</w:t>
      </w:r>
    </w:p>
    <w:p>
      <w:pPr>
        <w:pStyle w:val="ListNumber"/>
      </w:pPr>
      <w:r>
        <w:t>Run the first 2× all-pass interpolator to obtain two phases.</w:t>
      </w:r>
    </w:p>
    <w:p>
      <w:pPr>
        <w:pStyle w:val="ListNumber"/>
      </w:pPr>
      <w:r>
        <w:t>Run the second 2× interpolator on each phase to obtain four samples.</w:t>
      </w:r>
    </w:p>
    <w:p>
      <w:pPr>
        <w:pStyle w:val="ListNumber"/>
      </w:pPr>
      <w:r>
        <w:t>Apply the asymmetric P/K waveshaper independently to all four samples.</w:t>
      </w:r>
    </w:p>
    <w:p>
      <w:pPr>
        <w:pStyle w:val="ListNumber"/>
      </w:pPr>
      <w:r>
        <w:t>Run the first coupled-allpass decimator on q0/q1 and q2/q3.</w:t>
      </w:r>
    </w:p>
    <w:p>
      <w:pPr>
        <w:pStyle w:val="ListNumber"/>
      </w:pPr>
      <w:r>
        <w:t>Run the second coupled-allpass decimator on those two intermediate outputs.</w:t>
      </w:r>
    </w:p>
    <w:p>
      <w:pPr>
        <w:pStyle w:val="ListNumber"/>
      </w:pPr>
      <w:r>
        <w:t>Process the 44.1 kHz result through the POST biquad.</w:t>
      </w:r>
    </w:p>
    <w:p>
      <w:pPr>
        <w:pStyle w:val="ListNumber"/>
      </w:pPr>
      <w:r>
        <w:t>Process the result through FIR B using 1024 taps for GP-200 or 2048 taps for Hotone/Ampero.</w:t>
      </w:r>
    </w:p>
    <w:p>
      <w:pPr>
        <w:pStyle w:val="ListNumber"/>
      </w:pPr>
      <w:r>
        <w:t>Multiply the result by volumeLinear.</w:t>
      </w:r>
    </w:p>
    <w:p>
      <w:pPr>
        <w:pStyle w:val="Heading2"/>
      </w:pPr>
      <w:r>
        <w:t>10.1 Reference pseudocode</w:t>
      </w:r>
    </w:p>
    <w:p>
      <w:pPr>
        <w:pStyle w:val="CodeBlock"/>
      </w:pPr>
      <w:r>
        <w:rPr>
          <w:rFonts w:ascii="Consolas" w:hAnsi="Consolas"/>
        </w:rPr>
        <w:t>function processSample(x):</w:t>
        <w:br/>
        <w:t xml:space="preserve">    x = x * gainLinear</w:t>
        <w:br/>
        <w:br/>
        <w:t xml:space="preserve">    x = PRE(x)</w:t>
        <w:br/>
        <w:t xml:space="preserve">    x = FIR_A(x)</w:t>
        <w:br/>
        <w:br/>
        <w:t xml:space="preserve">    (u1e, u1o) = UP2X_STAGE1(x)</w:t>
        <w:br/>
        <w:br/>
        <w:t xml:space="preserve">    (q0, q1) = UP2X_STAGE2(u1e)</w:t>
        <w:br/>
        <w:t xml:space="preserve">    (q2, q3) = UP2X_STAGE2(u1o)</w:t>
        <w:br/>
        <w:br/>
        <w:t xml:space="preserve">    q0 = waveshape(q0)</w:t>
        <w:br/>
        <w:t xml:space="preserve">    q1 = waveshape(q1)</w:t>
        <w:br/>
        <w:t xml:space="preserve">    q2 = waveshape(q2)</w:t>
        <w:br/>
        <w:t xml:space="preserve">    q3 = waveshape(q3)</w:t>
        <w:br/>
        <w:br/>
        <w:t xml:space="preserve">    d1e = DOWN2X_STAGE1(q0, q1)</w:t>
        <w:br/>
        <w:t xml:space="preserve">    d1o = DOWN2X_STAGE1(q2, q3)</w:t>
        <w:br/>
        <w:br/>
        <w:t xml:space="preserve">    x = DOWN2X_STAGE2(d1e, d1o)</w:t>
        <w:br/>
        <w:br/>
        <w:t xml:space="preserve">    x = POST(x)</w:t>
        <w:br/>
        <w:t xml:space="preserve">    x = FIR_B(x)</w:t>
        <w:br/>
        <w:br/>
        <w:t xml:space="preserve">    return x * volumeLinear</w:t>
      </w:r>
    </w:p>
    <w:p>
      <w:pPr>
        <w:pStyle w:val="Heading1"/>
      </w:pPr>
      <w:r>
        <w:t>11. VST3 / JUCE Integration</w:t>
      </w:r>
    </w:p>
    <w:p>
      <w:r>
        <w:t>CloPlayer is implemented as a JUCE AudioProcessor and exposes Gain and Volume as host-automatable floating-point parameters in the visible 0..100 range, with a 0.01 step and a default value of 50. The same parameter mapping is used for both supported CLO layouts.</w:t>
      </w:r>
    </w:p>
    <w:p>
      <w:pPr>
        <w:pStyle w:val="ListBullet"/>
      </w:pPr>
      <w:r>
        <w:t>Mono and stereo bus layouts are supported.</w:t>
      </w:r>
    </w:p>
    <w:p>
      <w:pPr>
        <w:pStyle w:val="ListBullet"/>
      </w:pPr>
      <w:r>
        <w:t>For stereo processing, each channel owns a separate GP200CloPlayer instance and therefore separate DSP state.</w:t>
      </w:r>
    </w:p>
    <w:p>
      <w:pPr>
        <w:pStyle w:val="ListBullet"/>
      </w:pPr>
      <w:r>
        <w:t>The plug-in accepts no MIDI and produces no MIDI.</w:t>
      </w:r>
    </w:p>
    <w:p>
      <w:pPr>
        <w:pStyle w:val="ListBullet"/>
      </w:pPr>
      <w:r>
        <w:t>The reconstructed CLO engine runs natively at 44.1 kHz for both supported layouts.</w:t>
      </w:r>
    </w:p>
    <w:p>
      <w:pPr>
        <w:pStyle w:val="ListBullet"/>
      </w:pPr>
      <w:r>
        <w:t>At any non-native host rate, the current v1.2 implementation deliberately passes audio through unchanged and the UI reports the rate mismatch.</w:t>
      </w:r>
    </w:p>
    <w:p>
      <w:r>
        <w:t>No internal sample-rate conversion is inserted around the model. Correct multirate support would require host rate → 44.1 kHz → CLO core → host rate resampling. Simply running the existing coefficients at another sample rate would shift PRE/POST filter frequencies and the time/frequency behavior of FIR A/B and the nonlinear path.</w:t>
      </w:r>
    </w:p>
    <w:p>
      <w:pPr>
        <w:pStyle w:val="Heading1"/>
      </w:pPr>
      <w:r>
        <w:t>12. Session State and CLO Embedding</w:t>
      </w:r>
    </w:p>
    <w:p>
      <w:r>
        <w:t>When a CLO file is loaded, CloPlayer stores a complete copy of the binary CLO data in memory. The VST3 state contains both the parameter state and the CLO itself.</w:t>
      </w:r>
    </w:p>
    <w:p>
      <w:pPr>
        <w:pStyle w:val="CodeBlock"/>
      </w:pPr>
      <w:r>
        <w:rPr>
          <w:rFonts w:ascii="Consolas" w:hAnsi="Consolas"/>
        </w:rPr>
        <w:t>VST3 state:</w:t>
        <w:br/>
        <w:t xml:space="preserve">    APVTS parameter state</w:t>
        <w:br/>
        <w:t xml:space="preserve">    + cloName</w:t>
        <w:br/>
        <w:t xml:space="preserve">    + cloDataBase64</w:t>
      </w:r>
    </w:p>
    <w:p>
      <w:r>
        <w:t>The CLO bytes are Base64-encoded into the JUCE ValueTree/XML state. When a DAW session is reopened, the plug-in reconstructs fresh player instances from the embedded data. Therefore the original .clo file path is not required for session recall.</w:t>
      </w:r>
    </w:p>
    <w:p>
      <w:r>
        <w:t>Loading new CLO data is performed while processing is suspended and under a critical-section lock. Two new player instances are created and validated before replacing the active stereo pair.</w:t>
      </w:r>
    </w:p>
    <w:p>
      <w:pPr>
        <w:pStyle w:val="Heading1"/>
      </w:pPr>
      <w:r>
        <w:t>13. Validation Against GP-200 Hardware and Ampero Firmware</w:t>
      </w:r>
    </w:p>
    <w:p>
      <w:r>
        <w:t>The reconstruction was not based only on static firmware inspection. Deterministic test signals and multiple CLO files were rendered through CloPlayer and a physical GP-200. For v1.2, the Hotone/Ampero extension was additionally checked against a native B2048 CLO file and Ampero II Stage firmware V1.7.0.</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D9EAF7"/>
          </w:tcPr>
          <w:p>
            <w:r>
              <w:rPr>
                <w:b/>
              </w:rPr>
              <w:t>Validation result</w:t>
            </w:r>
          </w:p>
        </w:tc>
        <w:tc>
          <w:tcPr>
            <w:tcW w:type="dxa" w:w="7344"/>
            <w:shd w:fill="D9EAF7"/>
          </w:tcPr>
          <w:p>
            <w:r>
              <w:rPr>
                <w:b/>
              </w:rPr>
              <w:t>Observed behavior</w:t>
            </w:r>
          </w:p>
        </w:tc>
      </w:tr>
      <w:tr>
        <w:trPr>
          <w:cantSplit/>
        </w:trPr>
        <w:tc>
          <w:tcPr>
            <w:tcW w:type="dxa" w:w="2880"/>
            <w:vAlign w:val="center"/>
          </w:tcPr>
          <w:p>
            <w:r>
              <w:t>DSP-core comparison</w:t>
            </w:r>
          </w:p>
        </w:tc>
        <w:tc>
          <w:tcPr>
            <w:tcW w:type="dxa" w:w="7344"/>
            <w:vAlign w:val="center"/>
          </w:tcPr>
          <w:p>
            <w:r>
              <w:t>Physical GP-200 output and CloPlayer reached correlation of approximately 0.999999762 after hardware latency compensation.</w:t>
            </w:r>
          </w:p>
        </w:tc>
      </w:tr>
      <w:tr>
        <w:trPr>
          <w:cantSplit/>
        </w:trPr>
        <w:tc>
          <w:tcPr>
            <w:tcW w:type="dxa" w:w="2880"/>
            <w:vAlign w:val="center"/>
          </w:tcPr>
          <w:p>
            <w:r>
              <w:t>Hardware latency</w:t>
            </w:r>
          </w:p>
        </w:tc>
        <w:tc>
          <w:tcPr>
            <w:tcW w:type="dxa" w:w="7344"/>
            <w:vAlign w:val="center"/>
          </w:tcPr>
          <w:p>
            <w:r>
              <w:t>Approximately 149 samples in the referenced comparison.</w:t>
            </w:r>
          </w:p>
        </w:tc>
      </w:tr>
      <w:tr>
        <w:trPr>
          <w:cantSplit/>
        </w:trPr>
        <w:tc>
          <w:tcPr>
            <w:tcW w:type="dxa" w:w="2880"/>
            <w:vAlign w:val="center"/>
          </w:tcPr>
          <w:p>
            <w:r>
              <w:t>Gain mapping</w:t>
            </w:r>
          </w:p>
        </w:tc>
        <w:tc>
          <w:tcPr>
            <w:tcW w:type="dxa" w:w="7344"/>
            <w:vAlign w:val="center"/>
          </w:tcPr>
          <w:p>
            <w:r>
              <w:t>Visible Gain values 25, 50, 75 and 100 were matched to equivalent internal control values and fit by the linear UI-to-DSP mapping used in v1.1.</w:t>
            </w:r>
          </w:p>
        </w:tc>
      </w:tr>
      <w:tr>
        <w:trPr>
          <w:cantSplit/>
        </w:trPr>
        <w:tc>
          <w:tcPr>
            <w:tcW w:type="dxa" w:w="2880"/>
            <w:vAlign w:val="center"/>
          </w:tcPr>
          <w:p>
            <w:r>
              <w:t>Patch Volume behavior</w:t>
            </w:r>
          </w:p>
        </w:tc>
        <w:tc>
          <w:tcPr>
            <w:tcW w:type="dxa" w:w="7344"/>
            <w:vAlign w:val="center"/>
          </w:tcPr>
          <w:p>
            <w:r>
              <w:t>A test at Patch Volume 100 vs 50 produced approximately 2× amplitude (+6.0206 dB), with correlation approximately 0.9999999965 after scaling.</w:t>
            </w:r>
          </w:p>
        </w:tc>
      </w:tr>
      <w:tr>
        <w:trPr>
          <w:cantSplit/>
        </w:trPr>
        <w:tc>
          <w:tcPr>
            <w:tcW w:type="dxa" w:w="2880"/>
            <w:vAlign w:val="center"/>
          </w:tcPr>
          <w:p>
            <w:r>
              <w:t>Fender/5150 models</w:t>
            </w:r>
          </w:p>
        </w:tc>
        <w:tc>
          <w:tcPr>
            <w:tcW w:type="dxa" w:w="7344"/>
            <w:vAlign w:val="center"/>
          </w:tcPr>
          <w:p>
            <w:r>
              <w:t>Both clean and high-gain CLOs were used during structural validation.</w:t>
            </w:r>
          </w:p>
        </w:tc>
      </w:tr>
      <w:tr>
        <w:trPr>
          <w:cantSplit/>
        </w:trPr>
        <w:tc>
          <w:tcPr>
            <w:tcW w:type="dxa" w:w="5040"/>
          </w:tcPr>
          <w:p>
            <w:r>
              <w:t>Hotone/Ampero B2048 layout</w:t>
            </w:r>
          </w:p>
        </w:tc>
        <w:tc>
          <w:tcPr>
            <w:tcW w:type="dxa" w:w="5040"/>
          </w:tcPr>
          <w:p>
            <w:r>
              <w:t>A native Hotone/Ampero CLO was confirmed to use the same PRE/POST/P/K/start/count field layout with A=128 and B=2048.</w:t>
            </w:r>
          </w:p>
        </w:tc>
      </w:tr>
      <w:tr>
        <w:trPr>
          <w:cantSplit/>
        </w:trPr>
        <w:tc>
          <w:tcPr>
            <w:tcW w:type="dxa" w:w="5040"/>
          </w:tcPr>
          <w:p>
            <w:r>
              <w:t>Ampero firmware DSP cross-check</w:t>
            </w:r>
          </w:p>
        </w:tc>
        <w:tc>
          <w:tcPr>
            <w:tcW w:type="dxa" w:w="5040"/>
          </w:tcPr>
          <w:p>
            <w:r>
              <w:t>The GP-200 4× all-pass oversampling/downsampling coefficient tables were found byte-for-byte in Ampero II Stage firmware V1.7.0.</w:t>
            </w:r>
          </w:p>
        </w:tc>
      </w:tr>
      <w:tr>
        <w:trPr>
          <w:cantSplit/>
        </w:trPr>
        <w:tc>
          <w:tcPr>
            <w:tcW w:type="dxa" w:w="5040"/>
          </w:tcPr>
          <w:p>
            <w:r>
              <w:t>Ampero external Gain mapping</w:t>
            </w:r>
          </w:p>
        </w:tc>
        <w:tc>
          <w:tcPr>
            <w:tcW w:type="dxa" w:w="5040"/>
          </w:tcPr>
          <w:p>
            <w:r>
              <w:t>Not independently measured on Ampero hardware; v1.2 deliberately reuses the GP-200 calibrated mapping for compatibility.</w:t>
            </w:r>
          </w:p>
        </w:tc>
      </w:tr>
    </w:tbl>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Pr>
          <w:p>
            <w:r>
              <w:t>Interpretation</w:t>
              <w:br/>
              <w:t>The physical GP-200 measurements strongly validate the signal-path architecture and parameter interpretation. The native Hotone/Ampero B2048 layout and the byte-for-byte matching all-pass tables in Ampero II Stage firmware provide strong evidence that the same CLO playback core is shared across these products, with the principal validated runtime layout difference being B=1024 versus B=2048. This does not imply bit-exact firmware equivalence or validate the Ampero visible Gain/Volume wrapper.</w:t>
            </w:r>
          </w:p>
        </w:tc>
      </w:tr>
    </w:tbl>
    <w:p/>
    <w:p>
      <w:pPr>
        <w:pStyle w:val="Heading1"/>
      </w:pPr>
      <w:r>
        <w:t>14. Confirmed Behavior vs CloPlayer Implementation Choices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016"/>
            <w:shd w:fill="D9EAF7"/>
          </w:tcPr>
          <w:p>
            <w:r>
              <w:rPr>
                <w:b/>
              </w:rPr>
              <w:t>Subsystem</w:t>
            </w:r>
          </w:p>
        </w:tc>
        <w:tc>
          <w:tcPr>
            <w:tcW w:type="dxa" w:w="4320"/>
            <w:shd w:fill="D9EAF7"/>
          </w:tcPr>
          <w:p>
            <w:r>
              <w:rPr>
                <w:b/>
              </w:rPr>
              <w:t>Reconstructed / validated behavior</w:t>
            </w:r>
          </w:p>
        </w:tc>
        <w:tc>
          <w:tcPr>
            <w:tcW w:type="dxa" w:w="4320"/>
            <w:shd w:fill="D9EAF7"/>
          </w:tcPr>
          <w:p>
            <w:r>
              <w:rPr>
                <w:b/>
              </w:rPr>
              <w:t>CloPlayer implementation</w:t>
            </w:r>
          </w:p>
        </w:tc>
      </w:tr>
      <w:tr>
        <w:trPr>
          <w:cantSplit/>
        </w:trPr>
        <w:tc>
          <w:tcPr>
            <w:tcW w:type="dxa" w:w="2016"/>
            <w:vAlign w:val="center"/>
          </w:tcPr>
          <w:p>
            <w:r>
              <w:t>PRE/POST</w:t>
            </w:r>
          </w:p>
        </w:tc>
        <w:tc>
          <w:tcPr>
            <w:tcW w:type="dxa" w:w="4320"/>
            <w:vAlign w:val="center"/>
          </w:tcPr>
          <w:p>
            <w:r>
              <w:t>Biquad sections with CLO-stored coefficients</w:t>
            </w:r>
          </w:p>
        </w:tc>
        <w:tc>
          <w:tcPr>
            <w:tcW w:type="dxa" w:w="4320"/>
            <w:vAlign w:val="center"/>
          </w:tcPr>
          <w:p>
            <w:r>
              <w:t>Transposed direct-form II, double arithmetic</w:t>
            </w:r>
          </w:p>
        </w:tc>
      </w:tr>
      <w:tr>
        <w:trPr>
          <w:cantSplit/>
        </w:trPr>
        <w:tc>
          <w:tcPr>
            <w:tcW w:type="dxa" w:w="2016"/>
            <w:vAlign w:val="center"/>
          </w:tcPr>
          <w:p>
            <w:r>
              <w:t>FIR A/B</w:t>
            </w:r>
          </w:p>
        </w:tc>
        <w:tc>
          <w:tcPr>
            <w:tcW w:type="dxa" w:w="4320"/>
            <w:vAlign w:val="center"/>
          </w:tcPr>
          <w:p>
            <w:r>
              <w:t>Causal FIR filtering in this signal-path order; validated B lengths are 1024 and 2048 taps</w:t>
            </w:r>
          </w:p>
        </w:tc>
        <w:tc>
          <w:tcPr>
            <w:tcW w:type="dxa" w:w="4320"/>
            <w:vAlign w:val="center"/>
          </w:tcPr>
          <w:p>
            <w:r>
              <w:t>Direct convolution, double accumulation; B length selected from CLO layout</w:t>
            </w:r>
          </w:p>
        </w:tc>
      </w:tr>
      <w:tr>
        <w:trPr>
          <w:cantSplit/>
        </w:trPr>
        <w:tc>
          <w:tcPr>
            <w:tcW w:type="dxa" w:w="2016"/>
            <w:vAlign w:val="center"/>
          </w:tcPr>
          <w:p>
            <w:r>
              <w:t>Oversampling</w:t>
            </w:r>
          </w:p>
        </w:tc>
        <w:tc>
          <w:tcPr>
            <w:tcW w:type="dxa" w:w="4320"/>
            <w:vAlign w:val="center"/>
          </w:tcPr>
          <w:p>
            <w:r>
              <w:t>4× via two all-pass polyphase 2× stages; coefficients cross-found in GP-200 and Ampero II Stage firmware</w:t>
            </w:r>
          </w:p>
        </w:tc>
        <w:tc>
          <w:tcPr>
            <w:tcW w:type="dxa" w:w="4320"/>
            <w:vAlign w:val="center"/>
          </w:tcPr>
          <w:p>
            <w:r>
              <w:t>Exact recovered coefficient values</w:t>
            </w:r>
          </w:p>
        </w:tc>
      </w:tr>
      <w:tr>
        <w:trPr>
          <w:cantSplit/>
        </w:trPr>
        <w:tc>
          <w:tcPr>
            <w:tcW w:type="dxa" w:w="2016"/>
            <w:vAlign w:val="center"/>
          </w:tcPr>
          <w:p>
            <w:r>
              <w:t>Nonlinearity</w:t>
            </w:r>
          </w:p>
        </w:tc>
        <w:tc>
          <w:tcPr>
            <w:tcW w:type="dxa" w:w="4320"/>
            <w:vAlign w:val="center"/>
          </w:tcPr>
          <w:p>
            <w:r>
              <w:t>Asymmetric exponential P/K model</w:t>
            </w:r>
          </w:p>
        </w:tc>
        <w:tc>
          <w:tcPr>
            <w:tcW w:type="dxa" w:w="4320"/>
            <w:vAlign w:val="center"/>
          </w:tcPr>
          <w:p>
            <w:r>
              <w:t>std::exp implementation</w:t>
            </w:r>
          </w:p>
        </w:tc>
      </w:tr>
      <w:tr>
        <w:trPr>
          <w:cantSplit/>
        </w:trPr>
        <w:tc>
          <w:tcPr>
            <w:tcW w:type="dxa" w:w="2016"/>
            <w:vAlign w:val="center"/>
          </w:tcPr>
          <w:p>
            <w:r>
              <w:t>Downsampling</w:t>
            </w:r>
          </w:p>
        </w:tc>
        <w:tc>
          <w:tcPr>
            <w:tcW w:type="dxa" w:w="4320"/>
            <w:vAlign w:val="center"/>
          </w:tcPr>
          <w:p>
            <w:r>
              <w:t>Two coupled-allpass 2× stages with branch delay and 0.5 scale</w:t>
            </w:r>
          </w:p>
        </w:tc>
        <w:tc>
          <w:tcPr>
            <w:tcW w:type="dxa" w:w="4320"/>
            <w:vAlign w:val="center"/>
          </w:tcPr>
          <w:p>
            <w:r>
              <w:t>Exact recovered coefficient values</w:t>
            </w:r>
          </w:p>
        </w:tc>
      </w:tr>
      <w:tr>
        <w:trPr>
          <w:cantSplit/>
        </w:trPr>
        <w:tc>
          <w:tcPr>
            <w:tcW w:type="dxa" w:w="2016"/>
            <w:vAlign w:val="center"/>
          </w:tcPr>
          <w:p>
            <w:r>
              <w:t>Gain law</w:t>
            </w:r>
          </w:p>
        </w:tc>
        <w:tc>
          <w:tcPr>
            <w:tcW w:type="dxa" w:w="4320"/>
            <w:vAlign w:val="center"/>
          </w:tcPr>
          <w:p>
            <w:r>
              <w:t>Firmware exponential law plus measured visible-to-internal mapping</w:t>
            </w:r>
          </w:p>
        </w:tc>
        <w:tc>
          <w:tcPr>
            <w:tcW w:type="dxa" w:w="4320"/>
            <w:vAlign w:val="center"/>
          </w:tcPr>
          <w:p>
            <w:r>
              <w:t>Same formulas</w:t>
            </w:r>
          </w:p>
        </w:tc>
      </w:tr>
      <w:tr>
        <w:trPr>
          <w:cantSplit/>
        </w:trPr>
        <w:tc>
          <w:tcPr>
            <w:tcW w:type="dxa" w:w="2016"/>
            <w:vAlign w:val="center"/>
          </w:tcPr>
          <w:p>
            <w:r>
              <w:t>Volume law</w:t>
            </w:r>
          </w:p>
        </w:tc>
        <w:tc>
          <w:tcPr>
            <w:tcW w:type="dxa" w:w="4320"/>
            <w:vAlign w:val="center"/>
          </w:tcPr>
          <w:p>
            <w:r>
              <w:t>GP-200 firmware exponential law plus measured visible-to-internal mapping</w:t>
            </w:r>
          </w:p>
        </w:tc>
        <w:tc>
          <w:tcPr>
            <w:tcW w:type="dxa" w:w="4320"/>
            <w:vAlign w:val="center"/>
          </w:tcPr>
          <w:p>
            <w:r>
              <w:t>Same formula used for GP-200 and Hotone/Ampero; Ampero UI mapping not independently validated</w:t>
            </w:r>
          </w:p>
        </w:tc>
      </w:tr>
      <w:tr>
        <w:trPr>
          <w:cantSplit/>
        </w:trPr>
        <w:tc>
          <w:tcPr>
            <w:tcW w:type="dxa" w:w="2016"/>
            <w:vAlign w:val="center"/>
          </w:tcPr>
          <w:p>
            <w:r>
              <w:t>Native rate</w:t>
            </w:r>
          </w:p>
        </w:tc>
        <w:tc>
          <w:tcPr>
            <w:tcW w:type="dxa" w:w="4320"/>
            <w:vAlign w:val="center"/>
          </w:tcPr>
          <w:p>
            <w:r>
              <w:t>Post-core exponential law in reconstructed GP-200 wrapper</w:t>
            </w:r>
          </w:p>
        </w:tc>
        <w:tc>
          <w:tcPr>
            <w:tcW w:type="dxa" w:w="4320"/>
            <w:vAlign w:val="center"/>
          </w:tcPr>
          <w:p>
            <w:r>
              <w:t>Same formula used for both supported layouts</w:t>
            </w:r>
          </w:p>
        </w:tc>
      </w:tr>
      <w:tr>
        <w:trPr>
          <w:cantSplit/>
        </w:trPr>
        <w:tc>
          <w:tcPr>
            <w:tcW w:type="dxa" w:w="2016"/>
            <w:vAlign w:val="center"/>
          </w:tcPr>
          <w:p>
            <w:r>
              <w:t>Stereo</w:t>
            </w:r>
          </w:p>
        </w:tc>
        <w:tc>
          <w:tcPr>
            <w:tcW w:type="dxa" w:w="4320"/>
            <w:vAlign w:val="center"/>
          </w:tcPr>
          <w:p>
            <w:r>
              <w:t>44.1 kHz reconstructed/validated CLO engine</w:t>
            </w:r>
          </w:p>
        </w:tc>
        <w:tc>
          <w:tcPr>
            <w:tcW w:type="dxa" w:w="4320"/>
            <w:vAlign w:val="center"/>
          </w:tcPr>
          <w:p>
            <w:r>
              <w:t>Processes CLO only at 44.1 kHz; bypass otherwise</w:t>
            </w:r>
          </w:p>
        </w:tc>
      </w:tr>
      <w:tr>
        <w:trPr>
          <w:cantSplit/>
        </w:trPr>
        <w:tc>
          <w:tcPr>
            <w:tcW w:type="dxa" w:w="2016"/>
            <w:vAlign w:val="center"/>
          </w:tcPr>
          <w:p>
            <w:r>
              <w:t>EQ</w:t>
            </w:r>
          </w:p>
        </w:tc>
        <w:tc>
          <w:tcPr>
            <w:tcW w:type="dxa" w:w="4320"/>
            <w:vAlign w:val="center"/>
          </w:tcPr>
          <w:p>
            <w:r>
              <w:t>Bass/Middle/Treble outside CLO core</w:t>
            </w:r>
          </w:p>
        </w:tc>
        <w:tc>
          <w:tcPr>
            <w:tcW w:type="dxa" w:w="4320"/>
            <w:vAlign w:val="center"/>
          </w:tcPr>
          <w:p>
            <w:r>
              <w:t>Intentionally omitted</w:t>
            </w:r>
          </w:p>
        </w:tc>
      </w:tr>
    </w:tbl>
    <w:p/>
    <w:p>
      <w:pPr>
        <w:pStyle w:val="Heading1"/>
      </w:pPr>
      <w:r>
        <w:t>15. Numerical and Architectural Limitations</w:t>
      </w:r>
    </w:p>
    <w:p>
      <w:pPr>
        <w:pStyle w:val="ListBullet"/>
      </w:pPr>
      <w:r>
        <w:t>CloPlayer is not bit-identical to GP-200 or Ampero firmware.</w:t>
      </w:r>
    </w:p>
    <w:p>
      <w:pPr>
        <w:pStyle w:val="ListBullet"/>
      </w:pPr>
      <w:r>
        <w:t>The firmware's partitioned FFT convolution is replaced by direct FIR convolution.</w:t>
      </w:r>
    </w:p>
    <w:p>
      <w:pPr>
        <w:pStyle w:val="ListBullet"/>
      </w:pPr>
      <w:r>
        <w:t>The exact Cortex-M7 FMA/FFT accumulation order is not reproduced.</w:t>
      </w:r>
    </w:p>
    <w:p>
      <w:pPr>
        <w:pStyle w:val="ListBullet"/>
      </w:pPr>
      <w:r>
        <w:t>The firmware's exact exponential helper is not reproduced; std::exp is used.</w:t>
      </w:r>
    </w:p>
    <w:p>
      <w:pPr>
        <w:pStyle w:val="ListBullet"/>
      </w:pPr>
      <w:r>
        <w:t>The implementation does not emulate external SnapTone Bass/Middle/Treble EQ.</w:t>
      </w:r>
    </w:p>
    <w:p>
      <w:pPr>
        <w:pStyle w:val="ListBullet"/>
      </w:pPr>
      <w:r>
        <w:t>The player accepts only the two explicitly validated layouts: A=128/B=1024 (GP-200) and A=128/B=2048 (Hotone/Ampero).</w:t>
      </w:r>
    </w:p>
    <w:p>
      <w:pPr>
        <w:pStyle w:val="ListBullet"/>
      </w:pPr>
      <w:r>
        <w:t>The current VST3 processes CLO models only at 44.1 kHz and bypasses at other host sample rates; internal resampling is not included in v1.2.</w:t>
      </w:r>
    </w:p>
    <w:p>
      <w:pPr>
        <w:pStyle w:val="ListBullet"/>
      </w:pPr>
      <w:r>
        <w:t>The visible-Gain mapping is experimentally reconstructed from GP-200 measurements. Its use for Hotone/Ampero is a deliberate v1.2 compatibility choice and should not be read as a measurement of the Ampero hardware control law.</w:t>
      </w:r>
    </w:p>
    <w:p>
      <w:pPr>
        <w:pStyle w:val="Heading1"/>
      </w:pPr>
      <w:r>
        <w:t>16. Reference Constants and Pseudocode</w:t>
      </w:r>
    </w:p>
    <w:p>
      <w:pPr>
        <w:pStyle w:val="Heading2"/>
      </w:pPr>
      <w:r>
        <w:t>16.1 File constants</w:t>
      </w:r>
    </w:p>
    <w:tbl>
      <w:tblPr>
        <w:tblStyle w:val="TableGrid"/>
        <w:tblW w:type="auto" w:w="0"/>
        <w:jc w:val="center"/>
        <w:tblLook w:firstColumn="1" w:firstRow="1" w:lastColumn="0" w:lastRow="0" w:noHBand="0" w:noVBand="1" w:val="04A0"/>
      </w:tblPr>
      <w:tblGrid>
        <w:gridCol w:w="5040"/>
        <w:gridCol w:w="5040"/>
      </w:tblGrid>
      <w:tr>
        <w:trPr>
          <w:cantSplit/>
        </w:trPr>
        <w:tc>
          <w:tcPr>
            <w:tcW w:type="dxa" w:w="4320"/>
            <w:shd w:fill="D9EAF7"/>
          </w:tcPr>
          <w:p>
            <w:r>
              <w:rPr>
                <w:b/>
              </w:rPr>
              <w:t>Constant</w:t>
            </w:r>
          </w:p>
        </w:tc>
        <w:tc>
          <w:tcPr>
            <w:tcW w:type="dxa" w:w="4320"/>
            <w:shd w:fill="D9EAF7"/>
          </w:tcPr>
          <w:p>
            <w:r>
              <w:rPr>
                <w:b/>
              </w:rPr>
              <w:t>Value</w:t>
            </w:r>
          </w:p>
        </w:tc>
      </w:tr>
      <w:tr>
        <w:trPr>
          <w:cantSplit/>
        </w:trPr>
        <w:tc>
          <w:tcPr>
            <w:tcW w:type="dxa" w:w="4320"/>
            <w:vAlign w:val="center"/>
          </w:tcPr>
          <w:p>
            <w:r>
              <w:t>Minimum CLO header</w:t>
            </w:r>
          </w:p>
        </w:tc>
        <w:tc>
          <w:tcPr>
            <w:tcW w:type="dxa" w:w="4320"/>
            <w:vAlign w:val="center"/>
          </w:tcPr>
          <w:p>
            <w:r>
              <w:t>0x88 bytes</w:t>
            </w:r>
          </w:p>
        </w:tc>
      </w:tr>
      <w:tr>
        <w:trPr>
          <w:cantSplit/>
        </w:trPr>
        <w:tc>
          <w:tcPr>
            <w:tcW w:type="dxa" w:w="4320"/>
            <w:vAlign w:val="center"/>
          </w:tcPr>
          <w:p>
            <w:r>
              <w:t>Coefficient array base</w:t>
            </w:r>
          </w:p>
        </w:tc>
        <w:tc>
          <w:tcPr>
            <w:tcW w:type="dxa" w:w="4320"/>
            <w:vAlign w:val="center"/>
          </w:tcPr>
          <w:p>
            <w:r>
              <w:t>0x88</w:t>
            </w:r>
          </w:p>
        </w:tc>
      </w:tr>
      <w:tr>
        <w:trPr>
          <w:cantSplit/>
        </w:trPr>
        <w:tc>
          <w:tcPr>
            <w:tcW w:type="dxa" w:w="4320"/>
            <w:vAlign w:val="center"/>
          </w:tcPr>
          <w:p>
            <w:r>
              <w:t>Supported B taps</w:t>
            </w:r>
          </w:p>
        </w:tc>
        <w:tc>
          <w:tcPr>
            <w:tcW w:type="dxa" w:w="4320"/>
            <w:vAlign w:val="center"/>
          </w:tcPr>
          <w:p>
            <w:r>
              <w:t>1024 (GP-200) or 2048 (Hotone/Ampero)</w:t>
            </w:r>
          </w:p>
        </w:tc>
      </w:tr>
      <w:tr>
        <w:trPr>
          <w:cantSplit/>
        </w:trPr>
        <w:tc>
          <w:tcPr>
            <w:tcW w:type="dxa" w:w="4320"/>
            <w:vAlign w:val="center"/>
          </w:tcPr>
          <w:p>
            <w:r>
              <w:t>Native sample rate</w:t>
            </w:r>
          </w:p>
        </w:tc>
        <w:tc>
          <w:tcPr>
            <w:tcW w:type="dxa" w:w="4320"/>
            <w:vAlign w:val="center"/>
          </w:tcPr>
          <w:p>
            <w:r>
              <w:t>44100 Hz</w:t>
            </w:r>
          </w:p>
        </w:tc>
      </w:tr>
      <w:tr>
        <w:trPr>
          <w:cantSplit/>
        </w:trPr>
        <w:tc>
          <w:tcPr>
            <w:tcW w:type="dxa" w:w="5040"/>
          </w:tcPr>
          <w:p>
            <w:r>
              <w:t>Validated FIR layouts</w:t>
            </w:r>
          </w:p>
        </w:tc>
        <w:tc>
          <w:tcPr>
            <w:tcW w:type="dxa" w:w="5040"/>
          </w:tcPr>
          <w:p>
            <w:r>
              <w:t>A=128, startA=0, startB=128; B=1024 or 2048</w:t>
            </w:r>
          </w:p>
        </w:tc>
      </w:tr>
    </w:tbl>
    <w:p/>
    <w:p>
      <w:pPr>
        <w:pStyle w:val="Heading2"/>
      </w:pPr>
      <w:r>
        <w:t>16.2 Gain / Volume constants</w:t>
      </w:r>
    </w:p>
    <w:tbl>
      <w:tblPr>
        <w:tblStyle w:val="TableGrid"/>
        <w:tblW w:type="auto" w:w="0"/>
        <w:jc w:val="center"/>
        <w:tblLook w:firstColumn="1" w:firstRow="1" w:lastColumn="0" w:lastRow="0" w:noHBand="0" w:noVBand="1" w:val="04A0"/>
      </w:tblPr>
      <w:tblGrid>
        <w:gridCol w:w="5040"/>
        <w:gridCol w:w="5040"/>
      </w:tblGrid>
      <w:tr>
        <w:trPr>
          <w:cantSplit/>
        </w:trPr>
        <w:tc>
          <w:tcPr>
            <w:tcW w:type="dxa" w:w="4320"/>
            <w:shd w:fill="D9EAF7"/>
          </w:tcPr>
          <w:p>
            <w:r>
              <w:rPr>
                <w:b/>
              </w:rPr>
              <w:t>Constant</w:t>
            </w:r>
          </w:p>
        </w:tc>
        <w:tc>
          <w:tcPr>
            <w:tcW w:type="dxa" w:w="4320"/>
            <w:shd w:fill="D9EAF7"/>
          </w:tcPr>
          <w:p>
            <w:r>
              <w:rPr>
                <w:b/>
              </w:rPr>
              <w:t>Value</w:t>
            </w:r>
          </w:p>
        </w:tc>
      </w:tr>
      <w:tr>
        <w:trPr>
          <w:cantSplit/>
        </w:trPr>
        <w:tc>
          <w:tcPr>
            <w:tcW w:type="dxa" w:w="4320"/>
            <w:vAlign w:val="center"/>
          </w:tcPr>
          <w:p>
            <w:r>
              <w:t>UI-to-internal Gain slope</w:t>
            </w:r>
          </w:p>
        </w:tc>
        <w:tc>
          <w:tcPr>
            <w:tcW w:type="dxa" w:w="4320"/>
            <w:vAlign w:val="center"/>
          </w:tcPr>
          <w:p>
            <w:r>
              <w:t>0.69311597</w:t>
            </w:r>
          </w:p>
        </w:tc>
      </w:tr>
      <w:tr>
        <w:trPr>
          <w:cantSplit/>
        </w:trPr>
        <w:tc>
          <w:tcPr>
            <w:tcW w:type="dxa" w:w="4320"/>
            <w:vAlign w:val="center"/>
          </w:tcPr>
          <w:p>
            <w:r>
              <w:t>UI-to-internal Gain offset</w:t>
            </w:r>
          </w:p>
        </w:tc>
        <w:tc>
          <w:tcPr>
            <w:tcW w:type="dxa" w:w="4320"/>
            <w:vAlign w:val="center"/>
          </w:tcPr>
          <w:p>
            <w:r>
              <w:t>25.201331</w:t>
            </w:r>
          </w:p>
        </w:tc>
      </w:tr>
      <w:tr>
        <w:trPr>
          <w:cantSplit/>
        </w:trPr>
        <w:tc>
          <w:tcPr>
            <w:tcW w:type="dxa" w:w="4320"/>
            <w:vAlign w:val="center"/>
          </w:tcPr>
          <w:p>
            <w:r>
              <w:t>Firmware exponential offset</w:t>
            </w:r>
          </w:p>
        </w:tc>
        <w:tc>
          <w:tcPr>
            <w:tcW w:type="dxa" w:w="4320"/>
            <w:vAlign w:val="center"/>
          </w:tcPr>
          <w:p>
            <w:r>
              <w:t>-3.986313819885254</w:t>
            </w:r>
          </w:p>
        </w:tc>
      </w:tr>
      <w:tr>
        <w:trPr>
          <w:cantSplit/>
        </w:trPr>
        <w:tc>
          <w:tcPr>
            <w:tcW w:type="dxa" w:w="4320"/>
            <w:vAlign w:val="center"/>
          </w:tcPr>
          <w:p>
            <w:r>
              <w:t>Firmware exponential slope</w:t>
            </w:r>
          </w:p>
        </w:tc>
        <w:tc>
          <w:tcPr>
            <w:tcW w:type="dxa" w:w="4320"/>
            <w:vAlign w:val="center"/>
          </w:tcPr>
          <w:p>
            <w:r>
              <w:t>0.07972627133131027</w:t>
            </w:r>
          </w:p>
        </w:tc>
      </w:tr>
    </w:tbl>
    <w:p/>
    <w:p>
      <w:pPr>
        <w:pStyle w:val="Heading2"/>
      </w:pPr>
      <w:r>
        <w:t>16.3 Oversampling / downsampling coefficients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728"/>
            <w:shd w:fill="D9EAF7"/>
          </w:tcPr>
          <w:p>
            <w:r>
              <w:rPr>
                <w:b/>
              </w:rPr>
              <w:t>Stage</w:t>
            </w:r>
          </w:p>
        </w:tc>
        <w:tc>
          <w:tcPr>
            <w:tcW w:type="dxa" w:w="4464"/>
            <w:shd w:fill="D9EAF7"/>
          </w:tcPr>
          <w:p>
            <w:r>
              <w:rPr>
                <w:b/>
              </w:rPr>
              <w:t>Branch 0</w:t>
            </w:r>
          </w:p>
        </w:tc>
        <w:tc>
          <w:tcPr>
            <w:tcW w:type="dxa" w:w="4464"/>
            <w:shd w:fill="D9EAF7"/>
          </w:tcPr>
          <w:p>
            <w:r>
              <w:rPr>
                <w:b/>
              </w:rPr>
              <w:t>Branch 1</w:t>
            </w:r>
          </w:p>
        </w:tc>
      </w:tr>
      <w:tr>
        <w:trPr>
          <w:cantSplit/>
        </w:trPr>
        <w:tc>
          <w:tcPr>
            <w:tcW w:type="dxa" w:w="1728"/>
            <w:vAlign w:val="center"/>
          </w:tcPr>
          <w:p>
            <w:r>
              <w:t>Upsample 1</w:t>
            </w:r>
          </w:p>
        </w:tc>
        <w:tc>
          <w:tcPr>
            <w:tcW w:type="dxa" w:w="4464"/>
            <w:vAlign w:val="center"/>
          </w:tcPr>
          <w:p>
            <w:r>
              <w:t>0.0457281470; 0.3325011134; 0.6632020473; 0.9338558316</w:t>
            </w:r>
          </w:p>
        </w:tc>
        <w:tc>
          <w:tcPr>
            <w:tcW w:type="dxa" w:w="4464"/>
            <w:vAlign w:val="center"/>
          </w:tcPr>
          <w:p>
            <w:r>
              <w:t>0.1680875421; 0.5044857264; 0.8037808537</w:t>
            </w:r>
          </w:p>
        </w:tc>
      </w:tr>
      <w:tr>
        <w:trPr>
          <w:cantSplit/>
        </w:trPr>
        <w:tc>
          <w:tcPr>
            <w:tcW w:type="dxa" w:w="1728"/>
            <w:vAlign w:val="center"/>
          </w:tcPr>
          <w:p>
            <w:r>
              <w:t>Upsample 2</w:t>
            </w:r>
          </w:p>
        </w:tc>
        <w:tc>
          <w:tcPr>
            <w:tcW w:type="dxa" w:w="4464"/>
            <w:vAlign w:val="center"/>
          </w:tcPr>
          <w:p>
            <w:r>
              <w:t>0.0542307794; 0.3987969756; 0.8629178405</w:t>
            </w:r>
          </w:p>
        </w:tc>
        <w:tc>
          <w:tcPr>
            <w:tcW w:type="dxa" w:w="4464"/>
            <w:vAlign w:val="center"/>
          </w:tcPr>
          <w:p>
            <w:r>
              <w:t>0.1996995807; 0.6210968494</w:t>
            </w:r>
          </w:p>
        </w:tc>
      </w:tr>
      <w:tr>
        <w:trPr>
          <w:cantSplit/>
        </w:trPr>
        <w:tc>
          <w:tcPr>
            <w:tcW w:type="dxa" w:w="1728"/>
            <w:vAlign w:val="center"/>
          </w:tcPr>
          <w:p>
            <w:r>
              <w:t>Downsample 1</w:t>
            </w:r>
          </w:p>
        </w:tc>
        <w:tc>
          <w:tcPr>
            <w:tcW w:type="dxa" w:w="4464"/>
            <w:vAlign w:val="center"/>
          </w:tcPr>
          <w:p>
            <w:r>
              <w:t>0.0707659498; 0.5131675601</w:t>
            </w:r>
          </w:p>
        </w:tc>
        <w:tc>
          <w:tcPr>
            <w:tcW w:type="dxa" w:w="4464"/>
            <w:vAlign w:val="center"/>
          </w:tcPr>
          <w:p>
            <w:r>
              <w:t>0.2578530908; 0.8173173666</w:t>
            </w:r>
          </w:p>
        </w:tc>
      </w:tr>
      <w:tr>
        <w:trPr>
          <w:cantSplit/>
        </w:trPr>
        <w:tc>
          <w:tcPr>
            <w:tcW w:type="dxa" w:w="1728"/>
            <w:vAlign w:val="center"/>
          </w:tcPr>
          <w:p>
            <w:r>
              <w:t>Downsample 2</w:t>
            </w:r>
          </w:p>
        </w:tc>
        <w:tc>
          <w:tcPr>
            <w:tcW w:type="dxa" w:w="4464"/>
            <w:vAlign w:val="center"/>
          </w:tcPr>
          <w:p>
            <w:r>
              <w:t>0.0542175248; 0.3830873370; 0.7487209439</w:t>
            </w:r>
          </w:p>
        </w:tc>
        <w:tc>
          <w:tcPr>
            <w:tcW w:type="dxa" w:w="4464"/>
            <w:vAlign w:val="center"/>
          </w:tcPr>
          <w:p>
            <w:r>
              <w:t>0.1967979670; 0.5731363893; 0.9142937064</w:t>
            </w:r>
          </w:p>
        </w:tc>
      </w:tr>
    </w:tbl>
    <w:p/>
    <w:p>
      <w:pPr>
        <w:pStyle w:val="Heading2"/>
      </w:pPr>
      <w:r>
        <w:t>16.4 Full reference algorithm</w:t>
      </w:r>
    </w:p>
    <w:p>
      <w:pPr>
        <w:pStyle w:val="CodeBlock"/>
      </w:pPr>
      <w:r>
        <w:t>loadCLO(bytes):</w:t>
        <w:br/>
        <w:t xml:space="preserve">    assert magic is "VTSI" or "HTSI"</w:t>
        <w:br/>
        <w:t xml:space="preserve">    read PRE doubles from 0x18..0x38</w:t>
        <w:br/>
        <w:t xml:space="preserve">    read POST doubles from 0x40..0x60</w:t>
        <w:br/>
        <w:t xml:space="preserve">    read Ppos/Pneg/Kpos/Kneg from 0x68..0x74</w:t>
        <w:br/>
        <w:t xml:space="preserve">    read startA/countA/startB/countB from 0x78..0x84</w:t>
        <w:br/>
        <w:t xml:space="preserve">    assert startA == 0 and countA == 128 and startB == 128</w:t>
        <w:br/>
        <w:t xml:space="preserve">    assert countB == 1024 or countB == 2048</w:t>
        <w:br/>
        <w:t xml:space="preserve">    read float coefficient array from 0x88</w:t>
        <w:br/>
        <w:t xml:space="preserve">    FIR_A = coefficients[startA : startA+countA]</w:t>
        <w:br/>
        <w:t xml:space="preserve">    FIR_B = coefficients[startB : startB+countB]</w:t>
        <w:br/>
        <w:t xml:space="preserve">    configure four all-pass polyphase stages</w:t>
        <w:br/>
        <w:t xml:space="preserve">    clear all filter states</w:t>
        <w:br/>
        <w:br/>
        <w:t>visibleGainToLinear(g):</w:t>
        <w:br/>
        <w:t xml:space="preserve">    internal = 0.69311597*g + 25.201331</w:t>
        <w:br/>
        <w:t xml:space="preserve">    return exp(-3.986313819885254</w:t>
        <w:br/>
        <w:t xml:space="preserve">               + internal*0.07972627133131027)</w:t>
        <w:br/>
        <w:br/>
        <w:t>visibleVolumeToLinear(v):</w:t>
        <w:br/>
        <w:t xml:space="preserve">    return exp(-3.986313819885254</w:t>
        <w:br/>
        <w:t xml:space="preserve">               + v*0.07972627133131027)</w:t>
        <w:br/>
        <w:br/>
        <w:t>waveshape(x):</w:t>
        <w:br/>
        <w:t xml:space="preserve">    if x &gt; 0:</w:t>
        <w:br/>
        <w:t xml:space="preserve">        return Ppos*(1-exp(-Kpos*x))</w:t>
        <w:br/>
        <w:t xml:space="preserve">    else:</w:t>
        <w:br/>
        <w:t xml:space="preserve">        return Pneg*(exp(Kneg*x)-1)</w:t>
      </w:r>
    </w:p>
    <w:p>
      <w:pPr>
        <w:pStyle w:val="Heading1"/>
      </w:pPr>
      <w:r>
        <w:t>Appendix A. Source Implementation Mapping</w:t>
      </w:r>
    </w:p>
    <w:tbl>
      <w:tblPr>
        <w:tblStyle w:val="TableGrid"/>
        <w:tblW w:type="auto" w:w="0"/>
        <w:jc w:val="center"/>
        <w:tblLook w:firstColumn="1" w:firstRow="1" w:lastColumn="0" w:lastRow="0" w:noHBand="0" w:noVBand="1" w:val="04A0"/>
      </w:tblPr>
      <w:tblGrid>
        <w:gridCol w:w="5040"/>
        <w:gridCol w:w="5040"/>
      </w:tblGrid>
      <w:tr>
        <w:trPr>
          <w:cantSplit/>
        </w:trPr>
        <w:tc>
          <w:tcPr>
            <w:tcW w:type="dxa" w:w="3168"/>
            <w:shd w:fill="D9EAF7"/>
          </w:tcPr>
          <w:p>
            <w:r>
              <w:rPr>
                <w:b/>
              </w:rPr>
              <w:t>Source file</w:t>
            </w:r>
          </w:p>
        </w:tc>
        <w:tc>
          <w:tcPr>
            <w:tcW w:type="dxa" w:w="7056"/>
            <w:shd w:fill="D9EAF7"/>
          </w:tcPr>
          <w:p>
            <w:r>
              <w:rPr>
                <w:b/>
              </w:rPr>
              <w:t>Responsibility</w:t>
            </w:r>
          </w:p>
        </w:tc>
      </w:tr>
      <w:tr>
        <w:trPr>
          <w:cantSplit/>
        </w:trPr>
        <w:tc>
          <w:tcPr>
            <w:tcW w:type="dxa" w:w="3168"/>
            <w:vAlign w:val="center"/>
          </w:tcPr>
          <w:p>
            <w:r>
              <w:t>source/GP200CloPlayer.h</w:t>
            </w:r>
          </w:p>
        </w:tc>
        <w:tc>
          <w:tcPr>
            <w:tcW w:type="dxa" w:w="7056"/>
            <w:vAlign w:val="center"/>
          </w:tcPr>
          <w:p>
            <w:r>
              <w:t>DSP object definitions, states, public interface, model metadata and CLO format classification.</w:t>
            </w:r>
          </w:p>
        </w:tc>
      </w:tr>
      <w:tr>
        <w:trPr>
          <w:cantSplit/>
        </w:trPr>
        <w:tc>
          <w:tcPr>
            <w:tcW w:type="dxa" w:w="3168"/>
            <w:vAlign w:val="center"/>
          </w:tcPr>
          <w:p>
            <w:r>
              <w:t>source/GP200CloPlayer.cpp</w:t>
            </w:r>
          </w:p>
        </w:tc>
        <w:tc>
          <w:tcPr>
            <w:tcW w:type="dxa" w:w="7056"/>
            <w:vAlign w:val="center"/>
          </w:tcPr>
          <w:p>
            <w:r>
              <w:t>CLO parsing/validation, GP-200 B1024 and Hotone/Ampero B2048 format detection, filters, all-pass resampling, waveshaper, Gain/Volume mapping and core sample processing.</w:t>
            </w:r>
          </w:p>
        </w:tc>
      </w:tr>
      <w:tr>
        <w:trPr>
          <w:cantSplit/>
        </w:trPr>
        <w:tc>
          <w:tcPr>
            <w:tcW w:type="dxa" w:w="3168"/>
            <w:vAlign w:val="center"/>
          </w:tcPr>
          <w:p>
            <w:r>
              <w:t>source/PluginProcessor.h</w:t>
            </w:r>
          </w:p>
        </w:tc>
        <w:tc>
          <w:tcPr>
            <w:tcW w:type="dxa" w:w="7056"/>
            <w:vAlign w:val="center"/>
          </w:tcPr>
          <w:p>
            <w:r>
              <w:t>JUCE AudioProcessor declaration, stereo player ownership and parameter/state interface.</w:t>
            </w:r>
          </w:p>
        </w:tc>
      </w:tr>
      <w:tr>
        <w:trPr>
          <w:cantSplit/>
        </w:trPr>
        <w:tc>
          <w:tcPr>
            <w:tcW w:type="dxa" w:w="3168"/>
            <w:vAlign w:val="center"/>
          </w:tcPr>
          <w:p>
            <w:r>
              <w:t>source/PluginProcessor.cpp</w:t>
            </w:r>
          </w:p>
        </w:tc>
        <w:tc>
          <w:tcPr>
            <w:tcW w:type="dxa" w:w="7056"/>
            <w:vAlign w:val="center"/>
          </w:tcPr>
          <w:p>
            <w:r>
              <w:t>Host-rate handling, stereo processing, CLO loading, format text, parameter routing and DAW state serialization.</w:t>
            </w:r>
          </w:p>
        </w:tc>
      </w:tr>
      <w:tr>
        <w:trPr>
          <w:cantSplit/>
        </w:trPr>
        <w:tc>
          <w:tcPr>
            <w:tcW w:type="dxa" w:w="3168"/>
            <w:vAlign w:val="center"/>
          </w:tcPr>
          <w:p>
            <w:r>
              <w:t>source/PluginEditor.*</w:t>
            </w:r>
          </w:p>
        </w:tc>
        <w:tc>
          <w:tcPr>
            <w:tcW w:type="dxa" w:w="7056"/>
            <w:vAlign w:val="center"/>
          </w:tcPr>
          <w:p>
            <w:r>
              <w:t>Graphical interface for loading CLO files, displaying detected format/rate status and controlling Gain/Volume.</w:t>
            </w:r>
          </w:p>
        </w:tc>
      </w:tr>
    </w:tbl>
    <w:p/>
    <w:p>
      <w:pPr>
        <w:pStyle w:val="Heading1"/>
      </w:pPr>
      <w:r>
        <w:t>Appendix B. Terminology</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D9EAF7"/>
          </w:tcPr>
          <w:p>
            <w:r>
              <w:rPr>
                <w:b/>
              </w:rPr>
              <w:t>Term</w:t>
            </w:r>
          </w:p>
        </w:tc>
        <w:tc>
          <w:tcPr>
            <w:tcW w:type="dxa" w:w="7344"/>
            <w:shd w:fill="D9EAF7"/>
          </w:tcPr>
          <w:p>
            <w:r>
              <w:rPr>
                <w:b/>
              </w:rPr>
              <w:t>Meaning in this document</w:t>
            </w:r>
          </w:p>
        </w:tc>
      </w:tr>
      <w:tr>
        <w:trPr>
          <w:cantSplit/>
        </w:trPr>
        <w:tc>
          <w:tcPr>
            <w:tcW w:type="dxa" w:w="2880"/>
            <w:vAlign w:val="center"/>
          </w:tcPr>
          <w:p>
            <w:r>
              <w:t>CLO</w:t>
            </w:r>
          </w:p>
        </w:tc>
        <w:tc>
          <w:tcPr>
            <w:tcW w:type="dxa" w:w="7344"/>
            <w:vAlign w:val="center"/>
          </w:tcPr>
          <w:p>
            <w:r>
              <w:t>Binary model file containing PRE/POST biquads, nonlinear P/K parameters and FIR coefficient regions. CloPlayer v1.2 supports the validated GP-200 B1024 and Hotone/Ampero B2048 layouts.</w:t>
            </w:r>
          </w:p>
        </w:tc>
      </w:tr>
      <w:tr>
        <w:trPr>
          <w:cantSplit/>
        </w:trPr>
        <w:tc>
          <w:tcPr>
            <w:tcW w:type="dxa" w:w="2880"/>
            <w:vAlign w:val="center"/>
          </w:tcPr>
          <w:p>
            <w:r>
              <w:t>PRE</w:t>
            </w:r>
          </w:p>
        </w:tc>
        <w:tc>
          <w:tcPr>
            <w:tcW w:type="dxa" w:w="7344"/>
            <w:vAlign w:val="center"/>
          </w:tcPr>
          <w:p>
            <w:r>
              <w:t>Biquad immediately before FIR A.</w:t>
            </w:r>
          </w:p>
        </w:tc>
      </w:tr>
      <w:tr>
        <w:trPr>
          <w:cantSplit/>
        </w:trPr>
        <w:tc>
          <w:tcPr>
            <w:tcW w:type="dxa" w:w="2880"/>
            <w:vAlign w:val="center"/>
          </w:tcPr>
          <w:p>
            <w:r>
              <w:t>A</w:t>
            </w:r>
          </w:p>
        </w:tc>
        <w:tc>
          <w:tcPr>
            <w:tcW w:type="dxa" w:w="7344"/>
            <w:vAlign w:val="center"/>
          </w:tcPr>
          <w:p>
            <w:r>
              <w:t>FIR block immediately before oversampling and nonlinear processing.</w:t>
            </w:r>
          </w:p>
        </w:tc>
      </w:tr>
      <w:tr>
        <w:trPr>
          <w:cantSplit/>
        </w:trPr>
        <w:tc>
          <w:tcPr>
            <w:tcW w:type="dxa" w:w="2880"/>
            <w:vAlign w:val="center"/>
          </w:tcPr>
          <w:p>
            <w:r>
              <w:t>P/K</w:t>
            </w:r>
          </w:p>
        </w:tc>
        <w:tc>
          <w:tcPr>
            <w:tcW w:type="dxa" w:w="7344"/>
            <w:vAlign w:val="center"/>
          </w:tcPr>
          <w:p>
            <w:r>
              <w:t>Four scalar parameters controlling the asymmetric exponential waveshaper.</w:t>
            </w:r>
          </w:p>
        </w:tc>
      </w:tr>
      <w:tr>
        <w:trPr>
          <w:cantSplit/>
        </w:trPr>
        <w:tc>
          <w:tcPr>
            <w:tcW w:type="dxa" w:w="2880"/>
            <w:vAlign w:val="center"/>
          </w:tcPr>
          <w:p>
            <w:r>
              <w:t>POST</w:t>
            </w:r>
          </w:p>
        </w:tc>
        <w:tc>
          <w:tcPr>
            <w:tcW w:type="dxa" w:w="7344"/>
            <w:vAlign w:val="center"/>
          </w:tcPr>
          <w:p>
            <w:r>
              <w:t>Biquad immediately after downsampling.</w:t>
            </w:r>
          </w:p>
        </w:tc>
      </w:tr>
      <w:tr>
        <w:trPr>
          <w:cantSplit/>
        </w:trPr>
        <w:tc>
          <w:tcPr>
            <w:tcW w:type="dxa" w:w="2880"/>
            <w:vAlign w:val="center"/>
          </w:tcPr>
          <w:p>
            <w:r>
              <w:t>B</w:t>
            </w:r>
          </w:p>
        </w:tc>
        <w:tc>
          <w:tcPr>
            <w:tcW w:type="dxa" w:w="7344"/>
            <w:vAlign w:val="center"/>
          </w:tcPr>
          <w:p>
            <w:r>
              <w:t>Final FIR block after POST.</w:t>
            </w:r>
          </w:p>
        </w:tc>
      </w:tr>
      <w:tr>
        <w:trPr>
          <w:cantSplit/>
        </w:trPr>
        <w:tc>
          <w:tcPr>
            <w:tcW w:type="dxa" w:w="2880"/>
            <w:vAlign w:val="center"/>
          </w:tcPr>
          <w:p>
            <w:r>
              <w:t>Gain</w:t>
            </w:r>
          </w:p>
        </w:tc>
        <w:tc>
          <w:tcPr>
            <w:tcW w:type="dxa" w:w="7344"/>
            <w:vAlign w:val="center"/>
          </w:tcPr>
          <w:p>
            <w:r>
              <w:t>External pre-core control. GP-200 visible-to-internal mapping is experimentally calibrated; v1.2 reuses it for Hotone/Ampero.</w:t>
            </w:r>
          </w:p>
        </w:tc>
      </w:tr>
      <w:tr>
        <w:trPr>
          <w:cantSplit/>
        </w:trPr>
        <w:tc>
          <w:tcPr>
            <w:tcW w:type="dxa" w:w="2880"/>
            <w:vAlign w:val="center"/>
          </w:tcPr>
          <w:p>
            <w:r>
              <w:t>Volume</w:t>
            </w:r>
          </w:p>
        </w:tc>
        <w:tc>
          <w:tcPr>
            <w:tcW w:type="dxa" w:w="7344"/>
            <w:vAlign w:val="center"/>
          </w:tcPr>
          <w:p>
            <w:r>
              <w:t>External post-core output level control; v1.2 uses the same law for both supported formats.</w:t>
            </w:r>
          </w:p>
        </w:tc>
      </w:tr>
    </w:tbl>
    <w:p/>
    <w:p/>
    <w:p>
      <w:pPr>
        <w:pStyle w:val="SmallNote"/>
      </w:pPr>
      <w:r>
        <w:t>Prepared from the CloPlayer v1.2 source code, the validated GP-200 V1.8.0 reconstruction, physical GP-200 measurements, a native Hotone/Ampero B2048 CLO, and Ampero II Stage firmware V1.7.0. The document intentionally labels empirical mappings, cross-firmware evidence and non-bit-exact implementation choices.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CloPlayer – GP-200 + Hotone/Ampero CLO Playback Algorithm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right="288"/>
    </w:pPr>
    <w:rPr>
      <w:rFonts w:ascii="Consolas" w:hAnsi="Consolas"/>
      <w:sz w:val="17"/>
    </w:r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