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8.xml" ContentType="application/vnd.openxmlformats-officedocument.wordprocessingml.foot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D12" w:rsidRPr="00EA272E" w:rsidRDefault="00307D12">
      <w:pPr>
        <w:spacing w:line="360" w:lineRule="auto"/>
        <w:jc w:val="center"/>
        <w:rPr>
          <w:rFonts w:eastAsia="標楷體"/>
          <w:b/>
          <w:bCs/>
          <w:sz w:val="28"/>
        </w:rPr>
      </w:pPr>
      <w:bookmarkStart w:id="0" w:name="_Toc129593079"/>
      <w:bookmarkStart w:id="1" w:name="_Toc129631000"/>
      <w:bookmarkStart w:id="2" w:name="_Toc137897624"/>
      <w:bookmarkStart w:id="3" w:name="_Toc152467764"/>
    </w:p>
    <w:p w:rsidR="00307D12" w:rsidRPr="00BF1978" w:rsidRDefault="00307D12">
      <w:pPr>
        <w:spacing w:line="360" w:lineRule="auto"/>
        <w:jc w:val="center"/>
        <w:rPr>
          <w:rFonts w:ascii="新細明體" w:hAnsi="新細明體"/>
          <w:b/>
          <w:bCs/>
          <w:sz w:val="28"/>
        </w:rPr>
      </w:pPr>
    </w:p>
    <w:p w:rsidR="00307D12" w:rsidRPr="00EA272E" w:rsidRDefault="00307D12">
      <w:pPr>
        <w:spacing w:line="360" w:lineRule="auto"/>
        <w:jc w:val="center"/>
        <w:rPr>
          <w:rFonts w:eastAsia="標楷體"/>
          <w:b/>
          <w:bCs/>
          <w:sz w:val="52"/>
          <w:szCs w:val="52"/>
        </w:rPr>
      </w:pPr>
    </w:p>
    <w:p w:rsidR="00307D12" w:rsidRPr="00EA272E" w:rsidRDefault="00D1151F">
      <w:pPr>
        <w:spacing w:line="360" w:lineRule="auto"/>
        <w:jc w:val="center"/>
        <w:rPr>
          <w:rFonts w:eastAsia="標楷體"/>
          <w:b/>
          <w:bCs/>
          <w:sz w:val="52"/>
          <w:szCs w:val="52"/>
        </w:rPr>
      </w:pPr>
      <w:bookmarkStart w:id="4" w:name="_GoBack"/>
      <w:bookmarkEnd w:id="4"/>
      <w:r>
        <w:rPr>
          <w:rFonts w:eastAsia="標楷體"/>
          <w:noProof/>
        </w:rPr>
        <mc:AlternateContent>
          <mc:Choice Requires="wps">
            <w:drawing>
              <wp:anchor distT="0" distB="0" distL="114300" distR="114300" simplePos="0" relativeHeight="251650560" behindDoc="0" locked="0" layoutInCell="1" allowOverlap="1" wp14:anchorId="6CB3490E" wp14:editId="3506808B">
                <wp:simplePos x="0" y="0"/>
                <wp:positionH relativeFrom="column">
                  <wp:posOffset>-179705</wp:posOffset>
                </wp:positionH>
                <wp:positionV relativeFrom="paragraph">
                  <wp:posOffset>1108710</wp:posOffset>
                </wp:positionV>
                <wp:extent cx="5354955" cy="1905000"/>
                <wp:effectExtent l="0" t="0" r="0" b="0"/>
                <wp:wrapSquare wrapText="bothSides"/>
                <wp:docPr id="276"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4955"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4D6" w:rsidRPr="00F1692A" w:rsidRDefault="004864D6">
                            <w:pPr>
                              <w:spacing w:line="360" w:lineRule="auto"/>
                              <w:jc w:val="center"/>
                              <w:rPr>
                                <w:rFonts w:eastAsia="標楷體"/>
                                <w:b/>
                                <w:bCs/>
                                <w:sz w:val="40"/>
                                <w:szCs w:val="40"/>
                              </w:rPr>
                            </w:pPr>
                            <w:r w:rsidRPr="00F1692A">
                              <w:rPr>
                                <w:rFonts w:eastAsia="標楷體" w:hint="eastAsia"/>
                                <w:b/>
                                <w:bCs/>
                                <w:sz w:val="40"/>
                                <w:szCs w:val="40"/>
                              </w:rPr>
                              <w:t>太克科技股份有限公司</w:t>
                            </w:r>
                          </w:p>
                          <w:p w:rsidR="004864D6" w:rsidRPr="00F1692A" w:rsidRDefault="004864D6" w:rsidP="0007209D">
                            <w:pPr>
                              <w:spacing w:line="360" w:lineRule="auto"/>
                              <w:jc w:val="center"/>
                              <w:rPr>
                                <w:rFonts w:eastAsia="標楷體"/>
                                <w:b/>
                                <w:bCs/>
                                <w:sz w:val="40"/>
                                <w:szCs w:val="40"/>
                              </w:rPr>
                            </w:pPr>
                            <w:proofErr w:type="gramStart"/>
                            <w:r w:rsidRPr="00F1692A">
                              <w:rPr>
                                <w:rFonts w:eastAsia="標楷體" w:hint="eastAsia"/>
                                <w:b/>
                                <w:bCs/>
                                <w:sz w:val="40"/>
                                <w:szCs w:val="40"/>
                              </w:rPr>
                              <w:t>10</w:t>
                            </w:r>
                            <w:r>
                              <w:rPr>
                                <w:rFonts w:eastAsia="標楷體" w:hint="eastAsia"/>
                                <w:b/>
                                <w:bCs/>
                                <w:sz w:val="40"/>
                                <w:szCs w:val="40"/>
                              </w:rPr>
                              <w:t>5</w:t>
                            </w:r>
                            <w:proofErr w:type="gramEnd"/>
                            <w:r w:rsidRPr="00F1692A">
                              <w:rPr>
                                <w:rFonts w:eastAsia="標楷體"/>
                                <w:b/>
                                <w:bCs/>
                                <w:sz w:val="40"/>
                                <w:szCs w:val="40"/>
                              </w:rPr>
                              <w:t>年度移轉訂價報告</w:t>
                            </w:r>
                          </w:p>
                          <w:p w:rsidR="004864D6" w:rsidRPr="00F1692A" w:rsidRDefault="004864D6" w:rsidP="00965AF0">
                            <w:pPr>
                              <w:spacing w:beforeLines="100" w:before="240"/>
                              <w:jc w:val="center"/>
                              <w:rPr>
                                <w:rFonts w:eastAsia="標楷體"/>
                              </w:rPr>
                            </w:pPr>
                            <w:r w:rsidRPr="00F1692A">
                              <w:rPr>
                                <w:rFonts w:eastAsia="標楷體" w:hint="eastAsia"/>
                              </w:rPr>
                              <w:t>報告涵蓋期間：民國</w:t>
                            </w:r>
                            <w:r w:rsidRPr="00F1692A">
                              <w:rPr>
                                <w:rFonts w:eastAsia="標楷體" w:hint="eastAsia"/>
                              </w:rPr>
                              <w:t>10</w:t>
                            </w:r>
                            <w:r>
                              <w:rPr>
                                <w:rFonts w:eastAsia="標楷體" w:hint="eastAsia"/>
                              </w:rPr>
                              <w:t>5</w:t>
                            </w:r>
                            <w:r w:rsidRPr="00F1692A">
                              <w:rPr>
                                <w:rFonts w:eastAsia="標楷體" w:hint="eastAsia"/>
                              </w:rPr>
                              <w:t>年</w:t>
                            </w:r>
                            <w:r w:rsidRPr="00F1692A">
                              <w:rPr>
                                <w:rFonts w:eastAsia="標楷體" w:hint="eastAsia"/>
                              </w:rPr>
                              <w:t>1</w:t>
                            </w:r>
                            <w:r w:rsidRPr="00F1692A">
                              <w:rPr>
                                <w:rFonts w:eastAsia="標楷體" w:hint="eastAsia"/>
                              </w:rPr>
                              <w:t>月</w:t>
                            </w:r>
                            <w:r w:rsidRPr="00F1692A">
                              <w:rPr>
                                <w:rFonts w:eastAsia="標楷體" w:hint="eastAsia"/>
                              </w:rPr>
                              <w:t>1</w:t>
                            </w:r>
                            <w:r w:rsidRPr="00F1692A">
                              <w:rPr>
                                <w:rFonts w:eastAsia="標楷體" w:hint="eastAsia"/>
                              </w:rPr>
                              <w:t>日至</w:t>
                            </w:r>
                            <w:r w:rsidRPr="00F1692A">
                              <w:rPr>
                                <w:rFonts w:eastAsia="標楷體" w:hint="eastAsia"/>
                              </w:rPr>
                              <w:t>10</w:t>
                            </w:r>
                            <w:r>
                              <w:rPr>
                                <w:rFonts w:eastAsia="標楷體" w:hint="eastAsia"/>
                              </w:rPr>
                              <w:t>5</w:t>
                            </w:r>
                            <w:r w:rsidRPr="00F1692A">
                              <w:rPr>
                                <w:rFonts w:eastAsia="標楷體" w:hint="eastAsia"/>
                              </w:rPr>
                              <w:t>年</w:t>
                            </w:r>
                            <w:r w:rsidRPr="00F1692A">
                              <w:rPr>
                                <w:rFonts w:eastAsia="標楷體" w:hint="eastAsia"/>
                              </w:rPr>
                              <w:t>12</w:t>
                            </w:r>
                            <w:r w:rsidRPr="00F1692A">
                              <w:rPr>
                                <w:rFonts w:eastAsia="標楷體" w:hint="eastAsia"/>
                              </w:rPr>
                              <w:t>月</w:t>
                            </w:r>
                            <w:r w:rsidRPr="00F1692A">
                              <w:rPr>
                                <w:rFonts w:eastAsia="標楷體" w:hint="eastAsia"/>
                              </w:rPr>
                              <w:t>31</w:t>
                            </w:r>
                            <w:r w:rsidRPr="00F1692A">
                              <w:rPr>
                                <w:rFonts w:eastAsia="標楷體" w:hint="eastAsia"/>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3" o:spid="_x0000_s1026" type="#_x0000_t202" style="position:absolute;left:0;text-align:left;margin-left:-14.15pt;margin-top:87.3pt;width:421.65pt;height:150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" filled="f" stroked="f">
                <v:textbox>
                  <w:txbxContent>
                    <w:p w:rsidR="004864D6" w:rsidRPr="00F1692A" w:rsidRDefault="004864D6">
                      <w:pPr>
                        <w:spacing w:line="360" w:lineRule="auto"/>
                        <w:jc w:val="center"/>
                        <w:rPr>
                          <w:rFonts w:eastAsia="標楷體"/>
                          <w:b/>
                          <w:bCs/>
                          <w:sz w:val="40"/>
                          <w:szCs w:val="40"/>
                        </w:rPr>
                      </w:pPr>
                      <w:r w:rsidRPr="00F1692A">
                        <w:rPr>
                          <w:rFonts w:eastAsia="標楷體" w:hint="eastAsia"/>
                          <w:b/>
                          <w:bCs/>
                          <w:sz w:val="40"/>
                          <w:szCs w:val="40"/>
                        </w:rPr>
                        <w:t>太克科技股份有限公司</w:t>
                      </w:r>
                    </w:p>
                    <w:p w:rsidR="004864D6" w:rsidRPr="00F1692A" w:rsidRDefault="004864D6" w:rsidP="0007209D">
                      <w:pPr>
                        <w:spacing w:line="360" w:lineRule="auto"/>
                        <w:jc w:val="center"/>
                        <w:rPr>
                          <w:rFonts w:eastAsia="標楷體"/>
                          <w:b/>
                          <w:bCs/>
                          <w:sz w:val="40"/>
                          <w:szCs w:val="40"/>
                        </w:rPr>
                      </w:pPr>
                      <w:proofErr w:type="gramStart"/>
                      <w:r w:rsidRPr="00F1692A">
                        <w:rPr>
                          <w:rFonts w:eastAsia="標楷體" w:hint="eastAsia"/>
                          <w:b/>
                          <w:bCs/>
                          <w:sz w:val="40"/>
                          <w:szCs w:val="40"/>
                        </w:rPr>
                        <w:t>10</w:t>
                      </w:r>
                      <w:r>
                        <w:rPr>
                          <w:rFonts w:eastAsia="標楷體" w:hint="eastAsia"/>
                          <w:b/>
                          <w:bCs/>
                          <w:sz w:val="40"/>
                          <w:szCs w:val="40"/>
                        </w:rPr>
                        <w:t>5</w:t>
                      </w:r>
                      <w:proofErr w:type="gramEnd"/>
                      <w:r w:rsidRPr="00F1692A">
                        <w:rPr>
                          <w:rFonts w:eastAsia="標楷體"/>
                          <w:b/>
                          <w:bCs/>
                          <w:sz w:val="40"/>
                          <w:szCs w:val="40"/>
                        </w:rPr>
                        <w:t>年度移轉訂價報告</w:t>
                      </w:r>
                    </w:p>
                    <w:p w:rsidR="004864D6" w:rsidRPr="00F1692A" w:rsidRDefault="004864D6" w:rsidP="00965AF0">
                      <w:pPr>
                        <w:spacing w:beforeLines="100" w:before="240"/>
                        <w:jc w:val="center"/>
                        <w:rPr>
                          <w:rFonts w:eastAsia="標楷體"/>
                        </w:rPr>
                      </w:pPr>
                      <w:r w:rsidRPr="00F1692A">
                        <w:rPr>
                          <w:rFonts w:eastAsia="標楷體" w:hint="eastAsia"/>
                        </w:rPr>
                        <w:t>報告涵蓋期間：民國</w:t>
                      </w:r>
                      <w:r w:rsidRPr="00F1692A">
                        <w:rPr>
                          <w:rFonts w:eastAsia="標楷體" w:hint="eastAsia"/>
                        </w:rPr>
                        <w:t>10</w:t>
                      </w:r>
                      <w:r>
                        <w:rPr>
                          <w:rFonts w:eastAsia="標楷體" w:hint="eastAsia"/>
                        </w:rPr>
                        <w:t>5</w:t>
                      </w:r>
                      <w:r w:rsidRPr="00F1692A">
                        <w:rPr>
                          <w:rFonts w:eastAsia="標楷體" w:hint="eastAsia"/>
                        </w:rPr>
                        <w:t>年</w:t>
                      </w:r>
                      <w:r w:rsidRPr="00F1692A">
                        <w:rPr>
                          <w:rFonts w:eastAsia="標楷體" w:hint="eastAsia"/>
                        </w:rPr>
                        <w:t>1</w:t>
                      </w:r>
                      <w:r w:rsidRPr="00F1692A">
                        <w:rPr>
                          <w:rFonts w:eastAsia="標楷體" w:hint="eastAsia"/>
                        </w:rPr>
                        <w:t>月</w:t>
                      </w:r>
                      <w:r w:rsidRPr="00F1692A">
                        <w:rPr>
                          <w:rFonts w:eastAsia="標楷體" w:hint="eastAsia"/>
                        </w:rPr>
                        <w:t>1</w:t>
                      </w:r>
                      <w:r w:rsidRPr="00F1692A">
                        <w:rPr>
                          <w:rFonts w:eastAsia="標楷體" w:hint="eastAsia"/>
                        </w:rPr>
                        <w:t>日至</w:t>
                      </w:r>
                      <w:r w:rsidRPr="00F1692A">
                        <w:rPr>
                          <w:rFonts w:eastAsia="標楷體" w:hint="eastAsia"/>
                        </w:rPr>
                        <w:t>10</w:t>
                      </w:r>
                      <w:r>
                        <w:rPr>
                          <w:rFonts w:eastAsia="標楷體" w:hint="eastAsia"/>
                        </w:rPr>
                        <w:t>5</w:t>
                      </w:r>
                      <w:r w:rsidRPr="00F1692A">
                        <w:rPr>
                          <w:rFonts w:eastAsia="標楷體" w:hint="eastAsia"/>
                        </w:rPr>
                        <w:t>年</w:t>
                      </w:r>
                      <w:r w:rsidRPr="00F1692A">
                        <w:rPr>
                          <w:rFonts w:eastAsia="標楷體" w:hint="eastAsia"/>
                        </w:rPr>
                        <w:t>12</w:t>
                      </w:r>
                      <w:r w:rsidRPr="00F1692A">
                        <w:rPr>
                          <w:rFonts w:eastAsia="標楷體" w:hint="eastAsia"/>
                        </w:rPr>
                        <w:t>月</w:t>
                      </w:r>
                      <w:r w:rsidRPr="00F1692A">
                        <w:rPr>
                          <w:rFonts w:eastAsia="標楷體" w:hint="eastAsia"/>
                        </w:rPr>
                        <w:t>31</w:t>
                      </w:r>
                      <w:r w:rsidRPr="00F1692A">
                        <w:rPr>
                          <w:rFonts w:eastAsia="標楷體" w:hint="eastAsia"/>
                        </w:rPr>
                        <w:t>日</w:t>
                      </w:r>
                    </w:p>
                  </w:txbxContent>
                </v:textbox>
                <w10:wrap type="square"/>
              </v:shape>
            </w:pict>
          </mc:Fallback>
        </mc:AlternateContent>
      </w:r>
    </w:p>
    <w:p w:rsidR="00307D12" w:rsidRPr="00EA272E" w:rsidRDefault="00307D12">
      <w:pPr>
        <w:spacing w:line="360" w:lineRule="auto"/>
        <w:jc w:val="center"/>
        <w:rPr>
          <w:rFonts w:eastAsia="標楷體"/>
          <w:b/>
          <w:bCs/>
          <w:sz w:val="52"/>
          <w:szCs w:val="52"/>
        </w:rPr>
      </w:pPr>
    </w:p>
    <w:p w:rsidR="003669B1" w:rsidRPr="00EA272E" w:rsidRDefault="003669B1">
      <w:pPr>
        <w:spacing w:line="360" w:lineRule="auto"/>
        <w:jc w:val="center"/>
        <w:rPr>
          <w:rFonts w:eastAsia="標楷體"/>
          <w:b/>
          <w:bCs/>
          <w:sz w:val="52"/>
          <w:szCs w:val="52"/>
        </w:rPr>
      </w:pPr>
    </w:p>
    <w:p w:rsidR="003669B1" w:rsidRPr="00EA272E" w:rsidRDefault="003669B1">
      <w:pPr>
        <w:spacing w:line="360" w:lineRule="auto"/>
        <w:jc w:val="center"/>
        <w:rPr>
          <w:rFonts w:eastAsia="標楷體"/>
          <w:b/>
          <w:bCs/>
          <w:sz w:val="52"/>
          <w:szCs w:val="52"/>
        </w:rPr>
      </w:pPr>
    </w:p>
    <w:p w:rsidR="003669B1" w:rsidRPr="00EA272E" w:rsidRDefault="003669B1">
      <w:pPr>
        <w:spacing w:line="360" w:lineRule="auto"/>
        <w:jc w:val="center"/>
        <w:rPr>
          <w:rFonts w:eastAsia="標楷體"/>
          <w:b/>
          <w:bCs/>
          <w:sz w:val="52"/>
          <w:szCs w:val="52"/>
        </w:rPr>
      </w:pPr>
    </w:p>
    <w:p w:rsidR="00307D12" w:rsidRPr="00EA272E" w:rsidRDefault="00965AF0">
      <w:pPr>
        <w:spacing w:line="360" w:lineRule="auto"/>
        <w:jc w:val="center"/>
        <w:rPr>
          <w:rFonts w:eastAsia="標楷體"/>
          <w:b/>
          <w:bCs/>
          <w:sz w:val="32"/>
          <w:szCs w:val="32"/>
        </w:rPr>
        <w:sectPr w:rsidR="00307D12" w:rsidRPr="00EA272E" w:rsidSect="00DD5AB2">
          <w:footerReference w:type="default" r:id="rId9"/>
          <w:type w:val="oddPage"/>
          <w:pgSz w:w="11906" w:h="16838" w:code="9"/>
          <w:pgMar w:top="2160" w:right="1440" w:bottom="1814" w:left="1440" w:header="851" w:footer="442" w:gutter="567"/>
          <w:pgNumType w:start="1"/>
          <w:cols w:space="425"/>
          <w:docGrid w:linePitch="360"/>
        </w:sectPr>
      </w:pPr>
      <w:r>
        <w:rPr>
          <w:rFonts w:eastAsia="標楷體"/>
          <w:b/>
          <w:bCs/>
          <w:noProof/>
          <w:sz w:val="52"/>
          <w:szCs w:val="52"/>
        </w:rPr>
        <mc:AlternateContent>
          <mc:Choice Requires="wps">
            <w:drawing>
              <wp:anchor distT="0" distB="0" distL="114300" distR="114300" simplePos="0" relativeHeight="251661824" behindDoc="0" locked="0" layoutInCell="1" allowOverlap="1">
                <wp:simplePos x="0" y="0"/>
                <wp:positionH relativeFrom="column">
                  <wp:posOffset>1087755</wp:posOffset>
                </wp:positionH>
                <wp:positionV relativeFrom="paragraph">
                  <wp:posOffset>845820</wp:posOffset>
                </wp:positionV>
                <wp:extent cx="3228975" cy="869315"/>
                <wp:effectExtent l="1905" t="0" r="0" b="0"/>
                <wp:wrapNone/>
                <wp:docPr id="275"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869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4D6" w:rsidRPr="00F405FC" w:rsidRDefault="004864D6" w:rsidP="00F1692A">
                            <w:pPr>
                              <w:jc w:val="center"/>
                              <w:rPr>
                                <w:rFonts w:eastAsia="標楷體"/>
                                <w:b/>
                                <w:sz w:val="28"/>
                              </w:rPr>
                            </w:pPr>
                            <w:r w:rsidRPr="00F405FC">
                              <w:rPr>
                                <w:rFonts w:eastAsia="標楷體" w:hint="eastAsia"/>
                                <w:b/>
                                <w:sz w:val="28"/>
                              </w:rPr>
                              <w:t>報告出具人：羅裕傑　會計師</w:t>
                            </w:r>
                          </w:p>
                          <w:p w:rsidR="004864D6" w:rsidRPr="00F405FC" w:rsidRDefault="004864D6" w:rsidP="00F1692A">
                            <w:pPr>
                              <w:jc w:val="center"/>
                              <w:rPr>
                                <w:rFonts w:eastAsia="標楷體"/>
                                <w:b/>
                                <w:sz w:val="28"/>
                              </w:rPr>
                            </w:pPr>
                          </w:p>
                          <w:p w:rsidR="004864D6" w:rsidRPr="00F405FC" w:rsidRDefault="004864D6" w:rsidP="00F1692A">
                            <w:pPr>
                              <w:jc w:val="center"/>
                              <w:rPr>
                                <w:rFonts w:eastAsia="標楷體"/>
                                <w:b/>
                                <w:sz w:val="28"/>
                              </w:rPr>
                            </w:pPr>
                            <w:r w:rsidRPr="00F405FC">
                              <w:rPr>
                                <w:rFonts w:eastAsia="標楷體" w:hint="eastAsia"/>
                                <w:b/>
                                <w:sz w:val="28"/>
                              </w:rPr>
                              <w:t>報告製作日期：民</w:t>
                            </w:r>
                            <w:r w:rsidRPr="00F36F52">
                              <w:rPr>
                                <w:rFonts w:eastAsia="標楷體" w:hint="eastAsia"/>
                                <w:b/>
                                <w:sz w:val="28"/>
                              </w:rPr>
                              <w:t>國</w:t>
                            </w:r>
                            <w:r w:rsidRPr="00F36F52">
                              <w:rPr>
                                <w:rFonts w:eastAsia="標楷體" w:hint="eastAsia"/>
                                <w:b/>
                                <w:sz w:val="28"/>
                              </w:rPr>
                              <w:t>10</w:t>
                            </w:r>
                            <w:r>
                              <w:rPr>
                                <w:rFonts w:eastAsia="標楷體" w:hint="eastAsia"/>
                                <w:b/>
                                <w:sz w:val="28"/>
                              </w:rPr>
                              <w:t>6</w:t>
                            </w:r>
                            <w:r w:rsidRPr="00F36F52">
                              <w:rPr>
                                <w:rFonts w:eastAsia="標楷體" w:hint="eastAsia"/>
                                <w:b/>
                                <w:sz w:val="28"/>
                              </w:rPr>
                              <w:t>年</w:t>
                            </w:r>
                            <w:r>
                              <w:rPr>
                                <w:rFonts w:eastAsia="標楷體" w:hint="eastAsia"/>
                                <w:b/>
                                <w:sz w:val="28"/>
                              </w:rPr>
                              <w:t>5</w:t>
                            </w:r>
                            <w:r w:rsidRPr="00F36F52">
                              <w:rPr>
                                <w:rFonts w:eastAsia="標楷體" w:hint="eastAsia"/>
                                <w:b/>
                                <w:sz w:val="28"/>
                              </w:rPr>
                              <w:t>月</w:t>
                            </w:r>
                            <w:r>
                              <w:rPr>
                                <w:rFonts w:eastAsia="標楷體" w:hint="eastAsia"/>
                                <w:b/>
                                <w:sz w:val="28"/>
                              </w:rPr>
                              <w:t>12</w:t>
                            </w:r>
                            <w:r w:rsidRPr="00F36F52">
                              <w:rPr>
                                <w:rFonts w:eastAsia="標楷體" w:hint="eastAsia"/>
                                <w:b/>
                                <w:sz w:val="28"/>
                              </w:rPr>
                              <w:t>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27" type="#_x0000_t202" style="position:absolute;left:0;text-align:left;margin-left:85.65pt;margin-top:66.6pt;width:254.25pt;height:68.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63QugIAAMQ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" filled="f" stroked="f">
                <v:textbox>
                  <w:txbxContent>
                    <w:p w:rsidR="004864D6" w:rsidRPr="00F405FC" w:rsidRDefault="004864D6" w:rsidP="00F1692A">
                      <w:pPr>
                        <w:jc w:val="center"/>
                        <w:rPr>
                          <w:rFonts w:eastAsia="標楷體"/>
                          <w:b/>
                          <w:sz w:val="28"/>
                        </w:rPr>
                      </w:pPr>
                      <w:r w:rsidRPr="00F405FC">
                        <w:rPr>
                          <w:rFonts w:eastAsia="標楷體" w:hint="eastAsia"/>
                          <w:b/>
                          <w:sz w:val="28"/>
                        </w:rPr>
                        <w:t>報告出具人：羅裕傑　會計師</w:t>
                      </w:r>
                    </w:p>
                    <w:p w:rsidR="004864D6" w:rsidRPr="00F405FC" w:rsidRDefault="004864D6" w:rsidP="00F1692A">
                      <w:pPr>
                        <w:jc w:val="center"/>
                        <w:rPr>
                          <w:rFonts w:eastAsia="標楷體"/>
                          <w:b/>
                          <w:sz w:val="28"/>
                        </w:rPr>
                      </w:pPr>
                    </w:p>
                    <w:p w:rsidR="004864D6" w:rsidRPr="00F405FC" w:rsidRDefault="004864D6" w:rsidP="00F1692A">
                      <w:pPr>
                        <w:jc w:val="center"/>
                        <w:rPr>
                          <w:rFonts w:eastAsia="標楷體"/>
                          <w:b/>
                          <w:sz w:val="28"/>
                        </w:rPr>
                      </w:pPr>
                      <w:r w:rsidRPr="00F405FC">
                        <w:rPr>
                          <w:rFonts w:eastAsia="標楷體" w:hint="eastAsia"/>
                          <w:b/>
                          <w:sz w:val="28"/>
                        </w:rPr>
                        <w:t>報告製作日期：民</w:t>
                      </w:r>
                      <w:r w:rsidRPr="00F36F52">
                        <w:rPr>
                          <w:rFonts w:eastAsia="標楷體" w:hint="eastAsia"/>
                          <w:b/>
                          <w:sz w:val="28"/>
                        </w:rPr>
                        <w:t>國</w:t>
                      </w:r>
                      <w:r w:rsidRPr="00F36F52">
                        <w:rPr>
                          <w:rFonts w:eastAsia="標楷體" w:hint="eastAsia"/>
                          <w:b/>
                          <w:sz w:val="28"/>
                        </w:rPr>
                        <w:t>10</w:t>
                      </w:r>
                      <w:r>
                        <w:rPr>
                          <w:rFonts w:eastAsia="標楷體" w:hint="eastAsia"/>
                          <w:b/>
                          <w:sz w:val="28"/>
                        </w:rPr>
                        <w:t>6</w:t>
                      </w:r>
                      <w:r w:rsidRPr="00F36F52">
                        <w:rPr>
                          <w:rFonts w:eastAsia="標楷體" w:hint="eastAsia"/>
                          <w:b/>
                          <w:sz w:val="28"/>
                        </w:rPr>
                        <w:t>年</w:t>
                      </w:r>
                      <w:r>
                        <w:rPr>
                          <w:rFonts w:eastAsia="標楷體" w:hint="eastAsia"/>
                          <w:b/>
                          <w:sz w:val="28"/>
                        </w:rPr>
                        <w:t>5</w:t>
                      </w:r>
                      <w:r w:rsidRPr="00F36F52">
                        <w:rPr>
                          <w:rFonts w:eastAsia="標楷體" w:hint="eastAsia"/>
                          <w:b/>
                          <w:sz w:val="28"/>
                        </w:rPr>
                        <w:t>月</w:t>
                      </w:r>
                      <w:r>
                        <w:rPr>
                          <w:rFonts w:eastAsia="標楷體" w:hint="eastAsia"/>
                          <w:b/>
                          <w:sz w:val="28"/>
                        </w:rPr>
                        <w:t>12</w:t>
                      </w:r>
                      <w:r w:rsidRPr="00F36F52">
                        <w:rPr>
                          <w:rFonts w:eastAsia="標楷體" w:hint="eastAsia"/>
                          <w:b/>
                          <w:sz w:val="28"/>
                        </w:rPr>
                        <w:t>日</w:t>
                      </w:r>
                    </w:p>
                  </w:txbxContent>
                </v:textbox>
              </v:shape>
            </w:pict>
          </mc:Fallback>
        </mc:AlternateContent>
      </w:r>
      <w:r w:rsidR="00307D12" w:rsidRPr="00EA272E">
        <w:rPr>
          <w:rFonts w:eastAsia="標楷體"/>
          <w:b/>
          <w:bCs/>
          <w:sz w:val="32"/>
          <w:szCs w:val="32"/>
        </w:rPr>
        <w:br w:type="page"/>
      </w:r>
    </w:p>
    <w:p w:rsidR="006736AD" w:rsidRPr="00EA272E" w:rsidRDefault="006736AD" w:rsidP="00965AF0">
      <w:pPr>
        <w:spacing w:beforeLines="50" w:before="120" w:afterLines="100" w:after="240" w:line="360" w:lineRule="auto"/>
        <w:jc w:val="center"/>
        <w:rPr>
          <w:rFonts w:eastAsia="標楷體"/>
          <w:b/>
          <w:bCs/>
          <w:sz w:val="52"/>
          <w:szCs w:val="48"/>
        </w:rPr>
      </w:pPr>
      <w:r w:rsidRPr="00EA272E">
        <w:rPr>
          <w:rFonts w:eastAsia="標楷體"/>
          <w:b/>
          <w:sz w:val="52"/>
          <w:szCs w:val="48"/>
        </w:rPr>
        <w:lastRenderedPageBreak/>
        <w:t>本報告之涵蓋範圍及使用方式</w:t>
      </w:r>
    </w:p>
    <w:p w:rsidR="00270528" w:rsidRPr="000A63B2" w:rsidRDefault="00AC1411" w:rsidP="00965AF0">
      <w:pPr>
        <w:spacing w:beforeLines="50" w:before="120" w:afterLines="50" w:after="120" w:line="360" w:lineRule="auto"/>
        <w:ind w:firstLineChars="200" w:firstLine="520"/>
        <w:jc w:val="both"/>
        <w:rPr>
          <w:rFonts w:eastAsia="標楷體"/>
          <w:i/>
          <w:sz w:val="26"/>
          <w:szCs w:val="26"/>
        </w:rPr>
      </w:pPr>
      <w:r w:rsidRPr="000A63B2">
        <w:rPr>
          <w:rFonts w:eastAsia="標楷體"/>
          <w:sz w:val="26"/>
          <w:szCs w:val="26"/>
        </w:rPr>
        <w:t>正大聯合</w:t>
      </w:r>
      <w:r w:rsidRPr="000A63B2">
        <w:rPr>
          <w:rFonts w:ascii="標楷體" w:eastAsia="標楷體" w:hAnsi="標楷體"/>
          <w:sz w:val="26"/>
          <w:szCs w:val="26"/>
        </w:rPr>
        <w:t>會</w:t>
      </w:r>
      <w:r w:rsidRPr="000A63B2">
        <w:rPr>
          <w:rFonts w:eastAsia="標楷體"/>
          <w:sz w:val="26"/>
          <w:szCs w:val="26"/>
        </w:rPr>
        <w:t>計師事務所（以下簡稱『本所』</w:t>
      </w:r>
      <w:r w:rsidR="00566722" w:rsidRPr="000A63B2">
        <w:rPr>
          <w:rFonts w:eastAsia="標楷體" w:hint="eastAsia"/>
          <w:sz w:val="26"/>
          <w:szCs w:val="26"/>
        </w:rPr>
        <w:t>）</w:t>
      </w:r>
      <w:r w:rsidRPr="000A63B2">
        <w:rPr>
          <w:rFonts w:eastAsia="標楷體"/>
          <w:sz w:val="26"/>
          <w:szCs w:val="26"/>
        </w:rPr>
        <w:t>受</w:t>
      </w:r>
      <w:r w:rsidR="00BA7C8C" w:rsidRPr="000A63B2">
        <w:rPr>
          <w:rFonts w:eastAsia="標楷體" w:hint="eastAsia"/>
          <w:sz w:val="26"/>
          <w:szCs w:val="26"/>
        </w:rPr>
        <w:t>太克科技股份有限公司</w:t>
      </w:r>
      <w:r w:rsidR="00566722" w:rsidRPr="000A63B2">
        <w:rPr>
          <w:rFonts w:eastAsia="標楷體" w:hint="eastAsia"/>
          <w:sz w:val="26"/>
          <w:szCs w:val="26"/>
        </w:rPr>
        <w:t>（</w:t>
      </w:r>
      <w:r w:rsidR="006736AD" w:rsidRPr="000A63B2">
        <w:rPr>
          <w:rFonts w:eastAsia="標楷體"/>
          <w:sz w:val="26"/>
          <w:szCs w:val="26"/>
        </w:rPr>
        <w:t>以下簡稱『</w:t>
      </w:r>
      <w:r w:rsidR="00BA7C8C" w:rsidRPr="000A63B2">
        <w:rPr>
          <w:rFonts w:eastAsia="標楷體" w:hint="eastAsia"/>
          <w:sz w:val="26"/>
          <w:szCs w:val="26"/>
        </w:rPr>
        <w:t>太克科技</w:t>
      </w:r>
      <w:r w:rsidR="006736AD" w:rsidRPr="000A63B2">
        <w:rPr>
          <w:rFonts w:eastAsia="標楷體"/>
          <w:sz w:val="26"/>
          <w:szCs w:val="26"/>
        </w:rPr>
        <w:t>』</w:t>
      </w:r>
      <w:r w:rsidR="006736AD" w:rsidRPr="000A63B2">
        <w:rPr>
          <w:rFonts w:eastAsia="標楷體"/>
          <w:sz w:val="26"/>
          <w:szCs w:val="26"/>
        </w:rPr>
        <w:t>)</w:t>
      </w:r>
      <w:r w:rsidR="006736AD" w:rsidRPr="000A63B2">
        <w:rPr>
          <w:rFonts w:eastAsia="標楷體"/>
          <w:sz w:val="26"/>
          <w:szCs w:val="26"/>
        </w:rPr>
        <w:t>委託，對該公司</w:t>
      </w:r>
      <w:r w:rsidR="00E43F7D">
        <w:rPr>
          <w:rFonts w:eastAsia="標楷體" w:hint="eastAsia"/>
          <w:sz w:val="26"/>
          <w:szCs w:val="26"/>
        </w:rPr>
        <w:t>105</w:t>
      </w:r>
      <w:r w:rsidR="006736AD" w:rsidRPr="000A63B2">
        <w:rPr>
          <w:rFonts w:eastAsia="標楷體"/>
          <w:sz w:val="26"/>
          <w:szCs w:val="26"/>
        </w:rPr>
        <w:t>年</w:t>
      </w:r>
      <w:r w:rsidR="008F0678" w:rsidRPr="000A63B2">
        <w:rPr>
          <w:rFonts w:eastAsia="標楷體" w:hint="eastAsia"/>
          <w:sz w:val="26"/>
          <w:szCs w:val="26"/>
        </w:rPr>
        <w:t>度</w:t>
      </w:r>
      <w:r w:rsidR="006736AD" w:rsidRPr="000A63B2">
        <w:rPr>
          <w:rFonts w:eastAsia="標楷體"/>
          <w:sz w:val="26"/>
          <w:szCs w:val="26"/>
        </w:rPr>
        <w:t>與關係企業之往來交易</w:t>
      </w:r>
      <w:r w:rsidR="001E7194" w:rsidRPr="000A63B2">
        <w:rPr>
          <w:rFonts w:eastAsia="標楷體" w:hint="eastAsia"/>
          <w:sz w:val="26"/>
          <w:szCs w:val="26"/>
        </w:rPr>
        <w:t>（以下簡稱</w:t>
      </w:r>
      <w:r w:rsidR="001E7194" w:rsidRPr="000A63B2">
        <w:rPr>
          <w:rFonts w:eastAsia="標楷體"/>
          <w:sz w:val="26"/>
          <w:szCs w:val="26"/>
        </w:rPr>
        <w:t>『</w:t>
      </w:r>
      <w:r w:rsidR="001E7194" w:rsidRPr="000A63B2">
        <w:rPr>
          <w:rFonts w:eastAsia="標楷體" w:hint="eastAsia"/>
          <w:sz w:val="26"/>
          <w:szCs w:val="26"/>
        </w:rPr>
        <w:t>受控交易</w:t>
      </w:r>
      <w:r w:rsidR="001E7194" w:rsidRPr="000A63B2">
        <w:rPr>
          <w:rFonts w:eastAsia="標楷體"/>
          <w:sz w:val="26"/>
          <w:szCs w:val="26"/>
        </w:rPr>
        <w:t>』</w:t>
      </w:r>
      <w:r w:rsidR="001E7194" w:rsidRPr="000A63B2">
        <w:rPr>
          <w:rFonts w:eastAsia="標楷體" w:hint="eastAsia"/>
          <w:sz w:val="26"/>
          <w:szCs w:val="26"/>
        </w:rPr>
        <w:t>）</w:t>
      </w:r>
      <w:r w:rsidR="006736AD" w:rsidRPr="000A63B2">
        <w:rPr>
          <w:rFonts w:eastAsia="標楷體"/>
          <w:sz w:val="26"/>
          <w:szCs w:val="26"/>
        </w:rPr>
        <w:t>進行分析，本報告即為</w:t>
      </w:r>
      <w:r w:rsidR="00CB265A" w:rsidRPr="000A63B2">
        <w:rPr>
          <w:rFonts w:eastAsia="標楷體" w:hint="eastAsia"/>
          <w:sz w:val="26"/>
          <w:szCs w:val="26"/>
        </w:rPr>
        <w:t>分析</w:t>
      </w:r>
      <w:r w:rsidR="006736AD" w:rsidRPr="000A63B2">
        <w:rPr>
          <w:rFonts w:eastAsia="標楷體"/>
          <w:sz w:val="26"/>
          <w:szCs w:val="26"/>
        </w:rPr>
        <w:t>結果。</w:t>
      </w:r>
    </w:p>
    <w:p w:rsidR="006736AD" w:rsidRPr="000A63B2" w:rsidRDefault="006736AD" w:rsidP="00965AF0">
      <w:pPr>
        <w:spacing w:beforeLines="50" w:before="120" w:afterLines="50" w:after="120" w:line="360" w:lineRule="auto"/>
        <w:ind w:firstLineChars="200" w:firstLine="520"/>
        <w:jc w:val="both"/>
        <w:rPr>
          <w:rFonts w:eastAsia="標楷體"/>
          <w:sz w:val="26"/>
          <w:szCs w:val="26"/>
        </w:rPr>
      </w:pPr>
      <w:r w:rsidRPr="000A63B2">
        <w:rPr>
          <w:rFonts w:eastAsia="標楷體"/>
          <w:sz w:val="26"/>
          <w:szCs w:val="26"/>
        </w:rPr>
        <w:t>本報告採用之分析乃遵循所得稅法第</w:t>
      </w:r>
      <w:r w:rsidRPr="000A63B2">
        <w:rPr>
          <w:rFonts w:eastAsia="標楷體"/>
          <w:sz w:val="26"/>
          <w:szCs w:val="26"/>
        </w:rPr>
        <w:t>43</w:t>
      </w:r>
      <w:r w:rsidRPr="000A63B2">
        <w:rPr>
          <w:rFonts w:eastAsia="標楷體"/>
          <w:sz w:val="26"/>
          <w:szCs w:val="26"/>
        </w:rPr>
        <w:t>條之</w:t>
      </w:r>
      <w:r w:rsidRPr="000A63B2">
        <w:rPr>
          <w:rFonts w:eastAsia="標楷體"/>
          <w:sz w:val="26"/>
          <w:szCs w:val="26"/>
        </w:rPr>
        <w:t>1</w:t>
      </w:r>
      <w:r w:rsidRPr="000A63B2">
        <w:rPr>
          <w:rFonts w:eastAsia="標楷體"/>
          <w:sz w:val="26"/>
          <w:szCs w:val="26"/>
        </w:rPr>
        <w:t>暨財政部於</w:t>
      </w:r>
      <w:smartTag w:uri="urn:schemas-microsoft-com:office:smarttags" w:element="chsdate">
        <w:smartTagPr>
          <w:attr w:name="IsROCDate" w:val="True"/>
          <w:attr w:name="IsLunarDate" w:val="False"/>
          <w:attr w:name="Day" w:val="28"/>
          <w:attr w:name="Month" w:val="12"/>
          <w:attr w:name="Year" w:val="2004"/>
        </w:smartTagPr>
        <w:r w:rsidRPr="000A63B2">
          <w:rPr>
            <w:rFonts w:eastAsia="標楷體"/>
            <w:sz w:val="26"/>
            <w:szCs w:val="26"/>
          </w:rPr>
          <w:t>民國</w:t>
        </w:r>
        <w:r w:rsidRPr="000A63B2">
          <w:rPr>
            <w:rFonts w:eastAsia="標楷體"/>
            <w:sz w:val="26"/>
            <w:szCs w:val="26"/>
          </w:rPr>
          <w:t>93</w:t>
        </w:r>
        <w:r w:rsidRPr="000A63B2">
          <w:rPr>
            <w:rFonts w:eastAsia="標楷體"/>
            <w:sz w:val="26"/>
            <w:szCs w:val="26"/>
          </w:rPr>
          <w:t>年</w:t>
        </w:r>
        <w:r w:rsidRPr="000A63B2">
          <w:rPr>
            <w:rFonts w:eastAsia="標楷體"/>
            <w:sz w:val="26"/>
            <w:szCs w:val="26"/>
          </w:rPr>
          <w:t>12</w:t>
        </w:r>
        <w:r w:rsidRPr="000A63B2">
          <w:rPr>
            <w:rFonts w:eastAsia="標楷體"/>
            <w:sz w:val="26"/>
            <w:szCs w:val="26"/>
          </w:rPr>
          <w:t>月</w:t>
        </w:r>
        <w:r w:rsidRPr="000A63B2">
          <w:rPr>
            <w:rFonts w:eastAsia="標楷體"/>
            <w:sz w:val="26"/>
            <w:szCs w:val="26"/>
          </w:rPr>
          <w:t>28</w:t>
        </w:r>
        <w:r w:rsidRPr="000A63B2">
          <w:rPr>
            <w:rFonts w:eastAsia="標楷體"/>
            <w:sz w:val="26"/>
            <w:szCs w:val="26"/>
          </w:rPr>
          <w:t>日</w:t>
        </w:r>
      </w:smartTag>
      <w:r w:rsidRPr="000A63B2">
        <w:rPr>
          <w:rFonts w:eastAsia="標楷體"/>
          <w:sz w:val="26"/>
          <w:szCs w:val="26"/>
        </w:rPr>
        <w:t>發布之營利事業所得稅不合常規移轉訂價查核準則</w:t>
      </w:r>
      <w:r w:rsidR="00566722" w:rsidRPr="000A63B2">
        <w:rPr>
          <w:rFonts w:eastAsia="標楷體" w:hint="eastAsia"/>
          <w:sz w:val="26"/>
          <w:szCs w:val="26"/>
        </w:rPr>
        <w:t>（</w:t>
      </w:r>
      <w:r w:rsidRPr="000A63B2">
        <w:rPr>
          <w:rFonts w:eastAsia="標楷體"/>
          <w:sz w:val="26"/>
          <w:szCs w:val="26"/>
        </w:rPr>
        <w:t>以下簡稱『移轉訂價查核準則』）規定之方法為之。</w:t>
      </w:r>
    </w:p>
    <w:p w:rsidR="006736AD" w:rsidRPr="000A63B2" w:rsidRDefault="006736AD" w:rsidP="00965AF0">
      <w:pPr>
        <w:spacing w:beforeLines="50" w:before="120" w:afterLines="50" w:after="120" w:line="360" w:lineRule="auto"/>
        <w:ind w:firstLineChars="200" w:firstLine="520"/>
        <w:jc w:val="both"/>
        <w:rPr>
          <w:rFonts w:eastAsia="標楷體"/>
          <w:sz w:val="26"/>
          <w:szCs w:val="26"/>
        </w:rPr>
      </w:pPr>
      <w:r w:rsidRPr="000A63B2">
        <w:rPr>
          <w:rFonts w:eastAsia="標楷體"/>
          <w:sz w:val="26"/>
          <w:szCs w:val="26"/>
        </w:rPr>
        <w:t>本所於本報告中表示之意見完全基於</w:t>
      </w:r>
      <w:r w:rsidR="00BA7C8C" w:rsidRPr="000A63B2">
        <w:rPr>
          <w:rFonts w:eastAsia="標楷體" w:hint="eastAsia"/>
          <w:sz w:val="26"/>
          <w:szCs w:val="26"/>
        </w:rPr>
        <w:t>太克科技</w:t>
      </w:r>
      <w:r w:rsidRPr="000A63B2">
        <w:rPr>
          <w:rFonts w:eastAsia="標楷體"/>
          <w:sz w:val="26"/>
          <w:szCs w:val="26"/>
        </w:rPr>
        <w:t>管理部門提供之資料，本所並未</w:t>
      </w:r>
      <w:r w:rsidR="00270528" w:rsidRPr="000A63B2">
        <w:rPr>
          <w:rFonts w:eastAsia="標楷體" w:hint="eastAsia"/>
          <w:sz w:val="26"/>
          <w:szCs w:val="26"/>
        </w:rPr>
        <w:t>就</w:t>
      </w:r>
      <w:r w:rsidR="00BA7C8C" w:rsidRPr="000A63B2">
        <w:rPr>
          <w:rFonts w:eastAsia="標楷體" w:hint="eastAsia"/>
          <w:sz w:val="26"/>
          <w:szCs w:val="26"/>
        </w:rPr>
        <w:t>太克科技</w:t>
      </w:r>
      <w:r w:rsidR="00270528" w:rsidRPr="000A63B2">
        <w:rPr>
          <w:rFonts w:eastAsia="標楷體" w:hint="eastAsia"/>
          <w:sz w:val="26"/>
          <w:szCs w:val="26"/>
        </w:rPr>
        <w:t>提供之資料執行任何</w:t>
      </w:r>
      <w:r w:rsidRPr="000A63B2">
        <w:rPr>
          <w:rFonts w:eastAsia="標楷體"/>
          <w:sz w:val="26"/>
          <w:szCs w:val="26"/>
        </w:rPr>
        <w:t>查核</w:t>
      </w:r>
      <w:r w:rsidR="00270528" w:rsidRPr="000A63B2">
        <w:rPr>
          <w:rFonts w:eastAsia="標楷體" w:hint="eastAsia"/>
          <w:sz w:val="26"/>
          <w:szCs w:val="26"/>
        </w:rPr>
        <w:t>程序</w:t>
      </w:r>
      <w:r w:rsidRPr="000A63B2">
        <w:rPr>
          <w:rFonts w:eastAsia="標楷體"/>
          <w:sz w:val="26"/>
          <w:szCs w:val="26"/>
        </w:rPr>
        <w:t>。倘若提供給本所之資料有須更正情事，本報告之內容及結論亦可能會受影響。</w:t>
      </w:r>
    </w:p>
    <w:p w:rsidR="006736AD" w:rsidRPr="000A63B2" w:rsidRDefault="006736AD" w:rsidP="00965AF0">
      <w:pPr>
        <w:spacing w:beforeLines="50" w:before="120" w:afterLines="50" w:after="120" w:line="360" w:lineRule="auto"/>
        <w:ind w:firstLineChars="200" w:firstLine="520"/>
        <w:jc w:val="both"/>
        <w:rPr>
          <w:rFonts w:eastAsia="標楷體"/>
          <w:sz w:val="26"/>
          <w:szCs w:val="26"/>
        </w:rPr>
      </w:pPr>
      <w:r w:rsidRPr="000A63B2">
        <w:rPr>
          <w:rFonts w:eastAsia="標楷體"/>
          <w:sz w:val="26"/>
          <w:szCs w:val="26"/>
        </w:rPr>
        <w:t>本報告內容須隨</w:t>
      </w:r>
      <w:r w:rsidR="00BA7C8C" w:rsidRPr="000A63B2">
        <w:rPr>
          <w:rFonts w:eastAsia="標楷體" w:hint="eastAsia"/>
          <w:sz w:val="26"/>
          <w:szCs w:val="26"/>
        </w:rPr>
        <w:t>太克科技</w:t>
      </w:r>
      <w:r w:rsidR="00820FC9" w:rsidRPr="000A63B2">
        <w:rPr>
          <w:rFonts w:eastAsia="標楷體" w:hint="eastAsia"/>
          <w:sz w:val="26"/>
          <w:szCs w:val="26"/>
        </w:rPr>
        <w:t>每年</w:t>
      </w:r>
      <w:r w:rsidRPr="000A63B2">
        <w:rPr>
          <w:rFonts w:eastAsia="標楷體"/>
          <w:sz w:val="26"/>
          <w:szCs w:val="26"/>
        </w:rPr>
        <w:t>營業方式之變動而更新。本所出具報告後，對本報告交付</w:t>
      </w:r>
      <w:r w:rsidR="00BA7C8C" w:rsidRPr="000A63B2">
        <w:rPr>
          <w:rFonts w:eastAsia="標楷體" w:hint="eastAsia"/>
          <w:sz w:val="26"/>
          <w:szCs w:val="26"/>
        </w:rPr>
        <w:t>太克科技</w:t>
      </w:r>
      <w:r w:rsidRPr="000A63B2">
        <w:rPr>
          <w:rFonts w:eastAsia="標楷體"/>
          <w:sz w:val="26"/>
          <w:szCs w:val="26"/>
        </w:rPr>
        <w:t>後所發生之任何變動、事件或情況，</w:t>
      </w:r>
      <w:r w:rsidR="00CB265A" w:rsidRPr="000A63B2">
        <w:rPr>
          <w:rFonts w:eastAsia="標楷體" w:hint="eastAsia"/>
          <w:sz w:val="26"/>
          <w:szCs w:val="26"/>
        </w:rPr>
        <w:t>均</w:t>
      </w:r>
      <w:r w:rsidRPr="000A63B2">
        <w:rPr>
          <w:rFonts w:eastAsia="標楷體"/>
          <w:sz w:val="26"/>
          <w:szCs w:val="26"/>
        </w:rPr>
        <w:t>不負任何修訂之義務。</w:t>
      </w:r>
    </w:p>
    <w:p w:rsidR="001E7194" w:rsidRPr="00EA272E" w:rsidRDefault="006736AD" w:rsidP="00965AF0">
      <w:pPr>
        <w:spacing w:beforeLines="50" w:before="120" w:afterLines="50" w:after="120" w:line="360" w:lineRule="auto"/>
        <w:ind w:firstLineChars="200" w:firstLine="520"/>
        <w:jc w:val="both"/>
        <w:rPr>
          <w:rFonts w:eastAsia="標楷體"/>
          <w:sz w:val="26"/>
          <w:szCs w:val="26"/>
        </w:rPr>
        <w:sectPr w:rsidR="001E7194" w:rsidRPr="00EA272E" w:rsidSect="00DD5AB2">
          <w:headerReference w:type="even" r:id="rId10"/>
          <w:headerReference w:type="default" r:id="rId11"/>
          <w:headerReference w:type="first" r:id="rId12"/>
          <w:type w:val="oddPage"/>
          <w:pgSz w:w="11906" w:h="16838" w:code="9"/>
          <w:pgMar w:top="2160" w:right="1440" w:bottom="1814" w:left="1440" w:header="851" w:footer="442" w:gutter="567"/>
          <w:pgNumType w:start="1"/>
          <w:cols w:space="425"/>
          <w:docGrid w:linePitch="360"/>
        </w:sectPr>
      </w:pPr>
      <w:r w:rsidRPr="000A63B2">
        <w:rPr>
          <w:rFonts w:eastAsia="標楷體"/>
          <w:sz w:val="26"/>
          <w:szCs w:val="26"/>
        </w:rPr>
        <w:t>本報告僅供</w:t>
      </w:r>
      <w:r w:rsidR="00BA7C8C" w:rsidRPr="000A63B2">
        <w:rPr>
          <w:rFonts w:eastAsia="標楷體" w:hint="eastAsia"/>
          <w:sz w:val="26"/>
          <w:szCs w:val="26"/>
        </w:rPr>
        <w:t>太克科技</w:t>
      </w:r>
      <w:r w:rsidRPr="000A63B2">
        <w:rPr>
          <w:rFonts w:eastAsia="標楷體"/>
          <w:sz w:val="26"/>
          <w:szCs w:val="26"/>
        </w:rPr>
        <w:t>分析</w:t>
      </w:r>
      <w:r w:rsidR="001E7194" w:rsidRPr="000A63B2">
        <w:rPr>
          <w:rFonts w:eastAsia="標楷體" w:hint="eastAsia"/>
          <w:sz w:val="26"/>
          <w:szCs w:val="26"/>
        </w:rPr>
        <w:t>受控</w:t>
      </w:r>
      <w:r w:rsidRPr="000A63B2">
        <w:rPr>
          <w:rFonts w:eastAsia="標楷體"/>
          <w:sz w:val="26"/>
          <w:szCs w:val="26"/>
        </w:rPr>
        <w:t>交易</w:t>
      </w:r>
      <w:r w:rsidR="00906F2B" w:rsidRPr="000A63B2">
        <w:rPr>
          <w:rFonts w:eastAsia="標楷體"/>
          <w:sz w:val="26"/>
          <w:szCs w:val="26"/>
        </w:rPr>
        <w:t>是否</w:t>
      </w:r>
      <w:r w:rsidR="00906F2B" w:rsidRPr="000A63B2">
        <w:rPr>
          <w:rFonts w:eastAsia="標楷體" w:hint="eastAsia"/>
          <w:sz w:val="26"/>
          <w:szCs w:val="26"/>
        </w:rPr>
        <w:t>符合營業</w:t>
      </w:r>
      <w:r w:rsidRPr="000A63B2">
        <w:rPr>
          <w:rFonts w:eastAsia="標楷體"/>
          <w:sz w:val="26"/>
          <w:szCs w:val="26"/>
        </w:rPr>
        <w:t>常規使用，不得作為其他用途。本所於本報告製作完成並交付</w:t>
      </w:r>
      <w:r w:rsidR="00BA7C8C" w:rsidRPr="000A63B2">
        <w:rPr>
          <w:rFonts w:eastAsia="標楷體" w:hint="eastAsia"/>
          <w:sz w:val="26"/>
          <w:szCs w:val="26"/>
        </w:rPr>
        <w:t>太克科技</w:t>
      </w:r>
      <w:r w:rsidRPr="000A63B2">
        <w:rPr>
          <w:rFonts w:eastAsia="標楷體"/>
          <w:sz w:val="26"/>
          <w:szCs w:val="26"/>
        </w:rPr>
        <w:t>後，即已完成編製移轉訂價報告之義務，倘有必要，本所會盡力協助委託人向國稅局作必要說明，但此部分並非本所之義務，亦非委任契約之一部份。除前開必要情形外，本所或其他與編製本報告有關</w:t>
      </w:r>
      <w:r w:rsidR="00CB265A" w:rsidRPr="000A63B2">
        <w:rPr>
          <w:rFonts w:eastAsia="標楷體" w:hint="eastAsia"/>
          <w:sz w:val="26"/>
          <w:szCs w:val="26"/>
        </w:rPr>
        <w:t>之</w:t>
      </w:r>
      <w:r w:rsidRPr="000A63B2">
        <w:rPr>
          <w:rFonts w:eastAsia="標楷體"/>
          <w:sz w:val="26"/>
          <w:szCs w:val="26"/>
        </w:rPr>
        <w:t>人員若有因本報告而被要求作證、出庭或出席其他</w:t>
      </w:r>
      <w:r w:rsidRPr="00EA272E">
        <w:rPr>
          <w:rFonts w:eastAsia="標楷體"/>
          <w:sz w:val="26"/>
          <w:szCs w:val="26"/>
        </w:rPr>
        <w:t>訴訟程序、或有行政救濟之需要，費用需另行計算。</w:t>
      </w:r>
    </w:p>
    <w:p w:rsidR="00225C13" w:rsidRDefault="00C06E46" w:rsidP="00965AF0">
      <w:pPr>
        <w:spacing w:beforeLines="100" w:before="240" w:afterLines="100" w:after="240" w:line="360" w:lineRule="auto"/>
        <w:jc w:val="center"/>
        <w:rPr>
          <w:rFonts w:eastAsia="標楷體"/>
          <w:b/>
          <w:bCs/>
          <w:sz w:val="52"/>
          <w:szCs w:val="48"/>
        </w:rPr>
      </w:pPr>
      <w:r w:rsidRPr="00EA272E">
        <w:rPr>
          <w:rFonts w:eastAsia="標楷體" w:hint="eastAsia"/>
          <w:b/>
          <w:bCs/>
          <w:sz w:val="52"/>
          <w:szCs w:val="48"/>
        </w:rPr>
        <w:lastRenderedPageBreak/>
        <w:t>章節</w:t>
      </w:r>
      <w:r w:rsidRPr="00EA272E">
        <w:rPr>
          <w:rFonts w:eastAsia="標楷體"/>
          <w:b/>
          <w:bCs/>
          <w:sz w:val="52"/>
          <w:szCs w:val="48"/>
        </w:rPr>
        <w:t>目</w:t>
      </w:r>
      <w:r w:rsidR="006736AD" w:rsidRPr="00EA272E">
        <w:rPr>
          <w:rFonts w:eastAsia="標楷體"/>
          <w:b/>
          <w:bCs/>
          <w:sz w:val="52"/>
          <w:szCs w:val="48"/>
        </w:rPr>
        <w:t>錄</w:t>
      </w:r>
    </w:p>
    <w:p w:rsidR="00F47091" w:rsidRPr="00B43040" w:rsidRDefault="004C1BBD" w:rsidP="00F47091">
      <w:pPr>
        <w:pStyle w:val="10"/>
        <w:spacing w:before="120" w:after="120"/>
        <w:rPr>
          <w:bCs/>
          <w:sz w:val="28"/>
          <w14:shadow w14:blurRad="0" w14:dist="0" w14:dir="0" w14:sx="0" w14:sy="0" w14:kx="0" w14:ky="0" w14:algn="none">
            <w14:srgbClr w14:val="000000"/>
          </w14:shadow>
          <w14:textOutline w14:w="0" w14:cap="rnd" w14:cmpd="sng" w14:algn="ctr">
            <w14:noFill/>
            <w14:prstDash w14:val="solid"/>
            <w14:bevel/>
          </w14:textOutline>
        </w:rPr>
      </w:pPr>
      <w:r w:rsidRPr="00B43040">
        <w:rPr>
          <w:bCs/>
          <w:noProof w:val="0"/>
          <w:sz w:val="28"/>
          <w14:shadow w14:blurRad="0" w14:dist="0" w14:dir="0" w14:sx="0" w14:sy="0" w14:kx="0" w14:ky="0" w14:algn="none">
            <w14:srgbClr w14:val="000000"/>
          </w14:shadow>
          <w14:textOutline w14:w="0" w14:cap="rnd" w14:cmpd="sng" w14:algn="ctr">
            <w14:noFill/>
            <w14:prstDash w14:val="solid"/>
            <w14:bevel/>
          </w14:textOutline>
        </w:rPr>
        <w:fldChar w:fldCharType="begin"/>
      </w:r>
      <w:r w:rsidR="006736AD" w:rsidRPr="00B43040">
        <w:rPr>
          <w:bCs/>
          <w:noProof w:val="0"/>
          <w:sz w:val="28"/>
          <w14:shadow w14:blurRad="0" w14:dist="0" w14:dir="0" w14:sx="0" w14:sy="0" w14:kx="0" w14:ky="0" w14:algn="none">
            <w14:srgbClr w14:val="000000"/>
          </w14:shadow>
          <w14:textOutline w14:w="0" w14:cap="rnd" w14:cmpd="sng" w14:algn="ctr">
            <w14:noFill/>
            <w14:prstDash w14:val="solid"/>
            <w14:bevel/>
          </w14:textOutline>
        </w:rPr>
        <w:instrText xml:space="preserve"> TOC \o "1-1" \h \z \u </w:instrText>
      </w:r>
      <w:r w:rsidRPr="00B43040">
        <w:rPr>
          <w:bCs/>
          <w:noProof w:val="0"/>
          <w:sz w:val="28"/>
          <w14:shadow w14:blurRad="0" w14:dist="0" w14:dir="0" w14:sx="0" w14:sy="0" w14:kx="0" w14:ky="0" w14:algn="none">
            <w14:srgbClr w14:val="000000"/>
          </w14:shadow>
          <w14:textOutline w14:w="0" w14:cap="rnd" w14:cmpd="sng" w14:algn="ctr">
            <w14:noFill/>
            <w14:prstDash w14:val="solid"/>
            <w14:bevel/>
          </w14:textOutline>
        </w:rPr>
        <w:fldChar w:fldCharType="separate"/>
      </w:r>
      <w:hyperlink w:anchor="_Toc389223535" w:history="1">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第壹章、</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 xml:space="preserve"> </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摘要</w:t>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tab/>
        </w:r>
        <w:r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begin"/>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instrText xml:space="preserve"> PAGEREF _Toc389223535 \h </w:instrText>
        </w:r>
        <w:r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r>
        <w:r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separate"/>
        </w:r>
        <w:r w:rsidR="000E6258">
          <w:rPr>
            <w:bCs/>
            <w:webHidden/>
            <w:sz w:val="28"/>
            <w14:shadow w14:blurRad="0" w14:dist="0" w14:dir="0" w14:sx="0" w14:sy="0" w14:kx="0" w14:ky="0" w14:algn="none">
              <w14:srgbClr w14:val="000000"/>
            </w14:shadow>
            <w14:textOutline w14:w="0" w14:cap="rnd" w14:cmpd="sng" w14:algn="ctr">
              <w14:noFill/>
              <w14:prstDash w14:val="solid"/>
              <w14:bevel/>
            </w14:textOutline>
          </w:rPr>
          <w:t>1</w:t>
        </w:r>
        <w:r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F47091" w:rsidRPr="00B43040" w:rsidRDefault="002D2891" w:rsidP="00F47091">
      <w:pPr>
        <w:pStyle w:val="10"/>
        <w:spacing w:before="120" w:after="120"/>
        <w:rPr>
          <w:bCs/>
          <w:sz w:val="28"/>
          <w14:shadow w14:blurRad="0" w14:dist="0" w14:dir="0" w14:sx="0" w14:sy="0" w14:kx="0" w14:ky="0" w14:algn="none">
            <w14:srgbClr w14:val="000000"/>
          </w14:shadow>
          <w14:textOutline w14:w="0" w14:cap="rnd" w14:cmpd="sng" w14:algn="ctr">
            <w14:noFill/>
            <w14:prstDash w14:val="solid"/>
            <w14:bevel/>
          </w14:textOutline>
        </w:rPr>
      </w:pPr>
      <w:hyperlink w:anchor="_Toc389223537" w:history="1">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第貳章、</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 xml:space="preserve"> </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背景資訊及產業經濟現況</w:t>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tab/>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begin"/>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instrText xml:space="preserve"> PAGEREF _Toc389223537 \h </w:instrTex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separate"/>
        </w:r>
        <w:r w:rsidR="000E6258">
          <w:rPr>
            <w:bCs/>
            <w:webHidden/>
            <w:sz w:val="28"/>
            <w14:shadow w14:blurRad="0" w14:dist="0" w14:dir="0" w14:sx="0" w14:sy="0" w14:kx="0" w14:ky="0" w14:algn="none">
              <w14:srgbClr w14:val="000000"/>
            </w14:shadow>
            <w14:textOutline w14:w="0" w14:cap="rnd" w14:cmpd="sng" w14:algn="ctr">
              <w14:noFill/>
              <w14:prstDash w14:val="solid"/>
              <w14:bevel/>
            </w14:textOutline>
          </w:rPr>
          <w:t>5</w: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F47091" w:rsidRPr="00B43040" w:rsidRDefault="002D2891" w:rsidP="00F47091">
      <w:pPr>
        <w:pStyle w:val="10"/>
        <w:spacing w:before="120" w:after="120"/>
        <w:rPr>
          <w:bCs/>
          <w:sz w:val="28"/>
          <w14:shadow w14:blurRad="0" w14:dist="0" w14:dir="0" w14:sx="0" w14:sy="0" w14:kx="0" w14:ky="0" w14:algn="none">
            <w14:srgbClr w14:val="000000"/>
          </w14:shadow>
          <w14:textOutline w14:w="0" w14:cap="rnd" w14:cmpd="sng" w14:algn="ctr">
            <w14:noFill/>
            <w14:prstDash w14:val="solid"/>
            <w14:bevel/>
          </w14:textOutline>
        </w:rPr>
      </w:pPr>
      <w:hyperlink w:anchor="_Toc389223539" w:history="1">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第參章、</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 xml:space="preserve"> </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受控交易說明</w:t>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tab/>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begin"/>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instrText xml:space="preserve"> PAGEREF _Toc389223539 \h </w:instrTex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separate"/>
        </w:r>
        <w:r w:rsidR="000E6258">
          <w:rPr>
            <w:bCs/>
            <w:webHidden/>
            <w:sz w:val="28"/>
            <w14:shadow w14:blurRad="0" w14:dist="0" w14:dir="0" w14:sx="0" w14:sy="0" w14:kx="0" w14:ky="0" w14:algn="none">
              <w14:srgbClr w14:val="000000"/>
            </w14:shadow>
            <w14:textOutline w14:w="0" w14:cap="rnd" w14:cmpd="sng" w14:algn="ctr">
              <w14:noFill/>
              <w14:prstDash w14:val="solid"/>
              <w14:bevel/>
            </w14:textOutline>
          </w:rPr>
          <w:t>17</w: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F47091" w:rsidRPr="00B43040" w:rsidRDefault="002D2891" w:rsidP="00F47091">
      <w:pPr>
        <w:pStyle w:val="10"/>
        <w:spacing w:before="120" w:after="120"/>
        <w:rPr>
          <w:bCs/>
          <w:sz w:val="28"/>
          <w14:shadow w14:blurRad="0" w14:dist="0" w14:dir="0" w14:sx="0" w14:sy="0" w14:kx="0" w14:ky="0" w14:algn="none">
            <w14:srgbClr w14:val="000000"/>
          </w14:shadow>
          <w14:textOutline w14:w="0" w14:cap="rnd" w14:cmpd="sng" w14:algn="ctr">
            <w14:noFill/>
            <w14:prstDash w14:val="solid"/>
            <w14:bevel/>
          </w14:textOutline>
        </w:rPr>
      </w:pPr>
      <w:hyperlink w:anchor="_Toc389223541" w:history="1">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第肆章、</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 xml:space="preserve"> </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功能及風險分析</w:t>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tab/>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begin"/>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instrText xml:space="preserve"> PAGEREF _Toc389223541 \h </w:instrTex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separate"/>
        </w:r>
        <w:r w:rsidR="000E6258">
          <w:rPr>
            <w:bCs/>
            <w:webHidden/>
            <w:sz w:val="28"/>
            <w14:shadow w14:blurRad="0" w14:dist="0" w14:dir="0" w14:sx="0" w14:sy="0" w14:kx="0" w14:ky="0" w14:algn="none">
              <w14:srgbClr w14:val="000000"/>
            </w14:shadow>
            <w14:textOutline w14:w="0" w14:cap="rnd" w14:cmpd="sng" w14:algn="ctr">
              <w14:noFill/>
              <w14:prstDash w14:val="solid"/>
              <w14:bevel/>
            </w14:textOutline>
          </w:rPr>
          <w:t>23</w: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F47091" w:rsidRPr="00B43040" w:rsidRDefault="002D2891" w:rsidP="00F47091">
      <w:pPr>
        <w:pStyle w:val="10"/>
        <w:spacing w:before="120" w:after="120"/>
        <w:rPr>
          <w:bCs/>
          <w:sz w:val="28"/>
          <w14:shadow w14:blurRad="0" w14:dist="0" w14:dir="0" w14:sx="0" w14:sy="0" w14:kx="0" w14:ky="0" w14:algn="none">
            <w14:srgbClr w14:val="000000"/>
          </w14:shadow>
          <w14:textOutline w14:w="0" w14:cap="rnd" w14:cmpd="sng" w14:algn="ctr">
            <w14:noFill/>
            <w14:prstDash w14:val="solid"/>
            <w14:bevel/>
          </w14:textOutline>
        </w:rPr>
      </w:pPr>
      <w:hyperlink w:anchor="_Toc389223543" w:history="1">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第伍章、</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 xml:space="preserve"> </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常規交易原則辦理之情形</w:t>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tab/>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begin"/>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instrText xml:space="preserve"> PAGEREF _Toc389223543 \h </w:instrTex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separate"/>
        </w:r>
        <w:r w:rsidR="000E6258">
          <w:rPr>
            <w:bCs/>
            <w:webHidden/>
            <w:sz w:val="28"/>
            <w14:shadow w14:blurRad="0" w14:dist="0" w14:dir="0" w14:sx="0" w14:sy="0" w14:kx="0" w14:ky="0" w14:algn="none">
              <w14:srgbClr w14:val="000000"/>
            </w14:shadow>
            <w14:textOutline w14:w="0" w14:cap="rnd" w14:cmpd="sng" w14:algn="ctr">
              <w14:noFill/>
              <w14:prstDash w14:val="solid"/>
              <w14:bevel/>
            </w14:textOutline>
          </w:rPr>
          <w:t>37</w: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F47091" w:rsidRPr="00B43040" w:rsidRDefault="002D2891" w:rsidP="00F47091">
      <w:pPr>
        <w:pStyle w:val="10"/>
        <w:spacing w:before="120" w:after="120"/>
        <w:rPr>
          <w:bCs/>
          <w:sz w:val="28"/>
          <w14:shadow w14:blurRad="0" w14:dist="0" w14:dir="0" w14:sx="0" w14:sy="0" w14:kx="0" w14:ky="0" w14:algn="none">
            <w14:srgbClr w14:val="000000"/>
          </w14:shadow>
          <w14:textOutline w14:w="0" w14:cap="rnd" w14:cmpd="sng" w14:algn="ctr">
            <w14:noFill/>
            <w14:prstDash w14:val="solid"/>
            <w14:bevel/>
          </w14:textOutline>
        </w:rPr>
      </w:pPr>
      <w:hyperlink w:anchor="_Toc389223545" w:history="1">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第陸章、</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 xml:space="preserve"> </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可比較對象之選擇要件</w:t>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tab/>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begin"/>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instrText xml:space="preserve"> PAGEREF _Toc389223545 \h </w:instrTex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separate"/>
        </w:r>
        <w:r w:rsidR="000E6258">
          <w:rPr>
            <w:bCs/>
            <w:webHidden/>
            <w:sz w:val="28"/>
            <w14:shadow w14:blurRad="0" w14:dist="0" w14:dir="0" w14:sx="0" w14:sy="0" w14:kx="0" w14:ky="0" w14:algn="none">
              <w14:srgbClr w14:val="000000"/>
            </w14:shadow>
            <w14:textOutline w14:w="0" w14:cap="rnd" w14:cmpd="sng" w14:algn="ctr">
              <w14:noFill/>
              <w14:prstDash w14:val="solid"/>
              <w14:bevel/>
            </w14:textOutline>
          </w:rPr>
          <w:t>43</w: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F47091" w:rsidRPr="00B43040" w:rsidRDefault="002D2891" w:rsidP="00F47091">
      <w:pPr>
        <w:pStyle w:val="10"/>
        <w:spacing w:before="120" w:after="120"/>
        <w:rPr>
          <w:bCs/>
          <w:sz w:val="28"/>
          <w14:shadow w14:blurRad="0" w14:dist="0" w14:dir="0" w14:sx="0" w14:sy="0" w14:kx="0" w14:ky="0" w14:algn="none">
            <w14:srgbClr w14:val="000000"/>
          </w14:shadow>
          <w14:textOutline w14:w="0" w14:cap="rnd" w14:cmpd="sng" w14:algn="ctr">
            <w14:noFill/>
            <w14:prstDash w14:val="solid"/>
            <w14:bevel/>
          </w14:textOutline>
        </w:rPr>
      </w:pPr>
      <w:hyperlink w:anchor="_Toc389223547" w:history="1">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第柒章、</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 xml:space="preserve"> </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最適常規交易方法之決定</w:t>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tab/>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begin"/>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instrText xml:space="preserve"> PAGEREF _Toc389223547 \h </w:instrTex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separate"/>
        </w:r>
        <w:r w:rsidR="000E6258">
          <w:rPr>
            <w:bCs/>
            <w:webHidden/>
            <w:sz w:val="28"/>
            <w14:shadow w14:blurRad="0" w14:dist="0" w14:dir="0" w14:sx="0" w14:sy="0" w14:kx="0" w14:ky="0" w14:algn="none">
              <w14:srgbClr w14:val="000000"/>
            </w14:shadow>
            <w14:textOutline w14:w="0" w14:cap="rnd" w14:cmpd="sng" w14:algn="ctr">
              <w14:noFill/>
              <w14:prstDash w14:val="solid"/>
              <w14:bevel/>
            </w14:textOutline>
          </w:rPr>
          <w:t>47</w: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F47091" w:rsidRPr="00B43040" w:rsidRDefault="002D2891" w:rsidP="00F47091">
      <w:pPr>
        <w:pStyle w:val="10"/>
        <w:spacing w:before="120" w:after="120"/>
        <w:rPr>
          <w:bCs/>
          <w:sz w:val="28"/>
          <w14:shadow w14:blurRad="0" w14:dist="0" w14:dir="0" w14:sx="0" w14:sy="0" w14:kx="0" w14:ky="0" w14:algn="none">
            <w14:srgbClr w14:val="000000"/>
          </w14:shadow>
          <w14:textOutline w14:w="0" w14:cap="rnd" w14:cmpd="sng" w14:algn="ctr">
            <w14:noFill/>
            <w14:prstDash w14:val="solid"/>
            <w14:bevel/>
          </w14:textOutline>
        </w:rPr>
      </w:pPr>
      <w:hyperlink w:anchor="_Toc389223549" w:history="1">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第捌章、</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 xml:space="preserve"> </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可比較對象之找尋</w:t>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tab/>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begin"/>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instrText xml:space="preserve"> PAGEREF _Toc389223549 \h </w:instrTex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separate"/>
        </w:r>
        <w:r w:rsidR="000E6258">
          <w:rPr>
            <w:bCs/>
            <w:webHidden/>
            <w:sz w:val="28"/>
            <w14:shadow w14:blurRad="0" w14:dist="0" w14:dir="0" w14:sx="0" w14:sy="0" w14:kx="0" w14:ky="0" w14:algn="none">
              <w14:srgbClr w14:val="000000"/>
            </w14:shadow>
            <w14:textOutline w14:w="0" w14:cap="rnd" w14:cmpd="sng" w14:algn="ctr">
              <w14:noFill/>
              <w14:prstDash w14:val="solid"/>
              <w14:bevel/>
            </w14:textOutline>
          </w:rPr>
          <w:t>59</w: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F47091" w:rsidRPr="00B43040" w:rsidRDefault="002D2891" w:rsidP="00F47091">
      <w:pPr>
        <w:pStyle w:val="10"/>
        <w:spacing w:before="120" w:after="120"/>
        <w:rPr>
          <w:bCs/>
          <w:sz w:val="28"/>
          <w14:shadow w14:blurRad="0" w14:dist="0" w14:dir="0" w14:sx="0" w14:sy="0" w14:kx="0" w14:ky="0" w14:algn="none">
            <w14:srgbClr w14:val="000000"/>
          </w14:shadow>
          <w14:textOutline w14:w="0" w14:cap="rnd" w14:cmpd="sng" w14:algn="ctr">
            <w14:noFill/>
            <w14:prstDash w14:val="solid"/>
            <w14:bevel/>
          </w14:textOutline>
        </w:rPr>
      </w:pPr>
      <w:hyperlink w:anchor="_Toc389223551" w:history="1">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第玖章、</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 xml:space="preserve"> </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受控交易評估結果</w:t>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tab/>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begin"/>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instrText xml:space="preserve"> PAGEREF _Toc389223551 \h </w:instrTex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separate"/>
        </w:r>
        <w:r w:rsidR="000E6258">
          <w:rPr>
            <w:bCs/>
            <w:webHidden/>
            <w:sz w:val="28"/>
            <w14:shadow w14:blurRad="0" w14:dist="0" w14:dir="0" w14:sx="0" w14:sy="0" w14:kx="0" w14:ky="0" w14:algn="none">
              <w14:srgbClr w14:val="000000"/>
            </w14:shadow>
            <w14:textOutline w14:w="0" w14:cap="rnd" w14:cmpd="sng" w14:algn="ctr">
              <w14:noFill/>
              <w14:prstDash w14:val="solid"/>
              <w14:bevel/>
            </w14:textOutline>
          </w:rPr>
          <w:t>67</w: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F47091" w:rsidRPr="00B43040" w:rsidRDefault="002D2891" w:rsidP="00F47091">
      <w:pPr>
        <w:pStyle w:val="10"/>
        <w:spacing w:before="120" w:after="120"/>
        <w:rPr>
          <w:bCs/>
          <w:sz w:val="28"/>
          <w14:shadow w14:blurRad="0" w14:dist="0" w14:dir="0" w14:sx="0" w14:sy="0" w14:kx="0" w14:ky="0" w14:algn="none">
            <w14:srgbClr w14:val="000000"/>
          </w14:shadow>
          <w14:textOutline w14:w="0" w14:cap="rnd" w14:cmpd="sng" w14:algn="ctr">
            <w14:noFill/>
            <w14:prstDash w14:val="solid"/>
            <w14:bevel/>
          </w14:textOutline>
        </w:rPr>
      </w:pPr>
      <w:hyperlink w:anchor="_Toc389223553" w:history="1">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第壹拾章、</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 xml:space="preserve"> </w:t>
        </w:r>
        <w:r w:rsidR="00F47091" w:rsidRPr="00B43040">
          <w:rPr>
            <w:rFonts w:hint="eastAsia"/>
            <w:bCs/>
            <w:sz w:val="28"/>
            <w14:shadow w14:blurRad="0" w14:dist="0" w14:dir="0" w14:sx="0" w14:sy="0" w14:kx="0" w14:ky="0" w14:algn="none">
              <w14:srgbClr w14:val="000000"/>
            </w14:shadow>
            <w14:textOutline w14:w="0" w14:cap="rnd" w14:cmpd="sng" w14:algn="ctr">
              <w14:noFill/>
              <w14:prstDash w14:val="solid"/>
              <w14:bevel/>
            </w14:textOutline>
          </w:rPr>
          <w:t>結論</w:t>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tab/>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begin"/>
        </w:r>
        <w:r w:rsidR="00F47091"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instrText xml:space="preserve"> PAGEREF _Toc389223553 \h </w:instrTex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separate"/>
        </w:r>
        <w:r w:rsidR="000E6258">
          <w:rPr>
            <w:bCs/>
            <w:webHidden/>
            <w:sz w:val="28"/>
            <w14:shadow w14:blurRad="0" w14:dist="0" w14:dir="0" w14:sx="0" w14:sy="0" w14:kx="0" w14:ky="0" w14:algn="none">
              <w14:srgbClr w14:val="000000"/>
            </w14:shadow>
            <w14:textOutline w14:w="0" w14:cap="rnd" w14:cmpd="sng" w14:algn="ctr">
              <w14:noFill/>
              <w14:prstDash w14:val="solid"/>
              <w14:bevel/>
            </w14:textOutline>
          </w:rPr>
          <w:t>75</w:t>
        </w:r>
        <w:r w:rsidR="004C1BBD" w:rsidRPr="00B43040">
          <w:rPr>
            <w:bCs/>
            <w:webHidden/>
            <w:sz w:val="28"/>
            <w14:shadow w14:blurRad="0" w14:dist="0" w14:dir="0" w14:sx="0" w14:sy="0" w14:kx="0" w14:ky="0" w14:algn="none">
              <w14:srgbClr w14:val="000000"/>
            </w14:shadow>
            <w14:textOutline w14:w="0" w14:cap="rnd" w14:cmpd="sng" w14:algn="ctr">
              <w14:noFill/>
              <w14:prstDash w14:val="solid"/>
              <w14:bevel/>
            </w14:textOutline>
          </w:rPr>
          <w:fldChar w:fldCharType="end"/>
        </w:r>
      </w:hyperlink>
    </w:p>
    <w:p w:rsidR="00ED670D" w:rsidRPr="00EA272E" w:rsidRDefault="004C1BBD" w:rsidP="00965AF0">
      <w:pPr>
        <w:spacing w:beforeLines="50" w:before="120" w:afterLines="50" w:after="120"/>
        <w:jc w:val="center"/>
        <w:rPr>
          <w:rFonts w:eastAsia="標楷體"/>
          <w:sz w:val="26"/>
          <w:szCs w:val="26"/>
        </w:rPr>
        <w:sectPr w:rsidR="00ED670D" w:rsidRPr="00EA272E" w:rsidSect="00DD5AB2">
          <w:headerReference w:type="even" r:id="rId13"/>
          <w:headerReference w:type="default" r:id="rId14"/>
          <w:footerReference w:type="default" r:id="rId15"/>
          <w:headerReference w:type="first" r:id="rId16"/>
          <w:type w:val="oddPage"/>
          <w:pgSz w:w="11906" w:h="16838" w:code="9"/>
          <w:pgMar w:top="2160" w:right="1440" w:bottom="1814" w:left="1440" w:header="851" w:footer="442" w:gutter="567"/>
          <w:pgNumType w:start="1"/>
          <w:cols w:space="425"/>
          <w:docGrid w:linePitch="360"/>
        </w:sectPr>
      </w:pPr>
      <w:r w:rsidRPr="00B43040">
        <w:rPr>
          <w:rFonts w:eastAsia="標楷體"/>
          <w:bCs/>
          <w:sz w:val="28"/>
        </w:rPr>
        <w:fldChar w:fldCharType="end"/>
      </w:r>
      <w:r w:rsidR="00ED670D" w:rsidRPr="00EA272E">
        <w:rPr>
          <w:rFonts w:eastAsia="標楷體"/>
          <w:sz w:val="26"/>
          <w:szCs w:val="26"/>
        </w:rPr>
        <w:br w:type="page"/>
      </w:r>
    </w:p>
    <w:p w:rsidR="00225C13" w:rsidRDefault="00C06E46" w:rsidP="00965AF0">
      <w:pPr>
        <w:spacing w:beforeLines="100" w:before="240" w:afterLines="100" w:after="240" w:line="360" w:lineRule="auto"/>
        <w:jc w:val="center"/>
        <w:rPr>
          <w:rFonts w:eastAsia="標楷體"/>
          <w:b/>
          <w:bCs/>
          <w:sz w:val="52"/>
          <w:szCs w:val="48"/>
        </w:rPr>
      </w:pPr>
      <w:r w:rsidRPr="00EA272E">
        <w:rPr>
          <w:rFonts w:eastAsia="標楷體"/>
          <w:b/>
          <w:bCs/>
          <w:sz w:val="52"/>
          <w:szCs w:val="48"/>
        </w:rPr>
        <w:lastRenderedPageBreak/>
        <w:t>附</w:t>
      </w:r>
      <w:r w:rsidR="006736AD" w:rsidRPr="00EA272E">
        <w:rPr>
          <w:rFonts w:eastAsia="標楷體"/>
          <w:b/>
          <w:bCs/>
          <w:sz w:val="52"/>
          <w:szCs w:val="48"/>
        </w:rPr>
        <w:t>件</w:t>
      </w:r>
      <w:r w:rsidRPr="00EA272E">
        <w:rPr>
          <w:rFonts w:eastAsia="標楷體" w:hint="eastAsia"/>
          <w:b/>
          <w:bCs/>
          <w:sz w:val="52"/>
          <w:szCs w:val="48"/>
        </w:rPr>
        <w:t>目錄</w:t>
      </w:r>
    </w:p>
    <w:tbl>
      <w:tblPr>
        <w:tblW w:w="8568" w:type="dxa"/>
        <w:jc w:val="center"/>
        <w:tblLayout w:type="fixed"/>
        <w:tblLook w:val="01E0" w:firstRow="1" w:lastRow="1" w:firstColumn="1" w:lastColumn="1" w:noHBand="0" w:noVBand="0"/>
      </w:tblPr>
      <w:tblGrid>
        <w:gridCol w:w="648"/>
        <w:gridCol w:w="7087"/>
        <w:gridCol w:w="833"/>
      </w:tblGrid>
      <w:tr w:rsidR="002C36CA" w:rsidRPr="002C36CA" w:rsidTr="002C36CA">
        <w:trPr>
          <w:jc w:val="center"/>
        </w:trPr>
        <w:tc>
          <w:tcPr>
            <w:tcW w:w="648" w:type="dxa"/>
            <w:vAlign w:val="center"/>
          </w:tcPr>
          <w:p w:rsidR="002C36CA" w:rsidRPr="002C36CA" w:rsidRDefault="002C36CA" w:rsidP="002C36CA">
            <w:pPr>
              <w:spacing w:line="360" w:lineRule="auto"/>
              <w:rPr>
                <w:rFonts w:eastAsia="標楷體"/>
                <w:bCs/>
                <w:sz w:val="28"/>
              </w:rPr>
            </w:pPr>
            <w:r w:rsidRPr="002C36CA">
              <w:rPr>
                <w:rFonts w:eastAsia="標楷體"/>
                <w:bCs/>
                <w:sz w:val="28"/>
              </w:rPr>
              <w:t>A</w:t>
            </w:r>
          </w:p>
        </w:tc>
        <w:tc>
          <w:tcPr>
            <w:tcW w:w="7087" w:type="dxa"/>
            <w:vAlign w:val="center"/>
          </w:tcPr>
          <w:p w:rsidR="00DC4ACB" w:rsidRPr="00DC4ACB" w:rsidRDefault="00DC4ACB" w:rsidP="00EB10C9">
            <w:pPr>
              <w:keepNext/>
              <w:spacing w:before="100" w:beforeAutospacing="1" w:after="100" w:afterAutospacing="1" w:line="360" w:lineRule="auto"/>
              <w:jc w:val="both"/>
              <w:outlineLvl w:val="0"/>
              <w:rPr>
                <w:rFonts w:eastAsia="標楷體"/>
                <w:bCs/>
                <w:sz w:val="28"/>
              </w:rPr>
            </w:pPr>
            <w:r w:rsidRPr="00DC4ACB">
              <w:rPr>
                <w:rFonts w:eastAsia="標楷體"/>
                <w:bCs/>
                <w:sz w:val="28"/>
              </w:rPr>
              <w:t>ONESOURCE</w:t>
            </w:r>
            <w:r w:rsidRPr="00DC4ACB">
              <w:rPr>
                <w:rFonts w:eastAsia="標楷體" w:hint="eastAsia"/>
                <w:bCs/>
                <w:sz w:val="28"/>
              </w:rPr>
              <w:t>資料庫篩選過程</w:t>
            </w:r>
          </w:p>
        </w:tc>
        <w:tc>
          <w:tcPr>
            <w:tcW w:w="833" w:type="dxa"/>
            <w:vAlign w:val="center"/>
          </w:tcPr>
          <w:p w:rsidR="002C36CA" w:rsidRPr="006821B3" w:rsidRDefault="002C36CA" w:rsidP="002C36CA">
            <w:pPr>
              <w:spacing w:line="360" w:lineRule="auto"/>
              <w:rPr>
                <w:rFonts w:eastAsia="標楷體"/>
                <w:bCs/>
                <w:sz w:val="28"/>
              </w:rPr>
            </w:pPr>
            <w:r w:rsidRPr="006821B3">
              <w:rPr>
                <w:rFonts w:eastAsia="標楷體" w:hint="eastAsia"/>
                <w:bCs/>
                <w:sz w:val="28"/>
              </w:rPr>
              <w:t>1</w:t>
            </w:r>
          </w:p>
        </w:tc>
      </w:tr>
      <w:tr w:rsidR="002C36CA" w:rsidRPr="002C36CA" w:rsidTr="002C36CA">
        <w:trPr>
          <w:jc w:val="center"/>
        </w:trPr>
        <w:tc>
          <w:tcPr>
            <w:tcW w:w="648" w:type="dxa"/>
            <w:vAlign w:val="center"/>
          </w:tcPr>
          <w:p w:rsidR="002C36CA" w:rsidRPr="002C36CA" w:rsidRDefault="002C36CA" w:rsidP="002C36CA">
            <w:pPr>
              <w:spacing w:line="360" w:lineRule="auto"/>
              <w:rPr>
                <w:rFonts w:eastAsia="標楷體"/>
                <w:bCs/>
                <w:sz w:val="28"/>
              </w:rPr>
            </w:pPr>
            <w:r w:rsidRPr="002C36CA">
              <w:rPr>
                <w:rFonts w:eastAsia="標楷體"/>
                <w:bCs/>
                <w:sz w:val="28"/>
              </w:rPr>
              <w:t>B</w:t>
            </w:r>
          </w:p>
        </w:tc>
        <w:tc>
          <w:tcPr>
            <w:tcW w:w="7087" w:type="dxa"/>
            <w:vAlign w:val="center"/>
          </w:tcPr>
          <w:p w:rsidR="00DC4ACB" w:rsidRPr="00DC4ACB" w:rsidRDefault="00DC4ACB" w:rsidP="00A12E0D">
            <w:pPr>
              <w:keepNext/>
              <w:spacing w:before="100" w:beforeAutospacing="1" w:after="100" w:afterAutospacing="1" w:line="360" w:lineRule="auto"/>
              <w:jc w:val="both"/>
              <w:outlineLvl w:val="0"/>
              <w:rPr>
                <w:rFonts w:eastAsia="標楷體"/>
                <w:bCs/>
                <w:sz w:val="28"/>
              </w:rPr>
            </w:pPr>
            <w:r w:rsidRPr="00DC4ACB">
              <w:rPr>
                <w:rFonts w:eastAsia="標楷體" w:hint="eastAsia"/>
                <w:bCs/>
                <w:sz w:val="28"/>
              </w:rPr>
              <w:t>接受與拒絕原因列表</w:t>
            </w:r>
          </w:p>
        </w:tc>
        <w:tc>
          <w:tcPr>
            <w:tcW w:w="833" w:type="dxa"/>
            <w:vAlign w:val="center"/>
          </w:tcPr>
          <w:p w:rsidR="002C36CA" w:rsidRPr="006821B3" w:rsidRDefault="002C36CA" w:rsidP="007333BE">
            <w:pPr>
              <w:spacing w:line="360" w:lineRule="auto"/>
              <w:rPr>
                <w:rFonts w:eastAsia="標楷體"/>
                <w:bCs/>
                <w:sz w:val="28"/>
              </w:rPr>
            </w:pPr>
            <w:r w:rsidRPr="006821B3">
              <w:rPr>
                <w:rFonts w:eastAsia="標楷體" w:hint="eastAsia"/>
                <w:bCs/>
                <w:sz w:val="28"/>
              </w:rPr>
              <w:t>1-</w:t>
            </w:r>
            <w:r w:rsidR="007333BE">
              <w:rPr>
                <w:rFonts w:eastAsia="標楷體" w:hint="eastAsia"/>
                <w:bCs/>
                <w:sz w:val="28"/>
              </w:rPr>
              <w:t>2</w:t>
            </w:r>
          </w:p>
        </w:tc>
      </w:tr>
      <w:tr w:rsidR="002C36CA" w:rsidRPr="002C36CA" w:rsidTr="002C36CA">
        <w:trPr>
          <w:jc w:val="center"/>
        </w:trPr>
        <w:tc>
          <w:tcPr>
            <w:tcW w:w="648" w:type="dxa"/>
            <w:vAlign w:val="center"/>
          </w:tcPr>
          <w:p w:rsidR="002C36CA" w:rsidRPr="002C36CA" w:rsidRDefault="002C36CA" w:rsidP="002C36CA">
            <w:pPr>
              <w:spacing w:line="360" w:lineRule="auto"/>
              <w:rPr>
                <w:rFonts w:eastAsia="標楷體"/>
                <w:bCs/>
                <w:sz w:val="28"/>
              </w:rPr>
            </w:pPr>
            <w:r w:rsidRPr="002C36CA">
              <w:rPr>
                <w:rFonts w:eastAsia="標楷體"/>
                <w:bCs/>
                <w:sz w:val="28"/>
              </w:rPr>
              <w:t>C</w:t>
            </w:r>
          </w:p>
        </w:tc>
        <w:tc>
          <w:tcPr>
            <w:tcW w:w="7087" w:type="dxa"/>
            <w:vAlign w:val="center"/>
          </w:tcPr>
          <w:p w:rsidR="00DC4ACB" w:rsidRPr="00DC4ACB" w:rsidRDefault="00DC4ACB" w:rsidP="00EB10C9">
            <w:pPr>
              <w:keepNext/>
              <w:spacing w:before="100" w:beforeAutospacing="1" w:after="100" w:afterAutospacing="1" w:line="360" w:lineRule="auto"/>
              <w:jc w:val="both"/>
              <w:outlineLvl w:val="0"/>
              <w:rPr>
                <w:rFonts w:eastAsia="標楷體"/>
                <w:bCs/>
                <w:sz w:val="28"/>
              </w:rPr>
            </w:pPr>
            <w:r w:rsidRPr="00DC4ACB">
              <w:rPr>
                <w:rFonts w:eastAsia="標楷體" w:hint="eastAsia"/>
                <w:bCs/>
                <w:sz w:val="28"/>
              </w:rPr>
              <w:t>可比較對象之企業敍述</w:t>
            </w:r>
          </w:p>
        </w:tc>
        <w:tc>
          <w:tcPr>
            <w:tcW w:w="833" w:type="dxa"/>
            <w:vAlign w:val="center"/>
          </w:tcPr>
          <w:p w:rsidR="002C36CA" w:rsidRPr="006821B3" w:rsidRDefault="002C36CA" w:rsidP="007333BE">
            <w:pPr>
              <w:spacing w:line="360" w:lineRule="auto"/>
              <w:rPr>
                <w:rFonts w:eastAsia="標楷體"/>
                <w:bCs/>
                <w:sz w:val="28"/>
              </w:rPr>
            </w:pPr>
            <w:r w:rsidRPr="006821B3">
              <w:rPr>
                <w:rFonts w:eastAsia="標楷體" w:hint="eastAsia"/>
                <w:bCs/>
                <w:sz w:val="28"/>
              </w:rPr>
              <w:t>1-</w:t>
            </w:r>
            <w:r w:rsidR="007333BE">
              <w:rPr>
                <w:rFonts w:eastAsia="標楷體" w:hint="eastAsia"/>
                <w:bCs/>
                <w:sz w:val="28"/>
              </w:rPr>
              <w:t>4</w:t>
            </w:r>
          </w:p>
        </w:tc>
      </w:tr>
      <w:tr w:rsidR="002C36CA" w:rsidRPr="002C36CA" w:rsidTr="002C36CA">
        <w:trPr>
          <w:jc w:val="center"/>
        </w:trPr>
        <w:tc>
          <w:tcPr>
            <w:tcW w:w="648" w:type="dxa"/>
            <w:vAlign w:val="center"/>
          </w:tcPr>
          <w:p w:rsidR="002C36CA" w:rsidRPr="002C36CA" w:rsidRDefault="002C36CA" w:rsidP="002C36CA">
            <w:pPr>
              <w:spacing w:line="360" w:lineRule="auto"/>
              <w:rPr>
                <w:rFonts w:eastAsia="標楷體"/>
                <w:bCs/>
                <w:sz w:val="28"/>
              </w:rPr>
            </w:pPr>
            <w:r w:rsidRPr="002C36CA">
              <w:rPr>
                <w:rFonts w:eastAsia="標楷體"/>
                <w:bCs/>
                <w:sz w:val="28"/>
              </w:rPr>
              <w:t>D</w:t>
            </w:r>
          </w:p>
        </w:tc>
        <w:tc>
          <w:tcPr>
            <w:tcW w:w="7087" w:type="dxa"/>
            <w:vAlign w:val="center"/>
          </w:tcPr>
          <w:p w:rsidR="00DC4ACB" w:rsidRPr="00DC4ACB" w:rsidRDefault="00DC4ACB">
            <w:pPr>
              <w:keepNext/>
              <w:spacing w:before="100" w:beforeAutospacing="1" w:after="100" w:afterAutospacing="1" w:line="360" w:lineRule="auto"/>
              <w:jc w:val="both"/>
              <w:outlineLvl w:val="0"/>
              <w:rPr>
                <w:rFonts w:eastAsia="標楷體"/>
                <w:bCs/>
                <w:sz w:val="28"/>
              </w:rPr>
            </w:pPr>
            <w:r w:rsidRPr="00DC4ACB">
              <w:rPr>
                <w:rFonts w:eastAsia="標楷體" w:hint="eastAsia"/>
                <w:bCs/>
                <w:sz w:val="28"/>
              </w:rPr>
              <w:t>太克科技</w:t>
            </w:r>
            <w:r w:rsidR="00E43F7D" w:rsidRPr="00DC4ACB">
              <w:rPr>
                <w:rFonts w:eastAsia="標楷體"/>
                <w:bCs/>
                <w:sz w:val="28"/>
              </w:rPr>
              <w:t>10</w:t>
            </w:r>
            <w:r w:rsidR="00E43F7D">
              <w:rPr>
                <w:rFonts w:eastAsia="標楷體" w:hint="eastAsia"/>
                <w:bCs/>
                <w:sz w:val="28"/>
              </w:rPr>
              <w:t>3</w:t>
            </w:r>
            <w:r w:rsidRPr="00DC4ACB">
              <w:rPr>
                <w:rFonts w:eastAsia="標楷體"/>
                <w:bCs/>
                <w:sz w:val="28"/>
              </w:rPr>
              <w:t>~</w:t>
            </w:r>
            <w:r w:rsidR="00E43F7D" w:rsidRPr="00DC4ACB">
              <w:rPr>
                <w:rFonts w:eastAsia="標楷體"/>
                <w:bCs/>
                <w:sz w:val="28"/>
              </w:rPr>
              <w:t>10</w:t>
            </w:r>
            <w:r w:rsidR="00E43F7D">
              <w:rPr>
                <w:rFonts w:eastAsia="標楷體" w:hint="eastAsia"/>
                <w:bCs/>
                <w:sz w:val="28"/>
              </w:rPr>
              <w:t>5</w:t>
            </w:r>
            <w:r w:rsidRPr="00DC4ACB">
              <w:rPr>
                <w:rFonts w:eastAsia="標楷體" w:hint="eastAsia"/>
                <w:bCs/>
                <w:sz w:val="28"/>
              </w:rPr>
              <w:t>會計年度損益表</w:t>
            </w:r>
          </w:p>
        </w:tc>
        <w:tc>
          <w:tcPr>
            <w:tcW w:w="833" w:type="dxa"/>
            <w:vAlign w:val="center"/>
          </w:tcPr>
          <w:p w:rsidR="002C36CA" w:rsidRPr="006821B3" w:rsidRDefault="002C36CA" w:rsidP="002C36CA">
            <w:pPr>
              <w:spacing w:line="360" w:lineRule="auto"/>
              <w:rPr>
                <w:rFonts w:eastAsia="標楷體"/>
                <w:bCs/>
                <w:sz w:val="28"/>
              </w:rPr>
            </w:pPr>
            <w:r w:rsidRPr="006821B3">
              <w:rPr>
                <w:rFonts w:eastAsia="標楷體" w:hint="eastAsia"/>
                <w:bCs/>
                <w:sz w:val="28"/>
              </w:rPr>
              <w:t>1-3</w:t>
            </w:r>
          </w:p>
        </w:tc>
      </w:tr>
      <w:tr w:rsidR="002C36CA" w:rsidRPr="002C36CA" w:rsidTr="002C36CA">
        <w:trPr>
          <w:jc w:val="center"/>
        </w:trPr>
        <w:tc>
          <w:tcPr>
            <w:tcW w:w="648" w:type="dxa"/>
            <w:vAlign w:val="center"/>
          </w:tcPr>
          <w:p w:rsidR="002C36CA" w:rsidRPr="002C36CA" w:rsidRDefault="002C36CA" w:rsidP="002C36CA">
            <w:pPr>
              <w:spacing w:line="360" w:lineRule="auto"/>
              <w:rPr>
                <w:rFonts w:eastAsia="標楷體"/>
                <w:bCs/>
                <w:sz w:val="28"/>
              </w:rPr>
            </w:pPr>
            <w:r w:rsidRPr="002C36CA">
              <w:rPr>
                <w:rFonts w:eastAsia="標楷體"/>
                <w:bCs/>
                <w:sz w:val="28"/>
              </w:rPr>
              <w:t>E</w:t>
            </w:r>
          </w:p>
        </w:tc>
        <w:tc>
          <w:tcPr>
            <w:tcW w:w="7087" w:type="dxa"/>
            <w:vAlign w:val="center"/>
          </w:tcPr>
          <w:p w:rsidR="00DC4ACB" w:rsidRPr="00DC4ACB" w:rsidRDefault="00DC4ACB">
            <w:pPr>
              <w:keepNext/>
              <w:spacing w:before="100" w:beforeAutospacing="1" w:after="100" w:afterAutospacing="1" w:line="360" w:lineRule="auto"/>
              <w:jc w:val="both"/>
              <w:outlineLvl w:val="0"/>
              <w:rPr>
                <w:rFonts w:eastAsia="標楷體"/>
                <w:bCs/>
                <w:sz w:val="28"/>
              </w:rPr>
            </w:pPr>
            <w:r w:rsidRPr="00DC4ACB">
              <w:rPr>
                <w:rFonts w:eastAsia="標楷體" w:hint="eastAsia"/>
                <w:bCs/>
                <w:sz w:val="28"/>
              </w:rPr>
              <w:t>可比較對象</w:t>
            </w:r>
            <w:r w:rsidR="00E43F7D" w:rsidRPr="00DC4ACB">
              <w:rPr>
                <w:rFonts w:eastAsia="標楷體"/>
                <w:bCs/>
                <w:sz w:val="28"/>
              </w:rPr>
              <w:t>10</w:t>
            </w:r>
            <w:r w:rsidR="00E43F7D">
              <w:rPr>
                <w:rFonts w:eastAsia="標楷體" w:hint="eastAsia"/>
                <w:bCs/>
                <w:sz w:val="28"/>
              </w:rPr>
              <w:t>2</w:t>
            </w:r>
            <w:r w:rsidRPr="00DC4ACB">
              <w:rPr>
                <w:rFonts w:eastAsia="標楷體"/>
                <w:bCs/>
                <w:sz w:val="28"/>
              </w:rPr>
              <w:t>~</w:t>
            </w:r>
            <w:r w:rsidR="00E43F7D" w:rsidRPr="00DC4ACB">
              <w:rPr>
                <w:rFonts w:eastAsia="標楷體"/>
                <w:bCs/>
                <w:sz w:val="28"/>
              </w:rPr>
              <w:t>10</w:t>
            </w:r>
            <w:r w:rsidR="00E43F7D">
              <w:rPr>
                <w:rFonts w:eastAsia="標楷體" w:hint="eastAsia"/>
                <w:bCs/>
                <w:sz w:val="28"/>
              </w:rPr>
              <w:t>4</w:t>
            </w:r>
            <w:r w:rsidRPr="00DC4ACB">
              <w:rPr>
                <w:rFonts w:eastAsia="標楷體" w:hint="eastAsia"/>
                <w:bCs/>
                <w:sz w:val="28"/>
              </w:rPr>
              <w:t>年之損益表</w:t>
            </w:r>
          </w:p>
        </w:tc>
        <w:tc>
          <w:tcPr>
            <w:tcW w:w="833" w:type="dxa"/>
            <w:vAlign w:val="center"/>
          </w:tcPr>
          <w:p w:rsidR="002C36CA" w:rsidRPr="006821B3" w:rsidRDefault="002C36CA" w:rsidP="002C36CA">
            <w:pPr>
              <w:spacing w:line="360" w:lineRule="auto"/>
              <w:rPr>
                <w:rFonts w:eastAsia="標楷體"/>
                <w:bCs/>
                <w:sz w:val="28"/>
              </w:rPr>
            </w:pPr>
            <w:r w:rsidRPr="006821B3">
              <w:rPr>
                <w:rFonts w:eastAsia="標楷體" w:hint="eastAsia"/>
                <w:bCs/>
                <w:sz w:val="28"/>
              </w:rPr>
              <w:t>1-</w:t>
            </w:r>
            <w:r w:rsidR="00C62CF7">
              <w:rPr>
                <w:rFonts w:eastAsia="標楷體" w:hint="eastAsia"/>
                <w:bCs/>
                <w:sz w:val="28"/>
              </w:rPr>
              <w:t>8</w:t>
            </w:r>
          </w:p>
        </w:tc>
      </w:tr>
      <w:tr w:rsidR="002C36CA" w:rsidRPr="002C36CA" w:rsidTr="002C36CA">
        <w:trPr>
          <w:jc w:val="center"/>
        </w:trPr>
        <w:tc>
          <w:tcPr>
            <w:tcW w:w="648" w:type="dxa"/>
            <w:vAlign w:val="center"/>
          </w:tcPr>
          <w:p w:rsidR="002C36CA" w:rsidRPr="002C36CA" w:rsidRDefault="002E547E" w:rsidP="002C36CA">
            <w:pPr>
              <w:spacing w:line="360" w:lineRule="auto"/>
              <w:rPr>
                <w:rFonts w:eastAsia="標楷體"/>
                <w:bCs/>
                <w:sz w:val="28"/>
              </w:rPr>
            </w:pPr>
            <w:r>
              <w:rPr>
                <w:rFonts w:eastAsia="標楷體" w:hint="eastAsia"/>
                <w:bCs/>
                <w:sz w:val="28"/>
              </w:rPr>
              <w:t>F</w:t>
            </w:r>
          </w:p>
        </w:tc>
        <w:tc>
          <w:tcPr>
            <w:tcW w:w="7087" w:type="dxa"/>
            <w:vAlign w:val="center"/>
          </w:tcPr>
          <w:p w:rsidR="00DC4ACB" w:rsidRPr="00DC4ACB" w:rsidRDefault="00DC4ACB" w:rsidP="00EB10C9">
            <w:pPr>
              <w:keepNext/>
              <w:spacing w:before="100" w:beforeAutospacing="1" w:after="100" w:afterAutospacing="1" w:line="360" w:lineRule="auto"/>
              <w:jc w:val="both"/>
              <w:outlineLvl w:val="0"/>
              <w:rPr>
                <w:rFonts w:eastAsia="標楷體"/>
                <w:bCs/>
                <w:sz w:val="28"/>
              </w:rPr>
            </w:pPr>
            <w:r w:rsidRPr="00DC4ACB">
              <w:rPr>
                <w:rFonts w:eastAsia="標楷體" w:hint="eastAsia"/>
                <w:bCs/>
                <w:sz w:val="28"/>
              </w:rPr>
              <w:t>中華民國營利事業所得稅不合常規移轉訂價查核準則</w:t>
            </w:r>
          </w:p>
        </w:tc>
        <w:tc>
          <w:tcPr>
            <w:tcW w:w="833" w:type="dxa"/>
            <w:vAlign w:val="center"/>
          </w:tcPr>
          <w:p w:rsidR="002C36CA" w:rsidRPr="006821B3" w:rsidRDefault="002C36CA" w:rsidP="007333BE">
            <w:pPr>
              <w:spacing w:line="360" w:lineRule="auto"/>
              <w:rPr>
                <w:rFonts w:eastAsia="標楷體"/>
                <w:bCs/>
                <w:sz w:val="28"/>
              </w:rPr>
            </w:pPr>
            <w:r w:rsidRPr="006821B3">
              <w:rPr>
                <w:rFonts w:eastAsia="標楷體" w:hint="eastAsia"/>
                <w:bCs/>
                <w:sz w:val="28"/>
              </w:rPr>
              <w:t>1-2</w:t>
            </w:r>
            <w:r w:rsidR="00C62CF7">
              <w:rPr>
                <w:rFonts w:eastAsia="標楷體" w:hint="eastAsia"/>
                <w:bCs/>
                <w:sz w:val="28"/>
              </w:rPr>
              <w:t>1</w:t>
            </w:r>
          </w:p>
        </w:tc>
      </w:tr>
      <w:bookmarkEnd w:id="0"/>
      <w:bookmarkEnd w:id="1"/>
      <w:bookmarkEnd w:id="2"/>
      <w:bookmarkEnd w:id="3"/>
    </w:tbl>
    <w:p w:rsidR="00307D12" w:rsidRPr="00EA272E" w:rsidRDefault="00ED670D" w:rsidP="00307D12">
      <w:pPr>
        <w:spacing w:line="0" w:lineRule="atLeast"/>
        <w:jc w:val="center"/>
        <w:rPr>
          <w:rFonts w:eastAsia="標楷體"/>
          <w:sz w:val="26"/>
          <w:szCs w:val="26"/>
        </w:rPr>
      </w:pPr>
      <w:r w:rsidRPr="00EA272E">
        <w:rPr>
          <w:rFonts w:eastAsia="標楷體"/>
          <w:sz w:val="26"/>
          <w:szCs w:val="26"/>
        </w:rPr>
        <w:br w:type="page"/>
      </w:r>
    </w:p>
    <w:p w:rsidR="00307D12" w:rsidRPr="00EA272E" w:rsidRDefault="00307D12">
      <w:pPr>
        <w:pStyle w:val="1"/>
        <w:spacing w:before="0" w:after="0" w:line="360" w:lineRule="auto"/>
        <w:ind w:left="0" w:firstLine="0"/>
        <w:jc w:val="center"/>
        <w:rPr>
          <w:rFonts w:ascii="Times New Roman" w:eastAsia="標楷體" w:hAnsi="Times New Roman"/>
          <w:sz w:val="36"/>
          <w:szCs w:val="36"/>
        </w:rPr>
        <w:sectPr w:rsidR="00307D12" w:rsidRPr="00EA272E" w:rsidSect="00DD5AB2">
          <w:type w:val="oddPage"/>
          <w:pgSz w:w="11906" w:h="16838" w:code="9"/>
          <w:pgMar w:top="2160" w:right="1440" w:bottom="1814" w:left="1440" w:header="851" w:footer="442" w:gutter="567"/>
          <w:pgNumType w:start="1"/>
          <w:cols w:space="425"/>
          <w:docGrid w:linePitch="360"/>
        </w:sectPr>
      </w:pPr>
    </w:p>
    <w:bookmarkStart w:id="5" w:name="_Toc253154505"/>
    <w:bookmarkStart w:id="6" w:name="_Toc253154573"/>
    <w:bookmarkStart w:id="7" w:name="_Toc272326004"/>
    <w:bookmarkStart w:id="8" w:name="_Toc272326632"/>
    <w:bookmarkStart w:id="9" w:name="_Toc272326811"/>
    <w:bookmarkStart w:id="10" w:name="_Toc275960644"/>
    <w:bookmarkStart w:id="11" w:name="_Toc389223534"/>
    <w:p w:rsidR="007F3EF4" w:rsidRPr="00EA272E" w:rsidRDefault="00965AF0" w:rsidP="00995F8B">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1584" behindDoc="0" locked="0" layoutInCell="1" allowOverlap="1">
                <wp:simplePos x="0" y="0"/>
                <wp:positionH relativeFrom="column">
                  <wp:posOffset>4667250</wp:posOffset>
                </wp:positionH>
                <wp:positionV relativeFrom="paragraph">
                  <wp:posOffset>0</wp:posOffset>
                </wp:positionV>
                <wp:extent cx="720090" cy="720090"/>
                <wp:effectExtent l="9525" t="9525" r="13335" b="13335"/>
                <wp:wrapNone/>
                <wp:docPr id="274"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4864D6" w:rsidRPr="007B7597" w:rsidRDefault="004864D6"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9" o:spid="_x0000_s1028" type="#_x0000_t202" style="position:absolute;left:0;text-align:left;margin-left:367.5pt;margin-top:0;width:56.7pt;height:56.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">
                <v:textbox>
                  <w:txbxContent>
                    <w:p w:rsidR="004864D6" w:rsidRPr="007B7597" w:rsidRDefault="004864D6" w:rsidP="007B7597">
                      <w:pPr>
                        <w:jc w:val="center"/>
                        <w:rPr>
                          <w:rFonts w:ascii="微軟正黑體" w:eastAsia="微軟正黑體" w:hAnsi="微軟正黑體"/>
                          <w:b/>
                          <w:sz w:val="56"/>
                          <w:szCs w:val="52"/>
                        </w:rPr>
                      </w:pPr>
                      <w:r w:rsidRPr="007B7597">
                        <w:rPr>
                          <w:rFonts w:ascii="微軟正黑體" w:eastAsia="微軟正黑體" w:hAnsi="微軟正黑體"/>
                          <w:b/>
                          <w:sz w:val="56"/>
                          <w:szCs w:val="52"/>
                        </w:rPr>
                        <w:t>Ⅰ</w:t>
                      </w:r>
                    </w:p>
                  </w:txbxContent>
                </v:textbox>
              </v:shape>
            </w:pict>
          </mc:Fallback>
        </mc:AlternateContent>
      </w:r>
      <w:bookmarkEnd w:id="5"/>
      <w:bookmarkEnd w:id="6"/>
      <w:bookmarkEnd w:id="7"/>
      <w:bookmarkEnd w:id="8"/>
      <w:bookmarkEnd w:id="9"/>
      <w:bookmarkEnd w:id="10"/>
      <w:bookmarkEnd w:id="11"/>
    </w:p>
    <w:p w:rsidR="007F3EF4" w:rsidRPr="00EA272E" w:rsidRDefault="007F3EF4" w:rsidP="00995F8B">
      <w:pPr>
        <w:pStyle w:val="1"/>
        <w:numPr>
          <w:ilvl w:val="0"/>
          <w:numId w:val="0"/>
        </w:numPr>
        <w:spacing w:before="0" w:after="0" w:line="240" w:lineRule="auto"/>
        <w:jc w:val="right"/>
        <w:rPr>
          <w:rFonts w:ascii="Times New Roman" w:eastAsia="標楷體" w:hAnsi="Times New Roman"/>
          <w:sz w:val="48"/>
          <w:szCs w:val="48"/>
        </w:rPr>
      </w:pPr>
    </w:p>
    <w:p w:rsidR="00567251" w:rsidRPr="00EA272E" w:rsidRDefault="006736AD" w:rsidP="007821E9">
      <w:pPr>
        <w:pStyle w:val="1"/>
        <w:spacing w:before="100" w:beforeAutospacing="1" w:after="100" w:afterAutospacing="1" w:line="360" w:lineRule="auto"/>
        <w:ind w:left="0" w:firstLine="0"/>
        <w:jc w:val="right"/>
        <w:rPr>
          <w:rFonts w:ascii="Times New Roman" w:eastAsia="標楷體" w:hAnsi="Times New Roman"/>
          <w:szCs w:val="56"/>
        </w:rPr>
      </w:pPr>
      <w:bookmarkStart w:id="12" w:name="_Toc389223535"/>
      <w:r w:rsidRPr="00EA272E">
        <w:rPr>
          <w:rFonts w:ascii="Times New Roman" w:eastAsia="標楷體" w:hAnsi="標楷體"/>
          <w:szCs w:val="56"/>
        </w:rPr>
        <w:t>摘要</w:t>
      </w:r>
      <w:bookmarkEnd w:id="12"/>
    </w:p>
    <w:p w:rsidR="00DC4ACB" w:rsidRDefault="00567251" w:rsidP="00965AF0">
      <w:pPr>
        <w:spacing w:beforeLines="50" w:before="120" w:afterLines="50" w:after="120" w:line="360" w:lineRule="auto"/>
        <w:ind w:firstLineChars="200" w:firstLine="520"/>
        <w:jc w:val="both"/>
        <w:rPr>
          <w:rFonts w:eastAsia="標楷體"/>
          <w:sz w:val="26"/>
          <w:szCs w:val="26"/>
        </w:rPr>
      </w:pPr>
      <w:r w:rsidRPr="00ED4E63">
        <w:rPr>
          <w:rFonts w:eastAsia="標楷體"/>
          <w:sz w:val="26"/>
          <w:szCs w:val="26"/>
        </w:rPr>
        <w:t>本報告乃遵循移轉訂價查核準則規定之方法為之，</w:t>
      </w:r>
      <w:r w:rsidR="00CB265A" w:rsidRPr="00ED4E63">
        <w:rPr>
          <w:rFonts w:eastAsia="標楷體" w:hint="eastAsia"/>
          <w:sz w:val="26"/>
          <w:szCs w:val="26"/>
        </w:rPr>
        <w:t>分析之</w:t>
      </w:r>
      <w:r w:rsidRPr="00ED4E63">
        <w:rPr>
          <w:rFonts w:eastAsia="標楷體"/>
          <w:sz w:val="26"/>
          <w:szCs w:val="26"/>
        </w:rPr>
        <w:t>目的在</w:t>
      </w:r>
      <w:r w:rsidR="009C2F09" w:rsidRPr="00ED4E63">
        <w:rPr>
          <w:rFonts w:eastAsia="標楷體" w:hint="eastAsia"/>
          <w:sz w:val="26"/>
          <w:szCs w:val="26"/>
        </w:rPr>
        <w:t>為</w:t>
      </w:r>
      <w:r w:rsidR="00BA7C8C" w:rsidRPr="00ED4E63">
        <w:rPr>
          <w:rFonts w:eastAsia="標楷體" w:hint="eastAsia"/>
          <w:sz w:val="26"/>
          <w:szCs w:val="26"/>
        </w:rPr>
        <w:t>太克科技</w:t>
      </w:r>
      <w:r w:rsidR="00E43F7D">
        <w:rPr>
          <w:rFonts w:eastAsia="標楷體" w:hint="eastAsia"/>
          <w:sz w:val="26"/>
          <w:szCs w:val="26"/>
        </w:rPr>
        <w:t>105</w:t>
      </w:r>
      <w:r w:rsidR="009C2F09" w:rsidRPr="00ED4E63">
        <w:rPr>
          <w:rFonts w:eastAsia="標楷體" w:hint="eastAsia"/>
          <w:sz w:val="26"/>
          <w:szCs w:val="26"/>
        </w:rPr>
        <w:t>年度與</w:t>
      </w:r>
      <w:r w:rsidRPr="00ED4E63">
        <w:rPr>
          <w:rFonts w:eastAsia="標楷體"/>
          <w:sz w:val="26"/>
          <w:szCs w:val="26"/>
        </w:rPr>
        <w:t>關係企業間之</w:t>
      </w:r>
      <w:r w:rsidR="009C2F09" w:rsidRPr="00ED4E63">
        <w:rPr>
          <w:rFonts w:eastAsia="標楷體" w:hint="eastAsia"/>
          <w:sz w:val="26"/>
          <w:szCs w:val="26"/>
        </w:rPr>
        <w:t>受控</w:t>
      </w:r>
      <w:r w:rsidRPr="00ED4E63">
        <w:rPr>
          <w:rFonts w:eastAsia="標楷體"/>
          <w:sz w:val="26"/>
          <w:szCs w:val="26"/>
        </w:rPr>
        <w:t>交易建立分析架構，以評估交易結果是否符合常規。</w:t>
      </w:r>
    </w:p>
    <w:p w:rsidR="00DC4ACB" w:rsidRDefault="00567251" w:rsidP="00965AF0">
      <w:pPr>
        <w:spacing w:beforeLines="50" w:before="120" w:afterLines="50" w:after="120" w:line="360" w:lineRule="auto"/>
        <w:ind w:firstLineChars="200" w:firstLine="520"/>
        <w:rPr>
          <w:rFonts w:eastAsia="標楷體"/>
          <w:sz w:val="26"/>
          <w:szCs w:val="26"/>
        </w:rPr>
      </w:pPr>
      <w:r w:rsidRPr="00ED4E63">
        <w:rPr>
          <w:rFonts w:eastAsia="標楷體"/>
          <w:sz w:val="26"/>
          <w:szCs w:val="26"/>
        </w:rPr>
        <w:t>為進行分析，本所採行之步驟如下：</w:t>
      </w:r>
    </w:p>
    <w:p w:rsidR="00DC4ACB" w:rsidRDefault="00567251" w:rsidP="00965AF0">
      <w:pPr>
        <w:numPr>
          <w:ilvl w:val="2"/>
          <w:numId w:val="1"/>
        </w:numPr>
        <w:tabs>
          <w:tab w:val="clear" w:pos="1320"/>
          <w:tab w:val="num" w:pos="540"/>
        </w:tabs>
        <w:spacing w:beforeLines="50" w:before="120" w:afterLines="50" w:after="120" w:line="360" w:lineRule="auto"/>
        <w:ind w:left="540"/>
        <w:rPr>
          <w:rFonts w:eastAsia="標楷體"/>
          <w:sz w:val="26"/>
          <w:szCs w:val="26"/>
        </w:rPr>
      </w:pPr>
      <w:r w:rsidRPr="00ED4E63">
        <w:rPr>
          <w:rFonts w:eastAsia="標楷體"/>
          <w:sz w:val="26"/>
          <w:szCs w:val="26"/>
        </w:rPr>
        <w:t>對受控交易之型態進行分析；</w:t>
      </w:r>
    </w:p>
    <w:p w:rsidR="00DC4ACB" w:rsidRDefault="001C1F2D" w:rsidP="00965AF0">
      <w:pPr>
        <w:numPr>
          <w:ilvl w:val="2"/>
          <w:numId w:val="1"/>
        </w:numPr>
        <w:tabs>
          <w:tab w:val="clear" w:pos="1320"/>
          <w:tab w:val="num" w:pos="540"/>
        </w:tabs>
        <w:spacing w:beforeLines="50" w:before="120" w:afterLines="50" w:after="120" w:line="360" w:lineRule="auto"/>
        <w:ind w:left="540"/>
        <w:rPr>
          <w:rFonts w:eastAsia="標楷體"/>
          <w:sz w:val="26"/>
          <w:szCs w:val="26"/>
        </w:rPr>
      </w:pPr>
      <w:r w:rsidRPr="00ED4E63">
        <w:rPr>
          <w:rFonts w:eastAsia="標楷體"/>
          <w:sz w:val="26"/>
          <w:szCs w:val="26"/>
        </w:rPr>
        <w:t>對</w:t>
      </w:r>
      <w:r w:rsidR="00BA7C8C" w:rsidRPr="00ED4E63">
        <w:rPr>
          <w:rFonts w:eastAsia="標楷體" w:hint="eastAsia"/>
          <w:sz w:val="26"/>
          <w:szCs w:val="26"/>
        </w:rPr>
        <w:t>太克科技</w:t>
      </w:r>
      <w:r w:rsidRPr="00ED4E63">
        <w:rPr>
          <w:rFonts w:eastAsia="標楷體"/>
          <w:sz w:val="26"/>
          <w:szCs w:val="26"/>
        </w:rPr>
        <w:t>及各受控交易參與人之功能及風險進行分析；</w:t>
      </w:r>
    </w:p>
    <w:p w:rsidR="00DC4ACB" w:rsidRDefault="00567251" w:rsidP="00965AF0">
      <w:pPr>
        <w:numPr>
          <w:ilvl w:val="2"/>
          <w:numId w:val="1"/>
        </w:numPr>
        <w:tabs>
          <w:tab w:val="clear" w:pos="1320"/>
          <w:tab w:val="num" w:pos="540"/>
        </w:tabs>
        <w:spacing w:beforeLines="50" w:before="120" w:afterLines="50" w:after="120" w:line="360" w:lineRule="auto"/>
        <w:ind w:left="540"/>
        <w:rPr>
          <w:rFonts w:eastAsia="標楷體"/>
          <w:sz w:val="26"/>
          <w:szCs w:val="26"/>
        </w:rPr>
      </w:pPr>
      <w:r w:rsidRPr="00ED4E63">
        <w:rPr>
          <w:rFonts w:eastAsia="標楷體"/>
          <w:sz w:val="26"/>
          <w:szCs w:val="26"/>
        </w:rPr>
        <w:t>對其他可能影響價格或利潤之因素進行分析；</w:t>
      </w:r>
    </w:p>
    <w:p w:rsidR="00DC4ACB" w:rsidRDefault="00567251" w:rsidP="00965AF0">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採用最適常規交易方法；</w:t>
      </w:r>
    </w:p>
    <w:p w:rsidR="00DC4ACB" w:rsidRDefault="00567251" w:rsidP="00965AF0">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建立常規交易範圍；</w:t>
      </w:r>
    </w:p>
    <w:p w:rsidR="00DC4ACB" w:rsidRDefault="00567251" w:rsidP="00965AF0">
      <w:pPr>
        <w:numPr>
          <w:ilvl w:val="2"/>
          <w:numId w:val="1"/>
        </w:numPr>
        <w:tabs>
          <w:tab w:val="clear" w:pos="1320"/>
          <w:tab w:val="num" w:pos="540"/>
        </w:tabs>
        <w:spacing w:beforeLines="50" w:before="120" w:afterLines="50" w:after="120" w:line="360" w:lineRule="auto"/>
        <w:ind w:left="540"/>
        <w:rPr>
          <w:rFonts w:eastAsia="標楷體"/>
          <w:sz w:val="26"/>
          <w:szCs w:val="26"/>
        </w:rPr>
      </w:pPr>
      <w:r w:rsidRPr="00EA272E">
        <w:rPr>
          <w:rFonts w:eastAsia="標楷體"/>
          <w:sz w:val="26"/>
          <w:szCs w:val="26"/>
        </w:rPr>
        <w:t>評估受控交易之結果是否符合常規</w:t>
      </w:r>
      <w:r w:rsidR="00357C54" w:rsidRPr="00EA272E">
        <w:rPr>
          <w:rFonts w:eastAsia="標楷體" w:hint="eastAsia"/>
          <w:sz w:val="26"/>
          <w:szCs w:val="26"/>
        </w:rPr>
        <w:t>。</w:t>
      </w:r>
    </w:p>
    <w:p w:rsidR="00DC4ACB" w:rsidRDefault="00486EA8" w:rsidP="00965AF0">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分析方法及結論</w:t>
      </w:r>
    </w:p>
    <w:p w:rsidR="00DC4ACB" w:rsidRDefault="006C32A6" w:rsidP="00965AF0">
      <w:pPr>
        <w:pStyle w:val="3"/>
        <w:numPr>
          <w:ilvl w:val="2"/>
          <w:numId w:val="7"/>
        </w:numPr>
        <w:tabs>
          <w:tab w:val="clear" w:pos="1440"/>
          <w:tab w:val="num" w:pos="480"/>
        </w:tabs>
        <w:spacing w:beforeLines="50" w:before="120" w:afterLines="50" w:after="120" w:line="360" w:lineRule="auto"/>
        <w:ind w:left="709" w:hanging="611"/>
        <w:jc w:val="both"/>
        <w:rPr>
          <w:rFonts w:ascii="Times New Roman" w:eastAsia="標楷體" w:hAnsi="Times New Roman"/>
          <w:sz w:val="32"/>
        </w:rPr>
      </w:pPr>
      <w:r w:rsidRPr="00172BC6">
        <w:rPr>
          <w:rFonts w:ascii="Times New Roman" w:eastAsia="標楷體" w:hAnsi="Times New Roman" w:hint="eastAsia"/>
          <w:sz w:val="32"/>
        </w:rPr>
        <w:t>「有形資產之移轉－進貨」及「服務之提供－提供產</w:t>
      </w:r>
      <w:r w:rsidRPr="006C32A6">
        <w:rPr>
          <w:rFonts w:ascii="Times New Roman" w:eastAsia="標楷體" w:hint="eastAsia"/>
          <w:sz w:val="32"/>
        </w:rPr>
        <w:t>品服務」</w:t>
      </w:r>
    </w:p>
    <w:p w:rsidR="002212DA" w:rsidRPr="0050068A" w:rsidRDefault="003118D9" w:rsidP="0050068A">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sz w:val="26"/>
          <w:szCs w:val="26"/>
        </w:rPr>
      </w:pPr>
      <w:r w:rsidRPr="0050068A">
        <w:rPr>
          <w:rFonts w:ascii="Times New Roman" w:eastAsia="標楷體" w:hAnsi="Times New Roman"/>
          <w:sz w:val="26"/>
          <w:szCs w:val="26"/>
        </w:rPr>
        <w:t>進貨</w:t>
      </w:r>
      <w:r w:rsidR="0050068A" w:rsidRPr="0050068A">
        <w:rPr>
          <w:rFonts w:ascii="Times New Roman" w:eastAsia="標楷體" w:hAnsi="Times New Roman" w:hint="eastAsia"/>
          <w:sz w:val="26"/>
          <w:szCs w:val="26"/>
        </w:rPr>
        <w:t>：</w:t>
      </w:r>
      <w:r w:rsidR="002212DA" w:rsidRPr="0050068A">
        <w:rPr>
          <w:rFonts w:ascii="Times New Roman" w:eastAsia="標楷體" w:hAnsi="Times New Roman" w:hint="eastAsia"/>
          <w:sz w:val="26"/>
          <w:szCs w:val="26"/>
        </w:rPr>
        <w:t>太克科技向</w:t>
      </w:r>
      <w:r w:rsidR="002212DA" w:rsidRPr="0050068A">
        <w:rPr>
          <w:rFonts w:ascii="Times New Roman" w:eastAsia="標楷體" w:hAnsi="Times New Roman" w:hint="eastAsia"/>
          <w:sz w:val="26"/>
          <w:szCs w:val="26"/>
        </w:rPr>
        <w:t>Tektronix Internationa</w:t>
      </w:r>
      <w:r w:rsidR="00675FCB">
        <w:rPr>
          <w:rFonts w:ascii="Times New Roman" w:eastAsia="標楷體" w:hAnsi="Times New Roman" w:hint="eastAsia"/>
          <w:sz w:val="26"/>
          <w:szCs w:val="26"/>
        </w:rPr>
        <w:t>l S</w:t>
      </w:r>
      <w:r w:rsidR="002212DA" w:rsidRPr="0050068A">
        <w:rPr>
          <w:rFonts w:ascii="Times New Roman" w:eastAsia="標楷體" w:hAnsi="Times New Roman" w:hint="eastAsia"/>
          <w:sz w:val="26"/>
          <w:szCs w:val="26"/>
        </w:rPr>
        <w:t>ale</w:t>
      </w:r>
      <w:r w:rsidR="00675FCB">
        <w:rPr>
          <w:rFonts w:ascii="Times New Roman" w:eastAsia="標楷體" w:hAnsi="Times New Roman" w:hint="eastAsia"/>
          <w:sz w:val="26"/>
          <w:szCs w:val="26"/>
        </w:rPr>
        <w:t>s</w:t>
      </w:r>
      <w:r w:rsidR="002212DA" w:rsidRPr="0050068A">
        <w:rPr>
          <w:rFonts w:ascii="Times New Roman" w:eastAsia="標楷體" w:hAnsi="Times New Roman" w:hint="eastAsia"/>
          <w:sz w:val="26"/>
          <w:szCs w:val="26"/>
        </w:rPr>
        <w:t xml:space="preserve"> GmbH</w:t>
      </w:r>
      <w:r w:rsidR="002212DA" w:rsidRPr="0050068A">
        <w:rPr>
          <w:rFonts w:ascii="Times New Roman" w:eastAsia="標楷體" w:hAnsi="Times New Roman" w:hint="eastAsia"/>
          <w:sz w:val="26"/>
          <w:szCs w:val="26"/>
        </w:rPr>
        <w:t>（以下簡稱『</w:t>
      </w:r>
      <w:r w:rsidR="00675FCB">
        <w:rPr>
          <w:rFonts w:ascii="Times New Roman" w:eastAsia="標楷體" w:hAnsi="Times New Roman" w:hint="eastAsia"/>
          <w:sz w:val="26"/>
          <w:szCs w:val="26"/>
        </w:rPr>
        <w:t>TIS</w:t>
      </w:r>
      <w:r w:rsidR="002212DA" w:rsidRPr="0050068A">
        <w:rPr>
          <w:rFonts w:ascii="Times New Roman" w:eastAsia="標楷體" w:hAnsi="Times New Roman" w:hint="eastAsia"/>
          <w:sz w:val="26"/>
          <w:szCs w:val="26"/>
        </w:rPr>
        <w:t>』）、</w:t>
      </w:r>
      <w:r w:rsidR="007C0CA4" w:rsidRPr="00481560">
        <w:rPr>
          <w:rFonts w:ascii="Times New Roman" w:eastAsia="標楷體" w:hAnsi="Times New Roman" w:hint="eastAsia"/>
          <w:sz w:val="26"/>
          <w:szCs w:val="26"/>
        </w:rPr>
        <w:t>Tektronix China Trading</w:t>
      </w:r>
      <w:r w:rsidR="002212DA" w:rsidRPr="00481560">
        <w:rPr>
          <w:rFonts w:ascii="Times New Roman" w:eastAsia="標楷體" w:hAnsi="Times New Roman" w:hint="eastAsia"/>
          <w:sz w:val="26"/>
          <w:szCs w:val="26"/>
        </w:rPr>
        <w:t>（以下簡稱『</w:t>
      </w:r>
      <w:r w:rsidR="00170E4C" w:rsidRPr="00481560">
        <w:rPr>
          <w:rFonts w:ascii="Times New Roman" w:eastAsia="標楷體" w:hAnsi="Times New Roman" w:hint="eastAsia"/>
          <w:sz w:val="26"/>
          <w:szCs w:val="26"/>
        </w:rPr>
        <w:t>TCT</w:t>
      </w:r>
      <w:r w:rsidR="002212DA" w:rsidRPr="00481560">
        <w:rPr>
          <w:rFonts w:ascii="Times New Roman" w:eastAsia="標楷體" w:hAnsi="Times New Roman" w:hint="eastAsia"/>
          <w:sz w:val="26"/>
          <w:szCs w:val="26"/>
        </w:rPr>
        <w:t>』）</w:t>
      </w:r>
      <w:r w:rsidR="002212DA" w:rsidRPr="0050068A">
        <w:rPr>
          <w:rFonts w:ascii="Times New Roman" w:eastAsia="標楷體" w:hAnsi="Times New Roman" w:hint="eastAsia"/>
          <w:sz w:val="26"/>
          <w:szCs w:val="26"/>
        </w:rPr>
        <w:t>、</w:t>
      </w:r>
      <w:r w:rsidR="002212DA" w:rsidRPr="0050068A">
        <w:rPr>
          <w:rFonts w:ascii="Times New Roman" w:eastAsia="標楷體" w:hAnsi="Times New Roman"/>
          <w:sz w:val="26"/>
          <w:szCs w:val="26"/>
        </w:rPr>
        <w:t>Fluke</w:t>
      </w:r>
      <w:r w:rsidR="009A533B">
        <w:rPr>
          <w:rFonts w:ascii="Times New Roman" w:eastAsia="標楷體" w:hAnsi="Times New Roman" w:hint="eastAsia"/>
          <w:sz w:val="26"/>
          <w:szCs w:val="26"/>
        </w:rPr>
        <w:t xml:space="preserve"> Southeast </w:t>
      </w:r>
      <w:r w:rsidR="009A533B">
        <w:rPr>
          <w:rFonts w:ascii="Times New Roman" w:eastAsia="標楷體" w:hAnsi="Times New Roman" w:hint="eastAsia"/>
          <w:sz w:val="26"/>
          <w:szCs w:val="26"/>
        </w:rPr>
        <w:lastRenderedPageBreak/>
        <w:t>Asia Pte.</w:t>
      </w:r>
      <w:r w:rsidR="002212DA" w:rsidRPr="0050068A">
        <w:rPr>
          <w:rFonts w:ascii="Times New Roman" w:eastAsia="標楷體" w:hAnsi="Times New Roman"/>
          <w:sz w:val="26"/>
          <w:szCs w:val="26"/>
        </w:rPr>
        <w:t xml:space="preserve">, Ltd. </w:t>
      </w:r>
      <w:r w:rsidR="002212DA" w:rsidRPr="0050068A">
        <w:rPr>
          <w:rFonts w:ascii="Times New Roman" w:eastAsia="標楷體" w:hAnsi="Times New Roman" w:hint="eastAsia"/>
          <w:sz w:val="26"/>
          <w:szCs w:val="26"/>
        </w:rPr>
        <w:t>以下簡稱『</w:t>
      </w:r>
      <w:r w:rsidR="002212DA" w:rsidRPr="0050068A">
        <w:rPr>
          <w:rFonts w:ascii="Times New Roman" w:eastAsia="標楷體" w:hAnsi="Times New Roman"/>
          <w:sz w:val="26"/>
          <w:szCs w:val="26"/>
        </w:rPr>
        <w:t>Fluke</w:t>
      </w:r>
      <w:r w:rsidR="009A533B">
        <w:rPr>
          <w:rFonts w:ascii="Times New Roman" w:eastAsia="標楷體" w:hAnsi="Times New Roman" w:hint="eastAsia"/>
          <w:sz w:val="26"/>
          <w:szCs w:val="26"/>
        </w:rPr>
        <w:t xml:space="preserve"> SEA</w:t>
      </w:r>
      <w:r w:rsidR="002212DA" w:rsidRPr="0050068A">
        <w:rPr>
          <w:rFonts w:ascii="Times New Roman" w:eastAsia="標楷體" w:hAnsi="Times New Roman" w:hint="eastAsia"/>
          <w:sz w:val="26"/>
          <w:szCs w:val="26"/>
        </w:rPr>
        <w:t>』</w:t>
      </w:r>
      <w:r w:rsidR="002212DA" w:rsidRPr="0050068A">
        <w:rPr>
          <w:rFonts w:ascii="Times New Roman" w:eastAsia="標楷體" w:hAnsi="Times New Roman"/>
          <w:sz w:val="26"/>
          <w:szCs w:val="26"/>
        </w:rPr>
        <w:t>)</w:t>
      </w:r>
      <w:r w:rsidR="00E94BDF" w:rsidRPr="00E94BDF">
        <w:rPr>
          <w:rFonts w:ascii="Times New Roman" w:eastAsia="標楷體" w:hAnsi="Times New Roman" w:hint="eastAsia"/>
          <w:sz w:val="26"/>
          <w:szCs w:val="26"/>
        </w:rPr>
        <w:t xml:space="preserve"> </w:t>
      </w:r>
      <w:r w:rsidR="00E94BDF">
        <w:rPr>
          <w:rFonts w:ascii="Times New Roman" w:eastAsia="標楷體" w:hAnsi="Times New Roman" w:hint="eastAsia"/>
          <w:sz w:val="26"/>
          <w:szCs w:val="26"/>
        </w:rPr>
        <w:t>及</w:t>
      </w:r>
      <w:r w:rsidR="007F5CED" w:rsidRPr="007F5CED">
        <w:rPr>
          <w:rFonts w:ascii="Times New Roman" w:eastAsia="標楷體" w:hAnsi="Times New Roman" w:hint="eastAsia"/>
          <w:sz w:val="26"/>
          <w:szCs w:val="26"/>
        </w:rPr>
        <w:t xml:space="preserve"> </w:t>
      </w:r>
      <w:r w:rsidR="002212DA" w:rsidRPr="0050068A">
        <w:rPr>
          <w:rFonts w:ascii="Times New Roman" w:eastAsia="標楷體" w:hAnsi="Times New Roman" w:hint="eastAsia"/>
          <w:sz w:val="26"/>
          <w:szCs w:val="26"/>
        </w:rPr>
        <w:t>Tektronix International Inc.</w:t>
      </w:r>
      <w:r w:rsidR="002212DA" w:rsidRPr="0050068A">
        <w:rPr>
          <w:rFonts w:ascii="Times New Roman" w:eastAsia="標楷體" w:hAnsi="Times New Roman" w:hint="eastAsia"/>
          <w:sz w:val="26"/>
          <w:szCs w:val="26"/>
        </w:rPr>
        <w:t>（以下簡稱『</w:t>
      </w:r>
      <w:r w:rsidR="002212DA" w:rsidRPr="0050068A">
        <w:rPr>
          <w:rFonts w:ascii="Times New Roman" w:eastAsia="標楷體" w:hAnsi="Times New Roman" w:hint="eastAsia"/>
          <w:sz w:val="26"/>
          <w:szCs w:val="26"/>
        </w:rPr>
        <w:t>TII</w:t>
      </w:r>
      <w:r w:rsidR="002212DA" w:rsidRPr="0050068A">
        <w:rPr>
          <w:rFonts w:ascii="Times New Roman" w:eastAsia="標楷體" w:hAnsi="Times New Roman" w:hint="eastAsia"/>
          <w:sz w:val="26"/>
          <w:szCs w:val="26"/>
        </w:rPr>
        <w:t>』）購買電子量測儀器並轉售。</w:t>
      </w:r>
    </w:p>
    <w:p w:rsidR="002212DA" w:rsidRPr="0050068A" w:rsidRDefault="002212DA" w:rsidP="0050068A">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sz w:val="26"/>
          <w:szCs w:val="26"/>
        </w:rPr>
      </w:pPr>
      <w:r w:rsidRPr="0050068A">
        <w:rPr>
          <w:rFonts w:ascii="Times New Roman" w:eastAsia="標楷體" w:hAnsi="Times New Roman" w:hint="eastAsia"/>
          <w:sz w:val="26"/>
          <w:szCs w:val="26"/>
        </w:rPr>
        <w:t>提供產品服務</w:t>
      </w:r>
      <w:r w:rsidR="0050068A" w:rsidRPr="0050068A">
        <w:rPr>
          <w:rFonts w:ascii="Times New Roman" w:eastAsia="標楷體" w:hAnsi="Times New Roman" w:hint="eastAsia"/>
          <w:sz w:val="26"/>
          <w:szCs w:val="26"/>
        </w:rPr>
        <w:t>：</w:t>
      </w:r>
      <w:r w:rsidRPr="0050068A">
        <w:rPr>
          <w:rFonts w:ascii="Times New Roman" w:eastAsia="標楷體" w:hAnsi="Times New Roman" w:hint="eastAsia"/>
          <w:sz w:val="26"/>
          <w:szCs w:val="26"/>
        </w:rPr>
        <w:t>太克科技提供接單、行銷、維修及保固等產品服務予</w:t>
      </w:r>
      <w:r w:rsidR="007F5CED">
        <w:rPr>
          <w:rFonts w:ascii="Times New Roman" w:eastAsia="標楷體" w:hAnsi="Times New Roman" w:hint="eastAsia"/>
          <w:sz w:val="26"/>
          <w:szCs w:val="26"/>
        </w:rPr>
        <w:t>母公司</w:t>
      </w:r>
      <w:r w:rsidRPr="0050068A">
        <w:rPr>
          <w:rFonts w:ascii="Times New Roman" w:eastAsia="標楷體" w:hAnsi="Times New Roman" w:hint="eastAsia"/>
          <w:sz w:val="26"/>
          <w:szCs w:val="26"/>
        </w:rPr>
        <w:t>，並依接單金額</w:t>
      </w:r>
      <w:r w:rsidRPr="0050068A">
        <w:rPr>
          <w:rFonts w:ascii="Times New Roman" w:eastAsia="標楷體" w:hAnsi="Times New Roman" w:hint="eastAsia"/>
          <w:sz w:val="26"/>
          <w:szCs w:val="26"/>
        </w:rPr>
        <w:t>14</w:t>
      </w:r>
      <w:r w:rsidRPr="0050068A">
        <w:rPr>
          <w:rFonts w:ascii="Times New Roman" w:eastAsia="標楷體" w:hAnsi="Times New Roman"/>
          <w:sz w:val="26"/>
          <w:szCs w:val="26"/>
        </w:rPr>
        <w:t>％</w:t>
      </w:r>
      <w:r w:rsidRPr="0050068A">
        <w:rPr>
          <w:rFonts w:ascii="Times New Roman" w:eastAsia="標楷體" w:hAnsi="Times New Roman" w:hint="eastAsia"/>
          <w:sz w:val="26"/>
          <w:szCs w:val="26"/>
        </w:rPr>
        <w:t>及</w:t>
      </w:r>
      <w:r w:rsidRPr="0050068A">
        <w:rPr>
          <w:rFonts w:ascii="Times New Roman" w:eastAsia="標楷體" w:hAnsi="Times New Roman" w:hint="eastAsia"/>
          <w:sz w:val="26"/>
          <w:szCs w:val="26"/>
        </w:rPr>
        <w:t>2</w:t>
      </w:r>
      <w:r w:rsidRPr="0050068A">
        <w:rPr>
          <w:rFonts w:ascii="Times New Roman" w:eastAsia="標楷體" w:hAnsi="Times New Roman"/>
          <w:sz w:val="26"/>
          <w:szCs w:val="26"/>
        </w:rPr>
        <w:t>0</w:t>
      </w:r>
      <w:r w:rsidRPr="0050068A">
        <w:rPr>
          <w:rFonts w:ascii="Times New Roman" w:eastAsia="標楷體" w:hAnsi="Times New Roman"/>
          <w:sz w:val="26"/>
          <w:szCs w:val="26"/>
        </w:rPr>
        <w:t>％</w:t>
      </w:r>
      <w:r w:rsidRPr="0050068A">
        <w:rPr>
          <w:rFonts w:ascii="Times New Roman" w:eastAsia="標楷體" w:hAnsi="Times New Roman" w:hint="eastAsia"/>
          <w:sz w:val="26"/>
          <w:szCs w:val="26"/>
        </w:rPr>
        <w:t>收取服務費用。</w:t>
      </w:r>
    </w:p>
    <w:p w:rsidR="00DC4ACB" w:rsidRDefault="00656939" w:rsidP="00965AF0">
      <w:pPr>
        <w:spacing w:beforeLines="50" w:before="120" w:afterLines="50" w:after="120" w:line="360" w:lineRule="auto"/>
        <w:ind w:leftChars="200" w:left="480" w:firstLineChars="200" w:firstLine="520"/>
        <w:jc w:val="both"/>
        <w:rPr>
          <w:rFonts w:eastAsia="標楷體"/>
          <w:sz w:val="26"/>
          <w:szCs w:val="26"/>
        </w:rPr>
      </w:pPr>
      <w:r w:rsidRPr="009013E2">
        <w:rPr>
          <w:rFonts w:eastAsia="標楷體" w:hint="eastAsia"/>
          <w:sz w:val="26"/>
          <w:szCs w:val="26"/>
        </w:rPr>
        <w:t>經由本報告第柒章</w:t>
      </w:r>
      <w:r w:rsidR="008C2832" w:rsidRPr="009013E2">
        <w:rPr>
          <w:rFonts w:eastAsia="標楷體" w:hint="eastAsia"/>
          <w:sz w:val="26"/>
          <w:szCs w:val="26"/>
        </w:rPr>
        <w:t>分析，</w:t>
      </w:r>
      <w:r w:rsidRPr="009013E2">
        <w:rPr>
          <w:rFonts w:eastAsia="標楷體" w:hint="eastAsia"/>
          <w:sz w:val="26"/>
          <w:szCs w:val="26"/>
        </w:rPr>
        <w:t>決定</w:t>
      </w:r>
      <w:r w:rsidR="00AF6677" w:rsidRPr="009013E2">
        <w:rPr>
          <w:rFonts w:eastAsia="標楷體" w:hint="eastAsia"/>
          <w:sz w:val="26"/>
          <w:szCs w:val="26"/>
        </w:rPr>
        <w:t>『</w:t>
      </w:r>
      <w:r w:rsidR="006C32A6" w:rsidRPr="009013E2">
        <w:rPr>
          <w:rFonts w:eastAsia="標楷體" w:hint="eastAsia"/>
          <w:sz w:val="26"/>
          <w:szCs w:val="26"/>
        </w:rPr>
        <w:t>可比較利潤法</w:t>
      </w:r>
      <w:r w:rsidR="00AF6677" w:rsidRPr="009013E2">
        <w:rPr>
          <w:rFonts w:eastAsia="標楷體" w:hint="eastAsia"/>
          <w:sz w:val="26"/>
          <w:szCs w:val="26"/>
        </w:rPr>
        <w:t>』</w:t>
      </w:r>
      <w:r w:rsidRPr="009013E2">
        <w:rPr>
          <w:rFonts w:eastAsia="標楷體" w:hint="eastAsia"/>
          <w:sz w:val="26"/>
          <w:szCs w:val="26"/>
        </w:rPr>
        <w:t>為</w:t>
      </w:r>
      <w:r w:rsidR="00BA7C8C" w:rsidRPr="009013E2">
        <w:rPr>
          <w:rFonts w:eastAsia="標楷體" w:hint="eastAsia"/>
          <w:sz w:val="26"/>
          <w:szCs w:val="26"/>
        </w:rPr>
        <w:t>太克科技</w:t>
      </w:r>
      <w:r w:rsidRPr="009013E2">
        <w:rPr>
          <w:rFonts w:eastAsia="標楷體" w:hint="eastAsia"/>
          <w:sz w:val="26"/>
          <w:szCs w:val="26"/>
        </w:rPr>
        <w:t>此受控交易移轉訂價分析之最適常規交易方法。</w:t>
      </w:r>
    </w:p>
    <w:p w:rsidR="00DC4ACB" w:rsidRDefault="00656939" w:rsidP="00965AF0">
      <w:pPr>
        <w:spacing w:beforeLines="50" w:before="120" w:afterLines="50" w:after="120" w:line="360" w:lineRule="auto"/>
        <w:ind w:leftChars="200" w:left="480" w:firstLineChars="200" w:firstLine="520"/>
        <w:jc w:val="both"/>
        <w:rPr>
          <w:rFonts w:eastAsia="標楷體"/>
          <w:sz w:val="26"/>
          <w:szCs w:val="26"/>
        </w:rPr>
      </w:pPr>
      <w:r w:rsidRPr="009013E2">
        <w:rPr>
          <w:rFonts w:eastAsia="標楷體" w:hint="eastAsia"/>
          <w:sz w:val="26"/>
          <w:szCs w:val="26"/>
        </w:rPr>
        <w:t>根據本報告第肆章功能及風險分析結果，</w:t>
      </w:r>
      <w:r w:rsidR="006C32A6" w:rsidRPr="009013E2">
        <w:rPr>
          <w:rFonts w:eastAsia="標楷體" w:hint="eastAsia"/>
          <w:sz w:val="26"/>
          <w:szCs w:val="26"/>
        </w:rPr>
        <w:t>太克科技</w:t>
      </w:r>
      <w:r w:rsidRPr="009013E2">
        <w:rPr>
          <w:rFonts w:eastAsia="標楷體" w:hint="eastAsia"/>
          <w:sz w:val="26"/>
          <w:szCs w:val="26"/>
        </w:rPr>
        <w:t>為</w:t>
      </w:r>
      <w:r w:rsidR="006C32A6" w:rsidRPr="009013E2">
        <w:rPr>
          <w:rFonts w:eastAsia="標楷體" w:hint="eastAsia"/>
          <w:sz w:val="26"/>
          <w:szCs w:val="26"/>
        </w:rPr>
        <w:t>有限功能配銷商</w:t>
      </w:r>
      <w:r w:rsidRPr="009013E2">
        <w:rPr>
          <w:rFonts w:eastAsia="標楷體" w:hint="eastAsia"/>
          <w:sz w:val="26"/>
          <w:szCs w:val="26"/>
        </w:rPr>
        <w:t>，</w:t>
      </w:r>
      <w:r w:rsidR="00621ABB" w:rsidRPr="009013E2">
        <w:rPr>
          <w:rFonts w:eastAsia="標楷體" w:hint="eastAsia"/>
          <w:sz w:val="26"/>
          <w:szCs w:val="26"/>
        </w:rPr>
        <w:t>其所執行之功能及承擔之風險與</w:t>
      </w:r>
      <w:r w:rsidR="008C0217">
        <w:rPr>
          <w:rFonts w:eastAsia="標楷體" w:hint="eastAsia"/>
          <w:sz w:val="26"/>
          <w:szCs w:val="26"/>
        </w:rPr>
        <w:t>TIS</w:t>
      </w:r>
      <w:r w:rsidR="00603FA1" w:rsidRPr="009013E2">
        <w:rPr>
          <w:rFonts w:eastAsia="標楷體" w:hint="eastAsia"/>
          <w:sz w:val="26"/>
          <w:szCs w:val="26"/>
        </w:rPr>
        <w:t>、</w:t>
      </w:r>
      <w:r w:rsidR="00170E4C">
        <w:rPr>
          <w:rFonts w:eastAsia="標楷體" w:hint="eastAsia"/>
          <w:sz w:val="26"/>
          <w:szCs w:val="26"/>
        </w:rPr>
        <w:t>TCT</w:t>
      </w:r>
      <w:r w:rsidR="00603FA1" w:rsidRPr="009013E2">
        <w:rPr>
          <w:rFonts w:eastAsia="標楷體" w:hint="eastAsia"/>
          <w:sz w:val="26"/>
          <w:szCs w:val="26"/>
        </w:rPr>
        <w:t>、</w:t>
      </w:r>
      <w:r w:rsidR="00603FA1" w:rsidRPr="009013E2">
        <w:rPr>
          <w:rFonts w:eastAsia="標楷體"/>
          <w:sz w:val="26"/>
          <w:szCs w:val="26"/>
        </w:rPr>
        <w:t>Fluke</w:t>
      </w:r>
      <w:r w:rsidR="000C31FC">
        <w:rPr>
          <w:rFonts w:eastAsia="標楷體" w:hint="eastAsia"/>
          <w:sz w:val="26"/>
          <w:szCs w:val="26"/>
        </w:rPr>
        <w:t xml:space="preserve"> SEA</w:t>
      </w:r>
      <w:r w:rsidR="008C4B85">
        <w:rPr>
          <w:rFonts w:eastAsia="標楷體" w:hint="eastAsia"/>
          <w:sz w:val="26"/>
          <w:szCs w:val="26"/>
        </w:rPr>
        <w:t>、</w:t>
      </w:r>
      <w:r w:rsidR="00603FA1" w:rsidRPr="009013E2">
        <w:rPr>
          <w:rFonts w:eastAsia="標楷體" w:hint="eastAsia"/>
          <w:sz w:val="26"/>
          <w:szCs w:val="26"/>
        </w:rPr>
        <w:t>TII</w:t>
      </w:r>
      <w:r w:rsidR="008C4B85">
        <w:rPr>
          <w:rFonts w:eastAsia="標楷體" w:hint="eastAsia"/>
          <w:sz w:val="26"/>
          <w:szCs w:val="26"/>
        </w:rPr>
        <w:t>及母公司</w:t>
      </w:r>
      <w:r w:rsidR="00603FA1" w:rsidRPr="009013E2">
        <w:rPr>
          <w:rFonts w:eastAsia="標楷體" w:hint="eastAsia"/>
          <w:sz w:val="26"/>
          <w:szCs w:val="26"/>
        </w:rPr>
        <w:t>單純</w:t>
      </w:r>
      <w:r w:rsidR="00621ABB" w:rsidRPr="009013E2">
        <w:rPr>
          <w:rFonts w:eastAsia="標楷體" w:hint="eastAsia"/>
          <w:sz w:val="26"/>
          <w:szCs w:val="26"/>
        </w:rPr>
        <w:t>，且</w:t>
      </w:r>
      <w:r w:rsidR="00603FA1" w:rsidRPr="009013E2">
        <w:rPr>
          <w:rFonts w:eastAsia="標楷體" w:hint="eastAsia"/>
          <w:sz w:val="26"/>
          <w:szCs w:val="26"/>
        </w:rPr>
        <w:t>太克科技</w:t>
      </w:r>
      <w:r w:rsidR="00621ABB" w:rsidRPr="009013E2">
        <w:rPr>
          <w:rFonts w:eastAsia="標楷體" w:hint="eastAsia"/>
          <w:sz w:val="26"/>
          <w:szCs w:val="26"/>
        </w:rPr>
        <w:t>為本國公司，財務資料亦經本國會計師查核簽證，本所認為其可信度應較國外之關係企業為高</w:t>
      </w:r>
      <w:r w:rsidRPr="009013E2">
        <w:rPr>
          <w:rFonts w:eastAsia="標楷體" w:hint="eastAsia"/>
          <w:sz w:val="26"/>
          <w:szCs w:val="26"/>
        </w:rPr>
        <w:t>，故以</w:t>
      </w:r>
      <w:r w:rsidR="00BD10F0" w:rsidRPr="009013E2">
        <w:rPr>
          <w:rFonts w:eastAsia="標楷體" w:hint="eastAsia"/>
          <w:sz w:val="26"/>
          <w:szCs w:val="26"/>
        </w:rPr>
        <w:t>太克科技</w:t>
      </w:r>
      <w:r w:rsidRPr="009013E2">
        <w:rPr>
          <w:rFonts w:eastAsia="標楷體" w:hint="eastAsia"/>
          <w:sz w:val="26"/>
          <w:szCs w:val="26"/>
        </w:rPr>
        <w:t>為受測個體。</w:t>
      </w:r>
    </w:p>
    <w:p w:rsidR="00DC4ACB" w:rsidRDefault="008A6441" w:rsidP="00965AF0">
      <w:pPr>
        <w:spacing w:beforeLines="50" w:before="120" w:afterLines="50" w:after="120" w:line="360" w:lineRule="auto"/>
        <w:ind w:leftChars="200" w:left="480" w:firstLineChars="200" w:firstLine="520"/>
        <w:jc w:val="both"/>
        <w:rPr>
          <w:rFonts w:eastAsia="標楷體"/>
          <w:sz w:val="26"/>
          <w:szCs w:val="26"/>
        </w:rPr>
      </w:pPr>
      <w:r w:rsidRPr="009013E2">
        <w:rPr>
          <w:rFonts w:eastAsia="標楷體" w:hint="eastAsia"/>
          <w:sz w:val="26"/>
          <w:szCs w:val="26"/>
        </w:rPr>
        <w:t>因上述交易與</w:t>
      </w:r>
      <w:r w:rsidR="00812DFD" w:rsidRPr="009013E2">
        <w:rPr>
          <w:rFonts w:eastAsia="標楷體" w:hint="eastAsia"/>
          <w:sz w:val="26"/>
          <w:szCs w:val="26"/>
        </w:rPr>
        <w:t>太克科技進貨及</w:t>
      </w:r>
      <w:r w:rsidR="00812DFD" w:rsidRPr="009013E2">
        <w:rPr>
          <w:rFonts w:eastAsia="標楷體" w:hAnsi="標楷體" w:hint="eastAsia"/>
          <w:sz w:val="26"/>
          <w:szCs w:val="26"/>
        </w:rPr>
        <w:t>提供產品服務</w:t>
      </w:r>
      <w:r w:rsidR="00812DFD" w:rsidRPr="009013E2">
        <w:rPr>
          <w:rFonts w:eastAsia="標楷體" w:hint="eastAsia"/>
          <w:sz w:val="26"/>
          <w:szCs w:val="26"/>
        </w:rPr>
        <w:t>受控交易具有關聯之特性，故將兩者合併進行分析</w:t>
      </w:r>
      <w:r w:rsidR="00152CC5" w:rsidRPr="009013E2">
        <w:rPr>
          <w:rFonts w:eastAsia="標楷體" w:hint="eastAsia"/>
          <w:sz w:val="26"/>
          <w:szCs w:val="26"/>
        </w:rPr>
        <w:t>。</w:t>
      </w:r>
      <w:r w:rsidR="00920CC2" w:rsidRPr="009013E2">
        <w:rPr>
          <w:rFonts w:eastAsia="標楷體" w:hint="eastAsia"/>
          <w:sz w:val="26"/>
          <w:szCs w:val="26"/>
        </w:rPr>
        <w:t>太克科技</w:t>
      </w:r>
      <w:r w:rsidR="00656939" w:rsidRPr="009013E2">
        <w:rPr>
          <w:rFonts w:eastAsia="標楷體"/>
          <w:sz w:val="26"/>
          <w:szCs w:val="26"/>
        </w:rPr>
        <w:t>若能賺得與可比較對象相當之</w:t>
      </w:r>
      <w:r w:rsidR="00656939" w:rsidRPr="00EA272E">
        <w:rPr>
          <w:rFonts w:eastAsia="標楷體"/>
          <w:sz w:val="26"/>
          <w:szCs w:val="26"/>
        </w:rPr>
        <w:t>利潤</w:t>
      </w:r>
      <w:r w:rsidR="00656939" w:rsidRPr="00EA272E">
        <w:rPr>
          <w:rFonts w:eastAsia="標楷體" w:hint="eastAsia"/>
          <w:sz w:val="26"/>
          <w:szCs w:val="26"/>
        </w:rPr>
        <w:t>，方可推論該交易未</w:t>
      </w:r>
      <w:r w:rsidR="00656939" w:rsidRPr="00EA272E">
        <w:rPr>
          <w:rFonts w:eastAsia="標楷體"/>
          <w:sz w:val="26"/>
          <w:szCs w:val="26"/>
        </w:rPr>
        <w:t>有不合常規之安排</w:t>
      </w:r>
      <w:r w:rsidRPr="00EA272E">
        <w:rPr>
          <w:rFonts w:eastAsia="標楷體" w:hint="eastAsia"/>
          <w:sz w:val="26"/>
          <w:szCs w:val="26"/>
        </w:rPr>
        <w:t>。</w:t>
      </w:r>
    </w:p>
    <w:p w:rsidR="00DC4ACB" w:rsidRPr="00DC4ACB" w:rsidRDefault="00152CC5" w:rsidP="00965AF0">
      <w:pPr>
        <w:spacing w:beforeLines="50" w:before="120" w:afterLines="50" w:after="120" w:line="360" w:lineRule="auto"/>
        <w:ind w:leftChars="200" w:left="480" w:firstLineChars="200" w:firstLine="520"/>
        <w:jc w:val="both"/>
        <w:rPr>
          <w:rFonts w:eastAsia="標楷體"/>
          <w:color w:val="000000" w:themeColor="text1"/>
          <w:sz w:val="26"/>
          <w:szCs w:val="26"/>
        </w:rPr>
      </w:pPr>
      <w:r w:rsidRPr="0014287F">
        <w:rPr>
          <w:rFonts w:eastAsia="標楷體" w:hint="eastAsia"/>
          <w:sz w:val="26"/>
          <w:szCs w:val="26"/>
        </w:rPr>
        <w:t>另</w:t>
      </w:r>
      <w:r w:rsidR="00656939" w:rsidRPr="0014287F">
        <w:rPr>
          <w:rFonts w:eastAsia="標楷體" w:hint="eastAsia"/>
          <w:sz w:val="26"/>
          <w:szCs w:val="26"/>
        </w:rPr>
        <w:t>本報告依</w:t>
      </w:r>
      <w:r w:rsidR="0091522C" w:rsidRPr="0014287F">
        <w:rPr>
          <w:rFonts w:eastAsia="標楷體" w:hint="eastAsia"/>
          <w:sz w:val="26"/>
          <w:szCs w:val="26"/>
        </w:rPr>
        <w:t>太克科技</w:t>
      </w:r>
      <w:r w:rsidR="00656939" w:rsidRPr="0014287F">
        <w:rPr>
          <w:rFonts w:eastAsia="標楷體" w:hint="eastAsia"/>
          <w:sz w:val="26"/>
          <w:szCs w:val="26"/>
        </w:rPr>
        <w:t>執行之功能、承擔之風險及所擁有之無形資產進行可</w:t>
      </w:r>
      <w:r w:rsidR="00DC4ACB" w:rsidRPr="00DC4ACB">
        <w:rPr>
          <w:rFonts w:eastAsia="標楷體" w:hint="eastAsia"/>
          <w:color w:val="000000" w:themeColor="text1"/>
          <w:sz w:val="26"/>
          <w:szCs w:val="26"/>
        </w:rPr>
        <w:t>比較對象搜尋，並以可比較對象之貝里比率建立常規交易範圍。經分析，太克科技</w:t>
      </w:r>
      <w:r w:rsidR="00DC4ACB" w:rsidRPr="00DC4ACB">
        <w:rPr>
          <w:rFonts w:eastAsia="標楷體"/>
          <w:color w:val="000000" w:themeColor="text1"/>
          <w:sz w:val="26"/>
          <w:szCs w:val="26"/>
        </w:rPr>
        <w:t>10</w:t>
      </w:r>
      <w:r w:rsidR="00A70357">
        <w:rPr>
          <w:rFonts w:eastAsia="標楷體" w:hint="eastAsia"/>
          <w:color w:val="000000" w:themeColor="text1"/>
          <w:sz w:val="26"/>
          <w:szCs w:val="26"/>
        </w:rPr>
        <w:t>3</w:t>
      </w:r>
      <w:r w:rsidR="00DC4ACB" w:rsidRPr="00DC4ACB">
        <w:rPr>
          <w:rFonts w:eastAsia="標楷體" w:hint="eastAsia"/>
          <w:color w:val="000000" w:themeColor="text1"/>
          <w:sz w:val="26"/>
          <w:szCs w:val="26"/>
        </w:rPr>
        <w:t>～</w:t>
      </w:r>
      <w:r w:rsidR="00DC4ACB" w:rsidRPr="00DC4ACB">
        <w:rPr>
          <w:rFonts w:eastAsia="標楷體"/>
          <w:color w:val="000000" w:themeColor="text1"/>
          <w:sz w:val="26"/>
          <w:szCs w:val="26"/>
        </w:rPr>
        <w:t>10</w:t>
      </w:r>
      <w:r w:rsidR="00A70357">
        <w:rPr>
          <w:rFonts w:eastAsia="標楷體" w:hint="eastAsia"/>
          <w:color w:val="000000" w:themeColor="text1"/>
          <w:sz w:val="26"/>
          <w:szCs w:val="26"/>
        </w:rPr>
        <w:t>5</w:t>
      </w:r>
      <w:r w:rsidR="00DC4ACB" w:rsidRPr="00DC4ACB">
        <w:rPr>
          <w:rFonts w:eastAsia="標楷體" w:hint="eastAsia"/>
          <w:color w:val="000000" w:themeColor="text1"/>
          <w:sz w:val="26"/>
          <w:szCs w:val="26"/>
        </w:rPr>
        <w:t>年度進貨及提供產品服務受控交易，平均貝里比率</w:t>
      </w:r>
      <w:r w:rsidR="00A70357" w:rsidRPr="00FA2E37">
        <w:rPr>
          <w:color w:val="000000"/>
          <w:sz w:val="26"/>
          <w:szCs w:val="26"/>
        </w:rPr>
        <w:t>153.10%</w:t>
      </w:r>
      <w:r w:rsidR="00DC4ACB" w:rsidRPr="00DC4ACB">
        <w:rPr>
          <w:rFonts w:eastAsia="標楷體" w:hint="eastAsia"/>
          <w:color w:val="000000" w:themeColor="text1"/>
          <w:sz w:val="26"/>
          <w:szCs w:val="26"/>
        </w:rPr>
        <w:t>，高於</w:t>
      </w:r>
      <w:r w:rsidR="00DC4ACB" w:rsidRPr="00DC4ACB">
        <w:rPr>
          <w:rFonts w:eastAsia="標楷體"/>
          <w:color w:val="000000" w:themeColor="text1"/>
          <w:sz w:val="26"/>
          <w:szCs w:val="26"/>
        </w:rPr>
        <w:t>ONESOURCE</w:t>
      </w:r>
      <w:r w:rsidR="00DC4ACB" w:rsidRPr="00DC4ACB">
        <w:rPr>
          <w:rFonts w:eastAsia="標楷體" w:hint="eastAsia"/>
          <w:color w:val="000000" w:themeColor="text1"/>
          <w:sz w:val="26"/>
          <w:szCs w:val="26"/>
        </w:rPr>
        <w:t>資料庫所選之可比較對象常規交易範圍</w:t>
      </w:r>
      <w:r w:rsidR="00A70357" w:rsidRPr="00DC4ACB">
        <w:rPr>
          <w:rFonts w:eastAsia="標楷體"/>
          <w:color w:val="000000" w:themeColor="text1"/>
          <w:sz w:val="26"/>
          <w:szCs w:val="26"/>
        </w:rPr>
        <w:t>11</w:t>
      </w:r>
      <w:r w:rsidR="00A70357">
        <w:rPr>
          <w:rFonts w:eastAsia="標楷體" w:hint="eastAsia"/>
          <w:color w:val="000000" w:themeColor="text1"/>
          <w:sz w:val="26"/>
          <w:szCs w:val="26"/>
        </w:rPr>
        <w:t>7</w:t>
      </w:r>
      <w:r w:rsidR="00A70357" w:rsidRPr="00DC4ACB">
        <w:rPr>
          <w:rFonts w:eastAsia="標楷體"/>
          <w:color w:val="000000" w:themeColor="text1"/>
          <w:sz w:val="26"/>
          <w:szCs w:val="26"/>
        </w:rPr>
        <w:t>.</w:t>
      </w:r>
      <w:r w:rsidR="00A70357">
        <w:rPr>
          <w:rFonts w:eastAsia="標楷體" w:hint="eastAsia"/>
          <w:color w:val="000000" w:themeColor="text1"/>
          <w:sz w:val="26"/>
          <w:szCs w:val="26"/>
        </w:rPr>
        <w:t>15</w:t>
      </w:r>
      <w:r w:rsidR="00A70357" w:rsidRPr="00DC4ACB">
        <w:rPr>
          <w:rFonts w:eastAsia="標楷體"/>
          <w:color w:val="000000" w:themeColor="text1"/>
          <w:sz w:val="26"/>
          <w:szCs w:val="26"/>
        </w:rPr>
        <w:t>%</w:t>
      </w:r>
      <w:r w:rsidR="00A70357" w:rsidRPr="00DC4ACB">
        <w:rPr>
          <w:rFonts w:eastAsia="標楷體" w:hint="eastAsia"/>
          <w:color w:val="000000" w:themeColor="text1"/>
          <w:sz w:val="26"/>
          <w:szCs w:val="26"/>
        </w:rPr>
        <w:t>～</w:t>
      </w:r>
      <w:r w:rsidR="00A70357" w:rsidRPr="00DC4ACB">
        <w:rPr>
          <w:rFonts w:eastAsia="標楷體"/>
          <w:color w:val="000000" w:themeColor="text1"/>
          <w:sz w:val="26"/>
          <w:szCs w:val="26"/>
        </w:rPr>
        <w:t>133.</w:t>
      </w:r>
      <w:r w:rsidR="00A70357">
        <w:rPr>
          <w:rFonts w:eastAsia="標楷體" w:hint="eastAsia"/>
          <w:color w:val="000000" w:themeColor="text1"/>
          <w:sz w:val="26"/>
          <w:szCs w:val="26"/>
        </w:rPr>
        <w:t>89</w:t>
      </w:r>
      <w:r w:rsidR="00A70357" w:rsidRPr="00DC4ACB">
        <w:rPr>
          <w:rFonts w:eastAsia="標楷體"/>
          <w:color w:val="000000" w:themeColor="text1"/>
          <w:sz w:val="26"/>
          <w:szCs w:val="26"/>
        </w:rPr>
        <w:t>%</w:t>
      </w:r>
      <w:r w:rsidR="00DC4ACB" w:rsidRPr="00DC4ACB">
        <w:rPr>
          <w:rFonts w:eastAsia="標楷體" w:hint="eastAsia"/>
          <w:color w:val="000000" w:themeColor="text1"/>
          <w:sz w:val="26"/>
          <w:szCs w:val="26"/>
        </w:rPr>
        <w:t>上分位數，推論太克科技</w:t>
      </w:r>
      <w:proofErr w:type="gramStart"/>
      <w:r w:rsidR="00DC4ACB" w:rsidRPr="00DC4ACB">
        <w:rPr>
          <w:rFonts w:eastAsia="標楷體"/>
          <w:color w:val="000000" w:themeColor="text1"/>
          <w:sz w:val="26"/>
          <w:szCs w:val="26"/>
        </w:rPr>
        <w:t>10</w:t>
      </w:r>
      <w:r w:rsidR="00DF7525">
        <w:rPr>
          <w:rFonts w:eastAsia="標楷體" w:hint="eastAsia"/>
          <w:color w:val="000000" w:themeColor="text1"/>
          <w:sz w:val="26"/>
          <w:szCs w:val="26"/>
        </w:rPr>
        <w:t>5</w:t>
      </w:r>
      <w:proofErr w:type="gramEnd"/>
      <w:r w:rsidR="00DC4ACB" w:rsidRPr="00DC4ACB">
        <w:rPr>
          <w:rFonts w:eastAsia="標楷體" w:hint="eastAsia"/>
          <w:color w:val="000000" w:themeColor="text1"/>
          <w:sz w:val="26"/>
          <w:szCs w:val="26"/>
        </w:rPr>
        <w:t>年度該受控交易無須為稅務上之調整。</w:t>
      </w:r>
    </w:p>
    <w:p w:rsidR="00DC4ACB" w:rsidRDefault="00DC4ACB" w:rsidP="00965AF0">
      <w:pPr>
        <w:spacing w:beforeLines="50" w:before="120" w:afterLines="50" w:after="120" w:line="360" w:lineRule="auto"/>
        <w:ind w:leftChars="200" w:left="480" w:firstLineChars="200" w:firstLine="520"/>
        <w:jc w:val="both"/>
        <w:rPr>
          <w:rFonts w:eastAsia="標楷體"/>
          <w:sz w:val="26"/>
          <w:szCs w:val="26"/>
        </w:rPr>
      </w:pPr>
    </w:p>
    <w:p w:rsidR="00DC4ACB" w:rsidRDefault="0072762B" w:rsidP="00965AF0">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lastRenderedPageBreak/>
        <w:t>未於</w:t>
      </w:r>
      <w:r w:rsidRPr="00EA272E">
        <w:rPr>
          <w:rFonts w:ascii="Times New Roman" w:eastAsia="標楷體" w:hAnsi="Times New Roman"/>
          <w:sz w:val="36"/>
          <w:szCs w:val="40"/>
        </w:rPr>
        <w:t>本報</w:t>
      </w:r>
      <w:r w:rsidRPr="00EA272E">
        <w:rPr>
          <w:rFonts w:ascii="Times New Roman" w:eastAsia="標楷體" w:hAnsi="Times New Roman" w:hint="eastAsia"/>
          <w:sz w:val="36"/>
          <w:szCs w:val="40"/>
        </w:rPr>
        <w:t>告進行</w:t>
      </w:r>
      <w:r w:rsidR="008E0EB4" w:rsidRPr="00EA272E">
        <w:rPr>
          <w:rFonts w:ascii="Times New Roman" w:eastAsia="標楷體" w:hAnsi="Times New Roman" w:hint="eastAsia"/>
          <w:sz w:val="36"/>
          <w:szCs w:val="40"/>
        </w:rPr>
        <w:t>個別</w:t>
      </w:r>
      <w:r w:rsidR="00567251" w:rsidRPr="00EA272E">
        <w:rPr>
          <w:rFonts w:ascii="Times New Roman" w:eastAsia="標楷體" w:hAnsi="Times New Roman"/>
          <w:sz w:val="36"/>
          <w:szCs w:val="40"/>
        </w:rPr>
        <w:t>分析之</w:t>
      </w:r>
      <w:r w:rsidR="008E0EB4" w:rsidRPr="00EA272E">
        <w:rPr>
          <w:rFonts w:ascii="Times New Roman" w:eastAsia="標楷體" w:hAnsi="Times New Roman" w:hint="eastAsia"/>
          <w:sz w:val="36"/>
          <w:szCs w:val="40"/>
        </w:rPr>
        <w:t>受控</w:t>
      </w:r>
      <w:r w:rsidR="00567251" w:rsidRPr="00EA272E">
        <w:rPr>
          <w:rFonts w:ascii="Times New Roman" w:eastAsia="標楷體" w:hAnsi="Times New Roman"/>
          <w:sz w:val="36"/>
          <w:szCs w:val="40"/>
        </w:rPr>
        <w:t>交易</w:t>
      </w:r>
    </w:p>
    <w:p w:rsidR="00803D2F" w:rsidRDefault="00803D2F" w:rsidP="00965AF0">
      <w:pPr>
        <w:pStyle w:val="3"/>
        <w:numPr>
          <w:ilvl w:val="0"/>
          <w:numId w:val="13"/>
        </w:numPr>
        <w:spacing w:beforeLines="50" w:before="120" w:afterLines="50" w:after="120" w:line="360" w:lineRule="auto"/>
        <w:ind w:leftChars="100" w:left="720"/>
        <w:jc w:val="both"/>
        <w:rPr>
          <w:rFonts w:ascii="標楷體" w:eastAsia="標楷體" w:hAnsi="標楷體"/>
          <w:sz w:val="32"/>
          <w:szCs w:val="32"/>
        </w:rPr>
      </w:pPr>
      <w:r>
        <w:rPr>
          <w:rFonts w:ascii="標楷體" w:eastAsia="標楷體" w:hAnsi="標楷體" w:hint="eastAsia"/>
          <w:sz w:val="32"/>
          <w:szCs w:val="32"/>
        </w:rPr>
        <w:t>服務之提供</w:t>
      </w:r>
      <w:r w:rsidRPr="000A7150">
        <w:rPr>
          <w:rFonts w:ascii="標楷體" w:eastAsia="標楷體" w:hAnsi="標楷體" w:hint="eastAsia"/>
          <w:sz w:val="32"/>
          <w:szCs w:val="32"/>
        </w:rPr>
        <w:t>－</w:t>
      </w:r>
      <w:r w:rsidRPr="00803D2F">
        <w:rPr>
          <w:rFonts w:ascii="標楷體" w:eastAsia="標楷體" w:hAnsi="標楷體" w:hint="eastAsia"/>
          <w:sz w:val="32"/>
          <w:szCs w:val="32"/>
        </w:rPr>
        <w:t>產品調度、代收付服務</w:t>
      </w:r>
    </w:p>
    <w:p w:rsidR="00803D2F" w:rsidRDefault="00803D2F" w:rsidP="00965AF0">
      <w:pPr>
        <w:spacing w:beforeLines="50" w:before="120" w:afterLines="50" w:after="120" w:line="360" w:lineRule="auto"/>
        <w:ind w:leftChars="200" w:left="480" w:firstLineChars="200" w:firstLine="520"/>
        <w:jc w:val="both"/>
        <w:rPr>
          <w:rFonts w:eastAsia="標楷體"/>
          <w:sz w:val="26"/>
          <w:szCs w:val="26"/>
        </w:rPr>
      </w:pPr>
      <w:r w:rsidRPr="00615653">
        <w:rPr>
          <w:rFonts w:eastAsia="標楷體" w:hint="eastAsia"/>
          <w:sz w:val="26"/>
          <w:szCs w:val="26"/>
        </w:rPr>
        <w:t>太克科技因集團企業</w:t>
      </w:r>
      <w:r>
        <w:rPr>
          <w:rFonts w:eastAsia="標楷體" w:hint="eastAsia"/>
          <w:sz w:val="26"/>
          <w:szCs w:val="26"/>
        </w:rPr>
        <w:t>臨時性需求</w:t>
      </w:r>
      <w:r w:rsidRPr="00615653">
        <w:rPr>
          <w:rFonts w:eastAsia="標楷體" w:hint="eastAsia"/>
          <w:sz w:val="26"/>
          <w:szCs w:val="26"/>
        </w:rPr>
        <w:t>而</w:t>
      </w:r>
      <w:r>
        <w:rPr>
          <w:rFonts w:eastAsia="標楷體" w:hint="eastAsia"/>
          <w:sz w:val="26"/>
          <w:szCs w:val="26"/>
        </w:rPr>
        <w:t>將其現有</w:t>
      </w:r>
      <w:r w:rsidRPr="00615653">
        <w:rPr>
          <w:rFonts w:eastAsia="標楷體" w:hint="eastAsia"/>
          <w:sz w:val="26"/>
          <w:szCs w:val="26"/>
        </w:rPr>
        <w:t>儀器及零件調度予</w:t>
      </w:r>
      <w:r>
        <w:rPr>
          <w:rFonts w:eastAsia="標楷體" w:hint="eastAsia"/>
          <w:sz w:val="26"/>
          <w:szCs w:val="26"/>
        </w:rPr>
        <w:t>關係企業，由於該交易為非經常性活動，且金額相對微小，故不於本報告中</w:t>
      </w:r>
      <w:r w:rsidRPr="0076268A">
        <w:rPr>
          <w:rFonts w:eastAsia="標楷體" w:hint="eastAsia"/>
          <w:sz w:val="26"/>
          <w:szCs w:val="26"/>
        </w:rPr>
        <w:t>個別</w:t>
      </w:r>
      <w:r>
        <w:rPr>
          <w:rFonts w:eastAsia="標楷體" w:hint="eastAsia"/>
          <w:sz w:val="26"/>
          <w:szCs w:val="26"/>
        </w:rPr>
        <w:t>分析。</w:t>
      </w:r>
    </w:p>
    <w:p w:rsidR="00DC4ACB" w:rsidRDefault="00CB5D49" w:rsidP="00965AF0">
      <w:pPr>
        <w:pStyle w:val="2"/>
        <w:numPr>
          <w:ilvl w:val="1"/>
          <w:numId w:val="6"/>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建議</w:t>
      </w:r>
    </w:p>
    <w:p w:rsidR="00DC4ACB" w:rsidRDefault="00567251" w:rsidP="00965AF0">
      <w:pPr>
        <w:spacing w:beforeLines="50" w:before="120" w:afterLines="50" w:after="120" w:line="360" w:lineRule="auto"/>
        <w:ind w:firstLineChars="200" w:firstLine="520"/>
        <w:jc w:val="both"/>
        <w:rPr>
          <w:rFonts w:eastAsia="標楷體"/>
          <w:sz w:val="26"/>
          <w:szCs w:val="26"/>
        </w:rPr>
      </w:pPr>
      <w:r w:rsidRPr="00901CDA">
        <w:rPr>
          <w:rFonts w:eastAsia="標楷體"/>
          <w:sz w:val="26"/>
          <w:szCs w:val="26"/>
        </w:rPr>
        <w:t>本所必須提醒本報告之使用者，</w:t>
      </w:r>
      <w:r w:rsidR="00BA7C8C" w:rsidRPr="00901CDA">
        <w:rPr>
          <w:rFonts w:eastAsia="標楷體" w:hint="eastAsia"/>
          <w:sz w:val="26"/>
          <w:szCs w:val="26"/>
        </w:rPr>
        <w:t>太克科技</w:t>
      </w:r>
      <w:r w:rsidRPr="00901CDA">
        <w:rPr>
          <w:rFonts w:eastAsia="標楷體"/>
          <w:sz w:val="26"/>
          <w:szCs w:val="26"/>
        </w:rPr>
        <w:t>在本報告提出後，其執行之功能及承擔之風險若有顯著變化，本報告之分析結果將會受到影響。若</w:t>
      </w:r>
      <w:r w:rsidR="00BA7C8C" w:rsidRPr="00901CDA">
        <w:rPr>
          <w:rFonts w:eastAsia="標楷體" w:hint="eastAsia"/>
          <w:sz w:val="26"/>
          <w:szCs w:val="26"/>
        </w:rPr>
        <w:t>太克科技</w:t>
      </w:r>
      <w:r w:rsidRPr="00901CDA">
        <w:rPr>
          <w:rFonts w:eastAsia="標楷體"/>
          <w:sz w:val="26"/>
          <w:szCs w:val="26"/>
        </w:rPr>
        <w:t>各</w:t>
      </w:r>
      <w:r w:rsidR="00115407" w:rsidRPr="00901CDA">
        <w:rPr>
          <w:rFonts w:eastAsia="標楷體" w:hint="eastAsia"/>
          <w:sz w:val="26"/>
          <w:szCs w:val="26"/>
        </w:rPr>
        <w:t>受控</w:t>
      </w:r>
      <w:r w:rsidRPr="00901CDA">
        <w:rPr>
          <w:rFonts w:eastAsia="標楷體"/>
          <w:sz w:val="26"/>
          <w:szCs w:val="26"/>
        </w:rPr>
        <w:t>交易情況有所變動，也將影響最適常規方法及可比較對象之選擇，</w:t>
      </w:r>
      <w:r w:rsidRPr="00EA272E">
        <w:rPr>
          <w:rFonts w:eastAsia="標楷體"/>
          <w:sz w:val="26"/>
          <w:szCs w:val="26"/>
        </w:rPr>
        <w:t>進而改變常規交易</w:t>
      </w:r>
      <w:r w:rsidR="00023B84" w:rsidRPr="00EA272E">
        <w:rPr>
          <w:rFonts w:eastAsia="標楷體"/>
          <w:sz w:val="26"/>
          <w:szCs w:val="26"/>
        </w:rPr>
        <w:t>範圍</w:t>
      </w:r>
      <w:r w:rsidRPr="00EA272E">
        <w:rPr>
          <w:rFonts w:eastAsia="標楷體"/>
          <w:sz w:val="26"/>
          <w:szCs w:val="26"/>
        </w:rPr>
        <w:t>。</w:t>
      </w:r>
    </w:p>
    <w:p w:rsidR="00673F67" w:rsidRDefault="00673F67" w:rsidP="005C6620">
      <w:pPr>
        <w:rPr>
          <w:rFonts w:eastAsia="標楷體"/>
        </w:rPr>
      </w:pPr>
      <w:bookmarkStart w:id="13" w:name="_Toc221678472"/>
      <w:bookmarkStart w:id="14" w:name="_Toc221678473"/>
      <w:bookmarkStart w:id="15" w:name="_Toc221678474"/>
      <w:bookmarkStart w:id="16" w:name="_Toc221678475"/>
      <w:bookmarkStart w:id="17" w:name="_Toc221678476"/>
      <w:bookmarkStart w:id="18" w:name="_Toc221678477"/>
      <w:bookmarkStart w:id="19" w:name="_Toc221678478"/>
      <w:bookmarkStart w:id="20" w:name="_Toc221678479"/>
      <w:bookmarkStart w:id="21" w:name="_Toc221678480"/>
      <w:bookmarkStart w:id="22" w:name="_Toc221678481"/>
      <w:bookmarkEnd w:id="13"/>
      <w:bookmarkEnd w:id="14"/>
      <w:bookmarkEnd w:id="15"/>
      <w:bookmarkEnd w:id="16"/>
      <w:bookmarkEnd w:id="17"/>
      <w:bookmarkEnd w:id="18"/>
      <w:bookmarkEnd w:id="19"/>
      <w:bookmarkEnd w:id="20"/>
      <w:bookmarkEnd w:id="21"/>
      <w:bookmarkEnd w:id="22"/>
      <w:r>
        <w:rPr>
          <w:rFonts w:eastAsia="標楷體"/>
        </w:rPr>
        <w:br w:type="page"/>
      </w:r>
    </w:p>
    <w:p w:rsidR="00B8406A" w:rsidRPr="00EA272E" w:rsidRDefault="00B8406A" w:rsidP="005C6620">
      <w:pPr>
        <w:rPr>
          <w:rFonts w:eastAsia="標楷體"/>
        </w:rPr>
      </w:pPr>
    </w:p>
    <w:p w:rsidR="00B8406A" w:rsidRPr="00EA272E" w:rsidRDefault="00B8406A" w:rsidP="005C6620">
      <w:pPr>
        <w:rPr>
          <w:rFonts w:eastAsia="標楷體"/>
        </w:rPr>
      </w:pPr>
    </w:p>
    <w:p w:rsidR="00B8406A" w:rsidRPr="00EA272E" w:rsidRDefault="00B8406A" w:rsidP="005C6620">
      <w:pPr>
        <w:rPr>
          <w:rFonts w:eastAsia="標楷體"/>
        </w:rPr>
        <w:sectPr w:rsidR="00B8406A" w:rsidRPr="00EA272E" w:rsidSect="00DD5AB2">
          <w:headerReference w:type="even" r:id="rId17"/>
          <w:headerReference w:type="default" r:id="rId18"/>
          <w:footerReference w:type="even" r:id="rId19"/>
          <w:footerReference w:type="default" r:id="rId20"/>
          <w:headerReference w:type="first" r:id="rId21"/>
          <w:type w:val="oddPage"/>
          <w:pgSz w:w="11906" w:h="16838" w:code="9"/>
          <w:pgMar w:top="2160" w:right="1440" w:bottom="1814" w:left="1440" w:header="851" w:footer="567" w:gutter="567"/>
          <w:pgNumType w:start="1"/>
          <w:cols w:space="425"/>
          <w:docGrid w:linePitch="360"/>
        </w:sectPr>
      </w:pPr>
    </w:p>
    <w:bookmarkStart w:id="23" w:name="_Toc253154507"/>
    <w:bookmarkStart w:id="24" w:name="_Toc253154575"/>
    <w:bookmarkStart w:id="25" w:name="_Toc272326006"/>
    <w:bookmarkStart w:id="26" w:name="_Toc272326634"/>
    <w:bookmarkStart w:id="27" w:name="_Toc272326813"/>
    <w:bookmarkStart w:id="28" w:name="_Toc275960646"/>
    <w:bookmarkStart w:id="29" w:name="_Toc389223536"/>
    <w:p w:rsidR="007821E9" w:rsidRPr="00EA272E" w:rsidRDefault="00965AF0" w:rsidP="007821E9">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2608" behindDoc="0" locked="0" layoutInCell="1" allowOverlap="1">
                <wp:simplePos x="0" y="0"/>
                <wp:positionH relativeFrom="column">
                  <wp:posOffset>4667250</wp:posOffset>
                </wp:positionH>
                <wp:positionV relativeFrom="paragraph">
                  <wp:posOffset>0</wp:posOffset>
                </wp:positionV>
                <wp:extent cx="720090" cy="720090"/>
                <wp:effectExtent l="9525" t="9525" r="13335" b="13335"/>
                <wp:wrapNone/>
                <wp:docPr id="27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4864D6" w:rsidRPr="00DD5AB2" w:rsidRDefault="004864D6"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29" type="#_x0000_t202" style="position:absolute;left:0;text-align:left;margin-left:367.5pt;margin-top:0;width:56.7pt;height:56.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">
                <v:textbox>
                  <w:txbxContent>
                    <w:p w:rsidR="004864D6" w:rsidRPr="00DD5AB2" w:rsidRDefault="004864D6" w:rsidP="00DD5AB2">
                      <w:pPr>
                        <w:jc w:val="center"/>
                        <w:rPr>
                          <w:rFonts w:ascii="微軟正黑體" w:eastAsia="微軟正黑體" w:hAnsi="微軟正黑體"/>
                          <w:b/>
                          <w:sz w:val="28"/>
                        </w:rPr>
                      </w:pPr>
                      <w:r w:rsidRPr="00DD5AB2">
                        <w:rPr>
                          <w:rFonts w:ascii="微軟正黑體" w:eastAsia="微軟正黑體" w:hAnsi="微軟正黑體" w:hint="eastAsia"/>
                          <w:b/>
                          <w:sz w:val="56"/>
                          <w:szCs w:val="52"/>
                        </w:rPr>
                        <w:t>Ⅱ</w:t>
                      </w:r>
                    </w:p>
                  </w:txbxContent>
                </v:textbox>
              </v:shape>
            </w:pict>
          </mc:Fallback>
        </mc:AlternateContent>
      </w:r>
      <w:bookmarkEnd w:id="23"/>
      <w:bookmarkEnd w:id="24"/>
      <w:bookmarkEnd w:id="25"/>
      <w:bookmarkEnd w:id="26"/>
      <w:bookmarkEnd w:id="27"/>
      <w:bookmarkEnd w:id="28"/>
      <w:bookmarkEnd w:id="29"/>
    </w:p>
    <w:p w:rsidR="007F3EF4" w:rsidRPr="00EA272E" w:rsidRDefault="007F3EF4" w:rsidP="007821E9">
      <w:pPr>
        <w:pStyle w:val="1"/>
        <w:numPr>
          <w:ilvl w:val="0"/>
          <w:numId w:val="0"/>
        </w:numPr>
        <w:spacing w:before="0" w:after="0" w:line="240" w:lineRule="auto"/>
        <w:jc w:val="right"/>
        <w:rPr>
          <w:rFonts w:ascii="Times New Roman" w:eastAsia="標楷體" w:hAnsi="Times New Roman"/>
          <w:sz w:val="48"/>
          <w:szCs w:val="48"/>
        </w:rPr>
      </w:pPr>
    </w:p>
    <w:p w:rsidR="00567251" w:rsidRPr="00EA272E" w:rsidRDefault="00A439EA" w:rsidP="00DD5AB2">
      <w:pPr>
        <w:pStyle w:val="1"/>
        <w:spacing w:before="100" w:beforeAutospacing="1" w:after="100" w:afterAutospacing="1" w:line="360" w:lineRule="auto"/>
        <w:ind w:left="0" w:firstLine="0"/>
        <w:jc w:val="right"/>
        <w:rPr>
          <w:rFonts w:ascii="Times New Roman" w:eastAsia="標楷體" w:hAnsi="Times New Roman"/>
          <w:szCs w:val="56"/>
        </w:rPr>
      </w:pPr>
      <w:bookmarkStart w:id="30" w:name="_Toc389223537"/>
      <w:r w:rsidRPr="00EA272E">
        <w:rPr>
          <w:rFonts w:ascii="Times New Roman" w:eastAsia="標楷體" w:hAnsi="標楷體" w:hint="eastAsia"/>
          <w:szCs w:val="56"/>
        </w:rPr>
        <w:t>背景資訊</w:t>
      </w:r>
      <w:r w:rsidR="008E0EB4" w:rsidRPr="00EA272E">
        <w:rPr>
          <w:rFonts w:ascii="Times New Roman" w:eastAsia="標楷體" w:hAnsi="標楷體" w:hint="eastAsia"/>
          <w:szCs w:val="56"/>
        </w:rPr>
        <w:t>及產業</w:t>
      </w:r>
      <w:r w:rsidR="00EB094D" w:rsidRPr="00EA272E">
        <w:rPr>
          <w:rFonts w:ascii="Times New Roman" w:eastAsia="標楷體" w:hAnsi="標楷體" w:hint="eastAsia"/>
          <w:szCs w:val="56"/>
        </w:rPr>
        <w:t>經濟現</w:t>
      </w:r>
      <w:r w:rsidR="008E0EB4" w:rsidRPr="00EA272E">
        <w:rPr>
          <w:rFonts w:ascii="Times New Roman" w:eastAsia="標楷體" w:hAnsi="標楷體" w:hint="eastAsia"/>
          <w:szCs w:val="56"/>
        </w:rPr>
        <w:t>況</w:t>
      </w:r>
      <w:bookmarkEnd w:id="30"/>
    </w:p>
    <w:p w:rsidR="00DC4ACB" w:rsidRDefault="00E13CED" w:rsidP="00965AF0">
      <w:pPr>
        <w:pStyle w:val="2"/>
        <w:numPr>
          <w:ilvl w:val="1"/>
          <w:numId w:val="8"/>
        </w:numPr>
        <w:tabs>
          <w:tab w:val="left" w:pos="756"/>
        </w:tabs>
        <w:spacing w:beforeLines="100" w:before="240" w:afterLines="100" w:after="240" w:line="360" w:lineRule="auto"/>
        <w:ind w:left="0" w:firstLine="0"/>
        <w:rPr>
          <w:rFonts w:ascii="Times New Roman" w:eastAsia="標楷體" w:hAnsi="Times New Roman"/>
          <w:sz w:val="36"/>
          <w:szCs w:val="40"/>
        </w:rPr>
      </w:pPr>
      <w:bookmarkStart w:id="31" w:name="_Toc158135133"/>
      <w:bookmarkStart w:id="32" w:name="_Toc166242646"/>
      <w:r>
        <w:rPr>
          <w:rFonts w:ascii="Times New Roman" w:eastAsia="標楷體" w:hAnsi="Times New Roman" w:hint="eastAsia"/>
          <w:sz w:val="36"/>
          <w:szCs w:val="40"/>
        </w:rPr>
        <w:t>背景資訊</w:t>
      </w:r>
    </w:p>
    <w:bookmarkEnd w:id="31"/>
    <w:bookmarkEnd w:id="32"/>
    <w:p w:rsidR="00DC4ACB" w:rsidRDefault="00E13CED" w:rsidP="00965AF0">
      <w:pPr>
        <w:pStyle w:val="3"/>
        <w:numPr>
          <w:ilvl w:val="0"/>
          <w:numId w:val="9"/>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t>公司綜覽</w:t>
      </w:r>
    </w:p>
    <w:p w:rsidR="00DC4ACB" w:rsidRDefault="00ED4FC0" w:rsidP="00965AF0">
      <w:pPr>
        <w:numPr>
          <w:ilvl w:val="0"/>
          <w:numId w:val="15"/>
        </w:numPr>
        <w:tabs>
          <w:tab w:val="left" w:pos="960"/>
          <w:tab w:val="left" w:pos="993"/>
        </w:tabs>
        <w:spacing w:beforeLines="50" w:before="120" w:afterLines="50" w:after="120" w:line="360" w:lineRule="auto"/>
        <w:ind w:leftChars="200" w:left="962" w:hanging="482"/>
        <w:jc w:val="both"/>
        <w:rPr>
          <w:rFonts w:eastAsia="標楷體"/>
          <w:b/>
          <w:sz w:val="28"/>
          <w:szCs w:val="28"/>
        </w:rPr>
      </w:pPr>
      <w:r w:rsidRPr="00E13CED">
        <w:rPr>
          <w:rFonts w:eastAsia="標楷體" w:hint="eastAsia"/>
          <w:b/>
          <w:sz w:val="28"/>
          <w:szCs w:val="28"/>
        </w:rPr>
        <w:t>營運歷史及背景</w:t>
      </w:r>
    </w:p>
    <w:p w:rsidR="00DC4ACB" w:rsidRDefault="00A6480F" w:rsidP="00965AF0">
      <w:pPr>
        <w:spacing w:beforeLines="50" w:before="120" w:afterLines="50" w:after="120" w:line="360" w:lineRule="auto"/>
        <w:ind w:leftChars="200" w:left="480" w:firstLineChars="200" w:firstLine="520"/>
        <w:jc w:val="both"/>
        <w:rPr>
          <w:rFonts w:eastAsia="標楷體"/>
          <w:sz w:val="26"/>
          <w:szCs w:val="26"/>
        </w:rPr>
      </w:pPr>
      <w:r w:rsidRPr="002C1D3B">
        <w:rPr>
          <w:rFonts w:eastAsia="標楷體" w:hint="eastAsia"/>
          <w:sz w:val="26"/>
          <w:szCs w:val="26"/>
        </w:rPr>
        <w:t>太克科技於民國</w:t>
      </w:r>
      <w:r w:rsidRPr="002C1D3B">
        <w:rPr>
          <w:rFonts w:eastAsia="標楷體" w:hint="eastAsia"/>
          <w:sz w:val="26"/>
          <w:szCs w:val="26"/>
        </w:rPr>
        <w:t>77</w:t>
      </w:r>
      <w:r w:rsidRPr="002C1D3B">
        <w:rPr>
          <w:rFonts w:eastAsia="標楷體" w:hint="eastAsia"/>
          <w:sz w:val="26"/>
          <w:szCs w:val="26"/>
        </w:rPr>
        <w:t>年成立，為美國母公司</w:t>
      </w:r>
      <w:r w:rsidRPr="002C1D3B">
        <w:rPr>
          <w:rFonts w:eastAsia="標楷體" w:hint="eastAsia"/>
          <w:sz w:val="26"/>
          <w:szCs w:val="26"/>
        </w:rPr>
        <w:t>100%</w:t>
      </w:r>
      <w:r w:rsidRPr="002C1D3B">
        <w:rPr>
          <w:rFonts w:eastAsia="標楷體" w:hint="eastAsia"/>
          <w:sz w:val="26"/>
          <w:szCs w:val="26"/>
        </w:rPr>
        <w:t>投資之子公司。截至民國</w:t>
      </w:r>
      <w:r w:rsidR="00E43F7D">
        <w:rPr>
          <w:rFonts w:eastAsia="標楷體" w:hint="eastAsia"/>
          <w:sz w:val="26"/>
          <w:szCs w:val="26"/>
        </w:rPr>
        <w:t>105</w:t>
      </w:r>
      <w:r w:rsidRPr="002C1D3B">
        <w:rPr>
          <w:rFonts w:eastAsia="標楷體" w:hint="eastAsia"/>
          <w:sz w:val="26"/>
          <w:szCs w:val="26"/>
        </w:rPr>
        <w:t>年止實收資本額為新台幣</w:t>
      </w:r>
      <w:r w:rsidRPr="002C1D3B">
        <w:rPr>
          <w:rFonts w:eastAsia="標楷體" w:hint="eastAsia"/>
          <w:sz w:val="26"/>
          <w:szCs w:val="26"/>
        </w:rPr>
        <w:t>40,000,000</w:t>
      </w:r>
      <w:r w:rsidRPr="002C1D3B">
        <w:rPr>
          <w:rFonts w:eastAsia="標楷體" w:hint="eastAsia"/>
          <w:sz w:val="26"/>
          <w:szCs w:val="26"/>
        </w:rPr>
        <w:t>元，員工人數</w:t>
      </w:r>
      <w:r w:rsidRPr="0014287F">
        <w:rPr>
          <w:rFonts w:eastAsia="標楷體" w:hint="eastAsia"/>
          <w:sz w:val="26"/>
          <w:szCs w:val="26"/>
        </w:rPr>
        <w:t>45</w:t>
      </w:r>
      <w:r w:rsidRPr="002C1D3B">
        <w:rPr>
          <w:rFonts w:eastAsia="標楷體" w:hint="eastAsia"/>
          <w:sz w:val="26"/>
          <w:szCs w:val="26"/>
        </w:rPr>
        <w:t>人。</w:t>
      </w:r>
    </w:p>
    <w:p w:rsidR="00DC4ACB" w:rsidRDefault="0013497D" w:rsidP="00965AF0">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E13CED">
        <w:rPr>
          <w:rFonts w:eastAsia="標楷體"/>
          <w:b/>
          <w:sz w:val="28"/>
          <w:szCs w:val="28"/>
        </w:rPr>
        <w:t>主要</w:t>
      </w:r>
      <w:r w:rsidR="00105A31" w:rsidRPr="00E13CED">
        <w:rPr>
          <w:rFonts w:eastAsia="標楷體" w:hint="eastAsia"/>
          <w:b/>
          <w:sz w:val="28"/>
          <w:szCs w:val="28"/>
        </w:rPr>
        <w:t>商業活動說明</w:t>
      </w:r>
    </w:p>
    <w:p w:rsidR="00DC4ACB" w:rsidRDefault="00813E79" w:rsidP="00965AF0">
      <w:pPr>
        <w:spacing w:beforeLines="50" w:before="120" w:afterLines="50" w:after="120" w:line="360" w:lineRule="auto"/>
        <w:ind w:leftChars="200" w:left="480" w:firstLineChars="200" w:firstLine="520"/>
        <w:jc w:val="both"/>
        <w:rPr>
          <w:rFonts w:eastAsia="標楷體"/>
          <w:sz w:val="26"/>
          <w:szCs w:val="26"/>
        </w:rPr>
      </w:pPr>
      <w:r w:rsidRPr="002C1D3B">
        <w:rPr>
          <w:rFonts w:eastAsia="標楷體" w:hint="eastAsia"/>
          <w:sz w:val="26"/>
          <w:szCs w:val="26"/>
        </w:rPr>
        <w:t>太克科技銷售集團所產精密測量儀器，包括示波器、即時頻譜分析儀、邏輯分析器及信號產生器，並提供全球通訊、電腦及半導體等業界測量方案。</w:t>
      </w:r>
    </w:p>
    <w:p w:rsidR="00DC4ACB" w:rsidRDefault="00DE04C5" w:rsidP="00965AF0">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8"/>
        </w:rPr>
      </w:pPr>
      <w:bookmarkStart w:id="33" w:name="_Toc158135135"/>
      <w:bookmarkStart w:id="34" w:name="_Toc166242648"/>
      <w:r w:rsidRPr="00E13CED">
        <w:rPr>
          <w:rFonts w:eastAsia="標楷體" w:hint="eastAsia"/>
          <w:b/>
          <w:sz w:val="28"/>
          <w:szCs w:val="28"/>
        </w:rPr>
        <w:t>事業部門介紹</w:t>
      </w:r>
      <w:bookmarkEnd w:id="33"/>
      <w:bookmarkEnd w:id="34"/>
    </w:p>
    <w:p w:rsidR="00DC4ACB" w:rsidRDefault="0096034D" w:rsidP="00965AF0">
      <w:pPr>
        <w:numPr>
          <w:ilvl w:val="0"/>
          <w:numId w:val="48"/>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85157E">
        <w:rPr>
          <w:rFonts w:eastAsia="標楷體" w:hint="eastAsia"/>
          <w:sz w:val="26"/>
          <w:szCs w:val="26"/>
        </w:rPr>
        <w:t>部門</w:t>
      </w:r>
      <w:r w:rsidR="00567251" w:rsidRPr="0085157E">
        <w:rPr>
          <w:rFonts w:eastAsia="標楷體"/>
          <w:sz w:val="26"/>
          <w:szCs w:val="26"/>
        </w:rPr>
        <w:t>組織圖</w:t>
      </w:r>
    </w:p>
    <w:p w:rsidR="00DC4ACB" w:rsidRDefault="00965AF0" w:rsidP="00965AF0">
      <w:pPr>
        <w:spacing w:beforeLines="50" w:before="120" w:afterLines="50" w:after="120" w:line="360" w:lineRule="auto"/>
        <w:ind w:leftChars="200" w:left="480" w:firstLineChars="200" w:firstLine="520"/>
        <w:jc w:val="both"/>
        <w:rPr>
          <w:rFonts w:eastAsia="標楷體"/>
          <w:color w:val="0070C0"/>
          <w:sz w:val="26"/>
          <w:szCs w:val="26"/>
        </w:rPr>
      </w:pPr>
      <w:r>
        <w:rPr>
          <w:rFonts w:eastAsia="標楷體"/>
          <w:noProof/>
          <w:color w:val="0070C0"/>
          <w:sz w:val="26"/>
          <w:szCs w:val="26"/>
        </w:rPr>
        <mc:AlternateContent>
          <mc:Choice Requires="wpc">
            <w:drawing>
              <wp:inline distT="0" distB="0" distL="0" distR="0">
                <wp:extent cx="4267200" cy="1371600"/>
                <wp:effectExtent l="0" t="0" r="0" b="0"/>
                <wp:docPr id="184" name="畫布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3" name="Rectangle 186"/>
                        <wps:cNvSpPr>
                          <a:spLocks noChangeArrowheads="1"/>
                        </wps:cNvSpPr>
                        <wps:spPr bwMode="auto">
                          <a:xfrm>
                            <a:off x="1295202" y="114115"/>
                            <a:ext cx="1600478" cy="342344"/>
                          </a:xfrm>
                          <a:prstGeom prst="rect">
                            <a:avLst/>
                          </a:prstGeom>
                          <a:solidFill>
                            <a:srgbClr val="FFFFFF"/>
                          </a:solidFill>
                          <a:ln w="9525">
                            <a:solidFill>
                              <a:srgbClr val="000000"/>
                            </a:solidFill>
                            <a:miter lim="800000"/>
                            <a:headEnd/>
                            <a:tailEnd/>
                          </a:ln>
                        </wps:spPr>
                        <wps:txbx>
                          <w:txbxContent>
                            <w:p w:rsidR="004864D6" w:rsidRPr="00D71510" w:rsidRDefault="004864D6" w:rsidP="00813E79">
                              <w:pPr>
                                <w:jc w:val="center"/>
                                <w:rPr>
                                  <w:rFonts w:ascii="標楷體" w:eastAsia="標楷體" w:hAnsi="標楷體"/>
                                </w:rPr>
                              </w:pPr>
                              <w:r w:rsidRPr="00D71510">
                                <w:rPr>
                                  <w:rFonts w:ascii="標楷體" w:eastAsia="標楷體" w:hAnsi="標楷體" w:hint="eastAsia"/>
                                </w:rPr>
                                <w:t>總經理</w:t>
                              </w:r>
                            </w:p>
                          </w:txbxContent>
                        </wps:txbx>
                        <wps:bodyPr rot="0" vert="horz" wrap="square" lIns="91440" tIns="45720" rIns="91440" bIns="45720" anchor="t" anchorCtr="0" upright="1">
                          <a:noAutofit/>
                        </wps:bodyPr>
                      </wps:wsp>
                      <wps:wsp>
                        <wps:cNvPr id="264" name="Rectangle 187"/>
                        <wps:cNvSpPr>
                          <a:spLocks noChangeArrowheads="1"/>
                        </wps:cNvSpPr>
                        <wps:spPr bwMode="auto">
                          <a:xfrm>
                            <a:off x="151897" y="800285"/>
                            <a:ext cx="1220364" cy="342344"/>
                          </a:xfrm>
                          <a:prstGeom prst="rect">
                            <a:avLst/>
                          </a:prstGeom>
                          <a:solidFill>
                            <a:srgbClr val="FFFFFF"/>
                          </a:solidFill>
                          <a:ln w="9525">
                            <a:solidFill>
                              <a:srgbClr val="000000"/>
                            </a:solidFill>
                            <a:miter lim="800000"/>
                            <a:headEnd/>
                            <a:tailEnd/>
                          </a:ln>
                        </wps:spPr>
                        <wps:txbx>
                          <w:txbxContent>
                            <w:p w:rsidR="004864D6" w:rsidRPr="00D71510" w:rsidRDefault="004864D6" w:rsidP="00813E79">
                              <w:pPr>
                                <w:jc w:val="center"/>
                                <w:rPr>
                                  <w:rFonts w:ascii="標楷體" w:eastAsia="標楷體" w:hAnsi="標楷體"/>
                                </w:rPr>
                              </w:pPr>
                              <w:r w:rsidRPr="00D71510">
                                <w:rPr>
                                  <w:rFonts w:ascii="標楷體" w:eastAsia="標楷體" w:hAnsi="標楷體" w:hint="eastAsia"/>
                                </w:rPr>
                                <w:t>產品服務部</w:t>
                              </w:r>
                            </w:p>
                          </w:txbxContent>
                        </wps:txbx>
                        <wps:bodyPr rot="0" vert="horz" wrap="square" lIns="91440" tIns="45720" rIns="91440" bIns="45720" anchor="t" anchorCtr="0" upright="1">
                          <a:noAutofit/>
                        </wps:bodyPr>
                      </wps:wsp>
                      <wps:wsp>
                        <wps:cNvPr id="265" name="Rectangle 188"/>
                        <wps:cNvSpPr>
                          <a:spLocks noChangeArrowheads="1"/>
                        </wps:cNvSpPr>
                        <wps:spPr bwMode="auto">
                          <a:xfrm>
                            <a:off x="1524159" y="800285"/>
                            <a:ext cx="1218141" cy="342344"/>
                          </a:xfrm>
                          <a:prstGeom prst="rect">
                            <a:avLst/>
                          </a:prstGeom>
                          <a:solidFill>
                            <a:srgbClr val="FFFFFF"/>
                          </a:solidFill>
                          <a:ln w="9525">
                            <a:solidFill>
                              <a:srgbClr val="000000"/>
                            </a:solidFill>
                            <a:miter lim="800000"/>
                            <a:headEnd/>
                            <a:tailEnd/>
                          </a:ln>
                        </wps:spPr>
                        <wps:txbx>
                          <w:txbxContent>
                            <w:p w:rsidR="004864D6" w:rsidRPr="00D71510" w:rsidRDefault="004864D6" w:rsidP="00813E79">
                              <w:pPr>
                                <w:jc w:val="center"/>
                                <w:rPr>
                                  <w:rFonts w:ascii="標楷體" w:eastAsia="標楷體" w:hAnsi="標楷體"/>
                                </w:rPr>
                              </w:pPr>
                              <w:r w:rsidRPr="00D71510">
                                <w:rPr>
                                  <w:rFonts w:ascii="標楷體" w:eastAsia="標楷體" w:hAnsi="標楷體" w:hint="eastAsia"/>
                                </w:rPr>
                                <w:t>財務會計部</w:t>
                              </w:r>
                            </w:p>
                          </w:txbxContent>
                        </wps:txbx>
                        <wps:bodyPr rot="0" vert="horz" wrap="square" lIns="91440" tIns="45720" rIns="91440" bIns="45720" anchor="t" anchorCtr="0" upright="1">
                          <a:noAutofit/>
                        </wps:bodyPr>
                      </wps:wsp>
                      <wps:wsp>
                        <wps:cNvPr id="266" name="Rectangle 189"/>
                        <wps:cNvSpPr>
                          <a:spLocks noChangeArrowheads="1"/>
                        </wps:cNvSpPr>
                        <wps:spPr bwMode="auto">
                          <a:xfrm>
                            <a:off x="2895679" y="800285"/>
                            <a:ext cx="1220364" cy="342344"/>
                          </a:xfrm>
                          <a:prstGeom prst="rect">
                            <a:avLst/>
                          </a:prstGeom>
                          <a:solidFill>
                            <a:srgbClr val="FFFFFF"/>
                          </a:solidFill>
                          <a:ln w="9525">
                            <a:solidFill>
                              <a:srgbClr val="000000"/>
                            </a:solidFill>
                            <a:miter lim="800000"/>
                            <a:headEnd/>
                            <a:tailEnd/>
                          </a:ln>
                        </wps:spPr>
                        <wps:txbx>
                          <w:txbxContent>
                            <w:p w:rsidR="004864D6" w:rsidRPr="00D71510" w:rsidRDefault="004864D6" w:rsidP="00813E79">
                              <w:pPr>
                                <w:jc w:val="center"/>
                                <w:rPr>
                                  <w:rFonts w:ascii="標楷體" w:eastAsia="標楷體" w:hAnsi="標楷體"/>
                                </w:rPr>
                              </w:pPr>
                              <w:r w:rsidRPr="00D71510">
                                <w:rPr>
                                  <w:rFonts w:ascii="標楷體" w:eastAsia="標楷體" w:hAnsi="標楷體" w:hint="eastAsia"/>
                                </w:rPr>
                                <w:t>業務部</w:t>
                              </w:r>
                            </w:p>
                          </w:txbxContent>
                        </wps:txbx>
                        <wps:bodyPr rot="0" vert="horz" wrap="square" lIns="91440" tIns="45720" rIns="91440" bIns="45720" anchor="t" anchorCtr="0" upright="1">
                          <a:noAutofit/>
                        </wps:bodyPr>
                      </wps:wsp>
                      <wps:wsp>
                        <wps:cNvPr id="268" name="Line 190"/>
                        <wps:cNvCnPr/>
                        <wps:spPr bwMode="auto">
                          <a:xfrm>
                            <a:off x="838028" y="571315"/>
                            <a:ext cx="266746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Line 191"/>
                        <wps:cNvCnPr/>
                        <wps:spPr bwMode="auto">
                          <a:xfrm>
                            <a:off x="2133970" y="457200"/>
                            <a:ext cx="0" cy="114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Line 192"/>
                        <wps:cNvCnPr/>
                        <wps:spPr bwMode="auto">
                          <a:xfrm>
                            <a:off x="838028" y="571315"/>
                            <a:ext cx="0" cy="2289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Line 193"/>
                        <wps:cNvCnPr/>
                        <wps:spPr bwMode="auto">
                          <a:xfrm>
                            <a:off x="2133970" y="571315"/>
                            <a:ext cx="0" cy="2289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194"/>
                        <wps:cNvCnPr/>
                        <wps:spPr bwMode="auto">
                          <a:xfrm>
                            <a:off x="3505491" y="571315"/>
                            <a:ext cx="0" cy="2289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畫布 184" o:spid="_x0000_s1030" editas="canvas" style="width:336pt;height:108pt;mso-position-horizontal-relative:char;mso-position-vertical-relative:line" coordsize="42672,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42672;height:13716;visibility:visible;mso-wrap-style:square">
                  <v:fill o:detectmouseclick="t"/>
                  <v:path o:connecttype="none"/>
                </v:shape>
                <v:rect id="Rectangle 186" o:spid="_x0000_s1032" style="position:absolute;left:12952;top:1141;width:16004;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lOcMA&#10;AADcAAAADwAAAGRycy9kb3ducmV2LnhtbESPQYvCMBSE7wv+h/AEb2tqBdFqFFGU9ajtZW9vm2fb&#10;3ealNFG7/nojCB6HmfmGWaw6U4srta6yrGA0jEAQ51ZXXCjI0t3nFITzyBpry6Tgnxyslr2PBSba&#10;3vhI15MvRICwS1BB6X2TSOnykgy6oW2Ig3e2rUEfZFtI3eItwE0t4yiaSIMVh4USG9qUlP+dLkbB&#10;TxVneD+m+8jMdmN/6NLfy/dWqUG/W89BeOr8O/xqf2kF8WQM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lOcMAAADcAAAADwAAAAAAAAAAAAAAAACYAgAAZHJzL2Rv&#10;d25yZXYueG1sUEsFBgAAAAAEAAQA9QAAAIgDAAAAAA==&#10;">
                  <v:textbox>
                    <w:txbxContent>
                      <w:p w:rsidR="004864D6" w:rsidRPr="00D71510" w:rsidRDefault="004864D6" w:rsidP="00813E79">
                        <w:pPr>
                          <w:jc w:val="center"/>
                          <w:rPr>
                            <w:rFonts w:ascii="標楷體" w:eastAsia="標楷體" w:hAnsi="標楷體"/>
                          </w:rPr>
                        </w:pPr>
                        <w:r w:rsidRPr="00D71510">
                          <w:rPr>
                            <w:rFonts w:ascii="標楷體" w:eastAsia="標楷體" w:hAnsi="標楷體" w:hint="eastAsia"/>
                          </w:rPr>
                          <w:t>總經理</w:t>
                        </w:r>
                      </w:p>
                    </w:txbxContent>
                  </v:textbox>
                </v:rect>
                <v:rect id="Rectangle 187" o:spid="_x0000_s1033" style="position:absolute;left:1518;top:8002;width:12204;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79TcUA&#10;AADcAAAADwAAAGRycy9kb3ducmV2LnhtbESPQWvCQBSE74X+h+UVeqsbo0gbXaVUUuzRxEtvz+wz&#10;iWbfhuyaRH99t1DocZiZb5jVZjSN6KlztWUF00kEgriwuuZSwSFPX15BOI+ssbFMCm7kYLN+fFhh&#10;ou3Ae+ozX4oAYZeggsr7NpHSFRUZdBPbEgfvZDuDPsiulLrDIcBNI+MoWkiDNYeFClv6qKi4ZFej&#10;4FjHB7zv88/IvKUz/zXm5+v3Vqnnp/F9CcLT6P/Df+2dVhAv5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1NxQAAANwAAAAPAAAAAAAAAAAAAAAAAJgCAABkcnMv&#10;ZG93bnJldi54bWxQSwUGAAAAAAQABAD1AAAAigMAAAAA&#10;">
                  <v:textbox>
                    <w:txbxContent>
                      <w:p w:rsidR="004864D6" w:rsidRPr="00D71510" w:rsidRDefault="004864D6" w:rsidP="00813E79">
                        <w:pPr>
                          <w:jc w:val="center"/>
                          <w:rPr>
                            <w:rFonts w:ascii="標楷體" w:eastAsia="標楷體" w:hAnsi="標楷體"/>
                          </w:rPr>
                        </w:pPr>
                        <w:r w:rsidRPr="00D71510">
                          <w:rPr>
                            <w:rFonts w:ascii="標楷體" w:eastAsia="標楷體" w:hAnsi="標楷體" w:hint="eastAsia"/>
                          </w:rPr>
                          <w:t>產品服務部</w:t>
                        </w:r>
                      </w:p>
                    </w:txbxContent>
                  </v:textbox>
                </v:rect>
                <v:rect id="Rectangle 188" o:spid="_x0000_s1034" style="position:absolute;left:15241;top:8002;width:12182;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JY1sUA&#10;AADcAAAADwAAAGRycy9kb3ducmV2LnhtbESPQWvCQBSE74X+h+UVeqsbI0obXaVUUuzRxEtvz+wz&#10;iWbfhuyaRH99t1DocZiZb5jVZjSN6KlztWUF00kEgriwuuZSwSFPX15BOI+ssbFMCm7kYLN+fFhh&#10;ou3Ae+ozX4oAYZeggsr7NpHSFRUZdBPbEgfvZDuDPsiulLrDIcBNI+MoWkiDNYeFClv6qKi4ZFej&#10;4FjHB7zv88/IvKUz/zXm5+v3Vqnnp/F9CcLT6P/Df+2dVhAv5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ljWxQAAANwAAAAPAAAAAAAAAAAAAAAAAJgCAABkcnMv&#10;ZG93bnJldi54bWxQSwUGAAAAAAQABAD1AAAAigMAAAAA&#10;">
                  <v:textbox>
                    <w:txbxContent>
                      <w:p w:rsidR="004864D6" w:rsidRPr="00D71510" w:rsidRDefault="004864D6" w:rsidP="00813E79">
                        <w:pPr>
                          <w:jc w:val="center"/>
                          <w:rPr>
                            <w:rFonts w:ascii="標楷體" w:eastAsia="標楷體" w:hAnsi="標楷體"/>
                          </w:rPr>
                        </w:pPr>
                        <w:r w:rsidRPr="00D71510">
                          <w:rPr>
                            <w:rFonts w:ascii="標楷體" w:eastAsia="標楷體" w:hAnsi="標楷體" w:hint="eastAsia"/>
                          </w:rPr>
                          <w:t>財務會計部</w:t>
                        </w:r>
                      </w:p>
                    </w:txbxContent>
                  </v:textbox>
                </v:rect>
                <v:rect id="Rectangle 189" o:spid="_x0000_s1035" style="position:absolute;left:28956;top:8002;width:12204;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GocMA&#10;AADcAAAADwAAAGRycy9kb3ducmV2LnhtbESPQYvCMBSE74L/ITzBm6ZWKGs1iri4uEetF2/P5tlW&#10;m5fSRK376zcLCx6HmfmGWaw6U4sHta6yrGAyjkAQ51ZXXCg4ZtvRBwjnkTXWlknBixyslv3eAlNt&#10;n7ynx8EXIkDYpaig9L5JpXR5SQbd2DbEwbvY1qAPsi2kbvEZ4KaWcRQl0mDFYaHEhjYl5bfD3Sg4&#10;V/ERf/bZV2Rm26n/7rLr/fSp1HDQrecgPHX+Hf5v77SCOEng70w4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DGocMAAADcAAAADwAAAAAAAAAAAAAAAACYAgAAZHJzL2Rv&#10;d25yZXYueG1sUEsFBgAAAAAEAAQA9QAAAIgDAAAAAA==&#10;">
                  <v:textbox>
                    <w:txbxContent>
                      <w:p w:rsidR="004864D6" w:rsidRPr="00D71510" w:rsidRDefault="004864D6" w:rsidP="00813E79">
                        <w:pPr>
                          <w:jc w:val="center"/>
                          <w:rPr>
                            <w:rFonts w:ascii="標楷體" w:eastAsia="標楷體" w:hAnsi="標楷體"/>
                          </w:rPr>
                        </w:pPr>
                        <w:r w:rsidRPr="00D71510">
                          <w:rPr>
                            <w:rFonts w:ascii="標楷體" w:eastAsia="標楷體" w:hAnsi="標楷體" w:hint="eastAsia"/>
                          </w:rPr>
                          <w:t>業務部</w:t>
                        </w:r>
                      </w:p>
                    </w:txbxContent>
                  </v:textbox>
                </v:rect>
                <v:line id="Line 190" o:spid="_x0000_s1036" style="position:absolute;visibility:visible;mso-wrap-style:square" from="8380,5713" to="35054,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WIBMQAAADcAAAADwAAAGRycy9kb3ducmV2LnhtbERPy2rCQBTdF/oPwy10VydaCJI6EbEU&#10;tAupD6jLm8w1SZu5E2amSfz7zkJweTjvxXI0rejJ+caygukkAUFcWt1wpeB0/HiZg/ABWWNrmRRc&#10;ycMyf3xYYKbtwHvqD6ESMYR9hgrqELpMSl/WZNBPbEccuYt1BkOErpLa4RDDTStnSZJKgw3Hhho7&#10;WtdU/h7+jILd61far7afm/F7mxbl+744/wxOqeencfUGItAY7uKbe6MVzNK4Np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YgExAAAANwAAAAPAAAAAAAAAAAA&#10;AAAAAKECAABkcnMvZG93bnJldi54bWxQSwUGAAAAAAQABAD5AAAAkgMAAAAA&#10;"/>
                <v:line id="Line 191" o:spid="_x0000_s1037" style="position:absolute;visibility:visible;mso-wrap-style:square" from="21339,4572" to="21339,5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ktn8YAAADcAAAADwAAAGRycy9kb3ducmV2LnhtbESPQWvCQBSE7wX/w/IEb3VThdBGVxFL&#10;QT2Uagt6fGafSWr2bdhdk/TfdwtCj8PMfMPMl72pRUvOV5YVPI0TEMS51RUXCr4+3x6fQfiArLG2&#10;TAp+yMNyMXiYY6Ztx3tqD6EQEcI+QwVlCE0mpc9LMujHtiGO3sU6gyFKV0jtsItwU8tJkqTSYMVx&#10;ocSG1iXl18PNKHiffqTtarvb9Mdtes5f9+fTd+eUGg371QxEoD78h+/tjVYwSV/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5LZ/GAAAA3AAAAA8AAAAAAAAA&#10;AAAAAAAAoQIAAGRycy9kb3ducmV2LnhtbFBLBQYAAAAABAAEAPkAAACUAwAAAAA=&#10;"/>
                <v:line id="Line 192" o:spid="_x0000_s1038" style="position:absolute;visibility:visible;mso-wrap-style:square" from="8380,5713" to="8380,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S38QAAADcAAAADwAAAGRycy9kb3ducmV2LnhtbERPy2rCQBTdF/yH4Qru6kSFtERHEUtB&#10;uyj1Abq8Zq5JNHMnzEyT9O87i0KXh/NerHpTi5acrywrmIwTEMS51RUXCk7H9+dXED4ga6wtk4If&#10;8rBaDp4WmGnb8Z7aQyhEDGGfoYIyhCaT0uclGfRj2xBH7madwRChK6R22MVwU8tpkqTSYMWxocSG&#10;NiXlj8O3UfA5+0rb9e5j25936TV/218v984pNRr26zmIQH34F/+5t1rB9C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2hLfxAAAANwAAAAPAAAAAAAAAAAA&#10;AAAAAKECAABkcnMvZG93bnJldi54bWxQSwUGAAAAAAQABAD5AAAAkgMAAAAA&#10;"/>
                <v:line id="Line 193" o:spid="_x0000_s1039" style="position:absolute;visibility:visible;mso-wrap-style:square" from="21339,5713" to="21339,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a3RMYAAADcAAAADwAAAGRycy9kb3ducmV2LnhtbESPQWvCQBSE70L/w/IK3nSjQiqpq0hL&#10;QXsoVQvt8Zl9JrHZt2F3m6T/3hUEj8PMfMMsVr2pRUvOV5YVTMYJCOLc6ooLBV+Ht9EchA/IGmvL&#10;pOCfPKyWD4MFZtp2vKN2HwoRIewzVFCG0GRS+rwkg35sG+LonawzGKJ0hdQOuwg3tZwmSSoNVhwX&#10;SmzopaT8d/9nFHzMPtN2vX3f9N/b9Ji/7o4/584pNXzs188gAvXhHr61N1rB9GkC1zPxCM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Wt0TGAAAA3AAAAA8AAAAAAAAA&#10;AAAAAAAAoQIAAGRycy9kb3ducmV2LnhtbFBLBQYAAAAABAAEAPkAAACUAwAAAAA=&#10;"/>
                <v:line id="Line 194" o:spid="_x0000_s1040" style="position:absolute;visibility:visible;mso-wrap-style:square" from="35054,5713" to="35054,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QpM8cAAADcAAAADwAAAGRycy9kb3ducmV2LnhtbESPQWvCQBSE7wX/w/KE3urGFFJ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RCkzxwAAANwAAAAPAAAAAAAA&#10;AAAAAAAAAKECAABkcnMvZG93bnJldi54bWxQSwUGAAAAAAQABAD5AAAAlQMAAAAA&#10;"/>
                <w10:anchorlock/>
              </v:group>
            </w:pict>
          </mc:Fallback>
        </mc:AlternateContent>
      </w:r>
    </w:p>
    <w:p w:rsidR="00DC4ACB" w:rsidRDefault="00DC4ACB" w:rsidP="00965AF0">
      <w:pPr>
        <w:spacing w:beforeLines="50" w:before="120" w:afterLines="50" w:after="120" w:line="360" w:lineRule="auto"/>
        <w:ind w:leftChars="200" w:left="480" w:firstLineChars="200" w:firstLine="520"/>
        <w:jc w:val="both"/>
        <w:rPr>
          <w:rFonts w:eastAsia="標楷體"/>
          <w:color w:val="0070C0"/>
          <w:sz w:val="26"/>
          <w:szCs w:val="26"/>
        </w:rPr>
      </w:pPr>
    </w:p>
    <w:p w:rsidR="00DC4ACB" w:rsidRDefault="00ED4FC0" w:rsidP="00965AF0">
      <w:pPr>
        <w:numPr>
          <w:ilvl w:val="0"/>
          <w:numId w:val="48"/>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85157E">
        <w:rPr>
          <w:rFonts w:eastAsia="標楷體"/>
          <w:sz w:val="26"/>
          <w:szCs w:val="26"/>
        </w:rPr>
        <w:lastRenderedPageBreak/>
        <w:t>各</w:t>
      </w:r>
      <w:r w:rsidR="00567251" w:rsidRPr="0085157E">
        <w:rPr>
          <w:rFonts w:eastAsia="標楷體"/>
          <w:sz w:val="26"/>
          <w:szCs w:val="26"/>
        </w:rPr>
        <w:t>部門業務職掌</w:t>
      </w:r>
    </w:p>
    <w:tbl>
      <w:tblPr>
        <w:tblW w:w="7883" w:type="dxa"/>
        <w:jc w:val="right"/>
        <w:tblInd w:w="98"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1956"/>
        <w:gridCol w:w="5927"/>
      </w:tblGrid>
      <w:tr w:rsidR="00A14326" w:rsidRPr="00EA272E">
        <w:trPr>
          <w:trHeight w:val="530"/>
          <w:tblHeader/>
          <w:jc w:val="right"/>
        </w:trPr>
        <w:tc>
          <w:tcPr>
            <w:tcW w:w="1956" w:type="dxa"/>
            <w:shd w:val="clear" w:color="auto" w:fill="4F81BD"/>
            <w:vAlign w:val="center"/>
          </w:tcPr>
          <w:p w:rsidR="00DC4ACB" w:rsidRDefault="00A14326" w:rsidP="00965AF0">
            <w:pPr>
              <w:widowControl/>
              <w:spacing w:beforeLines="25" w:before="60" w:afterLines="25" w:after="60"/>
              <w:jc w:val="center"/>
              <w:rPr>
                <w:rFonts w:eastAsia="標楷體"/>
                <w:bCs/>
                <w:color w:val="FFFFFF"/>
                <w:kern w:val="0"/>
                <w:sz w:val="26"/>
                <w:szCs w:val="26"/>
              </w:rPr>
            </w:pPr>
            <w:r w:rsidRPr="00EA272E">
              <w:rPr>
                <w:rFonts w:eastAsia="標楷體" w:hint="eastAsia"/>
                <w:bCs/>
                <w:color w:val="FFFFFF"/>
                <w:kern w:val="0"/>
                <w:sz w:val="26"/>
                <w:szCs w:val="26"/>
              </w:rPr>
              <w:t>部門別</w:t>
            </w:r>
          </w:p>
        </w:tc>
        <w:tc>
          <w:tcPr>
            <w:tcW w:w="5927" w:type="dxa"/>
            <w:shd w:val="clear" w:color="auto" w:fill="4F81BD"/>
            <w:vAlign w:val="center"/>
          </w:tcPr>
          <w:p w:rsidR="00DC4ACB" w:rsidRDefault="00A14326" w:rsidP="00965AF0">
            <w:pPr>
              <w:widowControl/>
              <w:spacing w:beforeLines="25" w:before="60" w:afterLines="25" w:after="60"/>
              <w:jc w:val="center"/>
              <w:rPr>
                <w:rFonts w:eastAsia="標楷體"/>
                <w:bCs/>
                <w:color w:val="FFFFFF"/>
                <w:kern w:val="0"/>
                <w:sz w:val="26"/>
                <w:szCs w:val="26"/>
              </w:rPr>
            </w:pPr>
            <w:r w:rsidRPr="00EA272E">
              <w:rPr>
                <w:rFonts w:eastAsia="標楷體" w:hint="eastAsia"/>
                <w:bCs/>
                <w:color w:val="FFFFFF"/>
                <w:kern w:val="0"/>
                <w:sz w:val="26"/>
                <w:szCs w:val="26"/>
              </w:rPr>
              <w:t>業務職掌</w:t>
            </w:r>
          </w:p>
        </w:tc>
      </w:tr>
      <w:tr w:rsidR="00DF5C06" w:rsidRPr="00EA272E">
        <w:trPr>
          <w:trHeight w:val="20"/>
          <w:jc w:val="right"/>
        </w:trPr>
        <w:tc>
          <w:tcPr>
            <w:tcW w:w="1956" w:type="dxa"/>
            <w:vAlign w:val="center"/>
          </w:tcPr>
          <w:p w:rsidR="00DC4ACB" w:rsidRDefault="00DF5C06" w:rsidP="00965AF0">
            <w:pPr>
              <w:spacing w:beforeLines="25" w:before="60" w:afterLines="25" w:after="60"/>
              <w:jc w:val="center"/>
              <w:rPr>
                <w:rFonts w:eastAsia="標楷體"/>
                <w:bCs/>
                <w:sz w:val="26"/>
                <w:szCs w:val="26"/>
              </w:rPr>
            </w:pPr>
            <w:r w:rsidRPr="002C1D3B">
              <w:rPr>
                <w:rFonts w:eastAsia="標楷體" w:hint="eastAsia"/>
                <w:bCs/>
                <w:sz w:val="26"/>
                <w:szCs w:val="26"/>
              </w:rPr>
              <w:t>總經理</w:t>
            </w:r>
          </w:p>
        </w:tc>
        <w:tc>
          <w:tcPr>
            <w:tcW w:w="5927" w:type="dxa"/>
            <w:vAlign w:val="center"/>
          </w:tcPr>
          <w:p w:rsidR="00DC4ACB" w:rsidRDefault="00DF5C06" w:rsidP="00965AF0">
            <w:pPr>
              <w:spacing w:beforeLines="25" w:before="60" w:afterLines="25" w:after="60"/>
              <w:jc w:val="both"/>
              <w:rPr>
                <w:rFonts w:eastAsia="標楷體"/>
                <w:sz w:val="26"/>
                <w:szCs w:val="26"/>
              </w:rPr>
            </w:pPr>
            <w:r w:rsidRPr="002C1D3B">
              <w:rPr>
                <w:rFonts w:eastAsia="標楷體" w:hint="eastAsia"/>
                <w:sz w:val="26"/>
                <w:szCs w:val="26"/>
              </w:rPr>
              <w:t>制定經營策略</w:t>
            </w:r>
          </w:p>
        </w:tc>
      </w:tr>
      <w:tr w:rsidR="00DF5C06" w:rsidRPr="00EA272E">
        <w:trPr>
          <w:trHeight w:val="238"/>
          <w:jc w:val="right"/>
        </w:trPr>
        <w:tc>
          <w:tcPr>
            <w:tcW w:w="1956" w:type="dxa"/>
            <w:vAlign w:val="center"/>
          </w:tcPr>
          <w:p w:rsidR="00DC4ACB" w:rsidRDefault="00DF5C06" w:rsidP="00965AF0">
            <w:pPr>
              <w:spacing w:beforeLines="25" w:before="60" w:afterLines="25" w:after="60"/>
              <w:jc w:val="center"/>
              <w:rPr>
                <w:rFonts w:eastAsia="標楷體"/>
                <w:bCs/>
                <w:sz w:val="26"/>
                <w:szCs w:val="26"/>
              </w:rPr>
            </w:pPr>
            <w:r w:rsidRPr="002C1D3B">
              <w:rPr>
                <w:rFonts w:eastAsia="標楷體" w:hint="eastAsia"/>
                <w:bCs/>
                <w:sz w:val="26"/>
                <w:szCs w:val="26"/>
              </w:rPr>
              <w:t>產品服務部門</w:t>
            </w:r>
          </w:p>
        </w:tc>
        <w:tc>
          <w:tcPr>
            <w:tcW w:w="5927" w:type="dxa"/>
            <w:vAlign w:val="center"/>
          </w:tcPr>
          <w:p w:rsidR="00DC4ACB" w:rsidRDefault="00DF5C06" w:rsidP="00965AF0">
            <w:pPr>
              <w:spacing w:beforeLines="25" w:before="60" w:afterLines="25" w:after="60"/>
              <w:jc w:val="both"/>
              <w:rPr>
                <w:rFonts w:eastAsia="標楷體"/>
                <w:sz w:val="26"/>
                <w:szCs w:val="26"/>
              </w:rPr>
            </w:pPr>
            <w:r w:rsidRPr="002C1D3B">
              <w:rPr>
                <w:rFonts w:eastAsia="標楷體" w:hint="eastAsia"/>
                <w:sz w:val="26"/>
                <w:szCs w:val="26"/>
              </w:rPr>
              <w:t>負責技術支援、維修、售後服務</w:t>
            </w:r>
          </w:p>
        </w:tc>
      </w:tr>
      <w:tr w:rsidR="00DF5C06" w:rsidRPr="00EA272E">
        <w:trPr>
          <w:trHeight w:val="216"/>
          <w:jc w:val="right"/>
        </w:trPr>
        <w:tc>
          <w:tcPr>
            <w:tcW w:w="1956" w:type="dxa"/>
            <w:vAlign w:val="center"/>
          </w:tcPr>
          <w:p w:rsidR="00DC4ACB" w:rsidRDefault="00DF5C06" w:rsidP="00965AF0">
            <w:pPr>
              <w:spacing w:beforeLines="25" w:before="60" w:afterLines="25" w:after="60"/>
              <w:jc w:val="center"/>
              <w:rPr>
                <w:rFonts w:eastAsia="標楷體"/>
                <w:bCs/>
                <w:sz w:val="26"/>
                <w:szCs w:val="26"/>
              </w:rPr>
            </w:pPr>
            <w:r>
              <w:rPr>
                <w:rFonts w:eastAsia="標楷體" w:hint="eastAsia"/>
                <w:bCs/>
                <w:sz w:val="26"/>
                <w:szCs w:val="26"/>
              </w:rPr>
              <w:t>財務會計</w:t>
            </w:r>
            <w:r w:rsidRPr="002C1D3B">
              <w:rPr>
                <w:rFonts w:eastAsia="標楷體" w:hint="eastAsia"/>
                <w:bCs/>
                <w:sz w:val="26"/>
                <w:szCs w:val="26"/>
              </w:rPr>
              <w:t>部門</w:t>
            </w:r>
          </w:p>
        </w:tc>
        <w:tc>
          <w:tcPr>
            <w:tcW w:w="5927" w:type="dxa"/>
            <w:vAlign w:val="center"/>
          </w:tcPr>
          <w:p w:rsidR="00DC4ACB" w:rsidRDefault="00DF5C06" w:rsidP="00965AF0">
            <w:pPr>
              <w:spacing w:beforeLines="25" w:before="60" w:afterLines="25" w:after="60"/>
              <w:jc w:val="both"/>
              <w:rPr>
                <w:rFonts w:eastAsia="標楷體"/>
                <w:sz w:val="26"/>
                <w:szCs w:val="26"/>
              </w:rPr>
            </w:pPr>
            <w:r w:rsidRPr="002C1D3B">
              <w:rPr>
                <w:rFonts w:eastAsia="標楷體" w:hint="eastAsia"/>
                <w:sz w:val="26"/>
                <w:szCs w:val="26"/>
              </w:rPr>
              <w:t>負責財務、催款事宜</w:t>
            </w:r>
          </w:p>
        </w:tc>
      </w:tr>
    </w:tbl>
    <w:p w:rsidR="00DC4ACB" w:rsidRDefault="00EB094D" w:rsidP="00965AF0">
      <w:pPr>
        <w:numPr>
          <w:ilvl w:val="0"/>
          <w:numId w:val="15"/>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E13CED">
        <w:rPr>
          <w:rFonts w:eastAsia="標楷體" w:hint="eastAsia"/>
          <w:b/>
          <w:sz w:val="28"/>
          <w:szCs w:val="28"/>
        </w:rPr>
        <w:t>公司經營現況</w:t>
      </w:r>
    </w:p>
    <w:p w:rsidR="00DC4ACB" w:rsidRDefault="004C029D" w:rsidP="00965AF0">
      <w:pPr>
        <w:spacing w:beforeLines="50" w:before="120" w:afterLines="50" w:after="120" w:line="360" w:lineRule="auto"/>
        <w:ind w:leftChars="200" w:left="480" w:firstLineChars="200" w:firstLine="520"/>
        <w:jc w:val="both"/>
        <w:rPr>
          <w:rFonts w:eastAsia="標楷體"/>
          <w:sz w:val="26"/>
          <w:szCs w:val="26"/>
        </w:rPr>
      </w:pPr>
      <w:r w:rsidRPr="00140E54">
        <w:rPr>
          <w:rFonts w:eastAsia="標楷體" w:hint="eastAsia"/>
          <w:sz w:val="26"/>
          <w:szCs w:val="26"/>
        </w:rPr>
        <w:t>太克科技由業務部門負責開發市場，並與業務工程師配合，銷售操作方式較為複雜之中高階產品予客戶，而低階產品由於操作簡單，故直接批發予經銷商銷售。另外太克科技亦透過刊登平面廣告、參展方式提高品牌知名度。</w:t>
      </w:r>
    </w:p>
    <w:p w:rsidR="00DC4ACB" w:rsidRDefault="004C029D" w:rsidP="00965AF0">
      <w:pPr>
        <w:spacing w:beforeLines="50" w:before="120" w:afterLines="50" w:after="120" w:line="360" w:lineRule="auto"/>
        <w:ind w:leftChars="200" w:left="480" w:firstLineChars="200" w:firstLine="520"/>
        <w:jc w:val="both"/>
        <w:rPr>
          <w:rFonts w:eastAsia="標楷體"/>
          <w:sz w:val="26"/>
          <w:szCs w:val="26"/>
        </w:rPr>
      </w:pPr>
      <w:r w:rsidRPr="00140E54">
        <w:rPr>
          <w:rFonts w:eastAsia="標楷體" w:hint="eastAsia"/>
          <w:sz w:val="26"/>
          <w:szCs w:val="26"/>
        </w:rPr>
        <w:t>太克科技之客戶型態為使用量測儀器之單位，包括從事研究、測試、系統整合、或提高品質功能之單位，包括國內科技公司、研究組織、政府機構、學術單位、有線電視暨衛星通信等企業。</w:t>
      </w:r>
    </w:p>
    <w:p w:rsidR="00DC4ACB" w:rsidRDefault="00DE04C5" w:rsidP="00965AF0">
      <w:pPr>
        <w:pStyle w:val="3"/>
        <w:numPr>
          <w:ilvl w:val="0"/>
          <w:numId w:val="9"/>
        </w:numPr>
        <w:spacing w:beforeLines="50" w:before="120" w:afterLines="50" w:after="120" w:line="360" w:lineRule="auto"/>
        <w:ind w:leftChars="100" w:left="720"/>
        <w:jc w:val="both"/>
        <w:rPr>
          <w:rFonts w:ascii="Times New Roman" w:eastAsia="標楷體" w:hAnsi="Times New Roman"/>
          <w:sz w:val="32"/>
          <w:szCs w:val="32"/>
        </w:rPr>
      </w:pPr>
      <w:r w:rsidRPr="00DC1554">
        <w:rPr>
          <w:rFonts w:ascii="Times New Roman" w:eastAsia="標楷體" w:hAnsi="Times New Roman" w:hint="eastAsia"/>
          <w:sz w:val="32"/>
          <w:szCs w:val="32"/>
        </w:rPr>
        <w:t>集團綜覽</w:t>
      </w:r>
    </w:p>
    <w:p w:rsidR="00DC4ACB" w:rsidRDefault="00731177" w:rsidP="00965AF0">
      <w:pPr>
        <w:numPr>
          <w:ilvl w:val="0"/>
          <w:numId w:val="47"/>
        </w:numPr>
        <w:tabs>
          <w:tab w:val="left" w:pos="960"/>
          <w:tab w:val="left" w:pos="1134"/>
        </w:tabs>
        <w:spacing w:beforeLines="50" w:before="120" w:afterLines="50" w:after="120" w:line="360" w:lineRule="auto"/>
        <w:ind w:leftChars="201" w:left="995" w:hanging="513"/>
        <w:jc w:val="both"/>
        <w:rPr>
          <w:rFonts w:eastAsia="標楷體"/>
          <w:b/>
          <w:sz w:val="28"/>
          <w:szCs w:val="28"/>
        </w:rPr>
      </w:pPr>
      <w:r w:rsidRPr="00DC1554">
        <w:rPr>
          <w:rFonts w:eastAsia="標楷體" w:hint="eastAsia"/>
          <w:b/>
          <w:sz w:val="28"/>
          <w:szCs w:val="28"/>
        </w:rPr>
        <w:t>背景資訊</w:t>
      </w:r>
    </w:p>
    <w:p w:rsidR="00DC4ACB" w:rsidRDefault="00F20478" w:rsidP="00965AF0">
      <w:pPr>
        <w:spacing w:beforeLines="50" w:before="120" w:afterLines="50" w:after="120" w:line="360" w:lineRule="auto"/>
        <w:ind w:leftChars="200" w:left="480" w:firstLineChars="200" w:firstLine="520"/>
        <w:jc w:val="both"/>
        <w:rPr>
          <w:rFonts w:eastAsia="標楷體"/>
          <w:sz w:val="26"/>
          <w:szCs w:val="26"/>
        </w:rPr>
      </w:pPr>
      <w:r w:rsidRPr="00140E54">
        <w:rPr>
          <w:rFonts w:eastAsia="標楷體" w:hint="eastAsia"/>
          <w:sz w:val="26"/>
          <w:szCs w:val="26"/>
        </w:rPr>
        <w:t>太克集團成立於</w:t>
      </w:r>
      <w:r w:rsidRPr="00140E54">
        <w:rPr>
          <w:rFonts w:eastAsia="標楷體" w:hint="eastAsia"/>
          <w:sz w:val="26"/>
          <w:szCs w:val="26"/>
        </w:rPr>
        <w:t>1946</w:t>
      </w:r>
      <w:r w:rsidRPr="00140E54">
        <w:rPr>
          <w:rFonts w:eastAsia="標楷體" w:hint="eastAsia"/>
          <w:sz w:val="26"/>
          <w:szCs w:val="26"/>
        </w:rPr>
        <w:t>年美國奧勒岡州，為集團之設計、製造、研發、行銷、測試及客製化方案中心，總員工有三千八百人，並且為世界第二大之電子測試及測量之供應商，年營業額高達</w:t>
      </w:r>
      <w:r w:rsidRPr="00140E54">
        <w:rPr>
          <w:rFonts w:eastAsia="標楷體" w:hint="eastAsia"/>
          <w:sz w:val="26"/>
          <w:szCs w:val="26"/>
        </w:rPr>
        <w:t>10.3</w:t>
      </w:r>
      <w:r w:rsidRPr="00140E54">
        <w:rPr>
          <w:rFonts w:eastAsia="標楷體" w:hint="eastAsia"/>
          <w:sz w:val="26"/>
          <w:szCs w:val="26"/>
        </w:rPr>
        <w:t>億美金</w:t>
      </w:r>
      <w:r w:rsidRPr="00140E54">
        <w:rPr>
          <w:rFonts w:eastAsia="標楷體" w:hint="eastAsia"/>
          <w:sz w:val="26"/>
          <w:szCs w:val="26"/>
        </w:rPr>
        <w:t>(2005)</w:t>
      </w:r>
      <w:r w:rsidRPr="00140E54">
        <w:rPr>
          <w:rFonts w:eastAsia="標楷體" w:hint="eastAsia"/>
          <w:sz w:val="26"/>
          <w:szCs w:val="26"/>
        </w:rPr>
        <w:t>。</w:t>
      </w:r>
    </w:p>
    <w:p w:rsidR="00DC4ACB" w:rsidRDefault="00F20478" w:rsidP="00965AF0">
      <w:pPr>
        <w:spacing w:beforeLines="50" w:before="120" w:afterLines="50" w:after="120" w:line="360" w:lineRule="auto"/>
        <w:ind w:leftChars="200" w:left="480" w:firstLineChars="200" w:firstLine="520"/>
        <w:jc w:val="both"/>
        <w:rPr>
          <w:rFonts w:eastAsia="標楷體"/>
          <w:sz w:val="26"/>
          <w:szCs w:val="26"/>
        </w:rPr>
      </w:pPr>
      <w:r w:rsidRPr="00140E54">
        <w:rPr>
          <w:rFonts w:eastAsia="標楷體" w:hint="eastAsia"/>
          <w:sz w:val="26"/>
          <w:szCs w:val="26"/>
        </w:rPr>
        <w:t>太克集團在全球各地設置製造單位</w:t>
      </w:r>
      <w:r w:rsidRPr="00140E54">
        <w:rPr>
          <w:rFonts w:eastAsia="標楷體" w:hint="eastAsia"/>
          <w:sz w:val="26"/>
          <w:szCs w:val="26"/>
        </w:rPr>
        <w:t xml:space="preserve"> (Representative Affiliate Manufacturer</w:t>
      </w:r>
      <w:r w:rsidRPr="00140E54">
        <w:rPr>
          <w:rFonts w:eastAsia="標楷體" w:hint="eastAsia"/>
          <w:sz w:val="26"/>
          <w:szCs w:val="26"/>
        </w:rPr>
        <w:t>，</w:t>
      </w:r>
      <w:r w:rsidRPr="00140E54">
        <w:rPr>
          <w:rFonts w:eastAsia="標楷體" w:hint="eastAsia"/>
          <w:sz w:val="26"/>
          <w:szCs w:val="26"/>
        </w:rPr>
        <w:t>RAM)</w:t>
      </w:r>
      <w:r w:rsidRPr="00140E54">
        <w:rPr>
          <w:rFonts w:eastAsia="標楷體" w:hint="eastAsia"/>
          <w:sz w:val="26"/>
          <w:szCs w:val="26"/>
        </w:rPr>
        <w:t>，製造之產品超過三千多種。</w:t>
      </w:r>
    </w:p>
    <w:p w:rsidR="00DC4ACB" w:rsidRDefault="00675FCB"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TIS</w:t>
      </w:r>
      <w:r w:rsidR="00F20478" w:rsidRPr="00140E54">
        <w:rPr>
          <w:rFonts w:eastAsia="標楷體" w:hint="eastAsia"/>
          <w:sz w:val="26"/>
          <w:szCs w:val="26"/>
        </w:rPr>
        <w:t>、</w:t>
      </w:r>
      <w:r w:rsidR="00170E4C">
        <w:rPr>
          <w:rFonts w:eastAsia="標楷體" w:hint="eastAsia"/>
          <w:sz w:val="26"/>
          <w:szCs w:val="26"/>
        </w:rPr>
        <w:t>TCT</w:t>
      </w:r>
      <w:r w:rsidR="00F20478" w:rsidRPr="00140E54">
        <w:rPr>
          <w:rFonts w:eastAsia="標楷體" w:hint="eastAsia"/>
          <w:sz w:val="26"/>
          <w:szCs w:val="26"/>
        </w:rPr>
        <w:t>及</w:t>
      </w:r>
      <w:r w:rsidR="00F20478" w:rsidRPr="00140E54">
        <w:rPr>
          <w:rFonts w:eastAsia="標楷體" w:hint="eastAsia"/>
          <w:sz w:val="26"/>
          <w:szCs w:val="26"/>
        </w:rPr>
        <w:t>TII</w:t>
      </w:r>
      <w:r w:rsidR="00F20478" w:rsidRPr="00140E54">
        <w:rPr>
          <w:rFonts w:eastAsia="標楷體" w:hint="eastAsia"/>
          <w:sz w:val="26"/>
          <w:szCs w:val="26"/>
        </w:rPr>
        <w:t>為集團之中介銷售商，像上述之</w:t>
      </w:r>
      <w:r w:rsidR="00F20478" w:rsidRPr="00140E54">
        <w:rPr>
          <w:rFonts w:eastAsia="標楷體" w:hint="eastAsia"/>
          <w:sz w:val="26"/>
          <w:szCs w:val="26"/>
        </w:rPr>
        <w:t>RAM</w:t>
      </w:r>
      <w:r w:rsidR="00F20478" w:rsidRPr="00140E54">
        <w:rPr>
          <w:rFonts w:eastAsia="標楷體" w:hint="eastAsia"/>
          <w:sz w:val="26"/>
          <w:szCs w:val="26"/>
        </w:rPr>
        <w:t>購買產品後，售予集團銷售單位</w:t>
      </w:r>
      <w:r w:rsidR="00F20478" w:rsidRPr="00140E54">
        <w:rPr>
          <w:rFonts w:eastAsia="標楷體" w:hint="eastAsia"/>
          <w:sz w:val="26"/>
          <w:szCs w:val="26"/>
        </w:rPr>
        <w:t xml:space="preserve"> (Representative Affiliate Distributor</w:t>
      </w:r>
      <w:r w:rsidR="00F20478" w:rsidRPr="00140E54">
        <w:rPr>
          <w:rFonts w:eastAsia="標楷體" w:hint="eastAsia"/>
          <w:sz w:val="26"/>
          <w:szCs w:val="26"/>
        </w:rPr>
        <w:t>，</w:t>
      </w:r>
      <w:r w:rsidR="00F20478" w:rsidRPr="00140E54">
        <w:rPr>
          <w:rFonts w:eastAsia="標楷體" w:hint="eastAsia"/>
          <w:sz w:val="26"/>
          <w:szCs w:val="26"/>
        </w:rPr>
        <w:t>RAD)</w:t>
      </w:r>
      <w:r w:rsidR="00F20478" w:rsidRPr="00140E54">
        <w:rPr>
          <w:rFonts w:eastAsia="標楷體" w:hint="eastAsia"/>
          <w:sz w:val="26"/>
          <w:szCs w:val="26"/>
        </w:rPr>
        <w:t>，再由</w:t>
      </w:r>
      <w:r w:rsidR="00F20478" w:rsidRPr="00140E54">
        <w:rPr>
          <w:rFonts w:eastAsia="標楷體" w:hint="eastAsia"/>
          <w:sz w:val="26"/>
          <w:szCs w:val="26"/>
        </w:rPr>
        <w:t>RAD</w:t>
      </w:r>
      <w:r w:rsidR="00F20478" w:rsidRPr="00140E54">
        <w:rPr>
          <w:rFonts w:eastAsia="標楷體" w:hint="eastAsia"/>
          <w:sz w:val="26"/>
          <w:szCs w:val="26"/>
        </w:rPr>
        <w:t>售予終端使用者。</w:t>
      </w:r>
    </w:p>
    <w:p w:rsidR="00DC4ACB" w:rsidRDefault="00F20478" w:rsidP="00965AF0">
      <w:pPr>
        <w:spacing w:beforeLines="50" w:before="120" w:afterLines="50" w:after="120" w:line="360" w:lineRule="auto"/>
        <w:ind w:leftChars="200" w:left="480" w:firstLineChars="200" w:firstLine="520"/>
        <w:jc w:val="both"/>
        <w:rPr>
          <w:rFonts w:eastAsia="標楷體"/>
          <w:sz w:val="26"/>
          <w:szCs w:val="26"/>
        </w:rPr>
      </w:pPr>
      <w:r w:rsidRPr="00140E54">
        <w:rPr>
          <w:rFonts w:eastAsia="標楷體" w:hint="eastAsia"/>
          <w:sz w:val="26"/>
          <w:szCs w:val="26"/>
        </w:rPr>
        <w:lastRenderedPageBreak/>
        <w:t>太克集團在全球設立據點，各據點依功能可分為：</w:t>
      </w:r>
    </w:p>
    <w:p w:rsidR="00DC4ACB" w:rsidRDefault="00F20478" w:rsidP="00965AF0">
      <w:pPr>
        <w:tabs>
          <w:tab w:val="left" w:pos="1440"/>
          <w:tab w:val="left" w:pos="1560"/>
        </w:tabs>
        <w:spacing w:beforeLines="50" w:before="120" w:afterLines="50" w:after="120" w:line="360" w:lineRule="auto"/>
        <w:ind w:left="720"/>
        <w:jc w:val="both"/>
        <w:rPr>
          <w:rFonts w:eastAsia="標楷體"/>
          <w:sz w:val="26"/>
          <w:szCs w:val="26"/>
        </w:rPr>
      </w:pPr>
      <w:r w:rsidRPr="00140E54">
        <w:rPr>
          <w:rFonts w:eastAsia="標楷體" w:hint="eastAsia"/>
          <w:sz w:val="26"/>
          <w:szCs w:val="26"/>
        </w:rPr>
        <w:t>(1)RAM</w:t>
      </w:r>
      <w:r w:rsidRPr="00140E54">
        <w:rPr>
          <w:rFonts w:eastAsia="標楷體" w:hint="eastAsia"/>
          <w:sz w:val="26"/>
          <w:szCs w:val="26"/>
        </w:rPr>
        <w:t>製造單位：</w:t>
      </w:r>
    </w:p>
    <w:p w:rsidR="00DC4ACB" w:rsidRDefault="00F20478" w:rsidP="00965AF0">
      <w:pPr>
        <w:spacing w:beforeLines="50" w:before="120" w:afterLines="50" w:after="120" w:line="360" w:lineRule="auto"/>
        <w:ind w:leftChars="400" w:left="960" w:firstLineChars="200" w:firstLine="520"/>
        <w:jc w:val="both"/>
        <w:rPr>
          <w:rFonts w:eastAsia="標楷體"/>
          <w:sz w:val="26"/>
          <w:szCs w:val="26"/>
        </w:rPr>
      </w:pPr>
      <w:r w:rsidRPr="00140E54">
        <w:rPr>
          <w:rFonts w:eastAsia="標楷體" w:hint="eastAsia"/>
          <w:sz w:val="26"/>
          <w:szCs w:val="26"/>
        </w:rPr>
        <w:t>負責製造集團銷售之產品。</w:t>
      </w:r>
    </w:p>
    <w:p w:rsidR="00DC4ACB" w:rsidRDefault="00F20478" w:rsidP="00965AF0">
      <w:pPr>
        <w:tabs>
          <w:tab w:val="left" w:pos="1440"/>
          <w:tab w:val="left" w:pos="1560"/>
        </w:tabs>
        <w:spacing w:beforeLines="50" w:before="120" w:afterLines="50" w:after="120" w:line="360" w:lineRule="auto"/>
        <w:ind w:left="720"/>
        <w:jc w:val="both"/>
        <w:rPr>
          <w:rFonts w:eastAsia="標楷體"/>
          <w:sz w:val="26"/>
          <w:szCs w:val="26"/>
        </w:rPr>
      </w:pPr>
      <w:r w:rsidRPr="00140E54">
        <w:rPr>
          <w:rFonts w:eastAsia="標楷體" w:hint="eastAsia"/>
          <w:sz w:val="26"/>
          <w:szCs w:val="26"/>
        </w:rPr>
        <w:t>(2)</w:t>
      </w:r>
      <w:r w:rsidRPr="00140E54">
        <w:rPr>
          <w:rFonts w:eastAsia="標楷體" w:hint="eastAsia"/>
          <w:sz w:val="26"/>
          <w:szCs w:val="26"/>
        </w:rPr>
        <w:t>中間商</w:t>
      </w:r>
    </w:p>
    <w:p w:rsidR="00DC4ACB" w:rsidRDefault="00F20478" w:rsidP="00965AF0">
      <w:pPr>
        <w:spacing w:beforeLines="50" w:before="120" w:afterLines="50" w:after="120" w:line="360" w:lineRule="auto"/>
        <w:ind w:leftChars="400" w:left="960" w:firstLineChars="200" w:firstLine="520"/>
        <w:jc w:val="both"/>
        <w:rPr>
          <w:rFonts w:eastAsia="標楷體"/>
          <w:sz w:val="26"/>
          <w:szCs w:val="26"/>
        </w:rPr>
      </w:pPr>
      <w:r w:rsidRPr="00140E54">
        <w:rPr>
          <w:rFonts w:eastAsia="標楷體" w:hint="eastAsia"/>
          <w:sz w:val="26"/>
          <w:szCs w:val="26"/>
        </w:rPr>
        <w:t>負責統籌集團產品之銷售，除售予</w:t>
      </w:r>
      <w:r w:rsidRPr="00140E54">
        <w:rPr>
          <w:rFonts w:eastAsia="標楷體" w:hint="eastAsia"/>
          <w:sz w:val="26"/>
          <w:szCs w:val="26"/>
        </w:rPr>
        <w:t>RAD</w:t>
      </w:r>
      <w:r w:rsidRPr="00140E54">
        <w:rPr>
          <w:rFonts w:eastAsia="標楷體" w:hint="eastAsia"/>
          <w:sz w:val="26"/>
          <w:szCs w:val="26"/>
        </w:rPr>
        <w:t>外，亦有直接售予</w:t>
      </w:r>
      <w:r w:rsidRPr="00140E54">
        <w:rPr>
          <w:rFonts w:eastAsia="標楷體" w:hint="eastAsia"/>
          <w:sz w:val="26"/>
          <w:szCs w:val="26"/>
        </w:rPr>
        <w:t>RAD</w:t>
      </w:r>
      <w:r w:rsidRPr="00140E54">
        <w:rPr>
          <w:rFonts w:eastAsia="標楷體" w:hint="eastAsia"/>
          <w:sz w:val="26"/>
          <w:szCs w:val="26"/>
        </w:rPr>
        <w:t>所在地客戶之情形。</w:t>
      </w:r>
      <w:r w:rsidR="00675FCB">
        <w:rPr>
          <w:rFonts w:eastAsia="標楷體" w:hint="eastAsia"/>
          <w:sz w:val="26"/>
          <w:szCs w:val="26"/>
        </w:rPr>
        <w:t>TIS</w:t>
      </w:r>
      <w:r w:rsidRPr="00140E54">
        <w:rPr>
          <w:rFonts w:eastAsia="標楷體" w:hint="eastAsia"/>
          <w:sz w:val="26"/>
          <w:szCs w:val="26"/>
        </w:rPr>
        <w:t>及</w:t>
      </w:r>
      <w:r w:rsidR="00170E4C">
        <w:rPr>
          <w:rFonts w:eastAsia="標楷體" w:hint="eastAsia"/>
          <w:sz w:val="26"/>
          <w:szCs w:val="26"/>
        </w:rPr>
        <w:t>TCT</w:t>
      </w:r>
      <w:r w:rsidRPr="00140E54">
        <w:rPr>
          <w:rFonts w:eastAsia="標楷體" w:hint="eastAsia"/>
          <w:sz w:val="26"/>
          <w:szCs w:val="26"/>
        </w:rPr>
        <w:t>即為中間商</w:t>
      </w:r>
      <w:r w:rsidR="00A518A5" w:rsidRPr="00140E54">
        <w:rPr>
          <w:rFonts w:eastAsia="標楷體" w:hint="eastAsia"/>
          <w:sz w:val="26"/>
          <w:szCs w:val="26"/>
        </w:rPr>
        <w:t>。</w:t>
      </w:r>
    </w:p>
    <w:p w:rsidR="00DC4ACB" w:rsidRDefault="00F20478" w:rsidP="00965AF0">
      <w:pPr>
        <w:tabs>
          <w:tab w:val="left" w:pos="1440"/>
          <w:tab w:val="left" w:pos="1560"/>
        </w:tabs>
        <w:spacing w:beforeLines="50" w:before="120" w:afterLines="50" w:after="120" w:line="360" w:lineRule="auto"/>
        <w:ind w:left="720"/>
        <w:jc w:val="both"/>
        <w:rPr>
          <w:rFonts w:eastAsia="標楷體"/>
          <w:sz w:val="26"/>
          <w:szCs w:val="26"/>
        </w:rPr>
      </w:pPr>
      <w:r w:rsidRPr="00140E54">
        <w:rPr>
          <w:rFonts w:eastAsia="標楷體" w:hint="eastAsia"/>
          <w:sz w:val="26"/>
          <w:szCs w:val="26"/>
        </w:rPr>
        <w:t>(3) RAD</w:t>
      </w:r>
      <w:r w:rsidRPr="00140E54">
        <w:rPr>
          <w:rFonts w:eastAsia="標楷體" w:hint="eastAsia"/>
          <w:sz w:val="26"/>
          <w:szCs w:val="26"/>
        </w:rPr>
        <w:t>銷售商</w:t>
      </w:r>
    </w:p>
    <w:p w:rsidR="00DC4ACB" w:rsidRDefault="00F20478" w:rsidP="00965AF0">
      <w:pPr>
        <w:spacing w:beforeLines="50" w:before="120" w:afterLines="50" w:after="120" w:line="360" w:lineRule="auto"/>
        <w:ind w:leftChars="400" w:left="960" w:firstLineChars="200" w:firstLine="520"/>
        <w:jc w:val="both"/>
        <w:rPr>
          <w:rFonts w:eastAsia="標楷體"/>
          <w:sz w:val="26"/>
          <w:szCs w:val="26"/>
        </w:rPr>
      </w:pPr>
      <w:r w:rsidRPr="00140E54">
        <w:rPr>
          <w:rFonts w:eastAsia="標楷體" w:hint="eastAsia"/>
          <w:sz w:val="26"/>
          <w:szCs w:val="26"/>
        </w:rPr>
        <w:t>負責將集團產品售予終端使用者，太克科技即屬</w:t>
      </w:r>
      <w:r w:rsidRPr="00140E54">
        <w:rPr>
          <w:rFonts w:eastAsia="標楷體" w:hint="eastAsia"/>
          <w:sz w:val="26"/>
          <w:szCs w:val="26"/>
        </w:rPr>
        <w:t>RAD</w:t>
      </w:r>
      <w:r w:rsidRPr="00140E54">
        <w:rPr>
          <w:rFonts w:eastAsia="標楷體" w:hint="eastAsia"/>
          <w:sz w:val="26"/>
          <w:szCs w:val="26"/>
        </w:rPr>
        <w:t>。</w:t>
      </w:r>
    </w:p>
    <w:p w:rsidR="00DC4ACB" w:rsidRDefault="00731177" w:rsidP="00965AF0">
      <w:pPr>
        <w:numPr>
          <w:ilvl w:val="0"/>
          <w:numId w:val="47"/>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DC1554">
        <w:rPr>
          <w:rFonts w:eastAsia="標楷體" w:hint="eastAsia"/>
          <w:b/>
          <w:sz w:val="28"/>
          <w:szCs w:val="28"/>
        </w:rPr>
        <w:t>主要業務範圍</w:t>
      </w:r>
    </w:p>
    <w:p w:rsidR="00DC4ACB" w:rsidRDefault="00ED6711" w:rsidP="00965AF0">
      <w:pPr>
        <w:spacing w:beforeLines="50" w:before="120" w:afterLines="50" w:after="120" w:line="360" w:lineRule="auto"/>
        <w:ind w:leftChars="200" w:left="480" w:firstLineChars="200" w:firstLine="520"/>
        <w:jc w:val="both"/>
        <w:rPr>
          <w:rFonts w:eastAsia="標楷體"/>
          <w:sz w:val="26"/>
          <w:szCs w:val="26"/>
        </w:rPr>
      </w:pPr>
      <w:r w:rsidRPr="00140E54">
        <w:rPr>
          <w:rFonts w:eastAsia="標楷體"/>
          <w:sz w:val="26"/>
          <w:szCs w:val="26"/>
        </w:rPr>
        <w:t>太克</w:t>
      </w:r>
      <w:r w:rsidRPr="00140E54">
        <w:rPr>
          <w:rFonts w:eastAsia="標楷體" w:hint="eastAsia"/>
          <w:sz w:val="26"/>
          <w:szCs w:val="26"/>
        </w:rPr>
        <w:t>集團</w:t>
      </w:r>
      <w:r w:rsidRPr="00140E54">
        <w:rPr>
          <w:rFonts w:eastAsia="標楷體"/>
          <w:sz w:val="26"/>
          <w:szCs w:val="26"/>
        </w:rPr>
        <w:t>是專業的測試、量測及監測的公司，專門提供全球通訊、電腦、及半導體等業界量測解決方案。</w:t>
      </w:r>
      <w:r w:rsidRPr="00140E54">
        <w:rPr>
          <w:rFonts w:eastAsia="標楷體" w:hint="eastAsia"/>
          <w:sz w:val="26"/>
          <w:szCs w:val="26"/>
        </w:rPr>
        <w:t>其所</w:t>
      </w:r>
      <w:r w:rsidRPr="00140E54">
        <w:rPr>
          <w:rFonts w:eastAsia="標楷體"/>
          <w:sz w:val="26"/>
          <w:szCs w:val="26"/>
        </w:rPr>
        <w:t>生產的產品</w:t>
      </w:r>
      <w:r w:rsidRPr="00140E54">
        <w:rPr>
          <w:rFonts w:eastAsia="標楷體" w:hint="eastAsia"/>
          <w:sz w:val="26"/>
          <w:szCs w:val="26"/>
        </w:rPr>
        <w:t>迄今已</w:t>
      </w:r>
      <w:r w:rsidRPr="00140E54">
        <w:rPr>
          <w:rFonts w:eastAsia="標楷體"/>
          <w:sz w:val="26"/>
          <w:szCs w:val="26"/>
        </w:rPr>
        <w:t>超過</w:t>
      </w:r>
      <w:r w:rsidRPr="00140E54">
        <w:rPr>
          <w:rFonts w:eastAsia="標楷體"/>
          <w:sz w:val="26"/>
          <w:szCs w:val="26"/>
        </w:rPr>
        <w:t>3,000</w:t>
      </w:r>
      <w:r w:rsidRPr="00140E54">
        <w:rPr>
          <w:rFonts w:eastAsia="標楷體"/>
          <w:sz w:val="26"/>
          <w:szCs w:val="26"/>
        </w:rPr>
        <w:t>種以上</w:t>
      </w:r>
      <w:r w:rsidRPr="00140E54">
        <w:rPr>
          <w:rFonts w:eastAsia="標楷體" w:hint="eastAsia"/>
          <w:sz w:val="26"/>
          <w:szCs w:val="26"/>
        </w:rPr>
        <w:t>，</w:t>
      </w:r>
      <w:r w:rsidRPr="00140E54">
        <w:rPr>
          <w:rFonts w:eastAsia="標楷體"/>
          <w:sz w:val="26"/>
          <w:szCs w:val="26"/>
        </w:rPr>
        <w:t>產品包括範圍廣大的儀器量測應用，</w:t>
      </w:r>
      <w:r w:rsidRPr="00140E54">
        <w:rPr>
          <w:rFonts w:eastAsia="標楷體" w:hint="eastAsia"/>
          <w:sz w:val="26"/>
          <w:szCs w:val="26"/>
        </w:rPr>
        <w:t>其集團所售產品如下：</w:t>
      </w:r>
    </w:p>
    <w:p w:rsidR="00DC4ACB" w:rsidRDefault="00ED6711" w:rsidP="00965AF0">
      <w:pPr>
        <w:tabs>
          <w:tab w:val="left" w:pos="1440"/>
          <w:tab w:val="left" w:pos="1560"/>
        </w:tabs>
        <w:spacing w:beforeLines="50" w:before="120" w:afterLines="50" w:after="120" w:line="360" w:lineRule="auto"/>
        <w:ind w:left="720"/>
        <w:jc w:val="both"/>
        <w:rPr>
          <w:rFonts w:eastAsia="標楷體"/>
          <w:sz w:val="26"/>
          <w:szCs w:val="26"/>
        </w:rPr>
      </w:pPr>
      <w:r w:rsidRPr="00140E54">
        <w:rPr>
          <w:rFonts w:eastAsia="標楷體" w:hint="eastAsia"/>
          <w:sz w:val="26"/>
          <w:szCs w:val="26"/>
        </w:rPr>
        <w:t>（</w:t>
      </w:r>
      <w:r w:rsidRPr="00140E54">
        <w:rPr>
          <w:rFonts w:eastAsia="標楷體" w:hint="eastAsia"/>
          <w:sz w:val="26"/>
          <w:szCs w:val="26"/>
        </w:rPr>
        <w:t>1</w:t>
      </w:r>
      <w:r w:rsidRPr="00140E54">
        <w:rPr>
          <w:rFonts w:eastAsia="標楷體" w:hint="eastAsia"/>
          <w:sz w:val="26"/>
          <w:szCs w:val="26"/>
        </w:rPr>
        <w:t>）示波器</w:t>
      </w:r>
      <w:r w:rsidRPr="00140E54">
        <w:rPr>
          <w:rFonts w:eastAsia="標楷體" w:hint="eastAsia"/>
          <w:sz w:val="26"/>
          <w:szCs w:val="26"/>
        </w:rPr>
        <w:t>(DPO/DSA/TDS/DSO</w:t>
      </w:r>
      <w:r w:rsidRPr="00140E54">
        <w:rPr>
          <w:rFonts w:eastAsia="標楷體" w:hint="eastAsia"/>
          <w:sz w:val="26"/>
          <w:szCs w:val="26"/>
        </w:rPr>
        <w:t>系列產品</w:t>
      </w:r>
      <w:r w:rsidRPr="00140E54">
        <w:rPr>
          <w:rFonts w:eastAsia="標楷體" w:hint="eastAsia"/>
          <w:sz w:val="26"/>
          <w:szCs w:val="26"/>
        </w:rPr>
        <w:t>)</w:t>
      </w:r>
      <w:r w:rsidRPr="00140E54">
        <w:rPr>
          <w:rFonts w:eastAsia="標楷體" w:hint="eastAsia"/>
          <w:sz w:val="26"/>
          <w:szCs w:val="26"/>
        </w:rPr>
        <w:t>：</w:t>
      </w:r>
    </w:p>
    <w:p w:rsidR="00DC4ACB" w:rsidRDefault="00ED6711" w:rsidP="00965AF0">
      <w:pPr>
        <w:spacing w:beforeLines="50" w:before="120" w:afterLines="50" w:after="120" w:line="360" w:lineRule="auto"/>
        <w:ind w:leftChars="300" w:left="720" w:firstLineChars="200" w:firstLine="520"/>
        <w:jc w:val="both"/>
        <w:rPr>
          <w:rFonts w:eastAsia="標楷體"/>
          <w:sz w:val="26"/>
          <w:szCs w:val="26"/>
        </w:rPr>
      </w:pPr>
      <w:r w:rsidRPr="00140E54">
        <w:rPr>
          <w:rFonts w:eastAsia="標楷體" w:hint="eastAsia"/>
          <w:sz w:val="26"/>
          <w:szCs w:val="26"/>
        </w:rPr>
        <w:t>又稱『陰極射示波器』，用途極廣，可觀測電子信號隨時間變化之波形，測試頻率、相位、電壓（或電流）和功率。能轉換為電壓的電量（電流、功率、電阻）和非電量（如溫度、位移、速度、壓力、光強、磁場等）均可以示波器測量。</w:t>
      </w:r>
    </w:p>
    <w:p w:rsidR="00DC4ACB" w:rsidRDefault="00ED6711" w:rsidP="00965AF0">
      <w:pPr>
        <w:tabs>
          <w:tab w:val="left" w:pos="1440"/>
          <w:tab w:val="left" w:pos="1560"/>
        </w:tabs>
        <w:spacing w:beforeLines="50" w:before="120" w:afterLines="50" w:after="120" w:line="360" w:lineRule="auto"/>
        <w:ind w:left="720"/>
        <w:jc w:val="both"/>
        <w:rPr>
          <w:rFonts w:eastAsia="標楷體"/>
          <w:sz w:val="26"/>
          <w:szCs w:val="26"/>
        </w:rPr>
      </w:pPr>
      <w:r w:rsidRPr="00140E54">
        <w:rPr>
          <w:rFonts w:eastAsia="標楷體" w:hint="eastAsia"/>
          <w:sz w:val="26"/>
          <w:szCs w:val="26"/>
        </w:rPr>
        <w:t>（</w:t>
      </w:r>
      <w:r w:rsidRPr="00140E54">
        <w:rPr>
          <w:rFonts w:eastAsia="標楷體" w:hint="eastAsia"/>
          <w:sz w:val="26"/>
          <w:szCs w:val="26"/>
        </w:rPr>
        <w:t>2</w:t>
      </w:r>
      <w:r w:rsidRPr="00140E54">
        <w:rPr>
          <w:rFonts w:eastAsia="標楷體" w:hint="eastAsia"/>
          <w:sz w:val="26"/>
          <w:szCs w:val="26"/>
        </w:rPr>
        <w:t>）即時頻譜分析儀</w:t>
      </w:r>
      <w:r w:rsidRPr="00140E54">
        <w:rPr>
          <w:rFonts w:eastAsia="標楷體" w:hint="eastAsia"/>
          <w:sz w:val="26"/>
          <w:szCs w:val="26"/>
        </w:rPr>
        <w:t>(RSA/WCA</w:t>
      </w:r>
      <w:r w:rsidRPr="00140E54">
        <w:rPr>
          <w:rFonts w:eastAsia="標楷體" w:hint="eastAsia"/>
          <w:sz w:val="26"/>
          <w:szCs w:val="26"/>
        </w:rPr>
        <w:t>系列產品</w:t>
      </w:r>
      <w:r w:rsidRPr="00140E54">
        <w:rPr>
          <w:rFonts w:eastAsia="標楷體" w:hint="eastAsia"/>
          <w:sz w:val="26"/>
          <w:szCs w:val="26"/>
        </w:rPr>
        <w:t>)</w:t>
      </w:r>
      <w:r w:rsidRPr="00140E54">
        <w:rPr>
          <w:rFonts w:eastAsia="標楷體" w:hint="eastAsia"/>
          <w:sz w:val="26"/>
          <w:szCs w:val="26"/>
        </w:rPr>
        <w:t>：</w:t>
      </w:r>
    </w:p>
    <w:p w:rsidR="00DC4ACB" w:rsidRDefault="00ED6711" w:rsidP="00965AF0">
      <w:pPr>
        <w:spacing w:beforeLines="50" w:before="120" w:afterLines="50" w:after="120" w:line="360" w:lineRule="auto"/>
        <w:ind w:leftChars="300" w:left="720" w:firstLineChars="200" w:firstLine="520"/>
        <w:jc w:val="both"/>
        <w:rPr>
          <w:rFonts w:eastAsia="標楷體"/>
          <w:sz w:val="26"/>
          <w:szCs w:val="26"/>
        </w:rPr>
      </w:pPr>
      <w:r w:rsidRPr="00140E54">
        <w:rPr>
          <w:rFonts w:eastAsia="標楷體" w:hint="eastAsia"/>
          <w:sz w:val="26"/>
          <w:szCs w:val="26"/>
        </w:rPr>
        <w:t>具</w:t>
      </w:r>
      <w:r w:rsidRPr="00140E54">
        <w:rPr>
          <w:rFonts w:eastAsia="標楷體"/>
          <w:sz w:val="26"/>
          <w:szCs w:val="26"/>
        </w:rPr>
        <w:t>整合即時效能、擷取頻寬和動態範圍等優點，滿足數位</w:t>
      </w:r>
      <w:r w:rsidRPr="00140E54">
        <w:rPr>
          <w:rFonts w:eastAsia="標楷體"/>
          <w:sz w:val="26"/>
          <w:szCs w:val="26"/>
        </w:rPr>
        <w:t>RF</w:t>
      </w:r>
      <w:r w:rsidRPr="00140E54">
        <w:rPr>
          <w:rFonts w:eastAsia="標楷體"/>
          <w:sz w:val="26"/>
          <w:szCs w:val="26"/>
        </w:rPr>
        <w:t>應用之需求。</w:t>
      </w:r>
      <w:r w:rsidRPr="00140E54">
        <w:rPr>
          <w:rFonts w:eastAsia="標楷體" w:hint="eastAsia"/>
          <w:sz w:val="26"/>
          <w:szCs w:val="26"/>
        </w:rPr>
        <w:t>集團之</w:t>
      </w:r>
      <w:r w:rsidRPr="00140E54">
        <w:rPr>
          <w:rFonts w:eastAsia="標楷體"/>
          <w:sz w:val="26"/>
          <w:szCs w:val="26"/>
        </w:rPr>
        <w:t>DPX</w:t>
      </w:r>
      <w:r w:rsidRPr="00140E54">
        <w:rPr>
          <w:rFonts w:eastAsia="標楷體" w:hint="eastAsia"/>
          <w:sz w:val="26"/>
          <w:szCs w:val="26"/>
        </w:rPr>
        <w:t>頻譜顯示</w:t>
      </w:r>
      <w:r w:rsidRPr="00140E54">
        <w:rPr>
          <w:rFonts w:eastAsia="標楷體"/>
          <w:sz w:val="26"/>
          <w:szCs w:val="26"/>
        </w:rPr>
        <w:t>技術可將大量資料轉換</w:t>
      </w:r>
      <w:r w:rsidRPr="00140E54">
        <w:rPr>
          <w:rFonts w:eastAsia="標楷體" w:hint="eastAsia"/>
          <w:sz w:val="26"/>
          <w:szCs w:val="26"/>
        </w:rPr>
        <w:t>為</w:t>
      </w:r>
      <w:r w:rsidRPr="00140E54">
        <w:rPr>
          <w:rFonts w:eastAsia="標楷體"/>
          <w:sz w:val="26"/>
          <w:szCs w:val="26"/>
        </w:rPr>
        <w:t>即時</w:t>
      </w:r>
      <w:r w:rsidRPr="00140E54">
        <w:rPr>
          <w:rFonts w:eastAsia="標楷體"/>
          <w:sz w:val="26"/>
          <w:szCs w:val="26"/>
        </w:rPr>
        <w:t>RF</w:t>
      </w:r>
      <w:r w:rsidRPr="00140E54">
        <w:rPr>
          <w:rFonts w:eastAsia="標楷體"/>
          <w:sz w:val="26"/>
          <w:szCs w:val="26"/>
        </w:rPr>
        <w:t>頻譜畫面，顯示先前無法看見</w:t>
      </w:r>
      <w:r w:rsidRPr="00140E54">
        <w:rPr>
          <w:rFonts w:eastAsia="標楷體" w:hint="eastAsia"/>
          <w:sz w:val="26"/>
          <w:szCs w:val="26"/>
        </w:rPr>
        <w:t>之</w:t>
      </w:r>
      <w:r w:rsidRPr="00140E54">
        <w:rPr>
          <w:rFonts w:eastAsia="標楷體"/>
          <w:sz w:val="26"/>
          <w:szCs w:val="26"/>
        </w:rPr>
        <w:t>RF</w:t>
      </w:r>
      <w:r w:rsidRPr="00140E54">
        <w:rPr>
          <w:rFonts w:eastAsia="標楷體"/>
          <w:sz w:val="26"/>
          <w:szCs w:val="26"/>
        </w:rPr>
        <w:t>訊號及訊號異常現象。</w:t>
      </w:r>
      <w:r w:rsidRPr="00140E54">
        <w:rPr>
          <w:rFonts w:eastAsia="標楷體"/>
          <w:sz w:val="26"/>
          <w:szCs w:val="26"/>
        </w:rPr>
        <w:t>DPX</w:t>
      </w:r>
      <w:r w:rsidRPr="00140E54">
        <w:rPr>
          <w:rFonts w:eastAsia="標楷體" w:hint="eastAsia"/>
          <w:sz w:val="26"/>
          <w:szCs w:val="26"/>
        </w:rPr>
        <w:t>頻譜顯示</w:t>
      </w:r>
      <w:r w:rsidRPr="00140E54">
        <w:rPr>
          <w:rFonts w:eastAsia="標楷體"/>
          <w:sz w:val="26"/>
          <w:szCs w:val="26"/>
        </w:rPr>
        <w:t>技術每秒可處理</w:t>
      </w:r>
      <w:r w:rsidRPr="00140E54">
        <w:rPr>
          <w:rFonts w:eastAsia="標楷體"/>
          <w:sz w:val="26"/>
          <w:szCs w:val="26"/>
        </w:rPr>
        <w:t>48,000</w:t>
      </w:r>
      <w:r w:rsidRPr="00140E54">
        <w:rPr>
          <w:rFonts w:eastAsia="標楷體"/>
          <w:sz w:val="26"/>
          <w:szCs w:val="26"/>
        </w:rPr>
        <w:t>次</w:t>
      </w:r>
      <w:r w:rsidRPr="00140E54">
        <w:rPr>
          <w:rFonts w:eastAsia="標楷體" w:hint="eastAsia"/>
          <w:sz w:val="26"/>
          <w:szCs w:val="26"/>
        </w:rPr>
        <w:t>以上</w:t>
      </w:r>
      <w:r w:rsidRPr="00140E54">
        <w:rPr>
          <w:rFonts w:eastAsia="標楷體"/>
          <w:sz w:val="26"/>
          <w:szCs w:val="26"/>
        </w:rPr>
        <w:t>頻譜，</w:t>
      </w:r>
      <w:r w:rsidRPr="00140E54">
        <w:rPr>
          <w:rFonts w:eastAsia="標楷體" w:hint="eastAsia"/>
          <w:sz w:val="26"/>
          <w:szCs w:val="26"/>
        </w:rPr>
        <w:t>能得致較</w:t>
      </w:r>
      <w:r w:rsidRPr="00140E54">
        <w:rPr>
          <w:rFonts w:eastAsia="標楷體"/>
          <w:sz w:val="26"/>
          <w:szCs w:val="26"/>
        </w:rPr>
        <w:t>其他分析儀</w:t>
      </w:r>
      <w:r w:rsidRPr="00140E54">
        <w:rPr>
          <w:rFonts w:eastAsia="標楷體" w:hint="eastAsia"/>
          <w:sz w:val="26"/>
          <w:szCs w:val="26"/>
        </w:rPr>
        <w:t>器更</w:t>
      </w:r>
      <w:r w:rsidRPr="00140E54">
        <w:rPr>
          <w:rFonts w:eastAsia="標楷體"/>
          <w:sz w:val="26"/>
          <w:szCs w:val="26"/>
        </w:rPr>
        <w:t>多</w:t>
      </w:r>
      <w:r w:rsidRPr="00140E54">
        <w:rPr>
          <w:rFonts w:eastAsia="標楷體" w:hint="eastAsia"/>
          <w:sz w:val="26"/>
          <w:szCs w:val="26"/>
        </w:rPr>
        <w:lastRenderedPageBreak/>
        <w:t>之</w:t>
      </w:r>
      <w:r w:rsidRPr="00140E54">
        <w:rPr>
          <w:rFonts w:eastAsia="標楷體"/>
          <w:sz w:val="26"/>
          <w:szCs w:val="26"/>
        </w:rPr>
        <w:t>振幅強度資訊。</w:t>
      </w:r>
      <w:r w:rsidRPr="00140E54">
        <w:rPr>
          <w:rFonts w:eastAsia="標楷體" w:hint="eastAsia"/>
          <w:sz w:val="26"/>
          <w:szCs w:val="26"/>
        </w:rPr>
        <w:t>此外，其還有</w:t>
      </w:r>
      <w:r w:rsidRPr="00140E54">
        <w:rPr>
          <w:rFonts w:eastAsia="標楷體"/>
          <w:sz w:val="26"/>
          <w:szCs w:val="26"/>
        </w:rPr>
        <w:t>亮度分明的顯示功能</w:t>
      </w:r>
      <w:r w:rsidRPr="00140E54">
        <w:rPr>
          <w:rFonts w:eastAsia="標楷體" w:hint="eastAsia"/>
          <w:sz w:val="26"/>
          <w:szCs w:val="26"/>
        </w:rPr>
        <w:t>、</w:t>
      </w:r>
      <w:r w:rsidRPr="00140E54">
        <w:rPr>
          <w:rFonts w:eastAsia="標楷體"/>
          <w:sz w:val="26"/>
          <w:szCs w:val="26"/>
        </w:rPr>
        <w:t>動態訊號，及</w:t>
      </w:r>
      <w:r w:rsidRPr="00140E54">
        <w:rPr>
          <w:rFonts w:eastAsia="標楷體" w:hint="eastAsia"/>
          <w:sz w:val="26"/>
          <w:szCs w:val="26"/>
        </w:rPr>
        <w:t>立即回饋訊號，</w:t>
      </w:r>
      <w:r w:rsidRPr="00140E54">
        <w:rPr>
          <w:rFonts w:eastAsia="標楷體"/>
          <w:sz w:val="26"/>
          <w:szCs w:val="26"/>
        </w:rPr>
        <w:t>可讓工程師快速在螢幕上檢視原本無法看見之訊號</w:t>
      </w:r>
      <w:r w:rsidRPr="00140E54">
        <w:rPr>
          <w:rFonts w:eastAsia="標楷體" w:hint="eastAsia"/>
          <w:sz w:val="26"/>
          <w:szCs w:val="26"/>
        </w:rPr>
        <w:t>。</w:t>
      </w:r>
    </w:p>
    <w:p w:rsidR="00DC4ACB" w:rsidRDefault="00ED6711" w:rsidP="00965AF0">
      <w:pPr>
        <w:tabs>
          <w:tab w:val="left" w:pos="1440"/>
          <w:tab w:val="left" w:pos="1560"/>
        </w:tabs>
        <w:spacing w:beforeLines="50" w:before="120" w:afterLines="50" w:after="120" w:line="360" w:lineRule="auto"/>
        <w:ind w:left="720"/>
        <w:jc w:val="both"/>
        <w:rPr>
          <w:rFonts w:eastAsia="標楷體"/>
          <w:sz w:val="26"/>
          <w:szCs w:val="26"/>
        </w:rPr>
      </w:pPr>
      <w:r w:rsidRPr="00140E54">
        <w:rPr>
          <w:rFonts w:eastAsia="標楷體" w:hint="eastAsia"/>
          <w:sz w:val="26"/>
          <w:szCs w:val="26"/>
        </w:rPr>
        <w:t>（</w:t>
      </w:r>
      <w:r w:rsidRPr="00140E54">
        <w:rPr>
          <w:rFonts w:eastAsia="標楷體" w:hint="eastAsia"/>
          <w:sz w:val="26"/>
          <w:szCs w:val="26"/>
        </w:rPr>
        <w:t>3</w:t>
      </w:r>
      <w:r w:rsidRPr="00140E54">
        <w:rPr>
          <w:rFonts w:eastAsia="標楷體" w:hint="eastAsia"/>
          <w:sz w:val="26"/>
          <w:szCs w:val="26"/>
        </w:rPr>
        <w:t>）</w:t>
      </w:r>
      <w:r w:rsidRPr="00140E54">
        <w:rPr>
          <w:rFonts w:eastAsia="標楷體"/>
          <w:sz w:val="26"/>
          <w:szCs w:val="26"/>
        </w:rPr>
        <w:t>邏輯分析儀</w:t>
      </w:r>
      <w:r w:rsidRPr="00140E54">
        <w:rPr>
          <w:rFonts w:eastAsia="標楷體" w:hint="eastAsia"/>
          <w:sz w:val="26"/>
          <w:szCs w:val="26"/>
        </w:rPr>
        <w:t>(TLA</w:t>
      </w:r>
      <w:r w:rsidRPr="00140E54">
        <w:rPr>
          <w:rFonts w:eastAsia="標楷體" w:hint="eastAsia"/>
          <w:sz w:val="26"/>
          <w:szCs w:val="26"/>
        </w:rPr>
        <w:t>系列產品</w:t>
      </w:r>
      <w:r w:rsidRPr="00140E54">
        <w:rPr>
          <w:rFonts w:eastAsia="標楷體" w:hint="eastAsia"/>
          <w:sz w:val="26"/>
          <w:szCs w:val="26"/>
        </w:rPr>
        <w:t>)</w:t>
      </w:r>
      <w:r w:rsidRPr="00140E54">
        <w:rPr>
          <w:rFonts w:eastAsia="標楷體" w:hint="eastAsia"/>
          <w:sz w:val="26"/>
          <w:szCs w:val="26"/>
        </w:rPr>
        <w:t>：</w:t>
      </w:r>
    </w:p>
    <w:p w:rsidR="00DC4ACB" w:rsidRDefault="00ED6711" w:rsidP="00965AF0">
      <w:pPr>
        <w:spacing w:beforeLines="50" w:before="120" w:afterLines="50" w:after="120" w:line="360" w:lineRule="auto"/>
        <w:ind w:leftChars="300" w:left="720" w:firstLineChars="200" w:firstLine="520"/>
        <w:jc w:val="both"/>
        <w:rPr>
          <w:rFonts w:eastAsia="標楷體"/>
          <w:sz w:val="26"/>
          <w:szCs w:val="26"/>
        </w:rPr>
      </w:pPr>
      <w:r w:rsidRPr="00140E54">
        <w:rPr>
          <w:rFonts w:eastAsia="標楷體"/>
          <w:sz w:val="26"/>
          <w:szCs w:val="26"/>
        </w:rPr>
        <w:t>能快速</w:t>
      </w:r>
      <w:r w:rsidRPr="00140E54">
        <w:rPr>
          <w:rFonts w:eastAsia="標楷體" w:hint="eastAsia"/>
          <w:sz w:val="26"/>
          <w:szCs w:val="26"/>
        </w:rPr>
        <w:t>分析</w:t>
      </w:r>
      <w:r w:rsidRPr="00140E54">
        <w:rPr>
          <w:rFonts w:eastAsia="標楷體"/>
          <w:sz w:val="26"/>
          <w:szCs w:val="26"/>
        </w:rPr>
        <w:t>資料</w:t>
      </w:r>
      <w:r w:rsidRPr="00140E54">
        <w:rPr>
          <w:rFonts w:eastAsia="標楷體" w:hint="eastAsia"/>
          <w:sz w:val="26"/>
          <w:szCs w:val="26"/>
        </w:rPr>
        <w:t>，</w:t>
      </w:r>
      <w:r w:rsidRPr="00140E54">
        <w:rPr>
          <w:rFonts w:eastAsia="標楷體"/>
          <w:sz w:val="26"/>
          <w:szCs w:val="26"/>
        </w:rPr>
        <w:t>具有較</w:t>
      </w:r>
      <w:r w:rsidRPr="00140E54">
        <w:rPr>
          <w:rFonts w:eastAsia="標楷體" w:hint="eastAsia"/>
          <w:sz w:val="26"/>
          <w:szCs w:val="26"/>
        </w:rPr>
        <w:t>快速</w:t>
      </w:r>
      <w:r w:rsidRPr="00140E54">
        <w:rPr>
          <w:rFonts w:eastAsia="標楷體"/>
          <w:sz w:val="26"/>
          <w:szCs w:val="26"/>
        </w:rPr>
        <w:t>縮放、搜尋、濾選及捲動功能</w:t>
      </w:r>
      <w:r w:rsidRPr="00140E54">
        <w:rPr>
          <w:rFonts w:eastAsia="標楷體" w:hint="eastAsia"/>
          <w:sz w:val="26"/>
          <w:szCs w:val="26"/>
        </w:rPr>
        <w:t>。</w:t>
      </w:r>
      <w:r w:rsidRPr="00140E54">
        <w:rPr>
          <w:rFonts w:eastAsia="標楷體"/>
          <w:sz w:val="26"/>
          <w:szCs w:val="26"/>
        </w:rPr>
        <w:t>TLA7000</w:t>
      </w:r>
      <w:r w:rsidRPr="00140E54">
        <w:rPr>
          <w:rFonts w:eastAsia="標楷體"/>
          <w:sz w:val="26"/>
          <w:szCs w:val="26"/>
        </w:rPr>
        <w:t>系</w:t>
      </w:r>
      <w:r w:rsidRPr="00140E54">
        <w:rPr>
          <w:rFonts w:eastAsia="標楷體" w:hint="eastAsia"/>
          <w:sz w:val="26"/>
          <w:szCs w:val="26"/>
        </w:rPr>
        <w:t>列產品</w:t>
      </w:r>
      <w:r w:rsidRPr="00140E54">
        <w:rPr>
          <w:rFonts w:eastAsia="標楷體"/>
          <w:sz w:val="26"/>
          <w:szCs w:val="26"/>
        </w:rPr>
        <w:t>能迅速擷取數位軟硬體設計訊號源</w:t>
      </w:r>
      <w:r w:rsidRPr="00140E54">
        <w:rPr>
          <w:rFonts w:eastAsia="標楷體" w:hint="eastAsia"/>
          <w:sz w:val="26"/>
          <w:szCs w:val="26"/>
        </w:rPr>
        <w:t>，</w:t>
      </w:r>
      <w:r w:rsidRPr="00140E54">
        <w:rPr>
          <w:rFonts w:eastAsia="標楷體"/>
          <w:sz w:val="26"/>
          <w:szCs w:val="26"/>
        </w:rPr>
        <w:t>提供大畫面顯示與快速的系統資料傳輸率</w:t>
      </w:r>
      <w:r w:rsidRPr="00140E54">
        <w:rPr>
          <w:rFonts w:eastAsia="標楷體" w:hint="eastAsia"/>
          <w:sz w:val="26"/>
          <w:szCs w:val="26"/>
        </w:rPr>
        <w:t>。</w:t>
      </w:r>
    </w:p>
    <w:p w:rsidR="00DC4ACB" w:rsidRDefault="00ED6711" w:rsidP="00965AF0">
      <w:pPr>
        <w:tabs>
          <w:tab w:val="left" w:pos="1440"/>
          <w:tab w:val="left" w:pos="1560"/>
        </w:tabs>
        <w:spacing w:beforeLines="50" w:before="120" w:afterLines="50" w:after="120" w:line="360" w:lineRule="auto"/>
        <w:ind w:left="720"/>
        <w:jc w:val="both"/>
        <w:rPr>
          <w:rFonts w:eastAsia="標楷體"/>
          <w:sz w:val="26"/>
          <w:szCs w:val="26"/>
        </w:rPr>
      </w:pPr>
      <w:r w:rsidRPr="00140E54">
        <w:rPr>
          <w:rFonts w:eastAsia="標楷體" w:hint="eastAsia"/>
          <w:sz w:val="26"/>
          <w:szCs w:val="26"/>
        </w:rPr>
        <w:t>（</w:t>
      </w:r>
      <w:r w:rsidRPr="00140E54">
        <w:rPr>
          <w:rFonts w:eastAsia="標楷體" w:hint="eastAsia"/>
          <w:sz w:val="26"/>
          <w:szCs w:val="26"/>
        </w:rPr>
        <w:t>4</w:t>
      </w:r>
      <w:r w:rsidRPr="00140E54">
        <w:rPr>
          <w:rFonts w:eastAsia="標楷體" w:hint="eastAsia"/>
          <w:sz w:val="26"/>
          <w:szCs w:val="26"/>
        </w:rPr>
        <w:t>）信號產生器</w:t>
      </w:r>
      <w:r w:rsidRPr="00140E54">
        <w:rPr>
          <w:rFonts w:eastAsia="標楷體" w:hint="eastAsia"/>
          <w:sz w:val="26"/>
          <w:szCs w:val="26"/>
        </w:rPr>
        <w:t>(AWG/AFG/DTG</w:t>
      </w:r>
      <w:r w:rsidRPr="00140E54">
        <w:rPr>
          <w:rFonts w:eastAsia="標楷體" w:hint="eastAsia"/>
          <w:sz w:val="26"/>
          <w:szCs w:val="26"/>
        </w:rPr>
        <w:t>系列產品</w:t>
      </w:r>
      <w:r w:rsidRPr="00140E54">
        <w:rPr>
          <w:rFonts w:eastAsia="標楷體" w:hint="eastAsia"/>
          <w:sz w:val="26"/>
          <w:szCs w:val="26"/>
        </w:rPr>
        <w:t>)</w:t>
      </w:r>
      <w:r w:rsidRPr="00140E54">
        <w:rPr>
          <w:rFonts w:eastAsia="標楷體" w:hint="eastAsia"/>
          <w:sz w:val="26"/>
          <w:szCs w:val="26"/>
        </w:rPr>
        <w:t>：</w:t>
      </w:r>
    </w:p>
    <w:p w:rsidR="00DC4ACB" w:rsidRDefault="00ED6711" w:rsidP="00965AF0">
      <w:pPr>
        <w:spacing w:beforeLines="50" w:before="120" w:afterLines="50" w:after="120" w:line="360" w:lineRule="auto"/>
        <w:ind w:leftChars="300" w:left="720" w:firstLineChars="200" w:firstLine="520"/>
        <w:jc w:val="both"/>
        <w:rPr>
          <w:rFonts w:eastAsia="標楷體"/>
          <w:sz w:val="26"/>
          <w:szCs w:val="26"/>
        </w:rPr>
      </w:pPr>
      <w:r w:rsidRPr="00140E54">
        <w:rPr>
          <w:rFonts w:eastAsia="標楷體" w:hint="eastAsia"/>
          <w:sz w:val="26"/>
          <w:szCs w:val="26"/>
        </w:rPr>
        <w:t>主要功用為建立訊號，以便工程師驗證信號之相容性。驗證時，信號源必須模擬異常訊號，再行驗證。信號有任意波形、任意函數、邏輯信號數種，應用範圍各自不同，例如</w:t>
      </w:r>
      <w:r w:rsidRPr="00140E54">
        <w:rPr>
          <w:rFonts w:eastAsia="標楷體" w:hint="eastAsia"/>
          <w:sz w:val="26"/>
          <w:szCs w:val="26"/>
        </w:rPr>
        <w:t>AFG</w:t>
      </w:r>
      <w:r w:rsidRPr="00140E54">
        <w:rPr>
          <w:rFonts w:eastAsia="標楷體" w:hint="eastAsia"/>
          <w:sz w:val="26"/>
          <w:szCs w:val="26"/>
        </w:rPr>
        <w:t>系列任意函數</w:t>
      </w:r>
      <w:r w:rsidRPr="00140E54">
        <w:rPr>
          <w:rFonts w:eastAsia="標楷體" w:hint="eastAsia"/>
          <w:sz w:val="26"/>
          <w:szCs w:val="26"/>
        </w:rPr>
        <w:t>/</w:t>
      </w:r>
      <w:r w:rsidRPr="00140E54">
        <w:rPr>
          <w:rFonts w:eastAsia="標楷體" w:hint="eastAsia"/>
          <w:sz w:val="26"/>
          <w:szCs w:val="26"/>
        </w:rPr>
        <w:t>任意波形產生器適用分析和驗證新串列資料。</w:t>
      </w:r>
    </w:p>
    <w:p w:rsidR="00DC4ACB" w:rsidRDefault="00EB094D" w:rsidP="00965AF0">
      <w:pPr>
        <w:numPr>
          <w:ilvl w:val="0"/>
          <w:numId w:val="47"/>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8864BB">
        <w:rPr>
          <w:rFonts w:eastAsia="標楷體" w:hint="eastAsia"/>
          <w:b/>
          <w:sz w:val="28"/>
          <w:szCs w:val="28"/>
        </w:rPr>
        <w:t>集團組織</w:t>
      </w:r>
      <w:r w:rsidR="00EF4E8C" w:rsidRPr="008864BB">
        <w:rPr>
          <w:rFonts w:eastAsia="標楷體" w:hint="eastAsia"/>
          <w:b/>
          <w:sz w:val="28"/>
          <w:szCs w:val="28"/>
        </w:rPr>
        <w:t>結構</w:t>
      </w:r>
    </w:p>
    <w:p w:rsidR="00DC4ACB" w:rsidRDefault="00965AF0" w:rsidP="004864D6">
      <w:pPr>
        <w:tabs>
          <w:tab w:val="left" w:pos="960"/>
          <w:tab w:val="left" w:pos="1134"/>
        </w:tabs>
        <w:spacing w:beforeLines="50" w:before="120" w:afterLines="50" w:after="120" w:line="360" w:lineRule="auto"/>
        <w:ind w:leftChars="150" w:left="360"/>
        <w:jc w:val="both"/>
        <w:rPr>
          <w:rFonts w:eastAsia="標楷體"/>
          <w:b/>
          <w:sz w:val="28"/>
          <w:szCs w:val="28"/>
        </w:rPr>
      </w:pPr>
      <w:r>
        <w:rPr>
          <w:rFonts w:eastAsia="標楷體"/>
          <w:b/>
          <w:noProof/>
          <w:sz w:val="28"/>
          <w:szCs w:val="28"/>
        </w:rPr>
        <mc:AlternateContent>
          <mc:Choice Requires="wpc">
            <w:drawing>
              <wp:inline distT="0" distB="0" distL="0" distR="0">
                <wp:extent cx="5371465" cy="3308350"/>
                <wp:effectExtent l="0" t="0" r="635" b="0"/>
                <wp:docPr id="373" name="畫布 3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3" name="Rectangle 374"/>
                        <wps:cNvSpPr>
                          <a:spLocks noChangeArrowheads="1"/>
                        </wps:cNvSpPr>
                        <wps:spPr bwMode="auto">
                          <a:xfrm>
                            <a:off x="1975485" y="251460"/>
                            <a:ext cx="1296670" cy="361950"/>
                          </a:xfrm>
                          <a:prstGeom prst="rect">
                            <a:avLst/>
                          </a:prstGeom>
                          <a:solidFill>
                            <a:srgbClr val="FFFFFF"/>
                          </a:solidFill>
                          <a:ln w="9525">
                            <a:solidFill>
                              <a:srgbClr val="000000"/>
                            </a:solidFill>
                            <a:miter lim="800000"/>
                            <a:headEnd/>
                            <a:tailEnd/>
                          </a:ln>
                        </wps:spPr>
                        <wps:txbx>
                          <w:txbxContent>
                            <w:p w:rsidR="004864D6" w:rsidRPr="000E225B" w:rsidRDefault="004864D6" w:rsidP="001A132B">
                              <w:pPr>
                                <w:rPr>
                                  <w:sz w:val="20"/>
                                </w:rPr>
                              </w:pPr>
                              <w:r w:rsidRPr="00DC4ACB">
                                <w:rPr>
                                  <w:sz w:val="20"/>
                                </w:rPr>
                                <w:t>Danaher Tool</w:t>
                              </w:r>
                              <w:r>
                                <w:rPr>
                                  <w:rFonts w:hint="eastAsia"/>
                                </w:rPr>
                                <w:t xml:space="preserve"> </w:t>
                              </w:r>
                              <w:r w:rsidRPr="00DC4ACB">
                                <w:rPr>
                                  <w:sz w:val="20"/>
                                </w:rPr>
                                <w:t>Group</w:t>
                              </w:r>
                            </w:p>
                            <w:p w:rsidR="004864D6" w:rsidRPr="00DC4ACB" w:rsidRDefault="004864D6" w:rsidP="00DC4ACB">
                              <w:pPr>
                                <w:jc w:val="center"/>
                                <w:rPr>
                                  <w:sz w:val="20"/>
                                </w:rPr>
                              </w:pPr>
                              <w:r w:rsidRPr="00DC4ACB">
                                <w:rPr>
                                  <w:sz w:val="20"/>
                                </w:rPr>
                                <w:t>(US)</w:t>
                              </w:r>
                            </w:p>
                          </w:txbxContent>
                        </wps:txbx>
                        <wps:bodyPr rot="0" vert="horz" wrap="square" lIns="91440" tIns="45720" rIns="91440" bIns="45720" anchor="t" anchorCtr="0" upright="1">
                          <a:noAutofit/>
                        </wps:bodyPr>
                      </wps:wsp>
                      <wps:wsp>
                        <wps:cNvPr id="214" name="Rectangle 375"/>
                        <wps:cNvSpPr>
                          <a:spLocks noChangeArrowheads="1"/>
                        </wps:cNvSpPr>
                        <wps:spPr bwMode="auto">
                          <a:xfrm>
                            <a:off x="83820" y="1097915"/>
                            <a:ext cx="1467485" cy="396875"/>
                          </a:xfrm>
                          <a:prstGeom prst="rect">
                            <a:avLst/>
                          </a:prstGeom>
                          <a:solidFill>
                            <a:srgbClr val="FFFFFF"/>
                          </a:solidFill>
                          <a:ln w="9525">
                            <a:solidFill>
                              <a:srgbClr val="000000"/>
                            </a:solidFill>
                            <a:miter lim="800000"/>
                            <a:headEnd/>
                            <a:tailEnd/>
                          </a:ln>
                        </wps:spPr>
                        <wps:txbx>
                          <w:txbxContent>
                            <w:p w:rsidR="004864D6" w:rsidRPr="000E225B" w:rsidRDefault="004864D6" w:rsidP="001A132B">
                              <w:pPr>
                                <w:rPr>
                                  <w:sz w:val="20"/>
                                </w:rPr>
                              </w:pPr>
                              <w:r>
                                <w:rPr>
                                  <w:rFonts w:hint="eastAsia"/>
                                  <w:sz w:val="20"/>
                                </w:rPr>
                                <w:t>Keithley Instrument Inc.</w:t>
                              </w:r>
                            </w:p>
                            <w:p w:rsidR="004864D6" w:rsidRPr="00DC4ACB" w:rsidRDefault="004864D6" w:rsidP="00DC4ACB">
                              <w:pPr>
                                <w:jc w:val="center"/>
                                <w:rPr>
                                  <w:sz w:val="20"/>
                                </w:rPr>
                              </w:pPr>
                              <w:r w:rsidRPr="00DC4ACB">
                                <w:rPr>
                                  <w:sz w:val="20"/>
                                </w:rPr>
                                <w:t>(US)</w:t>
                              </w:r>
                            </w:p>
                          </w:txbxContent>
                        </wps:txbx>
                        <wps:bodyPr rot="0" vert="horz" wrap="square" lIns="91440" tIns="45720" rIns="91440" bIns="45720" anchor="t" anchorCtr="0" upright="1">
                          <a:noAutofit/>
                        </wps:bodyPr>
                      </wps:wsp>
                      <wps:wsp>
                        <wps:cNvPr id="216" name="Rectangle 376"/>
                        <wps:cNvSpPr>
                          <a:spLocks noChangeArrowheads="1"/>
                        </wps:cNvSpPr>
                        <wps:spPr bwMode="auto">
                          <a:xfrm>
                            <a:off x="3761740" y="1097915"/>
                            <a:ext cx="1467485" cy="396875"/>
                          </a:xfrm>
                          <a:prstGeom prst="rect">
                            <a:avLst/>
                          </a:prstGeom>
                          <a:solidFill>
                            <a:srgbClr val="FFFFFF"/>
                          </a:solidFill>
                          <a:ln w="9525">
                            <a:solidFill>
                              <a:srgbClr val="000000"/>
                            </a:solidFill>
                            <a:miter lim="800000"/>
                            <a:headEnd/>
                            <a:tailEnd/>
                          </a:ln>
                        </wps:spPr>
                        <wps:txbx>
                          <w:txbxContent>
                            <w:p w:rsidR="004864D6" w:rsidRPr="00DC4ACB" w:rsidRDefault="004864D6" w:rsidP="00DC4ACB">
                              <w:pPr>
                                <w:jc w:val="center"/>
                                <w:rPr>
                                  <w:sz w:val="20"/>
                                </w:rPr>
                              </w:pPr>
                              <w:r>
                                <w:rPr>
                                  <w:rFonts w:hint="eastAsia"/>
                                  <w:sz w:val="20"/>
                                </w:rPr>
                                <w:t>Fluke Southeast Asia Pte</w:t>
                              </w:r>
                              <w:proofErr w:type="gramStart"/>
                              <w:r>
                                <w:rPr>
                                  <w:rFonts w:hint="eastAsia"/>
                                  <w:sz w:val="20"/>
                                </w:rPr>
                                <w:t>,Ltd</w:t>
                              </w:r>
                              <w:proofErr w:type="gramEnd"/>
                              <w:r>
                                <w:rPr>
                                  <w:sz w:val="20"/>
                                </w:rPr>
                                <w:t xml:space="preserve"> </w:t>
                              </w:r>
                              <w:r w:rsidRPr="00DC4ACB">
                                <w:rPr>
                                  <w:sz w:val="20"/>
                                </w:rPr>
                                <w:t>(</w:t>
                              </w:r>
                              <w:r>
                                <w:rPr>
                                  <w:rFonts w:hint="eastAsia"/>
                                  <w:sz w:val="20"/>
                                </w:rPr>
                                <w:t>Singapore</w:t>
                              </w:r>
                              <w:r w:rsidRPr="00DC4ACB">
                                <w:rPr>
                                  <w:sz w:val="20"/>
                                </w:rPr>
                                <w:t>)</w:t>
                              </w:r>
                            </w:p>
                          </w:txbxContent>
                        </wps:txbx>
                        <wps:bodyPr rot="0" vert="horz" wrap="square" lIns="91440" tIns="45720" rIns="91440" bIns="45720" anchor="t" anchorCtr="0" upright="1">
                          <a:noAutofit/>
                        </wps:bodyPr>
                      </wps:wsp>
                      <wps:wsp>
                        <wps:cNvPr id="217" name="Rectangle 377"/>
                        <wps:cNvSpPr>
                          <a:spLocks noChangeArrowheads="1"/>
                        </wps:cNvSpPr>
                        <wps:spPr bwMode="auto">
                          <a:xfrm>
                            <a:off x="2003425" y="1104265"/>
                            <a:ext cx="1296670" cy="390525"/>
                          </a:xfrm>
                          <a:prstGeom prst="rect">
                            <a:avLst/>
                          </a:prstGeom>
                          <a:solidFill>
                            <a:srgbClr val="FFFFFF"/>
                          </a:solidFill>
                          <a:ln w="9525">
                            <a:solidFill>
                              <a:srgbClr val="000000"/>
                            </a:solidFill>
                            <a:miter lim="800000"/>
                            <a:headEnd/>
                            <a:tailEnd/>
                          </a:ln>
                        </wps:spPr>
                        <wps:txbx>
                          <w:txbxContent>
                            <w:p w:rsidR="004864D6" w:rsidRDefault="004864D6" w:rsidP="00DC4ACB">
                              <w:pPr>
                                <w:jc w:val="center"/>
                                <w:rPr>
                                  <w:sz w:val="20"/>
                                </w:rPr>
                              </w:pPr>
                              <w:r>
                                <w:rPr>
                                  <w:rFonts w:hint="eastAsia"/>
                                  <w:sz w:val="20"/>
                                </w:rPr>
                                <w:t>Tekronix</w:t>
                              </w:r>
                              <w:proofErr w:type="gramStart"/>
                              <w:r>
                                <w:rPr>
                                  <w:rFonts w:hint="eastAsia"/>
                                  <w:sz w:val="20"/>
                                </w:rPr>
                                <w:t>,INC</w:t>
                              </w:r>
                              <w:proofErr w:type="gramEnd"/>
                            </w:p>
                            <w:p w:rsidR="004864D6" w:rsidRPr="00DC4ACB" w:rsidRDefault="004864D6" w:rsidP="00DC4ACB">
                              <w:pPr>
                                <w:jc w:val="center"/>
                                <w:rPr>
                                  <w:sz w:val="20"/>
                                </w:rPr>
                              </w:pPr>
                              <w:r>
                                <w:rPr>
                                  <w:rFonts w:hint="eastAsia"/>
                                  <w:sz w:val="20"/>
                                </w:rPr>
                                <w:t>(US)</w:t>
                              </w:r>
                            </w:p>
                          </w:txbxContent>
                        </wps:txbx>
                        <wps:bodyPr rot="0" vert="horz" wrap="square" lIns="91440" tIns="45720" rIns="91440" bIns="45720" anchor="t" anchorCtr="0" upright="1">
                          <a:noAutofit/>
                        </wps:bodyPr>
                      </wps:wsp>
                      <wps:wsp>
                        <wps:cNvPr id="218" name="Rectangle 378"/>
                        <wps:cNvSpPr>
                          <a:spLocks noChangeArrowheads="1"/>
                        </wps:cNvSpPr>
                        <wps:spPr bwMode="auto">
                          <a:xfrm>
                            <a:off x="170815" y="1953895"/>
                            <a:ext cx="1296670" cy="419735"/>
                          </a:xfrm>
                          <a:prstGeom prst="rect">
                            <a:avLst/>
                          </a:prstGeom>
                          <a:solidFill>
                            <a:srgbClr val="FFFFFF"/>
                          </a:solidFill>
                          <a:ln w="9525">
                            <a:solidFill>
                              <a:srgbClr val="000000"/>
                            </a:solidFill>
                            <a:miter lim="800000"/>
                            <a:headEnd/>
                            <a:tailEnd/>
                          </a:ln>
                        </wps:spPr>
                        <wps:txbx>
                          <w:txbxContent>
                            <w:p w:rsidR="004864D6" w:rsidRDefault="004864D6">
                              <w:pPr>
                                <w:rPr>
                                  <w:rFonts w:ascii="標楷體" w:eastAsia="標楷體" w:hAnsi="標楷體"/>
                                  <w:sz w:val="20"/>
                                </w:rPr>
                              </w:pPr>
                              <w:r w:rsidRPr="00DC4ACB">
                                <w:rPr>
                                  <w:rFonts w:ascii="標楷體" w:eastAsia="標楷體" w:hAnsi="標楷體" w:hint="eastAsia"/>
                                  <w:sz w:val="20"/>
                                </w:rPr>
                                <w:t>太克科技股份有限</w:t>
                              </w:r>
                            </w:p>
                            <w:p w:rsidR="004864D6" w:rsidRDefault="004864D6">
                              <w:pPr>
                                <w:rPr>
                                  <w:rFonts w:ascii="標楷體" w:eastAsia="標楷體" w:hAnsi="標楷體"/>
                                  <w:sz w:val="20"/>
                                </w:rPr>
                              </w:pPr>
                              <w:r>
                                <w:rPr>
                                  <w:rFonts w:ascii="標楷體" w:eastAsia="標楷體" w:hAnsi="標楷體" w:hint="eastAsia"/>
                                  <w:sz w:val="20"/>
                                </w:rPr>
                                <w:t xml:space="preserve">    </w:t>
                              </w:r>
                              <w:r w:rsidRPr="00DC4ACB">
                                <w:rPr>
                                  <w:rFonts w:ascii="標楷體" w:eastAsia="標楷體" w:hAnsi="標楷體" w:hint="eastAsia"/>
                                  <w:sz w:val="20"/>
                                </w:rPr>
                                <w:t>公司</w:t>
                              </w:r>
                              <w:r>
                                <w:rPr>
                                  <w:rFonts w:ascii="標楷體" w:eastAsia="標楷體" w:hAnsi="標楷體" w:hint="eastAsia"/>
                                  <w:sz w:val="20"/>
                                </w:rPr>
                                <w:t>(台灣)</w:t>
                              </w:r>
                            </w:p>
                            <w:p w:rsidR="004864D6" w:rsidRPr="00DC4ACB" w:rsidRDefault="004864D6" w:rsidP="00DC4ACB">
                              <w:pPr>
                                <w:jc w:val="center"/>
                                <w:rPr>
                                  <w:sz w:val="20"/>
                                </w:rPr>
                              </w:pPr>
                              <w:r>
                                <w:rPr>
                                  <w:rFonts w:hint="eastAsia"/>
                                  <w:sz w:val="20"/>
                                </w:rPr>
                                <w:t>(US)</w:t>
                              </w:r>
                            </w:p>
                          </w:txbxContent>
                        </wps:txbx>
                        <wps:bodyPr rot="0" vert="horz" wrap="square" lIns="91440" tIns="45720" rIns="91440" bIns="45720" anchor="t" anchorCtr="0" upright="1">
                          <a:noAutofit/>
                        </wps:bodyPr>
                      </wps:wsp>
                      <wps:wsp>
                        <wps:cNvPr id="219" name="Rectangle 379"/>
                        <wps:cNvSpPr>
                          <a:spLocks noChangeArrowheads="1"/>
                        </wps:cNvSpPr>
                        <wps:spPr bwMode="auto">
                          <a:xfrm>
                            <a:off x="1908810" y="1953260"/>
                            <a:ext cx="1547495" cy="420370"/>
                          </a:xfrm>
                          <a:prstGeom prst="rect">
                            <a:avLst/>
                          </a:prstGeom>
                          <a:solidFill>
                            <a:srgbClr val="FFFFFF"/>
                          </a:solidFill>
                          <a:ln w="9525">
                            <a:solidFill>
                              <a:srgbClr val="000000"/>
                            </a:solidFill>
                            <a:miter lim="800000"/>
                            <a:headEnd/>
                            <a:tailEnd/>
                          </a:ln>
                        </wps:spPr>
                        <wps:txbx>
                          <w:txbxContent>
                            <w:p w:rsidR="004864D6" w:rsidRPr="00DC4ACB" w:rsidRDefault="004864D6" w:rsidP="00DC4ACB">
                              <w:pPr>
                                <w:jc w:val="center"/>
                                <w:rPr>
                                  <w:sz w:val="20"/>
                                </w:rPr>
                              </w:pPr>
                              <w:r w:rsidRPr="00DC4ACB">
                                <w:rPr>
                                  <w:sz w:val="20"/>
                                </w:rPr>
                                <w:t xml:space="preserve">Tektronix </w:t>
                              </w:r>
                              <w:r>
                                <w:rPr>
                                  <w:rFonts w:hint="eastAsia"/>
                                  <w:sz w:val="20"/>
                                </w:rPr>
                                <w:t xml:space="preserve">International Sales </w:t>
                              </w:r>
                              <w:proofErr w:type="gramStart"/>
                              <w:r>
                                <w:rPr>
                                  <w:rFonts w:hint="eastAsia"/>
                                  <w:sz w:val="20"/>
                                </w:rPr>
                                <w:t>GMBH(</w:t>
                              </w:r>
                              <w:proofErr w:type="gramEnd"/>
                              <w:r>
                                <w:rPr>
                                  <w:rFonts w:hint="eastAsia"/>
                                  <w:sz w:val="20"/>
                                </w:rPr>
                                <w:t>Swizerland)</w:t>
                              </w:r>
                            </w:p>
                          </w:txbxContent>
                        </wps:txbx>
                        <wps:bodyPr rot="0" vert="horz" wrap="square" lIns="91440" tIns="45720" rIns="91440" bIns="45720" anchor="t" anchorCtr="0" upright="1">
                          <a:noAutofit/>
                        </wps:bodyPr>
                      </wps:wsp>
                      <wps:wsp>
                        <wps:cNvPr id="220" name="Rectangle 380"/>
                        <wps:cNvSpPr>
                          <a:spLocks noChangeArrowheads="1"/>
                        </wps:cNvSpPr>
                        <wps:spPr bwMode="auto">
                          <a:xfrm>
                            <a:off x="3775710" y="1953260"/>
                            <a:ext cx="1467485" cy="420370"/>
                          </a:xfrm>
                          <a:prstGeom prst="rect">
                            <a:avLst/>
                          </a:prstGeom>
                          <a:solidFill>
                            <a:srgbClr val="FFFFFF"/>
                          </a:solidFill>
                          <a:ln w="9525">
                            <a:solidFill>
                              <a:srgbClr val="000000"/>
                            </a:solidFill>
                            <a:miter lim="800000"/>
                            <a:headEnd/>
                            <a:tailEnd/>
                          </a:ln>
                        </wps:spPr>
                        <wps:txbx>
                          <w:txbxContent>
                            <w:p w:rsidR="004864D6" w:rsidRPr="000E225B" w:rsidRDefault="004864D6" w:rsidP="001A132B">
                              <w:pPr>
                                <w:rPr>
                                  <w:sz w:val="20"/>
                                </w:rPr>
                              </w:pPr>
                              <w:r>
                                <w:rPr>
                                  <w:rFonts w:hint="eastAsia"/>
                                  <w:sz w:val="20"/>
                                </w:rPr>
                                <w:t>Tektronix International Inc</w:t>
                              </w:r>
                              <w:proofErr w:type="gramStart"/>
                              <w:r>
                                <w:rPr>
                                  <w:rFonts w:hint="eastAsia"/>
                                  <w:sz w:val="20"/>
                                </w:rPr>
                                <w:t>.(</w:t>
                              </w:r>
                              <w:proofErr w:type="gramEnd"/>
                              <w:r>
                                <w:rPr>
                                  <w:rFonts w:hint="eastAsia"/>
                                  <w:sz w:val="20"/>
                                </w:rPr>
                                <w:t>US)</w:t>
                              </w:r>
                            </w:p>
                            <w:p w:rsidR="004864D6" w:rsidRPr="00DC4ACB" w:rsidRDefault="004864D6" w:rsidP="00DC4ACB">
                              <w:pPr>
                                <w:jc w:val="center"/>
                                <w:rPr>
                                  <w:sz w:val="20"/>
                                </w:rPr>
                              </w:pPr>
                            </w:p>
                          </w:txbxContent>
                        </wps:txbx>
                        <wps:bodyPr rot="0" vert="horz" wrap="square" lIns="91440" tIns="45720" rIns="91440" bIns="45720" anchor="t" anchorCtr="0" upright="1">
                          <a:noAutofit/>
                        </wps:bodyPr>
                      </wps:wsp>
                      <wps:wsp>
                        <wps:cNvPr id="221" name="Rectangle 381"/>
                        <wps:cNvSpPr>
                          <a:spLocks noChangeArrowheads="1"/>
                        </wps:cNvSpPr>
                        <wps:spPr bwMode="auto">
                          <a:xfrm>
                            <a:off x="1908810" y="2684145"/>
                            <a:ext cx="1547495" cy="419735"/>
                          </a:xfrm>
                          <a:prstGeom prst="rect">
                            <a:avLst/>
                          </a:prstGeom>
                          <a:solidFill>
                            <a:srgbClr val="FFFFFF"/>
                          </a:solidFill>
                          <a:ln w="9525">
                            <a:solidFill>
                              <a:srgbClr val="000000"/>
                            </a:solidFill>
                            <a:miter lim="800000"/>
                            <a:headEnd/>
                            <a:tailEnd/>
                          </a:ln>
                        </wps:spPr>
                        <wps:txbx>
                          <w:txbxContent>
                            <w:p w:rsidR="004864D6" w:rsidRPr="00DC4ACB" w:rsidRDefault="004864D6" w:rsidP="00DC4ACB">
                              <w:pPr>
                                <w:jc w:val="center"/>
                                <w:rPr>
                                  <w:sz w:val="20"/>
                                </w:rPr>
                              </w:pPr>
                              <w:r w:rsidRPr="00DC4ACB">
                                <w:rPr>
                                  <w:sz w:val="20"/>
                                </w:rPr>
                                <w:t xml:space="preserve">Tektronix </w:t>
                              </w:r>
                              <w:r>
                                <w:rPr>
                                  <w:rFonts w:hint="eastAsia"/>
                                  <w:sz w:val="20"/>
                                </w:rPr>
                                <w:t>China Trading (</w:t>
                              </w:r>
                              <w:r w:rsidRPr="001A132B">
                                <w:rPr>
                                  <w:sz w:val="20"/>
                                </w:rPr>
                                <w:t>China</w:t>
                              </w:r>
                              <w:r>
                                <w:rPr>
                                  <w:rFonts w:hint="eastAsia"/>
                                  <w:sz w:val="20"/>
                                </w:rPr>
                                <w:t>)</w:t>
                              </w:r>
                            </w:p>
                          </w:txbxContent>
                        </wps:txbx>
                        <wps:bodyPr rot="0" vert="horz" wrap="square" lIns="91440" tIns="45720" rIns="91440" bIns="45720" anchor="t" anchorCtr="0" upright="1">
                          <a:noAutofit/>
                        </wps:bodyPr>
                      </wps:wsp>
                      <wps:wsp>
                        <wps:cNvPr id="222" name="AutoShape 382"/>
                        <wps:cNvCnPr>
                          <a:cxnSpLocks noChangeShapeType="1"/>
                          <a:endCxn id="217" idx="0"/>
                        </wps:cNvCnPr>
                        <wps:spPr bwMode="auto">
                          <a:xfrm>
                            <a:off x="2651125" y="613410"/>
                            <a:ext cx="635" cy="490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3" name="AutoShape 383"/>
                        <wps:cNvCnPr>
                          <a:cxnSpLocks noChangeShapeType="1"/>
                        </wps:cNvCnPr>
                        <wps:spPr bwMode="auto">
                          <a:xfrm flipH="1">
                            <a:off x="863600" y="882015"/>
                            <a:ext cx="35680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AutoShape 384"/>
                        <wps:cNvCnPr>
                          <a:cxnSpLocks noChangeShapeType="1"/>
                        </wps:cNvCnPr>
                        <wps:spPr bwMode="auto">
                          <a:xfrm>
                            <a:off x="862330" y="895350"/>
                            <a:ext cx="635"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AutoShape 385"/>
                        <wps:cNvCnPr>
                          <a:cxnSpLocks noChangeShapeType="1"/>
                        </wps:cNvCnPr>
                        <wps:spPr bwMode="auto">
                          <a:xfrm>
                            <a:off x="4431030" y="882015"/>
                            <a:ext cx="635"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AutoShape 386"/>
                        <wps:cNvCnPr>
                          <a:cxnSpLocks noChangeShapeType="1"/>
                        </wps:cNvCnPr>
                        <wps:spPr bwMode="auto">
                          <a:xfrm>
                            <a:off x="2650490" y="1494790"/>
                            <a:ext cx="635" cy="467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9" name="AutoShape 387"/>
                        <wps:cNvCnPr>
                          <a:cxnSpLocks noChangeShapeType="1"/>
                        </wps:cNvCnPr>
                        <wps:spPr bwMode="auto">
                          <a:xfrm flipH="1">
                            <a:off x="911860" y="1704340"/>
                            <a:ext cx="35680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0" name="AutoShape 388"/>
                        <wps:cNvCnPr>
                          <a:cxnSpLocks noChangeShapeType="1"/>
                        </wps:cNvCnPr>
                        <wps:spPr bwMode="auto">
                          <a:xfrm>
                            <a:off x="911225" y="1710690"/>
                            <a:ext cx="63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389"/>
                        <wps:cNvCnPr>
                          <a:cxnSpLocks noChangeShapeType="1"/>
                        </wps:cNvCnPr>
                        <wps:spPr bwMode="auto">
                          <a:xfrm>
                            <a:off x="4479290" y="1710690"/>
                            <a:ext cx="635" cy="252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390"/>
                        <wps:cNvCnPr>
                          <a:cxnSpLocks noChangeShapeType="1"/>
                        </wps:cNvCnPr>
                        <wps:spPr bwMode="auto">
                          <a:xfrm>
                            <a:off x="2649855" y="2373630"/>
                            <a:ext cx="635"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畫布 373" o:spid="_x0000_s1041" editas="canvas" style="width:422.95pt;height:260.5pt;mso-position-horizontal-relative:char;mso-position-vertical-relative:line" coordsize="53714,33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">
                <v:shape id="_x0000_s1042" type="#_x0000_t75" style="position:absolute;width:53714;height:33083;visibility:visible;mso-wrap-style:square">
                  <v:fill o:detectmouseclick="t"/>
                  <v:path o:connecttype="none"/>
                </v:shape>
                <v:rect id="Rectangle 374" o:spid="_x0000_s1043" style="position:absolute;left:19754;top:2514;width:12967;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EWRMUA&#10;AADcAAAADwAAAGRycy9kb3ducmV2LnhtbESPQWvCQBSE74L/YXmF3nSTCKWmrlKUSHvU5NLba/Y1&#10;SZt9G7KbGP313ULB4zAz3zCb3WRaMVLvGssK4mUEgri0uuFKQZFni2cQziNrbC2Tgis52G3nsw2m&#10;2l74ROPZVyJA2KWooPa+S6V0ZU0G3dJ2xMH7sr1BH2RfSd3jJcBNK5MoepIGGw4LNXa0r6n8OQ9G&#10;wWeTFHg75cfIrLOVf5/y7+HjoNTjw/T6AsLT5O/h//abVpDEK/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RZExQAAANwAAAAPAAAAAAAAAAAAAAAAAJgCAABkcnMv&#10;ZG93bnJldi54bWxQSwUGAAAAAAQABAD1AAAAigMAAAAA&#10;">
                  <v:textbox>
                    <w:txbxContent>
                      <w:p w:rsidR="004864D6" w:rsidRPr="000E225B" w:rsidRDefault="004864D6" w:rsidP="001A132B">
                        <w:pPr>
                          <w:rPr>
                            <w:sz w:val="20"/>
                          </w:rPr>
                        </w:pPr>
                        <w:r w:rsidRPr="00DC4ACB">
                          <w:rPr>
                            <w:sz w:val="20"/>
                          </w:rPr>
                          <w:t>Danaher Tool</w:t>
                        </w:r>
                        <w:r>
                          <w:rPr>
                            <w:rFonts w:hint="eastAsia"/>
                          </w:rPr>
                          <w:t xml:space="preserve"> </w:t>
                        </w:r>
                        <w:r w:rsidRPr="00DC4ACB">
                          <w:rPr>
                            <w:sz w:val="20"/>
                          </w:rPr>
                          <w:t>Group</w:t>
                        </w:r>
                      </w:p>
                      <w:p w:rsidR="004864D6" w:rsidRPr="00DC4ACB" w:rsidRDefault="004864D6" w:rsidP="00DC4ACB">
                        <w:pPr>
                          <w:jc w:val="center"/>
                          <w:rPr>
                            <w:sz w:val="20"/>
                          </w:rPr>
                        </w:pPr>
                        <w:r w:rsidRPr="00DC4ACB">
                          <w:rPr>
                            <w:sz w:val="20"/>
                          </w:rPr>
                          <w:t>(US)</w:t>
                        </w:r>
                      </w:p>
                    </w:txbxContent>
                  </v:textbox>
                </v:rect>
                <v:rect id="Rectangle 375" o:spid="_x0000_s1044" style="position:absolute;left:838;top:10979;width:14675;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OMMUA&#10;AADcAAAADwAAAGRycy9kb3ducmV2LnhtbESPQWvCQBSE74L/YXmF3nRjK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I4wxQAAANwAAAAPAAAAAAAAAAAAAAAAAJgCAABkcnMv&#10;ZG93bnJldi54bWxQSwUGAAAAAAQABAD1AAAAigMAAAAA&#10;">
                  <v:textbox>
                    <w:txbxContent>
                      <w:p w:rsidR="004864D6" w:rsidRPr="000E225B" w:rsidRDefault="004864D6" w:rsidP="001A132B">
                        <w:pPr>
                          <w:rPr>
                            <w:sz w:val="20"/>
                          </w:rPr>
                        </w:pPr>
                        <w:r>
                          <w:rPr>
                            <w:rFonts w:hint="eastAsia"/>
                            <w:sz w:val="20"/>
                          </w:rPr>
                          <w:t>Keithley Instrument Inc.</w:t>
                        </w:r>
                      </w:p>
                      <w:p w:rsidR="004864D6" w:rsidRPr="00DC4ACB" w:rsidRDefault="004864D6" w:rsidP="00DC4ACB">
                        <w:pPr>
                          <w:jc w:val="center"/>
                          <w:rPr>
                            <w:sz w:val="20"/>
                          </w:rPr>
                        </w:pPr>
                        <w:r w:rsidRPr="00DC4ACB">
                          <w:rPr>
                            <w:sz w:val="20"/>
                          </w:rPr>
                          <w:t>(US)</w:t>
                        </w:r>
                      </w:p>
                    </w:txbxContent>
                  </v:textbox>
                </v:rect>
                <v:rect id="Rectangle 376" o:spid="_x0000_s1045" style="position:absolute;left:37617;top:10979;width:14675;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3MMA&#10;AADcAAAADwAAAGRycy9kb3ducmV2LnhtbESPQYvCMBSE7wv+h/AEb2tqBXGrUcTFRY9aL96ezbOt&#10;Ni+liVr99UYQ9jjMzDfMdN6aStyocaVlBYN+BII4s7rkXME+XX2PQTiPrLGyTAoe5GA+63xNMdH2&#10;zlu67XwuAoRdggoK7+tESpcVZND1bU0cvJNtDPogm1zqBu8BbioZR9FIGiw5LBRY07Kg7LK7GgXH&#10;Mt7jc5v+ReZnNfSbNj1fD79K9brtYgLCU+v/w5/2WiuIByN4nw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13MMAAADcAAAADwAAAAAAAAAAAAAAAACYAgAAZHJzL2Rv&#10;d25yZXYueG1sUEsFBgAAAAAEAAQA9QAAAIgDAAAAAA==&#10;">
                  <v:textbox>
                    <w:txbxContent>
                      <w:p w:rsidR="004864D6" w:rsidRPr="00DC4ACB" w:rsidRDefault="004864D6" w:rsidP="00DC4ACB">
                        <w:pPr>
                          <w:jc w:val="center"/>
                          <w:rPr>
                            <w:sz w:val="20"/>
                          </w:rPr>
                        </w:pPr>
                        <w:r>
                          <w:rPr>
                            <w:rFonts w:hint="eastAsia"/>
                            <w:sz w:val="20"/>
                          </w:rPr>
                          <w:t>Fluke Southeast Asia Pte,Ltd</w:t>
                        </w:r>
                        <w:r>
                          <w:rPr>
                            <w:sz w:val="20"/>
                          </w:rPr>
                          <w:t xml:space="preserve"> </w:t>
                        </w:r>
                        <w:r w:rsidRPr="00DC4ACB">
                          <w:rPr>
                            <w:sz w:val="20"/>
                          </w:rPr>
                          <w:t>(</w:t>
                        </w:r>
                        <w:r>
                          <w:rPr>
                            <w:rFonts w:hint="eastAsia"/>
                            <w:sz w:val="20"/>
                          </w:rPr>
                          <w:t>Singapore</w:t>
                        </w:r>
                        <w:r w:rsidRPr="00DC4ACB">
                          <w:rPr>
                            <w:sz w:val="20"/>
                          </w:rPr>
                          <w:t>)</w:t>
                        </w:r>
                      </w:p>
                    </w:txbxContent>
                  </v:textbox>
                </v:rect>
                <v:rect id="Rectangle 377" o:spid="_x0000_s1046" style="position:absolute;left:20034;top:11042;width:12966;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oQR8UA&#10;AADcAAAADwAAAGRycy9kb3ducmV2LnhtbESPQWvCQBSE74L/YXmF3nRjCrZNXUWUiD0m8dLba/Y1&#10;SZt9G7Ibjf56t1DocZiZb5jVZjStOFPvGssKFvMIBHFpdcOVglORzl5AOI+ssbVMCq7kYLOeTlaY&#10;aHvhjM65r0SAsEtQQe19l0jpypoMurntiIP3ZXuDPsi+krrHS4CbVsZRtJQGGw4LNXa0q6n8yQej&#10;4LOJT3jLikNkXtMn/z4W38PHXqnHh3H7BsLT6P/Df+2jVhAvnu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uhBHxQAAANwAAAAPAAAAAAAAAAAAAAAAAJgCAABkcnMv&#10;ZG93bnJldi54bWxQSwUGAAAAAAQABAD1AAAAigMAAAAA&#10;">
                  <v:textbox>
                    <w:txbxContent>
                      <w:p w:rsidR="004864D6" w:rsidRDefault="004864D6" w:rsidP="00DC4ACB">
                        <w:pPr>
                          <w:jc w:val="center"/>
                          <w:rPr>
                            <w:sz w:val="20"/>
                          </w:rPr>
                        </w:pPr>
                        <w:r>
                          <w:rPr>
                            <w:rFonts w:hint="eastAsia"/>
                            <w:sz w:val="20"/>
                          </w:rPr>
                          <w:t>Tekronix,INC</w:t>
                        </w:r>
                      </w:p>
                      <w:p w:rsidR="004864D6" w:rsidRPr="00DC4ACB" w:rsidRDefault="004864D6" w:rsidP="00DC4ACB">
                        <w:pPr>
                          <w:jc w:val="center"/>
                          <w:rPr>
                            <w:sz w:val="20"/>
                          </w:rPr>
                        </w:pPr>
                        <w:r>
                          <w:rPr>
                            <w:rFonts w:hint="eastAsia"/>
                            <w:sz w:val="20"/>
                          </w:rPr>
                          <w:t>(US)</w:t>
                        </w:r>
                      </w:p>
                    </w:txbxContent>
                  </v:textbox>
                </v:rect>
                <v:rect id="Rectangle 378" o:spid="_x0000_s1047" style="position:absolute;left:1708;top:19538;width:12966;height:4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ENcEA&#10;AADcAAAADwAAAGRycy9kb3ducmV2LnhtbERPTYvCMBC9L/gfwgje1rQVZLcaiyiKHrVe9jY2Y1tt&#10;JqWJWv31m8PCHh/ve571phEP6lxtWUE8jkAQF1bXXCo45ZvPLxDOI2tsLJOCFznIFoOPOabaPvlA&#10;j6MvRQhhl6KCyvs2ldIVFRl0Y9sSB+5iO4M+wK6UusNnCDeNTKJoKg3WHBoqbGlVUXE73o2Cc52c&#10;8H3It5H53kz8vs+v95+1UqNhv5yB8NT7f/Gfe6cVJHFYG86E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lhDXBAAAA3AAAAA8AAAAAAAAAAAAAAAAAmAIAAGRycy9kb3du&#10;cmV2LnhtbFBLBQYAAAAABAAEAPUAAACGAwAAAAA=&#10;">
                  <v:textbox>
                    <w:txbxContent>
                      <w:p w:rsidR="004864D6" w:rsidRDefault="004864D6">
                        <w:pPr>
                          <w:rPr>
                            <w:rFonts w:ascii="標楷體" w:eastAsia="標楷體" w:hAnsi="標楷體"/>
                            <w:sz w:val="20"/>
                          </w:rPr>
                        </w:pPr>
                        <w:r w:rsidRPr="00DC4ACB">
                          <w:rPr>
                            <w:rFonts w:ascii="標楷體" w:eastAsia="標楷體" w:hAnsi="標楷體" w:hint="eastAsia"/>
                            <w:sz w:val="20"/>
                          </w:rPr>
                          <w:t>太克科技股份有限</w:t>
                        </w:r>
                      </w:p>
                      <w:p w:rsidR="004864D6" w:rsidRDefault="004864D6">
                        <w:pPr>
                          <w:rPr>
                            <w:rFonts w:ascii="標楷體" w:eastAsia="標楷體" w:hAnsi="標楷體"/>
                            <w:sz w:val="20"/>
                          </w:rPr>
                        </w:pPr>
                        <w:r>
                          <w:rPr>
                            <w:rFonts w:ascii="標楷體" w:eastAsia="標楷體" w:hAnsi="標楷體" w:hint="eastAsia"/>
                            <w:sz w:val="20"/>
                          </w:rPr>
                          <w:t xml:space="preserve">    </w:t>
                        </w:r>
                        <w:r w:rsidRPr="00DC4ACB">
                          <w:rPr>
                            <w:rFonts w:ascii="標楷體" w:eastAsia="標楷體" w:hAnsi="標楷體" w:hint="eastAsia"/>
                            <w:sz w:val="20"/>
                          </w:rPr>
                          <w:t>公司</w:t>
                        </w:r>
                        <w:r>
                          <w:rPr>
                            <w:rFonts w:ascii="標楷體" w:eastAsia="標楷體" w:hAnsi="標楷體" w:hint="eastAsia"/>
                            <w:sz w:val="20"/>
                          </w:rPr>
                          <w:t>(台灣)</w:t>
                        </w:r>
                      </w:p>
                      <w:p w:rsidR="004864D6" w:rsidRPr="00DC4ACB" w:rsidRDefault="004864D6" w:rsidP="00DC4ACB">
                        <w:pPr>
                          <w:jc w:val="center"/>
                          <w:rPr>
                            <w:sz w:val="20"/>
                          </w:rPr>
                        </w:pPr>
                        <w:r>
                          <w:rPr>
                            <w:rFonts w:hint="eastAsia"/>
                            <w:sz w:val="20"/>
                          </w:rPr>
                          <w:t>(US)</w:t>
                        </w:r>
                      </w:p>
                    </w:txbxContent>
                  </v:textbox>
                </v:rect>
                <v:rect id="Rectangle 379" o:spid="_x0000_s1048" style="position:absolute;left:19088;top:19532;width:15475;height:4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hrsUA&#10;AADcAAAADwAAAGRycy9kb3ducmV2LnhtbESPT2vCQBTE70K/w/IKvZmNEaRJXUUUpR7z59Lba/Y1&#10;Sc2+DdlV0376bqHQ4zAzv2HW28n04kaj6ywrWEQxCOLa6o4bBVV5nD+DcB5ZY2+ZFHyRg+3mYbbG&#10;TNs753QrfCMChF2GClrvh0xKV7dk0EV2IA7ehx0N+iDHRuoR7wFuepnE8Uoa7DgstDjQvqX6UlyN&#10;gvcuqfA7L0+xSY9Lf57Kz+vbQamnx2n3AsLT5P/Df+1XrSBZp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SGuxQAAANwAAAAPAAAAAAAAAAAAAAAAAJgCAABkcnMv&#10;ZG93bnJldi54bWxQSwUGAAAAAAQABAD1AAAAigMAAAAA&#10;">
                  <v:textbox>
                    <w:txbxContent>
                      <w:p w:rsidR="004864D6" w:rsidRPr="00DC4ACB" w:rsidRDefault="004864D6" w:rsidP="00DC4ACB">
                        <w:pPr>
                          <w:jc w:val="center"/>
                          <w:rPr>
                            <w:sz w:val="20"/>
                          </w:rPr>
                        </w:pPr>
                        <w:r w:rsidRPr="00DC4ACB">
                          <w:rPr>
                            <w:sz w:val="20"/>
                          </w:rPr>
                          <w:t xml:space="preserve">Tektronix </w:t>
                        </w:r>
                        <w:r>
                          <w:rPr>
                            <w:rFonts w:hint="eastAsia"/>
                            <w:sz w:val="20"/>
                          </w:rPr>
                          <w:t>International Sales GMBH(Swizerland)</w:t>
                        </w:r>
                      </w:p>
                    </w:txbxContent>
                  </v:textbox>
                </v:rect>
                <v:rect id="Rectangle 380" o:spid="_x0000_s1049" style="position:absolute;left:37757;top:19532;width:14674;height:4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9CjsIA&#10;AADcAAAADwAAAGRycy9kb3ducmV2LnhtbERPPW+DMBDdI/U/WFepW2JKpSohGFS1ompHQpZsF3wB&#10;WnxG2Akkv74eKmV8et9pPpteXGh0nWUFz6sIBHFtdceNgn1VLNcgnEfW2FsmBVdykGcPixQTbScu&#10;6bLzjQgh7BJU0Ho/JFK6uiWDbmUH4sCd7GjQBzg2Uo84hXDTyziKXqXBjkNDiwO9t1T/7s5GwbGL&#10;93grq8/IbIoX/z1XP+fDh1JPj/PbFoSn2d/F/+4vrSCOw/xwJhwB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0KOwgAAANwAAAAPAAAAAAAAAAAAAAAAAJgCAABkcnMvZG93&#10;bnJldi54bWxQSwUGAAAAAAQABAD1AAAAhwMAAAAA&#10;">
                  <v:textbox>
                    <w:txbxContent>
                      <w:p w:rsidR="004864D6" w:rsidRPr="000E225B" w:rsidRDefault="004864D6" w:rsidP="001A132B">
                        <w:pPr>
                          <w:rPr>
                            <w:sz w:val="20"/>
                          </w:rPr>
                        </w:pPr>
                        <w:r>
                          <w:rPr>
                            <w:rFonts w:hint="eastAsia"/>
                            <w:sz w:val="20"/>
                          </w:rPr>
                          <w:t>Tektronix International Inc.(US)</w:t>
                        </w:r>
                      </w:p>
                      <w:p w:rsidR="004864D6" w:rsidRPr="00DC4ACB" w:rsidRDefault="004864D6" w:rsidP="00DC4ACB">
                        <w:pPr>
                          <w:jc w:val="center"/>
                          <w:rPr>
                            <w:sz w:val="20"/>
                          </w:rPr>
                        </w:pPr>
                      </w:p>
                    </w:txbxContent>
                  </v:textbox>
                </v:rect>
                <v:rect id="Rectangle 381" o:spid="_x0000_s1050" style="position:absolute;left:19088;top:26841;width:15475;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nFcUA&#10;AADcAAAADwAAAGRycy9kb3ducmV2LnhtbESPQWvCQBSE74X+h+UVvDUbIxSbZhVRFHuM8dLba/Y1&#10;Sc2+DdnVRH99tyB4HGbmGyZbjqYVF+pdY1nBNIpBEJdWN1wpOBbb1zkI55E1tpZJwZUcLBfPTxmm&#10;2g6c0+XgKxEg7FJUUHvfpVK6siaDLrIdcfB+bG/QB9lXUvc4BLhpZRLHb9Jgw2Ghxo7WNZWnw9ko&#10;+G6SI97yYheb9+3Mf47F7/lro9TkZVx9gPA0+kf43t5rBUkyhf8z4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xQAAANwAAAAPAAAAAAAAAAAAAAAAAJgCAABkcnMv&#10;ZG93bnJldi54bWxQSwUGAAAAAAQABAD1AAAAigMAAAAA&#10;">
                  <v:textbox>
                    <w:txbxContent>
                      <w:p w:rsidR="004864D6" w:rsidRPr="00DC4ACB" w:rsidRDefault="004864D6" w:rsidP="00DC4ACB">
                        <w:pPr>
                          <w:jc w:val="center"/>
                          <w:rPr>
                            <w:sz w:val="20"/>
                          </w:rPr>
                        </w:pPr>
                        <w:r w:rsidRPr="00DC4ACB">
                          <w:rPr>
                            <w:sz w:val="20"/>
                          </w:rPr>
                          <w:t xml:space="preserve">Tektronix </w:t>
                        </w:r>
                        <w:r>
                          <w:rPr>
                            <w:rFonts w:hint="eastAsia"/>
                            <w:sz w:val="20"/>
                          </w:rPr>
                          <w:t>China Trading (</w:t>
                        </w:r>
                        <w:r w:rsidRPr="001A132B">
                          <w:rPr>
                            <w:sz w:val="20"/>
                          </w:rPr>
                          <w:t>China</w:t>
                        </w:r>
                        <w:r>
                          <w:rPr>
                            <w:rFonts w:hint="eastAsia"/>
                            <w:sz w:val="20"/>
                          </w:rPr>
                          <w:t>)</w:t>
                        </w:r>
                      </w:p>
                    </w:txbxContent>
                  </v:textbox>
                </v:rect>
                <v:shapetype id="_x0000_t32" coordsize="21600,21600" o:spt="32" o:oned="t" path="m,l21600,21600e" filled="f">
                  <v:path arrowok="t" fillok="f" o:connecttype="none"/>
                  <o:lock v:ext="edit" shapetype="t"/>
                </v:shapetype>
                <v:shape id="AutoShape 382" o:spid="_x0000_s1051" type="#_x0000_t32" style="position:absolute;left:26511;top:6134;width:6;height:4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aEM8UAAADcAAAADwAAAGRycy9kb3ducmV2LnhtbESPQWsCMRSE7wX/Q3iCl1KzLihla5S1&#10;IFTBg7a9v25eN6Gbl3UTdf33RhB6HGbmG2a+7F0jztQF61nBZJyBIK68tlwr+Ppcv7yCCBFZY+OZ&#10;FFwpwHIxeJpjof2F93Q+xFokCIcCFZgY20LKUBlyGMa+JU7er+8cxiS7WuoOLwnuGpln2Uw6tJwW&#10;DLb0bqj6O5ycgt1msip/jN1s90e7m67L5lQ/fys1GvblG4hIffwPP9ofWkGe5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aEM8UAAADcAAAADwAAAAAAAAAA&#10;AAAAAAChAgAAZHJzL2Rvd25yZXYueG1sUEsFBgAAAAAEAAQA+QAAAJMDAAAAAA==&#10;"/>
                <v:shape id="AutoShape 383" o:spid="_x0000_s1052" type="#_x0000_t32" style="position:absolute;left:8636;top:8820;width:3568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uhw8QAAADcAAAADwAAAGRycy9kb3ducmV2LnhtbESPQWvCQBSE70L/w/IKvUjdJIJI6iql&#10;UBAPgpqDx8fuaxKafZvurjH9964geBxm5htmtRltJwbyoXWsIJ9lIIi1My3XCqrT9/sSRIjIBjvH&#10;pOCfAmzWL5MVlsZd+UDDMdYiQTiUqKCJsS+lDLohi2HmeuLk/ThvMSbpa2k8XhPcdrLIsoW02HJa&#10;aLCnr4b07/FiFbS7al8N07/o9XKXn30eTudOK/X2On5+gIg0xmf40d4aBUUxh/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y6HDxAAAANwAAAAPAAAAAAAAAAAA&#10;AAAAAKECAABkcnMvZG93bnJldi54bWxQSwUGAAAAAAQABAD5AAAAkgMAAAAA&#10;"/>
                <v:shape id="AutoShape 384" o:spid="_x0000_s1053" type="#_x0000_t32" style="position:absolute;left:8623;top:8953;width:6;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vxTcUAAADcAAAADwAAAGRycy9kb3ducmV2LnhtbESPQWsCMRSE74L/ITzBi9SsglK2RtkK&#10;ghY8qO39dfO6Cd28bDdR13/fCILHYWa+YRarztXiQm2wnhVMxhkI4tJry5WCz9Pm5RVEiMgaa8+k&#10;4EYBVst+b4G59lc+0OUYK5EgHHJUYGJscilDachhGPuGOHk/vnUYk2wrqVu8Jrir5TTL5tKh5bRg&#10;sKG1ofL3eHYK9rvJe/Ft7O7j8Gf3s01Rn6vRl1LDQVe8gYjUxWf40d5qBdPZH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vxTcUAAADcAAAADwAAAAAAAAAA&#10;AAAAAAChAgAAZHJzL2Rvd25yZXYueG1sUEsFBgAAAAAEAAQA+QAAAJMDAAAAAA==&#10;"/>
                <v:shape id="AutoShape 385" o:spid="_x0000_s1054" type="#_x0000_t32" style="position:absolute;left:44310;top:8820;width:6;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dU1sYAAADcAAAADwAAAGRycy9kb3ducmV2LnhtbESPW2sCMRSE3wv+h3AKfSmaVfDC1ihr&#10;QagFH7y9Hzenm9DNyXYTdfvvm4Lg4zAz3zDzZedqcaU2WM8KhoMMBHHpteVKwfGw7s9AhIissfZM&#10;Cn4pwHLRe5pjrv2Nd3Tdx0okCIccFZgYm1zKUBpyGAa+IU7el28dxiTbSuoWbwnuajnKsol0aDkt&#10;GGzo3VD5vb84BdvNcFWcjd187n7sdrwu6kv1elLq5bkr3kBE6uIjfG9/aAWj8R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XVNbGAAAA3AAAAA8AAAAAAAAA&#10;AAAAAAAAoQIAAGRycy9kb3ducmV2LnhtbFBLBQYAAAAABAAEAPkAAACUAwAAAAA=&#10;"/>
                <v:shape id="AutoShape 386" o:spid="_x0000_s1055" type="#_x0000_t32" style="position:absolute;left:26504;top:14947;width:7;height:4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jApMIAAADcAAAADwAAAGRycy9kb3ducmV2LnhtbERPy2oCMRTdF/yHcIVuimYUFBmNMhaE&#10;WnDha3+dXCfByc10EnX6982i4PJw3otV52rxoDZYzwpGwwwEcem15UrB6bgZzECEiKyx9kwKfinA&#10;atl7W2Cu/ZP39DjESqQQDjkqMDE2uZShNOQwDH1DnLirbx3GBNtK6hafKdzVcpxlU+nQcmow2NCn&#10;ofJ2uDsFu+1oXVyM3X7vf+xusinqe/VxVuq93xVzEJG6+BL/u7+0gvEkrU1n0hGQy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jApMIAAADcAAAADwAAAAAAAAAAAAAA&#10;AAChAgAAZHJzL2Rvd25yZXYueG1sUEsFBgAAAAAEAAQA+QAAAJADAAAAAA==&#10;"/>
                <v:shape id="AutoShape 387" o:spid="_x0000_s1056" type="#_x0000_t32" style="position:absolute;left:9118;top:17043;width:3568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lVMUAAADcAAAADwAAAGRycy9kb3ducmV2LnhtbESPwWrDMBBE74H+g9hCLyGRHWhIXMsh&#10;FAolh0ITH3JcpI1taq0cSXXcv68KhRyHmXnDlLvJ9mIkHzrHCvJlBoJYO9Nxo6A+vS02IEJENtg7&#10;JgU/FGBXPcxKLIy78SeNx9iIBOFQoII2xqGQMuiWLIalG4iTd3HeYkzSN9J4vCW47eUqy9bSYsdp&#10;ocWBXlvSX8dvq6A71B/1OL9GrzeH/OzzcDr3Wqmnx2n/AiLSFO/h//a7UbB63sL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XlVMUAAADcAAAADwAAAAAAAAAA&#10;AAAAAAChAgAAZHJzL2Rvd25yZXYueG1sUEsFBgAAAAAEAAQA+QAAAJMDAAAAAA==&#10;"/>
                <v:shape id="AutoShape 388" o:spid="_x0000_s1057" type="#_x0000_t32" style="position:absolute;left:9112;top:17106;width:6;height:2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IGH8IAAADcAAAADwAAAGRycy9kb3ducmV2LnhtbERPz2vCMBS+D/wfwhN2GZoqTKQzSh0I&#10;U/Bg3e7P5q0JNi9dE7X+98tB8Pjx/V6seteIK3XBelYwGWcgiCuvLdcKvo+b0RxEiMgaG8+k4E4B&#10;VsvBywJz7W98oGsZa5FCOOSowMTY5lKGypDDMPYtceJ+fecwJtjVUnd4S+GukdMsm0mHllODwZY+&#10;DVXn8uIU7LeTdXEydrs7/Nn9+6ZoLvXbj1Kvw774ABGpj0/xw/2lFUxnaX46k46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IGH8IAAADcAAAADwAAAAAAAAAAAAAA&#10;AAChAgAAZHJzL2Rvd25yZXYueG1sUEsFBgAAAAAEAAQA+QAAAJADAAAAAA==&#10;"/>
                <v:shape id="AutoShape 389" o:spid="_x0000_s1058" type="#_x0000_t32" style="position:absolute;left:44792;top:17106;width:7;height:2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6jhMUAAADcAAAADwAAAGRycy9kb3ducmV2LnhtbESPQWsCMRSE7wX/Q3hCL0WzK1TKapS1&#10;INSCB63en5vnJrh52W6ibv99Uyh4HGbmG2a+7F0jbtQF61lBPs5AEFdeW64VHL7WozcQISJrbDyT&#10;gh8KsFwMnuZYaH/nHd32sRYJwqFABSbGtpAyVIYchrFviZN39p3DmGRXS93hPcFdIydZNpUOLacF&#10;gy29G6ou+6tTsN3kq/Jk7OZz9223r+uyudYvR6Weh305AxGpj4/wf/tDK5hM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96jhMUAAADcAAAADwAAAAAAAAAA&#10;AAAAAAChAgAAZHJzL2Rvd25yZXYueG1sUEsFBgAAAAAEAAQA+QAAAJMDAAAAAA==&#10;"/>
                <v:shape id="AutoShape 390" o:spid="_x0000_s1059" type="#_x0000_t32" style="position:absolute;left:26498;top:23736;width:6;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w988UAAADcAAAADwAAAGRycy9kb3ducmV2LnhtbESPQWsCMRSE7wX/Q3hCL0WzLlTKapS1&#10;INSCB63en5vnJrh52W6ibv99Uyh4HGbmG2a+7F0jbtQF61nBZJyBIK68tlwrOHytR28gQkTW2Hgm&#10;BT8UYLkYPM2x0P7OO7rtYy0ShEOBCkyMbSFlqAw5DGPfEifv7DuHMcmulrrDe4K7RuZZNpUOLacF&#10;gy29G6ou+6tTsN1MVuXJ2M3n7ttuX9dlc61fjko9D/tyBiJSHx/h//aHVpBP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w988UAAADcAAAADwAAAAAAAAAA&#10;AAAAAAChAgAAZHJzL2Rvd25yZXYueG1sUEsFBgAAAAAEAAQA+QAAAJMDAAAAAA==&#10;"/>
                <w10:anchorlock/>
              </v:group>
            </w:pict>
          </mc:Fallback>
        </mc:AlternateContent>
      </w:r>
    </w:p>
    <w:p w:rsidR="00DC4ACB" w:rsidRDefault="00DC4ACB" w:rsidP="00965AF0">
      <w:pPr>
        <w:spacing w:beforeLines="50" w:before="120" w:afterLines="50" w:after="120" w:line="360" w:lineRule="auto"/>
        <w:ind w:leftChars="200" w:left="480" w:firstLineChars="200" w:firstLine="520"/>
        <w:jc w:val="center"/>
        <w:rPr>
          <w:rFonts w:eastAsia="標楷體"/>
          <w:color w:val="0070C0"/>
          <w:sz w:val="26"/>
          <w:szCs w:val="26"/>
          <w:highlight w:val="yellow"/>
        </w:rPr>
      </w:pPr>
    </w:p>
    <w:p w:rsidR="00DC4ACB" w:rsidRDefault="00487FDC" w:rsidP="00965AF0">
      <w:pPr>
        <w:numPr>
          <w:ilvl w:val="0"/>
          <w:numId w:val="47"/>
        </w:numPr>
        <w:tabs>
          <w:tab w:val="left" w:pos="960"/>
          <w:tab w:val="left" w:pos="1134"/>
        </w:tabs>
        <w:spacing w:beforeLines="50" w:before="120" w:afterLines="50" w:after="120" w:line="360" w:lineRule="auto"/>
        <w:ind w:leftChars="200" w:left="962" w:hanging="482"/>
        <w:jc w:val="both"/>
        <w:rPr>
          <w:rFonts w:eastAsia="標楷體"/>
          <w:b/>
          <w:sz w:val="28"/>
          <w:szCs w:val="28"/>
        </w:rPr>
      </w:pPr>
      <w:r w:rsidRPr="006D209A">
        <w:rPr>
          <w:rFonts w:eastAsia="標楷體" w:hint="eastAsia"/>
          <w:b/>
          <w:sz w:val="28"/>
          <w:szCs w:val="28"/>
        </w:rPr>
        <w:lastRenderedPageBreak/>
        <w:t>關係企業簡介</w:t>
      </w:r>
    </w:p>
    <w:tbl>
      <w:tblPr>
        <w:tblW w:w="4629" w:type="pct"/>
        <w:tblInd w:w="534"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ook w:val="00A0" w:firstRow="1" w:lastRow="0" w:firstColumn="1" w:lastColumn="0" w:noHBand="0" w:noVBand="0"/>
      </w:tblPr>
      <w:tblGrid>
        <w:gridCol w:w="850"/>
        <w:gridCol w:w="2043"/>
        <w:gridCol w:w="1478"/>
        <w:gridCol w:w="1368"/>
        <w:gridCol w:w="2292"/>
      </w:tblGrid>
      <w:tr w:rsidR="00AF04D8" w:rsidRPr="006D209A">
        <w:trPr>
          <w:trHeight w:val="510"/>
          <w:tblHeader/>
        </w:trPr>
        <w:tc>
          <w:tcPr>
            <w:tcW w:w="529" w:type="pct"/>
            <w:shd w:val="clear" w:color="auto" w:fill="4F81BD"/>
          </w:tcPr>
          <w:p w:rsidR="00DC4ACB" w:rsidRDefault="004D284E" w:rsidP="00965AF0">
            <w:pPr>
              <w:spacing w:beforeLines="25" w:before="60" w:afterLines="25" w:after="60"/>
              <w:jc w:val="center"/>
              <w:rPr>
                <w:rFonts w:eastAsia="標楷體"/>
                <w:bCs/>
                <w:color w:val="FFFFFF"/>
                <w:sz w:val="26"/>
                <w:szCs w:val="26"/>
              </w:rPr>
            </w:pPr>
            <w:r w:rsidRPr="006D209A">
              <w:rPr>
                <w:rFonts w:eastAsia="標楷體"/>
                <w:bCs/>
                <w:color w:val="FFFFFF"/>
                <w:sz w:val="26"/>
                <w:szCs w:val="26"/>
              </w:rPr>
              <w:t>編號</w:t>
            </w:r>
          </w:p>
        </w:tc>
        <w:tc>
          <w:tcPr>
            <w:tcW w:w="1272" w:type="pct"/>
            <w:shd w:val="clear" w:color="auto" w:fill="4F81BD"/>
          </w:tcPr>
          <w:p w:rsidR="00DC4ACB" w:rsidRDefault="004D284E" w:rsidP="00965AF0">
            <w:pPr>
              <w:spacing w:beforeLines="25" w:before="60" w:afterLines="25" w:after="60"/>
              <w:jc w:val="center"/>
              <w:rPr>
                <w:rFonts w:eastAsia="標楷體"/>
                <w:bCs/>
                <w:color w:val="FFFFFF"/>
                <w:sz w:val="26"/>
                <w:szCs w:val="26"/>
              </w:rPr>
            </w:pPr>
            <w:r w:rsidRPr="006D209A">
              <w:rPr>
                <w:rFonts w:eastAsia="標楷體"/>
                <w:bCs/>
                <w:color w:val="FFFFFF"/>
                <w:sz w:val="26"/>
                <w:szCs w:val="26"/>
              </w:rPr>
              <w:t>公司名稱</w:t>
            </w:r>
          </w:p>
        </w:tc>
        <w:tc>
          <w:tcPr>
            <w:tcW w:w="920" w:type="pct"/>
            <w:shd w:val="clear" w:color="auto" w:fill="4F81BD"/>
          </w:tcPr>
          <w:p w:rsidR="00DC4ACB" w:rsidRDefault="004D284E" w:rsidP="00965AF0">
            <w:pPr>
              <w:spacing w:beforeLines="25" w:before="60" w:afterLines="25" w:after="60"/>
              <w:jc w:val="center"/>
              <w:rPr>
                <w:rFonts w:eastAsia="標楷體"/>
                <w:bCs/>
                <w:color w:val="FFFFFF"/>
                <w:sz w:val="26"/>
                <w:szCs w:val="26"/>
              </w:rPr>
            </w:pPr>
            <w:r w:rsidRPr="006D209A">
              <w:rPr>
                <w:rFonts w:eastAsia="標楷體"/>
                <w:bCs/>
                <w:color w:val="FFFFFF"/>
                <w:sz w:val="26"/>
                <w:szCs w:val="26"/>
              </w:rPr>
              <w:t>簡稱</w:t>
            </w:r>
          </w:p>
        </w:tc>
        <w:tc>
          <w:tcPr>
            <w:tcW w:w="852" w:type="pct"/>
            <w:shd w:val="clear" w:color="auto" w:fill="4F81BD"/>
          </w:tcPr>
          <w:p w:rsidR="00DC4ACB" w:rsidRDefault="004D284E" w:rsidP="00965AF0">
            <w:pPr>
              <w:spacing w:beforeLines="25" w:before="60" w:afterLines="25" w:after="60"/>
              <w:jc w:val="center"/>
              <w:rPr>
                <w:rFonts w:eastAsia="標楷體"/>
                <w:bCs/>
                <w:color w:val="FFFFFF"/>
                <w:sz w:val="26"/>
                <w:szCs w:val="26"/>
              </w:rPr>
            </w:pPr>
            <w:r w:rsidRPr="006D209A">
              <w:rPr>
                <w:rFonts w:eastAsia="標楷體" w:hint="eastAsia"/>
                <w:bCs/>
                <w:color w:val="FFFFFF"/>
                <w:sz w:val="26"/>
                <w:szCs w:val="26"/>
              </w:rPr>
              <w:t>所在地</w:t>
            </w:r>
          </w:p>
        </w:tc>
        <w:tc>
          <w:tcPr>
            <w:tcW w:w="1427" w:type="pct"/>
            <w:shd w:val="clear" w:color="auto" w:fill="4F81BD"/>
          </w:tcPr>
          <w:p w:rsidR="00DC4ACB" w:rsidRDefault="004D284E" w:rsidP="00965AF0">
            <w:pPr>
              <w:spacing w:beforeLines="25" w:before="60" w:afterLines="25" w:after="60"/>
              <w:jc w:val="center"/>
              <w:rPr>
                <w:rFonts w:eastAsia="標楷體"/>
                <w:bCs/>
                <w:color w:val="FFFFFF"/>
                <w:sz w:val="26"/>
                <w:szCs w:val="26"/>
              </w:rPr>
            </w:pPr>
            <w:r w:rsidRPr="006D209A">
              <w:rPr>
                <w:rFonts w:eastAsia="標楷體"/>
                <w:bCs/>
                <w:color w:val="FFFFFF"/>
                <w:sz w:val="26"/>
                <w:szCs w:val="26"/>
              </w:rPr>
              <w:t>主要營業項目</w:t>
            </w:r>
          </w:p>
        </w:tc>
      </w:tr>
      <w:tr w:rsidR="00A33DFA" w:rsidRPr="006D209A" w:rsidTr="008139F0">
        <w:trPr>
          <w:trHeight w:val="50"/>
        </w:trPr>
        <w:tc>
          <w:tcPr>
            <w:tcW w:w="529" w:type="pct"/>
            <w:vAlign w:val="center"/>
          </w:tcPr>
          <w:p w:rsidR="00F31324" w:rsidRDefault="00A33DFA" w:rsidP="00965AF0">
            <w:pPr>
              <w:spacing w:beforeLines="25" w:before="60" w:afterLines="25" w:after="60"/>
              <w:jc w:val="center"/>
              <w:rPr>
                <w:rFonts w:eastAsia="標楷體"/>
                <w:bCs/>
                <w:sz w:val="26"/>
                <w:szCs w:val="26"/>
              </w:rPr>
            </w:pPr>
            <w:r w:rsidRPr="006D209A">
              <w:rPr>
                <w:rFonts w:eastAsia="標楷體"/>
                <w:bCs/>
                <w:sz w:val="26"/>
                <w:szCs w:val="26"/>
              </w:rPr>
              <w:t>1</w:t>
            </w:r>
          </w:p>
        </w:tc>
        <w:tc>
          <w:tcPr>
            <w:tcW w:w="1272" w:type="pct"/>
            <w:vAlign w:val="center"/>
          </w:tcPr>
          <w:p w:rsidR="00DC4ACB" w:rsidRDefault="00A33DFA" w:rsidP="00965AF0">
            <w:pPr>
              <w:spacing w:beforeLines="25" w:before="60" w:afterLines="25" w:after="60"/>
              <w:jc w:val="center"/>
              <w:rPr>
                <w:rFonts w:eastAsia="標楷體"/>
                <w:sz w:val="26"/>
                <w:szCs w:val="26"/>
              </w:rPr>
            </w:pPr>
            <w:r w:rsidRPr="006D209A">
              <w:rPr>
                <w:rFonts w:eastAsia="標楷體" w:hint="eastAsia"/>
                <w:sz w:val="26"/>
                <w:szCs w:val="26"/>
              </w:rPr>
              <w:t>Tektronix, Inc</w:t>
            </w:r>
          </w:p>
        </w:tc>
        <w:tc>
          <w:tcPr>
            <w:tcW w:w="920" w:type="pct"/>
            <w:vAlign w:val="center"/>
          </w:tcPr>
          <w:p w:rsidR="00DC4ACB" w:rsidRDefault="0086335D" w:rsidP="00965AF0">
            <w:pPr>
              <w:spacing w:beforeLines="25" w:before="60" w:afterLines="25" w:after="60"/>
              <w:jc w:val="center"/>
              <w:rPr>
                <w:rFonts w:eastAsia="標楷體"/>
                <w:sz w:val="26"/>
                <w:szCs w:val="26"/>
              </w:rPr>
            </w:pPr>
            <w:r w:rsidRPr="006D209A">
              <w:rPr>
                <w:rFonts w:eastAsia="標楷體" w:hint="eastAsia"/>
                <w:sz w:val="26"/>
                <w:szCs w:val="26"/>
              </w:rPr>
              <w:t>Tektronix</w:t>
            </w:r>
          </w:p>
        </w:tc>
        <w:tc>
          <w:tcPr>
            <w:tcW w:w="852" w:type="pct"/>
            <w:vAlign w:val="center"/>
          </w:tcPr>
          <w:p w:rsidR="00DC4ACB" w:rsidRDefault="00A33DFA" w:rsidP="00965AF0">
            <w:pPr>
              <w:spacing w:beforeLines="25" w:before="60" w:afterLines="25" w:after="60"/>
              <w:jc w:val="center"/>
              <w:rPr>
                <w:rFonts w:eastAsia="標楷體"/>
                <w:sz w:val="26"/>
                <w:szCs w:val="26"/>
              </w:rPr>
            </w:pPr>
            <w:r w:rsidRPr="006D209A">
              <w:rPr>
                <w:rFonts w:eastAsia="標楷體" w:hint="eastAsia"/>
                <w:sz w:val="26"/>
                <w:szCs w:val="26"/>
              </w:rPr>
              <w:t>美國</w:t>
            </w:r>
          </w:p>
        </w:tc>
        <w:tc>
          <w:tcPr>
            <w:tcW w:w="1427" w:type="pct"/>
            <w:vAlign w:val="center"/>
          </w:tcPr>
          <w:p w:rsidR="00DC4ACB" w:rsidRDefault="00A33DFA" w:rsidP="00965AF0">
            <w:pPr>
              <w:spacing w:beforeLines="25" w:before="60" w:afterLines="25" w:after="60"/>
              <w:rPr>
                <w:rFonts w:eastAsia="標楷體"/>
                <w:sz w:val="26"/>
                <w:szCs w:val="26"/>
              </w:rPr>
            </w:pPr>
            <w:r w:rsidRPr="006D209A">
              <w:rPr>
                <w:rFonts w:eastAsia="標楷體" w:hint="eastAsia"/>
                <w:sz w:val="26"/>
                <w:szCs w:val="26"/>
              </w:rPr>
              <w:t>電子測量儀器（示波器、訊號產生器、探棒）之生產</w:t>
            </w:r>
            <w:r w:rsidR="0086335D">
              <w:rPr>
                <w:rFonts w:eastAsia="標楷體" w:hint="eastAsia"/>
                <w:sz w:val="26"/>
                <w:szCs w:val="26"/>
              </w:rPr>
              <w:t>、研發與銷售</w:t>
            </w:r>
          </w:p>
        </w:tc>
      </w:tr>
      <w:tr w:rsidR="00A33DFA" w:rsidRPr="006D209A" w:rsidTr="008139F0">
        <w:trPr>
          <w:trHeight w:val="50"/>
        </w:trPr>
        <w:tc>
          <w:tcPr>
            <w:tcW w:w="529" w:type="pct"/>
            <w:vAlign w:val="center"/>
          </w:tcPr>
          <w:p w:rsidR="00F31324" w:rsidRDefault="00A33DFA" w:rsidP="00965AF0">
            <w:pPr>
              <w:spacing w:beforeLines="25" w:before="60" w:afterLines="25" w:after="60"/>
              <w:jc w:val="center"/>
              <w:rPr>
                <w:rFonts w:eastAsia="標楷體"/>
                <w:bCs/>
                <w:sz w:val="26"/>
                <w:szCs w:val="26"/>
              </w:rPr>
            </w:pPr>
            <w:r w:rsidRPr="006D209A">
              <w:rPr>
                <w:rFonts w:eastAsia="標楷體"/>
                <w:bCs/>
                <w:sz w:val="26"/>
                <w:szCs w:val="26"/>
              </w:rPr>
              <w:t>2</w:t>
            </w:r>
          </w:p>
        </w:tc>
        <w:tc>
          <w:tcPr>
            <w:tcW w:w="1272" w:type="pct"/>
            <w:vAlign w:val="center"/>
          </w:tcPr>
          <w:p w:rsidR="00DC4ACB" w:rsidRDefault="00A33DFA" w:rsidP="00965AF0">
            <w:pPr>
              <w:spacing w:beforeLines="25" w:before="60" w:afterLines="25" w:after="60"/>
              <w:jc w:val="center"/>
              <w:rPr>
                <w:rFonts w:eastAsia="標楷體"/>
                <w:sz w:val="26"/>
                <w:szCs w:val="26"/>
              </w:rPr>
            </w:pPr>
            <w:r w:rsidRPr="006D209A">
              <w:rPr>
                <w:rFonts w:eastAsia="標楷體" w:hint="eastAsia"/>
                <w:sz w:val="26"/>
                <w:szCs w:val="26"/>
              </w:rPr>
              <w:t>Tektronics International Sales GmbH</w:t>
            </w:r>
            <w:r>
              <w:rPr>
                <w:rFonts w:eastAsia="標楷體" w:hint="eastAsia"/>
                <w:sz w:val="26"/>
                <w:szCs w:val="26"/>
              </w:rPr>
              <w:t>.</w:t>
            </w:r>
          </w:p>
        </w:tc>
        <w:tc>
          <w:tcPr>
            <w:tcW w:w="920" w:type="pct"/>
            <w:vAlign w:val="center"/>
          </w:tcPr>
          <w:p w:rsidR="00DC4ACB" w:rsidRDefault="00A33DFA" w:rsidP="00965AF0">
            <w:pPr>
              <w:spacing w:beforeLines="25" w:before="60" w:afterLines="25" w:after="60"/>
              <w:jc w:val="center"/>
              <w:rPr>
                <w:rFonts w:eastAsia="標楷體"/>
                <w:sz w:val="26"/>
                <w:szCs w:val="26"/>
              </w:rPr>
            </w:pPr>
            <w:r w:rsidRPr="006D209A">
              <w:rPr>
                <w:rFonts w:eastAsia="標楷體" w:hint="eastAsia"/>
                <w:sz w:val="26"/>
                <w:szCs w:val="26"/>
              </w:rPr>
              <w:t>TIS</w:t>
            </w:r>
          </w:p>
        </w:tc>
        <w:tc>
          <w:tcPr>
            <w:tcW w:w="852" w:type="pct"/>
            <w:vAlign w:val="center"/>
          </w:tcPr>
          <w:p w:rsidR="00DC4ACB" w:rsidRDefault="00A33DFA" w:rsidP="00965AF0">
            <w:pPr>
              <w:spacing w:beforeLines="25" w:before="60" w:afterLines="25" w:after="60"/>
              <w:jc w:val="center"/>
              <w:rPr>
                <w:rFonts w:eastAsia="標楷體"/>
                <w:sz w:val="26"/>
                <w:szCs w:val="26"/>
              </w:rPr>
            </w:pPr>
            <w:r w:rsidRPr="006D209A">
              <w:rPr>
                <w:rFonts w:eastAsia="標楷體" w:hint="eastAsia"/>
                <w:sz w:val="26"/>
                <w:szCs w:val="26"/>
              </w:rPr>
              <w:t>瑞士</w:t>
            </w:r>
          </w:p>
        </w:tc>
        <w:tc>
          <w:tcPr>
            <w:tcW w:w="1427" w:type="pct"/>
            <w:vAlign w:val="center"/>
          </w:tcPr>
          <w:p w:rsidR="00DC4ACB" w:rsidRDefault="00A33DFA" w:rsidP="00965AF0">
            <w:pPr>
              <w:spacing w:beforeLines="25" w:before="60" w:afterLines="25" w:after="60"/>
              <w:rPr>
                <w:rFonts w:eastAsia="標楷體"/>
                <w:sz w:val="26"/>
                <w:szCs w:val="26"/>
              </w:rPr>
            </w:pPr>
            <w:r w:rsidRPr="006D209A">
              <w:rPr>
                <w:rFonts w:eastAsia="標楷體" w:hint="eastAsia"/>
                <w:sz w:val="26"/>
                <w:szCs w:val="26"/>
              </w:rPr>
              <w:t>電子測量儀器（示波器、訊號產生器、探棒）之銷售</w:t>
            </w:r>
          </w:p>
        </w:tc>
      </w:tr>
      <w:tr w:rsidR="00A33DFA" w:rsidRPr="006D209A" w:rsidTr="001330A9">
        <w:tc>
          <w:tcPr>
            <w:tcW w:w="529" w:type="pct"/>
            <w:vAlign w:val="center"/>
          </w:tcPr>
          <w:p w:rsidR="00F31324" w:rsidRDefault="00A33DFA" w:rsidP="00965AF0">
            <w:pPr>
              <w:spacing w:beforeLines="25" w:before="60" w:afterLines="25" w:after="60"/>
              <w:jc w:val="center"/>
              <w:rPr>
                <w:rFonts w:eastAsia="標楷體"/>
                <w:bCs/>
                <w:sz w:val="26"/>
                <w:szCs w:val="26"/>
              </w:rPr>
            </w:pPr>
            <w:r w:rsidRPr="006D209A">
              <w:rPr>
                <w:rFonts w:eastAsia="標楷體"/>
                <w:bCs/>
                <w:sz w:val="26"/>
                <w:szCs w:val="26"/>
              </w:rPr>
              <w:t>3</w:t>
            </w:r>
          </w:p>
        </w:tc>
        <w:tc>
          <w:tcPr>
            <w:tcW w:w="1272" w:type="pct"/>
            <w:vAlign w:val="center"/>
          </w:tcPr>
          <w:p w:rsidR="00DC4ACB" w:rsidRDefault="00A33DFA" w:rsidP="00965AF0">
            <w:pPr>
              <w:spacing w:beforeLines="25" w:before="60" w:afterLines="25" w:after="60"/>
              <w:jc w:val="center"/>
              <w:rPr>
                <w:rFonts w:eastAsia="標楷體"/>
                <w:sz w:val="26"/>
                <w:szCs w:val="26"/>
              </w:rPr>
            </w:pPr>
            <w:r w:rsidRPr="006D209A">
              <w:rPr>
                <w:rFonts w:eastAsia="標楷體" w:hint="eastAsia"/>
                <w:sz w:val="26"/>
                <w:szCs w:val="26"/>
              </w:rPr>
              <w:t>Tektronix International Inc.</w:t>
            </w:r>
          </w:p>
        </w:tc>
        <w:tc>
          <w:tcPr>
            <w:tcW w:w="920" w:type="pct"/>
            <w:vAlign w:val="center"/>
          </w:tcPr>
          <w:p w:rsidR="00DC4ACB" w:rsidRDefault="00A33DFA" w:rsidP="00965AF0">
            <w:pPr>
              <w:spacing w:beforeLines="25" w:before="60" w:afterLines="25" w:after="60"/>
              <w:jc w:val="center"/>
              <w:rPr>
                <w:rFonts w:eastAsia="標楷體"/>
                <w:sz w:val="26"/>
                <w:szCs w:val="26"/>
              </w:rPr>
            </w:pPr>
            <w:r w:rsidRPr="006D209A">
              <w:rPr>
                <w:rFonts w:eastAsia="標楷體" w:hint="eastAsia"/>
                <w:sz w:val="26"/>
                <w:szCs w:val="26"/>
              </w:rPr>
              <w:t>TII</w:t>
            </w:r>
          </w:p>
        </w:tc>
        <w:tc>
          <w:tcPr>
            <w:tcW w:w="852" w:type="pct"/>
            <w:vAlign w:val="center"/>
          </w:tcPr>
          <w:p w:rsidR="00DC4ACB" w:rsidRDefault="00A33DFA" w:rsidP="00965AF0">
            <w:pPr>
              <w:spacing w:beforeLines="25" w:before="60" w:afterLines="25" w:after="60"/>
              <w:jc w:val="center"/>
              <w:rPr>
                <w:rFonts w:eastAsia="標楷體"/>
                <w:sz w:val="26"/>
                <w:szCs w:val="26"/>
              </w:rPr>
            </w:pPr>
            <w:r w:rsidRPr="006D209A">
              <w:rPr>
                <w:rFonts w:eastAsia="標楷體" w:hint="eastAsia"/>
                <w:sz w:val="26"/>
                <w:szCs w:val="26"/>
              </w:rPr>
              <w:t>美國</w:t>
            </w:r>
          </w:p>
        </w:tc>
        <w:tc>
          <w:tcPr>
            <w:tcW w:w="1427" w:type="pct"/>
            <w:vAlign w:val="center"/>
          </w:tcPr>
          <w:p w:rsidR="00DC4ACB" w:rsidRDefault="00A33DFA" w:rsidP="00965AF0">
            <w:pPr>
              <w:spacing w:beforeLines="25" w:before="60" w:afterLines="25" w:after="60"/>
              <w:rPr>
                <w:rFonts w:eastAsia="標楷體"/>
                <w:sz w:val="26"/>
                <w:szCs w:val="26"/>
              </w:rPr>
            </w:pPr>
            <w:r w:rsidRPr="006D209A">
              <w:rPr>
                <w:rFonts w:eastAsia="標楷體" w:hint="eastAsia"/>
                <w:sz w:val="26"/>
                <w:szCs w:val="26"/>
              </w:rPr>
              <w:t>電子測量儀器（示波器、訊號產生器、探棒）之銷售</w:t>
            </w:r>
          </w:p>
        </w:tc>
      </w:tr>
      <w:tr w:rsidR="00A33DFA" w:rsidRPr="006D209A" w:rsidTr="001330A9">
        <w:trPr>
          <w:trHeight w:val="60"/>
        </w:trPr>
        <w:tc>
          <w:tcPr>
            <w:tcW w:w="529" w:type="pct"/>
            <w:vAlign w:val="center"/>
          </w:tcPr>
          <w:p w:rsidR="00F31324" w:rsidRDefault="00A33DFA" w:rsidP="00965AF0">
            <w:pPr>
              <w:spacing w:beforeLines="25" w:before="60" w:afterLines="25" w:after="60"/>
              <w:jc w:val="center"/>
              <w:rPr>
                <w:rFonts w:eastAsia="標楷體"/>
                <w:bCs/>
                <w:sz w:val="26"/>
                <w:szCs w:val="26"/>
              </w:rPr>
            </w:pPr>
            <w:r w:rsidRPr="006D209A">
              <w:rPr>
                <w:rFonts w:eastAsia="標楷體"/>
                <w:bCs/>
                <w:sz w:val="26"/>
                <w:szCs w:val="26"/>
              </w:rPr>
              <w:t>4</w:t>
            </w:r>
          </w:p>
        </w:tc>
        <w:tc>
          <w:tcPr>
            <w:tcW w:w="1272" w:type="pct"/>
            <w:vAlign w:val="center"/>
          </w:tcPr>
          <w:p w:rsidR="00DC4ACB" w:rsidRDefault="00A33DFA" w:rsidP="00965AF0">
            <w:pPr>
              <w:spacing w:beforeLines="25" w:before="60" w:afterLines="25" w:after="60"/>
              <w:jc w:val="center"/>
              <w:rPr>
                <w:rFonts w:eastAsia="標楷體"/>
                <w:sz w:val="26"/>
                <w:szCs w:val="26"/>
              </w:rPr>
            </w:pPr>
            <w:r w:rsidRPr="0052020F">
              <w:rPr>
                <w:rFonts w:eastAsia="標楷體"/>
                <w:sz w:val="26"/>
                <w:szCs w:val="26"/>
              </w:rPr>
              <w:t xml:space="preserve">Fluke </w:t>
            </w:r>
            <w:smartTag w:uri="urn:schemas-microsoft-com:office:smarttags" w:element="place">
              <w:r>
                <w:rPr>
                  <w:rFonts w:eastAsia="標楷體" w:hint="eastAsia"/>
                  <w:sz w:val="26"/>
                  <w:szCs w:val="26"/>
                </w:rPr>
                <w:t>Southeast Asia</w:t>
              </w:r>
            </w:smartTag>
            <w:r>
              <w:rPr>
                <w:rFonts w:eastAsia="標楷體" w:hint="eastAsia"/>
                <w:sz w:val="26"/>
                <w:szCs w:val="26"/>
              </w:rPr>
              <w:t xml:space="preserve"> Pte.</w:t>
            </w:r>
          </w:p>
        </w:tc>
        <w:tc>
          <w:tcPr>
            <w:tcW w:w="920" w:type="pct"/>
            <w:vAlign w:val="center"/>
          </w:tcPr>
          <w:p w:rsidR="00DC4ACB" w:rsidRDefault="00A33DFA" w:rsidP="00965AF0">
            <w:pPr>
              <w:spacing w:beforeLines="25" w:before="60" w:afterLines="25" w:after="60"/>
              <w:jc w:val="center"/>
              <w:rPr>
                <w:rFonts w:eastAsia="標楷體"/>
                <w:sz w:val="26"/>
                <w:szCs w:val="26"/>
              </w:rPr>
            </w:pPr>
            <w:r w:rsidRPr="0052020F">
              <w:rPr>
                <w:rFonts w:eastAsia="標楷體"/>
                <w:sz w:val="26"/>
                <w:szCs w:val="26"/>
              </w:rPr>
              <w:t>Fluke</w:t>
            </w:r>
            <w:r w:rsidR="00675FCB">
              <w:rPr>
                <w:rFonts w:eastAsia="標楷體" w:hint="eastAsia"/>
                <w:sz w:val="26"/>
                <w:szCs w:val="26"/>
              </w:rPr>
              <w:t xml:space="preserve"> SEA</w:t>
            </w:r>
          </w:p>
        </w:tc>
        <w:tc>
          <w:tcPr>
            <w:tcW w:w="852" w:type="pct"/>
            <w:vAlign w:val="center"/>
          </w:tcPr>
          <w:p w:rsidR="00DC4ACB" w:rsidRDefault="00A33DFA" w:rsidP="00965AF0">
            <w:pPr>
              <w:spacing w:beforeLines="25" w:before="60" w:afterLines="25" w:after="60"/>
              <w:jc w:val="center"/>
              <w:rPr>
                <w:rFonts w:eastAsia="標楷體"/>
                <w:sz w:val="26"/>
                <w:szCs w:val="26"/>
              </w:rPr>
            </w:pPr>
            <w:r>
              <w:rPr>
                <w:rFonts w:eastAsia="標楷體" w:hint="eastAsia"/>
                <w:sz w:val="26"/>
                <w:szCs w:val="26"/>
              </w:rPr>
              <w:t>新加坡</w:t>
            </w:r>
          </w:p>
        </w:tc>
        <w:tc>
          <w:tcPr>
            <w:tcW w:w="1427" w:type="pct"/>
          </w:tcPr>
          <w:p w:rsidR="00A33DFA" w:rsidRDefault="00A33DFA" w:rsidP="001330A9">
            <w:r w:rsidRPr="00297B7E">
              <w:rPr>
                <w:rFonts w:eastAsia="標楷體" w:hint="eastAsia"/>
                <w:sz w:val="26"/>
                <w:szCs w:val="26"/>
              </w:rPr>
              <w:t>電子測量儀器（示波器、訊號產生器、探棒）之銷售</w:t>
            </w:r>
          </w:p>
        </w:tc>
      </w:tr>
      <w:tr w:rsidR="00A33DFA" w:rsidRPr="00D92058" w:rsidTr="001330A9">
        <w:tc>
          <w:tcPr>
            <w:tcW w:w="529" w:type="pct"/>
            <w:vAlign w:val="center"/>
          </w:tcPr>
          <w:p w:rsidR="00F31324" w:rsidRDefault="00A33DFA" w:rsidP="00965AF0">
            <w:pPr>
              <w:spacing w:beforeLines="25" w:before="60" w:afterLines="25" w:after="60"/>
              <w:jc w:val="center"/>
              <w:rPr>
                <w:rFonts w:eastAsia="標楷體"/>
                <w:bCs/>
                <w:sz w:val="26"/>
                <w:szCs w:val="26"/>
              </w:rPr>
            </w:pPr>
            <w:r>
              <w:rPr>
                <w:rFonts w:eastAsia="標楷體" w:hint="eastAsia"/>
                <w:bCs/>
                <w:sz w:val="26"/>
                <w:szCs w:val="26"/>
              </w:rPr>
              <w:t>5</w:t>
            </w:r>
          </w:p>
        </w:tc>
        <w:tc>
          <w:tcPr>
            <w:tcW w:w="1272" w:type="pct"/>
            <w:vAlign w:val="center"/>
          </w:tcPr>
          <w:p w:rsidR="00DC4ACB" w:rsidRDefault="00A33DFA" w:rsidP="00965AF0">
            <w:pPr>
              <w:spacing w:beforeLines="25" w:before="60" w:afterLines="25" w:after="60"/>
              <w:jc w:val="center"/>
              <w:rPr>
                <w:rFonts w:eastAsia="標楷體"/>
                <w:sz w:val="26"/>
                <w:szCs w:val="26"/>
              </w:rPr>
            </w:pPr>
            <w:r w:rsidRPr="006D209A">
              <w:rPr>
                <w:rFonts w:eastAsia="標楷體" w:hint="eastAsia"/>
                <w:sz w:val="26"/>
                <w:szCs w:val="26"/>
              </w:rPr>
              <w:t>Tektronix</w:t>
            </w:r>
            <w:r>
              <w:rPr>
                <w:rFonts w:eastAsia="標楷體" w:hint="eastAsia"/>
                <w:sz w:val="26"/>
                <w:szCs w:val="26"/>
              </w:rPr>
              <w:t xml:space="preserve"> </w:t>
            </w:r>
            <w:smartTag w:uri="urn:schemas-microsoft-com:office:smarttags" w:element="place">
              <w:smartTag w:uri="urn:schemas-microsoft-com:office:smarttags" w:element="country-region">
                <w:r>
                  <w:rPr>
                    <w:rFonts w:eastAsia="標楷體" w:hint="eastAsia"/>
                    <w:sz w:val="26"/>
                    <w:szCs w:val="26"/>
                  </w:rPr>
                  <w:t>China</w:t>
                </w:r>
              </w:smartTag>
            </w:smartTag>
            <w:r>
              <w:rPr>
                <w:rFonts w:eastAsia="標楷體" w:hint="eastAsia"/>
                <w:sz w:val="26"/>
                <w:szCs w:val="26"/>
              </w:rPr>
              <w:t xml:space="preserve"> Trading</w:t>
            </w:r>
          </w:p>
        </w:tc>
        <w:tc>
          <w:tcPr>
            <w:tcW w:w="920" w:type="pct"/>
            <w:vAlign w:val="center"/>
          </w:tcPr>
          <w:p w:rsidR="00DC4ACB" w:rsidRDefault="00A33DFA" w:rsidP="00965AF0">
            <w:pPr>
              <w:spacing w:beforeLines="25" w:before="60" w:afterLines="25" w:after="60"/>
              <w:jc w:val="center"/>
              <w:rPr>
                <w:rFonts w:eastAsia="標楷體"/>
                <w:sz w:val="26"/>
                <w:szCs w:val="26"/>
              </w:rPr>
            </w:pPr>
            <w:r>
              <w:rPr>
                <w:rFonts w:eastAsia="標楷體" w:hint="eastAsia"/>
                <w:sz w:val="26"/>
                <w:szCs w:val="26"/>
              </w:rPr>
              <w:t>TCT</w:t>
            </w:r>
          </w:p>
        </w:tc>
        <w:tc>
          <w:tcPr>
            <w:tcW w:w="852" w:type="pct"/>
            <w:vAlign w:val="center"/>
          </w:tcPr>
          <w:p w:rsidR="00DC4ACB" w:rsidRDefault="00A33DFA" w:rsidP="00965AF0">
            <w:pPr>
              <w:spacing w:beforeLines="25" w:before="60" w:afterLines="25" w:after="60"/>
              <w:jc w:val="center"/>
              <w:rPr>
                <w:rFonts w:eastAsia="標楷體"/>
                <w:sz w:val="26"/>
                <w:szCs w:val="26"/>
              </w:rPr>
            </w:pPr>
            <w:r w:rsidRPr="006D209A">
              <w:rPr>
                <w:rFonts w:eastAsia="標楷體" w:hint="eastAsia"/>
                <w:sz w:val="26"/>
                <w:szCs w:val="26"/>
              </w:rPr>
              <w:t>中國大陸</w:t>
            </w:r>
          </w:p>
        </w:tc>
        <w:tc>
          <w:tcPr>
            <w:tcW w:w="1427" w:type="pct"/>
            <w:vAlign w:val="center"/>
          </w:tcPr>
          <w:p w:rsidR="00DC4ACB" w:rsidRDefault="00A33DFA" w:rsidP="00965AF0">
            <w:pPr>
              <w:spacing w:beforeLines="25" w:before="60" w:afterLines="25" w:after="60"/>
              <w:rPr>
                <w:rFonts w:eastAsia="標楷體"/>
                <w:sz w:val="26"/>
                <w:szCs w:val="26"/>
              </w:rPr>
            </w:pPr>
            <w:r w:rsidRPr="006D209A">
              <w:rPr>
                <w:rFonts w:eastAsia="標楷體" w:hint="eastAsia"/>
                <w:sz w:val="26"/>
                <w:szCs w:val="26"/>
              </w:rPr>
              <w:t>電子測量儀器（示波器、訊號產生器、探棒）之銷售</w:t>
            </w:r>
          </w:p>
        </w:tc>
      </w:tr>
      <w:tr w:rsidR="00A33DFA" w:rsidRPr="00D92058" w:rsidTr="001330A9">
        <w:tc>
          <w:tcPr>
            <w:tcW w:w="529" w:type="pct"/>
            <w:vAlign w:val="center"/>
          </w:tcPr>
          <w:p w:rsidR="00F31324" w:rsidRDefault="00A33DFA" w:rsidP="00965AF0">
            <w:pPr>
              <w:spacing w:beforeLines="25" w:before="60" w:afterLines="25" w:after="60"/>
              <w:jc w:val="center"/>
              <w:rPr>
                <w:rFonts w:eastAsia="標楷體"/>
                <w:bCs/>
                <w:sz w:val="26"/>
                <w:szCs w:val="26"/>
              </w:rPr>
            </w:pPr>
            <w:r>
              <w:rPr>
                <w:rFonts w:eastAsia="標楷體" w:hint="eastAsia"/>
                <w:bCs/>
                <w:sz w:val="26"/>
                <w:szCs w:val="26"/>
              </w:rPr>
              <w:t>6</w:t>
            </w:r>
          </w:p>
        </w:tc>
        <w:tc>
          <w:tcPr>
            <w:tcW w:w="1272" w:type="pct"/>
            <w:vAlign w:val="center"/>
          </w:tcPr>
          <w:p w:rsidR="00DC4ACB" w:rsidRDefault="00A33DFA" w:rsidP="00965AF0">
            <w:pPr>
              <w:spacing w:beforeLines="25" w:before="60" w:afterLines="25" w:after="60"/>
              <w:jc w:val="center"/>
              <w:rPr>
                <w:rFonts w:eastAsia="標楷體"/>
                <w:sz w:val="26"/>
                <w:szCs w:val="26"/>
              </w:rPr>
            </w:pPr>
            <w:r w:rsidRPr="00BC771E">
              <w:rPr>
                <w:rFonts w:eastAsia="標楷體"/>
                <w:sz w:val="26"/>
                <w:szCs w:val="26"/>
              </w:rPr>
              <w:t>Keithley Instrument Inc.</w:t>
            </w:r>
          </w:p>
        </w:tc>
        <w:tc>
          <w:tcPr>
            <w:tcW w:w="920" w:type="pct"/>
            <w:vAlign w:val="center"/>
          </w:tcPr>
          <w:p w:rsidR="00DC4ACB" w:rsidRDefault="00A33DFA" w:rsidP="00965AF0">
            <w:pPr>
              <w:spacing w:beforeLines="25" w:before="60" w:afterLines="25" w:after="60"/>
              <w:jc w:val="center"/>
              <w:rPr>
                <w:rFonts w:eastAsia="標楷體"/>
                <w:sz w:val="26"/>
                <w:szCs w:val="26"/>
              </w:rPr>
            </w:pPr>
            <w:r w:rsidRPr="00BC771E">
              <w:rPr>
                <w:rFonts w:eastAsia="標楷體"/>
                <w:sz w:val="26"/>
                <w:szCs w:val="26"/>
              </w:rPr>
              <w:t>Keithley</w:t>
            </w:r>
          </w:p>
        </w:tc>
        <w:tc>
          <w:tcPr>
            <w:tcW w:w="852" w:type="pct"/>
            <w:vAlign w:val="center"/>
          </w:tcPr>
          <w:p w:rsidR="00DC4ACB" w:rsidRDefault="00A33DFA" w:rsidP="00965AF0">
            <w:pPr>
              <w:spacing w:beforeLines="25" w:before="60" w:afterLines="25" w:after="60"/>
              <w:jc w:val="center"/>
              <w:rPr>
                <w:rFonts w:eastAsia="標楷體"/>
                <w:sz w:val="26"/>
                <w:szCs w:val="26"/>
              </w:rPr>
            </w:pPr>
            <w:r w:rsidRPr="006D209A">
              <w:rPr>
                <w:rFonts w:eastAsia="標楷體" w:hint="eastAsia"/>
                <w:sz w:val="26"/>
                <w:szCs w:val="26"/>
              </w:rPr>
              <w:t>美國</w:t>
            </w:r>
          </w:p>
        </w:tc>
        <w:tc>
          <w:tcPr>
            <w:tcW w:w="1427" w:type="pct"/>
          </w:tcPr>
          <w:p w:rsidR="00A33DFA" w:rsidRDefault="00A33DFA" w:rsidP="001330A9">
            <w:r w:rsidRPr="00297B7E">
              <w:rPr>
                <w:rFonts w:eastAsia="標楷體" w:hint="eastAsia"/>
                <w:sz w:val="26"/>
                <w:szCs w:val="26"/>
              </w:rPr>
              <w:t>電子測量儀器（示波器、訊號產生器、探棒）之銷售</w:t>
            </w:r>
          </w:p>
        </w:tc>
      </w:tr>
      <w:tr w:rsidR="00A33DFA" w:rsidRPr="00D92058" w:rsidTr="008139F0">
        <w:tc>
          <w:tcPr>
            <w:tcW w:w="529" w:type="pct"/>
            <w:vAlign w:val="center"/>
          </w:tcPr>
          <w:p w:rsidR="00DC4ACB" w:rsidRDefault="00A33DFA" w:rsidP="00965AF0">
            <w:pPr>
              <w:spacing w:beforeLines="25" w:before="60" w:afterLines="25" w:after="60"/>
              <w:jc w:val="center"/>
              <w:rPr>
                <w:rFonts w:eastAsia="標楷體"/>
                <w:bCs/>
                <w:sz w:val="26"/>
                <w:szCs w:val="26"/>
              </w:rPr>
            </w:pPr>
            <w:r>
              <w:rPr>
                <w:rFonts w:eastAsia="標楷體" w:hint="eastAsia"/>
                <w:bCs/>
                <w:sz w:val="26"/>
                <w:szCs w:val="26"/>
              </w:rPr>
              <w:t>7</w:t>
            </w:r>
          </w:p>
        </w:tc>
        <w:tc>
          <w:tcPr>
            <w:tcW w:w="1272" w:type="pct"/>
            <w:vAlign w:val="center"/>
          </w:tcPr>
          <w:p w:rsidR="00DC4ACB" w:rsidRDefault="00A33DFA" w:rsidP="00965AF0">
            <w:pPr>
              <w:spacing w:beforeLines="25" w:before="60" w:afterLines="25" w:after="60"/>
              <w:jc w:val="center"/>
              <w:rPr>
                <w:rFonts w:eastAsia="標楷體"/>
                <w:sz w:val="26"/>
                <w:szCs w:val="26"/>
              </w:rPr>
            </w:pPr>
            <w:r>
              <w:rPr>
                <w:rFonts w:eastAsia="標楷體" w:hint="eastAsia"/>
                <w:sz w:val="26"/>
                <w:szCs w:val="26"/>
              </w:rPr>
              <w:t>Danaher Tool Group</w:t>
            </w:r>
          </w:p>
        </w:tc>
        <w:tc>
          <w:tcPr>
            <w:tcW w:w="920" w:type="pct"/>
            <w:vAlign w:val="center"/>
          </w:tcPr>
          <w:p w:rsidR="00DC4ACB" w:rsidRDefault="00A33DFA" w:rsidP="00965AF0">
            <w:pPr>
              <w:spacing w:beforeLines="25" w:before="60" w:afterLines="25" w:after="60"/>
              <w:jc w:val="center"/>
              <w:rPr>
                <w:rFonts w:eastAsia="標楷體"/>
                <w:sz w:val="26"/>
                <w:szCs w:val="26"/>
              </w:rPr>
            </w:pPr>
            <w:r>
              <w:rPr>
                <w:rFonts w:eastAsia="標楷體" w:hint="eastAsia"/>
                <w:sz w:val="26"/>
                <w:szCs w:val="26"/>
              </w:rPr>
              <w:t>Danaher</w:t>
            </w:r>
          </w:p>
        </w:tc>
        <w:tc>
          <w:tcPr>
            <w:tcW w:w="852" w:type="pct"/>
            <w:vAlign w:val="center"/>
          </w:tcPr>
          <w:p w:rsidR="00DC4ACB" w:rsidRDefault="00A33DFA" w:rsidP="00965AF0">
            <w:pPr>
              <w:spacing w:beforeLines="25" w:before="60" w:afterLines="25" w:after="60"/>
              <w:jc w:val="center"/>
              <w:rPr>
                <w:rFonts w:eastAsia="標楷體"/>
                <w:sz w:val="26"/>
                <w:szCs w:val="26"/>
              </w:rPr>
            </w:pPr>
            <w:r w:rsidRPr="006D209A">
              <w:rPr>
                <w:rFonts w:eastAsia="標楷體" w:hint="eastAsia"/>
                <w:sz w:val="26"/>
                <w:szCs w:val="26"/>
              </w:rPr>
              <w:t>美國</w:t>
            </w:r>
          </w:p>
        </w:tc>
        <w:tc>
          <w:tcPr>
            <w:tcW w:w="1427" w:type="pct"/>
            <w:vAlign w:val="center"/>
          </w:tcPr>
          <w:p w:rsidR="00DC4ACB" w:rsidRDefault="00A33DFA" w:rsidP="00965AF0">
            <w:pPr>
              <w:spacing w:beforeLines="25" w:before="60" w:afterLines="25" w:after="60"/>
              <w:rPr>
                <w:rFonts w:eastAsia="標楷體"/>
                <w:sz w:val="26"/>
                <w:szCs w:val="26"/>
              </w:rPr>
            </w:pPr>
            <w:r w:rsidRPr="006D209A">
              <w:rPr>
                <w:rFonts w:eastAsia="標楷體" w:hint="eastAsia"/>
                <w:sz w:val="26"/>
                <w:szCs w:val="26"/>
              </w:rPr>
              <w:t>電子測量儀器（示波器、訊號產生器、探棒）之銷售</w:t>
            </w:r>
          </w:p>
        </w:tc>
      </w:tr>
      <w:tr w:rsidR="007E3516" w:rsidRPr="00D92058" w:rsidTr="008139F0">
        <w:tc>
          <w:tcPr>
            <w:tcW w:w="529" w:type="pct"/>
            <w:vAlign w:val="center"/>
          </w:tcPr>
          <w:p w:rsidR="00DC4ACB" w:rsidRDefault="007E3516" w:rsidP="00965AF0">
            <w:pPr>
              <w:spacing w:beforeLines="25" w:before="60" w:afterLines="25" w:after="60"/>
              <w:jc w:val="center"/>
              <w:rPr>
                <w:rFonts w:eastAsia="標楷體"/>
                <w:bCs/>
                <w:sz w:val="26"/>
                <w:szCs w:val="26"/>
              </w:rPr>
            </w:pPr>
            <w:r>
              <w:rPr>
                <w:rFonts w:eastAsia="標楷體" w:hint="eastAsia"/>
                <w:bCs/>
                <w:sz w:val="26"/>
                <w:szCs w:val="26"/>
              </w:rPr>
              <w:t>8</w:t>
            </w:r>
          </w:p>
        </w:tc>
        <w:tc>
          <w:tcPr>
            <w:tcW w:w="1272" w:type="pct"/>
            <w:vAlign w:val="center"/>
          </w:tcPr>
          <w:p w:rsidR="007E3516" w:rsidRDefault="007E3516">
            <w:pPr>
              <w:jc w:val="center"/>
              <w:rPr>
                <w:color w:val="000000"/>
                <w:sz w:val="26"/>
                <w:szCs w:val="26"/>
                <w:lang w:eastAsia="zh-CN"/>
              </w:rPr>
            </w:pPr>
            <w:r>
              <w:rPr>
                <w:color w:val="000000"/>
                <w:sz w:val="26"/>
                <w:szCs w:val="26"/>
                <w:lang w:eastAsia="zh-CN"/>
              </w:rPr>
              <w:t>Aran Technologies</w:t>
            </w:r>
          </w:p>
        </w:tc>
        <w:tc>
          <w:tcPr>
            <w:tcW w:w="920" w:type="pct"/>
            <w:vAlign w:val="center"/>
          </w:tcPr>
          <w:p w:rsidR="007E3516" w:rsidRDefault="007E3516">
            <w:pPr>
              <w:jc w:val="center"/>
              <w:rPr>
                <w:color w:val="000000"/>
                <w:sz w:val="26"/>
                <w:szCs w:val="26"/>
                <w:lang w:eastAsia="zh-CN"/>
              </w:rPr>
            </w:pPr>
            <w:r>
              <w:rPr>
                <w:color w:val="000000"/>
                <w:sz w:val="26"/>
                <w:szCs w:val="26"/>
                <w:lang w:eastAsia="zh-CN"/>
              </w:rPr>
              <w:t>Aran</w:t>
            </w:r>
          </w:p>
        </w:tc>
        <w:tc>
          <w:tcPr>
            <w:tcW w:w="852" w:type="pct"/>
            <w:vAlign w:val="center"/>
          </w:tcPr>
          <w:p w:rsidR="007E3516" w:rsidRPr="004959D0" w:rsidRDefault="004959D0">
            <w:pPr>
              <w:jc w:val="center"/>
              <w:rPr>
                <w:rFonts w:ascii="標楷體" w:eastAsia="標楷體" w:hAnsi="標楷體" w:cs="新細明體"/>
                <w:color w:val="000000"/>
                <w:sz w:val="26"/>
                <w:szCs w:val="26"/>
                <w:lang w:eastAsia="zh-CN"/>
              </w:rPr>
            </w:pPr>
            <w:r w:rsidRPr="004959D0">
              <w:rPr>
                <w:rFonts w:ascii="標楷體" w:eastAsia="標楷體" w:hAnsi="標楷體"/>
                <w:color w:val="000000"/>
                <w:sz w:val="26"/>
                <w:szCs w:val="26"/>
                <w:lang w:eastAsia="zh-CN"/>
              </w:rPr>
              <w:t>愛爾蘭</w:t>
            </w:r>
          </w:p>
        </w:tc>
        <w:tc>
          <w:tcPr>
            <w:tcW w:w="1427" w:type="pct"/>
            <w:vAlign w:val="center"/>
          </w:tcPr>
          <w:p w:rsidR="007E3516" w:rsidRDefault="007E3516">
            <w:pPr>
              <w:rPr>
                <w:rFonts w:ascii="標楷體" w:eastAsia="標楷體" w:hAnsi="標楷體" w:cs="新細明體"/>
                <w:color w:val="000000"/>
                <w:sz w:val="26"/>
                <w:szCs w:val="26"/>
                <w:lang w:eastAsia="zh-CN"/>
              </w:rPr>
            </w:pPr>
            <w:r>
              <w:rPr>
                <w:rFonts w:ascii="標楷體" w:eastAsia="標楷體" w:hAnsi="標楷體" w:hint="eastAsia"/>
                <w:color w:val="000000"/>
                <w:sz w:val="26"/>
                <w:szCs w:val="26"/>
              </w:rPr>
              <w:t>電子測量儀器之銷售</w:t>
            </w:r>
          </w:p>
        </w:tc>
      </w:tr>
      <w:tr w:rsidR="007E3516" w:rsidRPr="00D92058" w:rsidTr="008139F0">
        <w:tc>
          <w:tcPr>
            <w:tcW w:w="529" w:type="pct"/>
            <w:vAlign w:val="center"/>
          </w:tcPr>
          <w:p w:rsidR="00DC4ACB" w:rsidRDefault="007E3516" w:rsidP="00965AF0">
            <w:pPr>
              <w:spacing w:beforeLines="25" w:before="60" w:afterLines="25" w:after="60"/>
              <w:jc w:val="center"/>
              <w:rPr>
                <w:rFonts w:eastAsia="標楷體"/>
                <w:bCs/>
                <w:sz w:val="26"/>
                <w:szCs w:val="26"/>
                <w:highlight w:val="cyan"/>
              </w:rPr>
            </w:pPr>
            <w:r w:rsidRPr="007E3516">
              <w:rPr>
                <w:rFonts w:eastAsia="標楷體" w:hint="eastAsia"/>
                <w:bCs/>
                <w:sz w:val="26"/>
                <w:szCs w:val="26"/>
              </w:rPr>
              <w:t>9</w:t>
            </w:r>
          </w:p>
        </w:tc>
        <w:tc>
          <w:tcPr>
            <w:tcW w:w="1272" w:type="pct"/>
            <w:vAlign w:val="center"/>
          </w:tcPr>
          <w:p w:rsidR="007E3516" w:rsidRDefault="007E3516">
            <w:pPr>
              <w:jc w:val="center"/>
              <w:rPr>
                <w:color w:val="000000"/>
                <w:sz w:val="26"/>
                <w:szCs w:val="26"/>
                <w:lang w:eastAsia="zh-CN"/>
              </w:rPr>
            </w:pPr>
            <w:r>
              <w:rPr>
                <w:color w:val="000000"/>
                <w:sz w:val="26"/>
                <w:szCs w:val="26"/>
                <w:lang w:eastAsia="zh-CN"/>
              </w:rPr>
              <w:t>KaVo Taiwan Ltd.</w:t>
            </w:r>
          </w:p>
        </w:tc>
        <w:tc>
          <w:tcPr>
            <w:tcW w:w="920" w:type="pct"/>
            <w:vAlign w:val="center"/>
          </w:tcPr>
          <w:p w:rsidR="007E3516" w:rsidRDefault="007E3516">
            <w:pPr>
              <w:jc w:val="center"/>
              <w:rPr>
                <w:color w:val="000000"/>
                <w:sz w:val="26"/>
                <w:szCs w:val="26"/>
                <w:lang w:eastAsia="zh-CN"/>
              </w:rPr>
            </w:pPr>
            <w:r>
              <w:rPr>
                <w:color w:val="000000"/>
                <w:sz w:val="26"/>
                <w:szCs w:val="26"/>
                <w:lang w:eastAsia="zh-CN"/>
              </w:rPr>
              <w:t>KAVO</w:t>
            </w:r>
          </w:p>
        </w:tc>
        <w:tc>
          <w:tcPr>
            <w:tcW w:w="852" w:type="pct"/>
            <w:vAlign w:val="center"/>
          </w:tcPr>
          <w:p w:rsidR="007E3516" w:rsidRDefault="007E3516">
            <w:pPr>
              <w:jc w:val="center"/>
              <w:rPr>
                <w:rFonts w:ascii="標楷體" w:eastAsia="標楷體" w:hAnsi="標楷體" w:cs="新細明體"/>
                <w:color w:val="000000"/>
                <w:sz w:val="26"/>
                <w:szCs w:val="26"/>
                <w:lang w:eastAsia="zh-CN"/>
              </w:rPr>
            </w:pPr>
            <w:r>
              <w:rPr>
                <w:rFonts w:ascii="標楷體" w:eastAsia="標楷體" w:hAnsi="標楷體" w:hint="eastAsia"/>
                <w:color w:val="000000"/>
                <w:sz w:val="26"/>
                <w:szCs w:val="26"/>
              </w:rPr>
              <w:t>台灣</w:t>
            </w:r>
          </w:p>
        </w:tc>
        <w:tc>
          <w:tcPr>
            <w:tcW w:w="1427" w:type="pct"/>
            <w:vAlign w:val="center"/>
          </w:tcPr>
          <w:p w:rsidR="007E3516" w:rsidRDefault="007E3516">
            <w:pPr>
              <w:rPr>
                <w:rFonts w:ascii="標楷體" w:eastAsia="標楷體" w:hAnsi="標楷體" w:cs="新細明體"/>
                <w:color w:val="000000"/>
                <w:sz w:val="26"/>
                <w:szCs w:val="26"/>
                <w:lang w:eastAsia="zh-CN"/>
              </w:rPr>
            </w:pPr>
            <w:r>
              <w:rPr>
                <w:rFonts w:ascii="標楷體" w:eastAsia="標楷體" w:hAnsi="標楷體" w:hint="eastAsia"/>
                <w:color w:val="000000"/>
                <w:sz w:val="26"/>
                <w:szCs w:val="26"/>
              </w:rPr>
              <w:t>醫療設備之銷售</w:t>
            </w:r>
          </w:p>
        </w:tc>
      </w:tr>
    </w:tbl>
    <w:p w:rsidR="00DC4ACB" w:rsidRDefault="00A439EA" w:rsidP="00965AF0">
      <w:pPr>
        <w:pStyle w:val="2"/>
        <w:numPr>
          <w:ilvl w:val="1"/>
          <w:numId w:val="8"/>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lastRenderedPageBreak/>
        <w:t>產業</w:t>
      </w:r>
      <w:r w:rsidR="001746D8">
        <w:rPr>
          <w:rFonts w:ascii="Times New Roman" w:eastAsia="標楷體" w:hAnsi="Times New Roman" w:hint="eastAsia"/>
          <w:sz w:val="36"/>
          <w:szCs w:val="40"/>
        </w:rPr>
        <w:t>及</w:t>
      </w:r>
      <w:r w:rsidRPr="00EA272E">
        <w:rPr>
          <w:rFonts w:ascii="Times New Roman" w:eastAsia="標楷體" w:hAnsi="Times New Roman" w:hint="eastAsia"/>
          <w:sz w:val="36"/>
          <w:szCs w:val="40"/>
        </w:rPr>
        <w:t>經濟</w:t>
      </w:r>
      <w:r w:rsidR="001746D8">
        <w:rPr>
          <w:rFonts w:ascii="Times New Roman" w:eastAsia="標楷體" w:hAnsi="Times New Roman" w:hint="eastAsia"/>
          <w:sz w:val="36"/>
          <w:szCs w:val="40"/>
        </w:rPr>
        <w:t>情況分析</w:t>
      </w:r>
    </w:p>
    <w:p w:rsidR="00DC4ACB" w:rsidRDefault="00AA0DD0" w:rsidP="00965AF0">
      <w:pPr>
        <w:pStyle w:val="3"/>
        <w:numPr>
          <w:ilvl w:val="0"/>
          <w:numId w:val="10"/>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int="eastAsia"/>
          <w:sz w:val="32"/>
        </w:rPr>
        <w:t>產業總覽</w:t>
      </w:r>
    </w:p>
    <w:p w:rsidR="00DC4ACB" w:rsidRDefault="001E157A" w:rsidP="00965AF0">
      <w:pPr>
        <w:numPr>
          <w:ilvl w:val="0"/>
          <w:numId w:val="1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產業</w:t>
      </w:r>
      <w:r w:rsidR="00105A31" w:rsidRPr="00EA272E">
        <w:rPr>
          <w:rFonts w:eastAsia="標楷體" w:hint="eastAsia"/>
          <w:b/>
          <w:sz w:val="28"/>
          <w:szCs w:val="26"/>
        </w:rPr>
        <w:t>概要</w:t>
      </w:r>
    </w:p>
    <w:p w:rsidR="00DC4ACB" w:rsidRDefault="0074142A" w:rsidP="00965AF0">
      <w:pPr>
        <w:spacing w:beforeLines="50" w:before="120" w:afterLines="50" w:after="120" w:line="360" w:lineRule="auto"/>
        <w:ind w:leftChars="200" w:left="480" w:firstLineChars="200" w:firstLine="520"/>
        <w:jc w:val="both"/>
        <w:rPr>
          <w:rFonts w:eastAsia="標楷體"/>
          <w:sz w:val="26"/>
          <w:szCs w:val="26"/>
        </w:rPr>
      </w:pPr>
      <w:r w:rsidRPr="002C1D3B">
        <w:rPr>
          <w:rFonts w:eastAsia="標楷體" w:hint="eastAsia"/>
          <w:sz w:val="26"/>
          <w:szCs w:val="26"/>
        </w:rPr>
        <w:t>儀器產業研發對於高科技產業產生非常重要，也是展現國家經濟與產業實力重要的指標；隨者產業發展趨勢與經濟策略環境改變，新興精密儀器機會產生，業者大多透過投資、策略合作或購併方式進入精密儀器產業。</w:t>
      </w:r>
    </w:p>
    <w:p w:rsidR="00DC4ACB" w:rsidRDefault="0074142A" w:rsidP="00965AF0">
      <w:pPr>
        <w:spacing w:beforeLines="50" w:before="120" w:afterLines="50" w:after="120" w:line="360" w:lineRule="auto"/>
        <w:ind w:leftChars="200" w:left="480" w:firstLineChars="200" w:firstLine="520"/>
        <w:jc w:val="both"/>
        <w:rPr>
          <w:rFonts w:eastAsia="標楷體"/>
          <w:sz w:val="26"/>
          <w:szCs w:val="26"/>
        </w:rPr>
      </w:pPr>
      <w:r w:rsidRPr="002C1D3B">
        <w:rPr>
          <w:rFonts w:eastAsia="標楷體" w:hint="eastAsia"/>
          <w:sz w:val="26"/>
          <w:szCs w:val="26"/>
        </w:rPr>
        <w:t>精密儀器科技領域涵蓋廣泛，影響所及包括前瞻性科學研究、工業技術與產品發展，並與國人生活品質息息相關。隨者上一世紀半導體積體電路技術成熟</w:t>
      </w:r>
      <w:r w:rsidRPr="002C1D3B">
        <w:rPr>
          <w:rFonts w:ascii="標楷體" w:eastAsia="標楷體" w:hAnsi="標楷體" w:hint="eastAsia"/>
          <w:sz w:val="26"/>
          <w:szCs w:val="26"/>
        </w:rPr>
        <w:t>，</w:t>
      </w:r>
      <w:r w:rsidRPr="002C1D3B">
        <w:rPr>
          <w:rFonts w:eastAsia="標楷體" w:hint="eastAsia"/>
          <w:sz w:val="26"/>
          <w:szCs w:val="26"/>
        </w:rPr>
        <w:t>微機電的技術蓬勃發展，以及日新月異的市場需求，儀器的複雜性與精確度亦與日俱增，且機密儀器的發展也產生了重大的變化。新式儀器系統朝向結合微電子、精密機械、微光機電系統技術與奈米科技發展，朝儀器系統微型化發展，且儀器微型化有助於量測與基礎科學的發展，而生醫檢測與光電檢測則是未來主要應用方向。</w:t>
      </w:r>
    </w:p>
    <w:p w:rsidR="00DC4ACB" w:rsidRDefault="0074142A" w:rsidP="00965AF0">
      <w:pPr>
        <w:spacing w:beforeLines="50" w:before="120" w:afterLines="50" w:after="120" w:line="360" w:lineRule="auto"/>
        <w:ind w:leftChars="300" w:left="720" w:firstLine="240"/>
        <w:jc w:val="both"/>
        <w:rPr>
          <w:rFonts w:eastAsia="標楷體"/>
          <w:sz w:val="26"/>
          <w:szCs w:val="26"/>
        </w:rPr>
      </w:pPr>
      <w:r w:rsidRPr="002C1D3B">
        <w:rPr>
          <w:rFonts w:eastAsia="標楷體"/>
          <w:sz w:val="26"/>
          <w:szCs w:val="26"/>
        </w:rPr>
        <w:t>依美國</w:t>
      </w:r>
      <w:r w:rsidRPr="002C1D3B">
        <w:rPr>
          <w:rFonts w:eastAsia="標楷體"/>
          <w:sz w:val="26"/>
          <w:szCs w:val="26"/>
        </w:rPr>
        <w:t>SIC</w:t>
      </w:r>
      <w:r w:rsidRPr="002C1D3B">
        <w:rPr>
          <w:rFonts w:eastAsia="標楷體"/>
          <w:sz w:val="26"/>
          <w:szCs w:val="26"/>
        </w:rPr>
        <w:t>儀器產品群分</w:t>
      </w:r>
      <w:r w:rsidRPr="002C1D3B">
        <w:rPr>
          <w:rFonts w:eastAsia="標楷體" w:hint="eastAsia"/>
          <w:sz w:val="26"/>
          <w:szCs w:val="26"/>
        </w:rPr>
        <w:t>類劃分及國內經濟部工業產品分類所示，精密儀器產業大致可分為四大類及其他無法分類之儀器，其定義如下</w:t>
      </w:r>
      <w:r w:rsidRPr="002C1D3B">
        <w:rPr>
          <w:rStyle w:val="af1"/>
          <w:rFonts w:eastAsia="標楷體"/>
          <w:sz w:val="26"/>
          <w:szCs w:val="26"/>
        </w:rPr>
        <w:footnoteReference w:id="1"/>
      </w:r>
      <w:r w:rsidRPr="002C1D3B">
        <w:rPr>
          <w:rFonts w:eastAsia="標楷體" w:hint="eastAsia"/>
          <w:sz w:val="26"/>
          <w:szCs w:val="26"/>
        </w:rPr>
        <w:t>：</w:t>
      </w:r>
      <w:r w:rsidRPr="002C1D3B">
        <w:rPr>
          <w:rFonts w:eastAsia="標楷體"/>
          <w:sz w:val="26"/>
          <w:szCs w:val="26"/>
        </w:rPr>
        <w:t xml:space="preserve"> </w:t>
      </w:r>
    </w:p>
    <w:p w:rsidR="00DC4ACB" w:rsidRDefault="0074142A" w:rsidP="00965AF0">
      <w:pPr>
        <w:numPr>
          <w:ilvl w:val="0"/>
          <w:numId w:val="52"/>
        </w:numPr>
        <w:spacing w:beforeLines="50" w:before="120" w:afterLines="50" w:after="120" w:line="360" w:lineRule="auto"/>
        <w:jc w:val="both"/>
        <w:rPr>
          <w:rFonts w:eastAsia="標楷體"/>
          <w:sz w:val="26"/>
          <w:szCs w:val="26"/>
        </w:rPr>
      </w:pPr>
      <w:r w:rsidRPr="002C1D3B">
        <w:rPr>
          <w:rFonts w:eastAsia="標楷體"/>
          <w:sz w:val="26"/>
          <w:szCs w:val="26"/>
        </w:rPr>
        <w:t>電子量測儀器：以量測電壓、電流、頻率等電量之儀器。例如：半導體</w:t>
      </w:r>
      <w:r w:rsidRPr="002C1D3B">
        <w:rPr>
          <w:rFonts w:eastAsia="標楷體"/>
          <w:sz w:val="26"/>
          <w:szCs w:val="26"/>
        </w:rPr>
        <w:t>IC</w:t>
      </w:r>
      <w:r w:rsidRPr="002C1D3B">
        <w:rPr>
          <w:rFonts w:eastAsia="標楷體"/>
          <w:sz w:val="26"/>
          <w:szCs w:val="26"/>
        </w:rPr>
        <w:t>測試設備、通訊測試儀器及</w:t>
      </w:r>
      <w:r w:rsidRPr="002C1D3B">
        <w:rPr>
          <w:rFonts w:eastAsia="標楷體"/>
          <w:sz w:val="26"/>
          <w:szCs w:val="26"/>
        </w:rPr>
        <w:t>PXI/VXI</w:t>
      </w:r>
      <w:r w:rsidRPr="002C1D3B">
        <w:rPr>
          <w:rFonts w:eastAsia="標楷體"/>
          <w:sz w:val="26"/>
          <w:szCs w:val="26"/>
        </w:rPr>
        <w:t>模組儀器等。</w:t>
      </w:r>
      <w:r w:rsidRPr="002C1D3B">
        <w:rPr>
          <w:rFonts w:eastAsia="標楷體"/>
          <w:sz w:val="26"/>
          <w:szCs w:val="26"/>
        </w:rPr>
        <w:t xml:space="preserve"> </w:t>
      </w:r>
    </w:p>
    <w:p w:rsidR="00DC4ACB" w:rsidRDefault="0074142A" w:rsidP="00965AF0">
      <w:pPr>
        <w:numPr>
          <w:ilvl w:val="0"/>
          <w:numId w:val="52"/>
        </w:numPr>
        <w:spacing w:beforeLines="50" w:before="120" w:afterLines="50" w:after="120" w:line="360" w:lineRule="auto"/>
        <w:jc w:val="both"/>
        <w:rPr>
          <w:rFonts w:eastAsia="標楷體"/>
          <w:sz w:val="26"/>
          <w:szCs w:val="26"/>
        </w:rPr>
      </w:pPr>
      <w:r w:rsidRPr="002C1D3B">
        <w:rPr>
          <w:rFonts w:eastAsia="標楷體" w:hint="eastAsia"/>
          <w:sz w:val="26"/>
          <w:szCs w:val="26"/>
        </w:rPr>
        <w:t>製程控制儀器：即用於程序控制、環境控制、流量控制等之儀器。例如：工業校準器、壓力校正器及流體恆流器等。</w:t>
      </w:r>
      <w:r w:rsidRPr="002C1D3B">
        <w:rPr>
          <w:rFonts w:eastAsia="標楷體"/>
          <w:sz w:val="26"/>
          <w:szCs w:val="26"/>
        </w:rPr>
        <w:t xml:space="preserve"> </w:t>
      </w:r>
    </w:p>
    <w:p w:rsidR="00DC4ACB" w:rsidRDefault="0074142A" w:rsidP="00965AF0">
      <w:pPr>
        <w:numPr>
          <w:ilvl w:val="0"/>
          <w:numId w:val="52"/>
        </w:numPr>
        <w:spacing w:beforeLines="50" w:before="120" w:afterLines="50" w:after="120" w:line="360" w:lineRule="auto"/>
        <w:jc w:val="both"/>
        <w:rPr>
          <w:rFonts w:eastAsia="標楷體"/>
          <w:sz w:val="26"/>
          <w:szCs w:val="26"/>
        </w:rPr>
      </w:pPr>
      <w:r w:rsidRPr="002C1D3B">
        <w:rPr>
          <w:rFonts w:eastAsia="標楷體" w:hint="eastAsia"/>
          <w:sz w:val="26"/>
          <w:szCs w:val="26"/>
        </w:rPr>
        <w:lastRenderedPageBreak/>
        <w:t>光學理化分析儀器：用於光學、物理、化學等特性分析之儀器。例如：酸鹼度、計光譜及儀顯微鏡等。</w:t>
      </w:r>
    </w:p>
    <w:p w:rsidR="00DC4ACB" w:rsidRDefault="0074142A" w:rsidP="00965AF0">
      <w:pPr>
        <w:numPr>
          <w:ilvl w:val="0"/>
          <w:numId w:val="52"/>
        </w:numPr>
        <w:spacing w:beforeLines="50" w:before="120" w:afterLines="50" w:after="120" w:line="360" w:lineRule="auto"/>
        <w:jc w:val="both"/>
        <w:rPr>
          <w:rFonts w:eastAsia="標楷體"/>
          <w:sz w:val="26"/>
          <w:szCs w:val="26"/>
        </w:rPr>
      </w:pPr>
      <w:r w:rsidRPr="002C1D3B">
        <w:rPr>
          <w:rFonts w:eastAsia="標楷體" w:hint="eastAsia"/>
          <w:sz w:val="26"/>
          <w:szCs w:val="26"/>
        </w:rPr>
        <w:t>醫療儀器：用於醫療診斷、分析、監視等之儀器。</w:t>
      </w:r>
      <w:r w:rsidRPr="002C1D3B">
        <w:rPr>
          <w:rFonts w:eastAsia="標楷體" w:hint="eastAsia"/>
          <w:sz w:val="26"/>
          <w:szCs w:val="26"/>
        </w:rPr>
        <w:t xml:space="preserve"> </w:t>
      </w:r>
    </w:p>
    <w:p w:rsidR="00DC4ACB" w:rsidRDefault="0074142A" w:rsidP="00965AF0">
      <w:pPr>
        <w:numPr>
          <w:ilvl w:val="0"/>
          <w:numId w:val="52"/>
        </w:numPr>
        <w:spacing w:beforeLines="50" w:before="120" w:afterLines="50" w:after="120" w:line="360" w:lineRule="auto"/>
        <w:jc w:val="both"/>
        <w:rPr>
          <w:rFonts w:eastAsia="標楷體"/>
          <w:color w:val="0070C0"/>
          <w:sz w:val="26"/>
          <w:szCs w:val="26"/>
        </w:rPr>
      </w:pPr>
      <w:r w:rsidRPr="0074142A">
        <w:rPr>
          <w:rFonts w:eastAsia="標楷體" w:hint="eastAsia"/>
          <w:sz w:val="26"/>
          <w:szCs w:val="26"/>
        </w:rPr>
        <w:t>其他儀器：其他用途之儀器。例如：礦石探查器、測風儀及地震</w:t>
      </w:r>
      <w:r w:rsidRPr="002C1D3B">
        <w:rPr>
          <w:rFonts w:eastAsia="標楷體" w:hint="eastAsia"/>
          <w:sz w:val="26"/>
          <w:szCs w:val="26"/>
        </w:rPr>
        <w:t>儀等。</w:t>
      </w:r>
    </w:p>
    <w:p w:rsidR="00DC4ACB" w:rsidRDefault="00FE04FB" w:rsidP="00965AF0">
      <w:pPr>
        <w:numPr>
          <w:ilvl w:val="0"/>
          <w:numId w:val="1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產業</w:t>
      </w:r>
      <w:r w:rsidR="00105A31" w:rsidRPr="00EA272E">
        <w:rPr>
          <w:rFonts w:eastAsia="標楷體" w:hint="eastAsia"/>
          <w:b/>
          <w:sz w:val="28"/>
          <w:szCs w:val="26"/>
        </w:rPr>
        <w:t>結構</w:t>
      </w:r>
    </w:p>
    <w:p w:rsidR="00DC4ACB" w:rsidRDefault="00965AF0" w:rsidP="00965AF0">
      <w:pPr>
        <w:spacing w:beforeLines="50" w:before="120" w:afterLines="50" w:after="120" w:line="360" w:lineRule="auto"/>
        <w:ind w:leftChars="200" w:left="480" w:firstLineChars="200" w:firstLine="520"/>
        <w:jc w:val="center"/>
        <w:rPr>
          <w:rFonts w:eastAsia="標楷體"/>
          <w:color w:val="0070C0"/>
          <w:sz w:val="26"/>
          <w:szCs w:val="26"/>
        </w:rPr>
      </w:pPr>
      <w:r>
        <w:rPr>
          <w:rFonts w:eastAsia="標楷體"/>
          <w:noProof/>
          <w:color w:val="0070C0"/>
          <w:sz w:val="26"/>
          <w:szCs w:val="26"/>
        </w:rPr>
        <mc:AlternateContent>
          <mc:Choice Requires="wpc">
            <w:drawing>
              <wp:inline distT="0" distB="0" distL="0" distR="0">
                <wp:extent cx="2430145" cy="3109595"/>
                <wp:effectExtent l="19050" t="19050" r="27305" b="0"/>
                <wp:docPr id="267" name="畫布 2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2" name="Rectangle 269"/>
                        <wps:cNvSpPr>
                          <a:spLocks noChangeArrowheads="1"/>
                        </wps:cNvSpPr>
                        <wps:spPr bwMode="auto">
                          <a:xfrm>
                            <a:off x="0" y="2137847"/>
                            <a:ext cx="2430145" cy="874574"/>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wps:wsp>
                        <wps:cNvPr id="193" name="Rectangle 270"/>
                        <wps:cNvSpPr>
                          <a:spLocks noChangeArrowheads="1"/>
                        </wps:cNvSpPr>
                        <wps:spPr bwMode="auto">
                          <a:xfrm>
                            <a:off x="0" y="777399"/>
                            <a:ext cx="2430145" cy="1166098"/>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wps:wsp>
                        <wps:cNvPr id="194" name="Rectangle 271"/>
                        <wps:cNvSpPr>
                          <a:spLocks noChangeArrowheads="1"/>
                        </wps:cNvSpPr>
                        <wps:spPr bwMode="auto">
                          <a:xfrm>
                            <a:off x="0" y="0"/>
                            <a:ext cx="2430145" cy="583049"/>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wps:wsp>
                        <wps:cNvPr id="195" name="Text Box 272"/>
                        <wps:cNvSpPr txBox="1">
                          <a:spLocks noChangeArrowheads="1"/>
                        </wps:cNvSpPr>
                        <wps:spPr bwMode="auto">
                          <a:xfrm>
                            <a:off x="97504" y="97175"/>
                            <a:ext cx="2235758" cy="388699"/>
                          </a:xfrm>
                          <a:prstGeom prst="rect">
                            <a:avLst/>
                          </a:prstGeom>
                          <a:solidFill>
                            <a:srgbClr val="FFFFFF"/>
                          </a:solidFill>
                          <a:ln w="9525">
                            <a:solidFill>
                              <a:srgbClr val="000000"/>
                            </a:solidFill>
                            <a:miter lim="800000"/>
                            <a:headEnd/>
                            <a:tailEnd/>
                          </a:ln>
                        </wps:spPr>
                        <wps:txbx>
                          <w:txbxContent>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零件生產端</w:t>
                              </w:r>
                            </w:p>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(管材、組件、配件、感測元件製造)</w:t>
                              </w:r>
                            </w:p>
                          </w:txbxContent>
                        </wps:txbx>
                        <wps:bodyPr rot="0" vert="horz" wrap="square" lIns="77724" tIns="38862" rIns="77724" bIns="38862" anchor="t" anchorCtr="0" upright="1">
                          <a:noAutofit/>
                        </wps:bodyPr>
                      </wps:wsp>
                      <wps:wsp>
                        <wps:cNvPr id="196" name="Text Box 273"/>
                        <wps:cNvSpPr txBox="1">
                          <a:spLocks noChangeArrowheads="1"/>
                        </wps:cNvSpPr>
                        <wps:spPr bwMode="auto">
                          <a:xfrm>
                            <a:off x="64589" y="874574"/>
                            <a:ext cx="2235758" cy="194350"/>
                          </a:xfrm>
                          <a:prstGeom prst="rect">
                            <a:avLst/>
                          </a:prstGeom>
                          <a:solidFill>
                            <a:srgbClr val="FFFFFF"/>
                          </a:solidFill>
                          <a:ln w="9525">
                            <a:solidFill>
                              <a:srgbClr val="000000"/>
                            </a:solidFill>
                            <a:miter lim="800000"/>
                            <a:headEnd/>
                            <a:tailEnd/>
                          </a:ln>
                        </wps:spPr>
                        <wps:txbx>
                          <w:txbxContent>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儀器組裝、製造端</w:t>
                              </w:r>
                            </w:p>
                          </w:txbxContent>
                        </wps:txbx>
                        <wps:bodyPr rot="0" vert="horz" wrap="square" lIns="77724" tIns="38862" rIns="77724" bIns="38862" anchor="t" anchorCtr="0" upright="1">
                          <a:noAutofit/>
                        </wps:bodyPr>
                      </wps:wsp>
                      <wps:wsp>
                        <wps:cNvPr id="197" name="Text Box 274"/>
                        <wps:cNvSpPr txBox="1">
                          <a:spLocks noChangeArrowheads="1"/>
                        </wps:cNvSpPr>
                        <wps:spPr bwMode="auto">
                          <a:xfrm>
                            <a:off x="64589" y="1166098"/>
                            <a:ext cx="2235137" cy="194350"/>
                          </a:xfrm>
                          <a:prstGeom prst="rect">
                            <a:avLst/>
                          </a:prstGeom>
                          <a:solidFill>
                            <a:srgbClr val="FFFFFF"/>
                          </a:solidFill>
                          <a:ln w="9525">
                            <a:solidFill>
                              <a:srgbClr val="000000"/>
                            </a:solidFill>
                            <a:miter lim="800000"/>
                            <a:headEnd/>
                            <a:tailEnd/>
                          </a:ln>
                        </wps:spPr>
                        <wps:txbx>
                          <w:txbxContent>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儀器製造</w:t>
                              </w:r>
                            </w:p>
                          </w:txbxContent>
                        </wps:txbx>
                        <wps:bodyPr rot="0" vert="horz" wrap="square" lIns="77724" tIns="38862" rIns="77724" bIns="38862" anchor="t" anchorCtr="0" upright="1">
                          <a:noAutofit/>
                        </wps:bodyPr>
                      </wps:wsp>
                      <wps:wsp>
                        <wps:cNvPr id="198" name="Text Box 275"/>
                        <wps:cNvSpPr txBox="1">
                          <a:spLocks noChangeArrowheads="1"/>
                        </wps:cNvSpPr>
                        <wps:spPr bwMode="auto">
                          <a:xfrm>
                            <a:off x="64589" y="1457623"/>
                            <a:ext cx="583160" cy="388699"/>
                          </a:xfrm>
                          <a:prstGeom prst="rect">
                            <a:avLst/>
                          </a:prstGeom>
                          <a:solidFill>
                            <a:srgbClr val="FFFFFF"/>
                          </a:solidFill>
                          <a:ln w="9525">
                            <a:solidFill>
                              <a:srgbClr val="000000"/>
                            </a:solidFill>
                            <a:miter lim="800000"/>
                            <a:headEnd/>
                            <a:tailEnd/>
                          </a:ln>
                        </wps:spPr>
                        <wps:txbx>
                          <w:txbxContent>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檢測</w:t>
                              </w:r>
                            </w:p>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校正</w:t>
                              </w:r>
                            </w:p>
                            <w:p w:rsidR="004864D6" w:rsidRPr="00984E35" w:rsidRDefault="004864D6" w:rsidP="00984406">
                              <w:pPr>
                                <w:rPr>
                                  <w:sz w:val="20"/>
                                </w:rPr>
                              </w:pPr>
                            </w:p>
                            <w:p w:rsidR="004864D6" w:rsidRPr="00984E35" w:rsidRDefault="004864D6">
                              <w:pPr>
                                <w:rPr>
                                  <w:sz w:val="20"/>
                                </w:rPr>
                              </w:pPr>
                            </w:p>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儀器製造</w:t>
                              </w:r>
                            </w:p>
                          </w:txbxContent>
                        </wps:txbx>
                        <wps:bodyPr rot="0" vert="horz" wrap="square" lIns="77724" tIns="38862" rIns="77724" bIns="38862" anchor="t" anchorCtr="0" upright="1">
                          <a:noAutofit/>
                        </wps:bodyPr>
                      </wps:wsp>
                      <wps:wsp>
                        <wps:cNvPr id="199" name="Text Box 276"/>
                        <wps:cNvSpPr txBox="1">
                          <a:spLocks noChangeArrowheads="1"/>
                        </wps:cNvSpPr>
                        <wps:spPr bwMode="auto">
                          <a:xfrm>
                            <a:off x="842136" y="1457623"/>
                            <a:ext cx="680664" cy="388699"/>
                          </a:xfrm>
                          <a:prstGeom prst="rect">
                            <a:avLst/>
                          </a:prstGeom>
                          <a:solidFill>
                            <a:srgbClr val="FFFFFF"/>
                          </a:solidFill>
                          <a:ln w="9525">
                            <a:solidFill>
                              <a:srgbClr val="000000"/>
                            </a:solidFill>
                            <a:miter lim="800000"/>
                            <a:headEnd/>
                            <a:tailEnd/>
                          </a:ln>
                        </wps:spPr>
                        <wps:txbx>
                          <w:txbxContent>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標準</w:t>
                              </w:r>
                            </w:p>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認證</w:t>
                              </w:r>
                            </w:p>
                          </w:txbxContent>
                        </wps:txbx>
                        <wps:bodyPr rot="0" vert="horz" wrap="square" lIns="77724" tIns="38862" rIns="77724" bIns="38862" anchor="t" anchorCtr="0" upright="1">
                          <a:noAutofit/>
                        </wps:bodyPr>
                      </wps:wsp>
                      <wps:wsp>
                        <wps:cNvPr id="200" name="Text Box 277"/>
                        <wps:cNvSpPr txBox="1">
                          <a:spLocks noChangeArrowheads="1"/>
                        </wps:cNvSpPr>
                        <wps:spPr bwMode="auto">
                          <a:xfrm>
                            <a:off x="1748860" y="1457623"/>
                            <a:ext cx="584402" cy="388699"/>
                          </a:xfrm>
                          <a:prstGeom prst="rect">
                            <a:avLst/>
                          </a:prstGeom>
                          <a:solidFill>
                            <a:srgbClr val="FFFFFF"/>
                          </a:solidFill>
                          <a:ln w="9525">
                            <a:solidFill>
                              <a:srgbClr val="000000"/>
                            </a:solidFill>
                            <a:miter lim="800000"/>
                            <a:headEnd/>
                            <a:tailEnd/>
                          </a:ln>
                        </wps:spPr>
                        <wps:txbx>
                          <w:txbxContent>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檢修</w:t>
                              </w:r>
                            </w:p>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維護</w:t>
                              </w:r>
                            </w:p>
                          </w:txbxContent>
                        </wps:txbx>
                        <wps:bodyPr rot="0" vert="horz" wrap="square" lIns="77724" tIns="38862" rIns="77724" bIns="38862" anchor="t" anchorCtr="0" upright="1">
                          <a:noAutofit/>
                        </wps:bodyPr>
                      </wps:wsp>
                      <wps:wsp>
                        <wps:cNvPr id="201" name="Text Box 278"/>
                        <wps:cNvSpPr txBox="1">
                          <a:spLocks noChangeArrowheads="1"/>
                        </wps:cNvSpPr>
                        <wps:spPr bwMode="auto">
                          <a:xfrm>
                            <a:off x="64589" y="2235021"/>
                            <a:ext cx="2235758" cy="194350"/>
                          </a:xfrm>
                          <a:prstGeom prst="rect">
                            <a:avLst/>
                          </a:prstGeom>
                          <a:solidFill>
                            <a:srgbClr val="FFFFFF"/>
                          </a:solidFill>
                          <a:ln w="9525">
                            <a:solidFill>
                              <a:srgbClr val="000000"/>
                            </a:solidFill>
                            <a:miter lim="800000"/>
                            <a:headEnd/>
                            <a:tailEnd/>
                          </a:ln>
                        </wps:spPr>
                        <wps:txbx>
                          <w:txbxContent>
                            <w:p w:rsidR="004864D6" w:rsidRPr="00984E35" w:rsidRDefault="004864D6" w:rsidP="00984406">
                              <w:pPr>
                                <w:jc w:val="center"/>
                                <w:rPr>
                                  <w:rFonts w:ascii="標楷體" w:eastAsia="標楷體" w:hAnsi="標楷體"/>
                                  <w:sz w:val="15"/>
                                  <w:szCs w:val="18"/>
                                </w:rPr>
                              </w:pPr>
                              <w:r w:rsidRPr="00984E35">
                                <w:rPr>
                                  <w:rFonts w:ascii="標楷體" w:eastAsia="標楷體" w:hAnsi="標楷體" w:hint="eastAsia"/>
                                  <w:sz w:val="15"/>
                                  <w:szCs w:val="18"/>
                                </w:rPr>
                                <w:t>產品銷售、需求與使用端</w:t>
                              </w:r>
                            </w:p>
                          </w:txbxContent>
                        </wps:txbx>
                        <wps:bodyPr rot="0" vert="horz" wrap="square" lIns="77724" tIns="38862" rIns="77724" bIns="38862" anchor="t" anchorCtr="0" upright="1">
                          <a:noAutofit/>
                        </wps:bodyPr>
                      </wps:wsp>
                      <wps:wsp>
                        <wps:cNvPr id="202" name="Text Box 279"/>
                        <wps:cNvSpPr txBox="1">
                          <a:spLocks noChangeArrowheads="1"/>
                        </wps:cNvSpPr>
                        <wps:spPr bwMode="auto">
                          <a:xfrm>
                            <a:off x="64589" y="2526546"/>
                            <a:ext cx="583781" cy="388699"/>
                          </a:xfrm>
                          <a:prstGeom prst="rect">
                            <a:avLst/>
                          </a:prstGeom>
                          <a:solidFill>
                            <a:srgbClr val="FFFFFF"/>
                          </a:solidFill>
                          <a:ln w="9525">
                            <a:solidFill>
                              <a:srgbClr val="000000"/>
                            </a:solidFill>
                            <a:miter lim="800000"/>
                            <a:headEnd/>
                            <a:tailEnd/>
                          </a:ln>
                        </wps:spPr>
                        <wps:txbx>
                          <w:txbxContent>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市場</w:t>
                              </w:r>
                            </w:p>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行銷</w:t>
                              </w:r>
                            </w:p>
                          </w:txbxContent>
                        </wps:txbx>
                        <wps:bodyPr rot="0" vert="horz" wrap="square" lIns="77724" tIns="38862" rIns="77724" bIns="38862" anchor="t" anchorCtr="0" upright="1">
                          <a:noAutofit/>
                        </wps:bodyPr>
                      </wps:wsp>
                      <wps:wsp>
                        <wps:cNvPr id="203" name="Text Box 280"/>
                        <wps:cNvSpPr txBox="1">
                          <a:spLocks noChangeArrowheads="1"/>
                        </wps:cNvSpPr>
                        <wps:spPr bwMode="auto">
                          <a:xfrm>
                            <a:off x="1165700" y="2526546"/>
                            <a:ext cx="1165078" cy="388699"/>
                          </a:xfrm>
                          <a:prstGeom prst="rect">
                            <a:avLst/>
                          </a:prstGeom>
                          <a:solidFill>
                            <a:srgbClr val="FFFFFF"/>
                          </a:solidFill>
                          <a:ln w="9525">
                            <a:solidFill>
                              <a:srgbClr val="000000"/>
                            </a:solidFill>
                            <a:miter lim="800000"/>
                            <a:headEnd/>
                            <a:tailEnd/>
                          </a:ln>
                        </wps:spPr>
                        <wps:txbx>
                          <w:txbxContent>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試驗室與現</w:t>
                              </w:r>
                            </w:p>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場量測使用</w:t>
                              </w:r>
                            </w:p>
                          </w:txbxContent>
                        </wps:txbx>
                        <wps:bodyPr rot="0" vert="horz" wrap="square" lIns="77724" tIns="38862" rIns="77724" bIns="38862" anchor="t" anchorCtr="0" upright="1">
                          <a:noAutofit/>
                        </wps:bodyPr>
                      </wps:wsp>
                      <wps:wsp>
                        <wps:cNvPr id="204" name="Line 281"/>
                        <wps:cNvCnPr/>
                        <wps:spPr bwMode="auto">
                          <a:xfrm>
                            <a:off x="1230909" y="583049"/>
                            <a:ext cx="621" cy="19435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Line 282"/>
                        <wps:cNvCnPr/>
                        <wps:spPr bwMode="auto">
                          <a:xfrm>
                            <a:off x="1230909" y="1943497"/>
                            <a:ext cx="621" cy="19435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Line 283"/>
                        <wps:cNvCnPr/>
                        <wps:spPr bwMode="auto">
                          <a:xfrm>
                            <a:off x="1230909" y="1068923"/>
                            <a:ext cx="621" cy="971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Line 284"/>
                        <wps:cNvCnPr/>
                        <wps:spPr bwMode="auto">
                          <a:xfrm>
                            <a:off x="388774" y="1360448"/>
                            <a:ext cx="621" cy="971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Line 285"/>
                        <wps:cNvCnPr/>
                        <wps:spPr bwMode="auto">
                          <a:xfrm>
                            <a:off x="1230909" y="1360448"/>
                            <a:ext cx="621" cy="971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Line 286"/>
                        <wps:cNvCnPr/>
                        <wps:spPr bwMode="auto">
                          <a:xfrm>
                            <a:off x="2007835" y="1360448"/>
                            <a:ext cx="621" cy="971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Line 287"/>
                        <wps:cNvCnPr/>
                        <wps:spPr bwMode="auto">
                          <a:xfrm>
                            <a:off x="388774" y="2429371"/>
                            <a:ext cx="621" cy="971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288"/>
                        <wps:cNvCnPr/>
                        <wps:spPr bwMode="auto">
                          <a:xfrm>
                            <a:off x="1748860" y="2429371"/>
                            <a:ext cx="621" cy="971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Line 289"/>
                        <wps:cNvCnPr/>
                        <wps:spPr bwMode="auto">
                          <a:xfrm>
                            <a:off x="647749" y="2720896"/>
                            <a:ext cx="485656" cy="6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畫布 267" o:spid="_x0000_s1060" editas="canvas" style="width:191.35pt;height:244.85pt;mso-position-horizontal-relative:char;mso-position-vertical-relative:line" coordsize="24301,3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">
                <v:shape id="_x0000_s1061" type="#_x0000_t75" style="position:absolute;width:24301;height:31095;visibility:visible;mso-wrap-style:square">
                  <v:fill o:detectmouseclick="t"/>
                  <v:path o:connecttype="none"/>
                </v:shape>
                <v:rect id="Rectangle 269" o:spid="_x0000_s1062" style="position:absolute;top:21378;width:24301;height:8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LZk8MA&#10;AADcAAAADwAAAGRycy9kb3ducmV2LnhtbERPTWvCQBC9C/6HZYTedKMHqamraEtpSxE0lnodstMk&#10;JjsbdteY/vtuQfA2j/c5y3VvGtGR85VlBdNJAoI4t7riQsHX8XX8CMIHZI2NZVLwSx7Wq+Fgiam2&#10;Vz5Ql4VCxBD2KSooQ2hTKX1ekkE/sS1x5H6sMxgidIXUDq8x3DRyliRzabDi2FBiS88l5XV2MQrO&#10;H3Pz3dWn04VrDNtPt3h52++Uehj1mycQgfpwF9/c7zrOX8zg/5l4gV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LZk8MAAADcAAAADwAAAAAAAAAAAAAAAACYAgAAZHJzL2Rv&#10;d25yZXYueG1sUEsFBgAAAAAEAAQA9QAAAIgDAAAAAA==&#10;" strokeweight="3pt"/>
                <v:rect id="Rectangle 270" o:spid="_x0000_s1063" style="position:absolute;top:7773;width:24301;height:11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58CMMA&#10;AADcAAAADwAAAGRycy9kb3ducmV2LnhtbERP32vCMBB+F/Y/hBvsTdM5EK1GmcrYhgibir4eza3t&#10;2lxKEmv33y+C4Nt9fD9vtuhMLVpyvrSs4HmQgCDOrC45V3DYv/XHIHxA1lhbJgV/5GExf+jNMNX2&#10;wt/U7kIuYgj7FBUUITSplD4ryKAf2IY4cj/WGQwRulxqh5cYbmo5TJKRNFhybCiwoVVBWbU7GwW/&#10;nyNzbKvT6cwVhuXGTdbvX1ulnh671ymIQF24i2/uDx3nT17g+ky8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58CMMAAADcAAAADwAAAAAAAAAAAAAAAACYAgAAZHJzL2Rv&#10;d25yZXYueG1sUEsFBgAAAAAEAAQA9QAAAIgDAAAAAA==&#10;" strokeweight="3pt"/>
                <v:rect id="Rectangle 271" o:spid="_x0000_s1064" style="position:absolute;width:24301;height:5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kfMMA&#10;AADcAAAADwAAAGRycy9kb3ducmV2LnhtbERP32vCMBB+F/Y/hBvsTdPJEK1GmcrYhgibir4eza3t&#10;2lxKEmv33y+C4Nt9fD9vtuhMLVpyvrSs4HmQgCDOrC45V3DYv/XHIHxA1lhbJgV/5GExf+jNMNX2&#10;wt/U7kIuYgj7FBUUITSplD4ryKAf2IY4cj/WGQwRulxqh5cYbmo5TJKRNFhybCiwoVVBWbU7GwW/&#10;nyNzbKvT6cwVhuXGTdbvX1ulnh671ymIQF24i2/uDx3nT17g+ky8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fkfMMAAADcAAAADwAAAAAAAAAAAAAAAACYAgAAZHJzL2Rv&#10;d25yZXYueG1sUEsFBgAAAAAEAAQA9QAAAIgDAAAAAA==&#10;" strokeweight="3pt"/>
                <v:shape id="Text Box 272" o:spid="_x0000_s1065" type="#_x0000_t202" style="position:absolute;left:975;top:971;width:22357;height:3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6uf8EA&#10;AADcAAAADwAAAGRycy9kb3ducmV2LnhtbERP24rCMBB9F/Yfwgi+aaqLsluNshRcfPJWP2BsxqbY&#10;TEoTtfv3G0HwbQ7nOotVZ2txp9ZXjhWMRwkI4sLpiksFp3w9/ALhA7LG2jEp+CMPq+VHb4Gpdg8+&#10;0P0YShFD2KeowITQpFL6wpBFP3INceQurrUYImxLqVt8xHBby0mSzKTFimODwYYyQ8X1eLMKypDn&#10;493+c7tdny5Gd7Ps91xlSg363c8cRKAuvMUv90bH+d9TeD4TL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Orn/BAAAA3AAAAA8AAAAAAAAAAAAAAAAAmAIAAGRycy9kb3du&#10;cmV2LnhtbFBLBQYAAAAABAAEAPUAAACGAwAAAAA=&#10;">
                  <v:textbox inset="6.12pt,3.06pt,6.12pt,3.06pt">
                    <w:txbxContent>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零件生產端</w:t>
                        </w:r>
                      </w:p>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(管材、組件、配件、感測元件製造)</w:t>
                        </w:r>
                      </w:p>
                    </w:txbxContent>
                  </v:textbox>
                </v:shape>
                <v:shape id="Text Box 273" o:spid="_x0000_s1066" type="#_x0000_t202" style="position:absolute;left:645;top:8745;width:22358;height:1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wwCMIA&#10;AADcAAAADwAAAGRycy9kb3ducmV2LnhtbERPS2rDMBDdB3oHMYXuEtktmNSNYorBoas0iXOAqTWx&#10;TK2RsRTHvX1VKGQ3j/edTTHbXkw0+s6xgnSVgCBunO64VXCuq+UahA/IGnvHpOCHPBTbh8UGc+1u&#10;fKTpFFoRQ9jnqMCEMORS+saQRb9yA3HkLm60GCIcW6lHvMVw28vnJMmkxY5jg8GBSkPN9+lqFbSh&#10;rtPPw8t+X50vRs9ZufvqSqWeHuf3NxCB5nAX/7s/dJz/msHfM/EC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XDAIwgAAANwAAAAPAAAAAAAAAAAAAAAAAJgCAABkcnMvZG93&#10;bnJldi54bWxQSwUGAAAAAAQABAD1AAAAhwMAAAAA&#10;">
                  <v:textbox inset="6.12pt,3.06pt,6.12pt,3.06pt">
                    <w:txbxContent>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儀器組裝、製造端</w:t>
                        </w:r>
                      </w:p>
                    </w:txbxContent>
                  </v:textbox>
                </v:shape>
                <v:shape id="Text Box 274" o:spid="_x0000_s1067" type="#_x0000_t202" style="position:absolute;left:645;top:11660;width:22352;height:19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Vk8EA&#10;AADcAAAADwAAAGRycy9kb3ducmV2LnhtbERP24rCMBB9F/Yfwgj7pqkueKlGWQou++StfsDYjE2x&#10;mZQmavfvN4Lg2xzOdZbrztbiTq2vHCsYDRMQxIXTFZcKTvlmMAPhA7LG2jEp+CMP69VHb4mpdg8+&#10;0P0YShFD2KeowITQpFL6wpBFP3QNceQurrUYImxLqVt8xHBby3GSTKTFimODwYYyQ8X1eLMKypDn&#10;o93+a7vdnC5Gd5Ps51xlSn32u+8FiEBdeItf7l8d58+n8HwmXi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QlZPBAAAA3AAAAA8AAAAAAAAAAAAAAAAAmAIAAGRycy9kb3du&#10;cmV2LnhtbFBLBQYAAAAABAAEAPUAAACGAwAAAAA=&#10;">
                  <v:textbox inset="6.12pt,3.06pt,6.12pt,3.06pt">
                    <w:txbxContent>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儀器製造</w:t>
                        </w:r>
                      </w:p>
                    </w:txbxContent>
                  </v:textbox>
                </v:shape>
                <v:shape id="Text Box 275" o:spid="_x0000_s1068" type="#_x0000_t202" style="position:absolute;left:645;top:14576;width:5832;height:3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B4cUA&#10;AADcAAAADwAAAGRycy9kb3ducmV2LnhtbESPQW/CMAyF70j7D5En7QYpm4SgI0WoEtNObKP8AK9x&#10;m4rGqZoMun8/HyZxs/We3/u83U2+V1caYxfYwHKRgSKug+24NXCuDvM1qJiQLfaBycAvRdgVD7Mt&#10;5jbc+Iuup9QqCeGYowGX0pBrHWtHHuMiDMSiNWH0mGQdW21HvEm47/Vzlq20x46lweFApaP6cvrx&#10;BtpUVcuPz5fj8XBunJ1W5dt3Vxrz9DjtX0ElmtLd/H/9bgV/I7TyjEy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jwHhxQAAANwAAAAPAAAAAAAAAAAAAAAAAJgCAABkcnMv&#10;ZG93bnJldi54bWxQSwUGAAAAAAQABAD1AAAAigMAAAAA&#10;">
                  <v:textbox inset="6.12pt,3.06pt,6.12pt,3.06pt">
                    <w:txbxContent>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檢測</w:t>
                        </w:r>
                      </w:p>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校正</w:t>
                        </w:r>
                      </w:p>
                      <w:p w:rsidR="004864D6" w:rsidRPr="00984E35" w:rsidRDefault="004864D6" w:rsidP="00984406">
                        <w:pPr>
                          <w:rPr>
                            <w:sz w:val="20"/>
                          </w:rPr>
                        </w:pPr>
                      </w:p>
                      <w:p w:rsidR="004864D6" w:rsidRPr="00984E35" w:rsidRDefault="004864D6">
                        <w:pPr>
                          <w:rPr>
                            <w:sz w:val="20"/>
                          </w:rPr>
                        </w:pPr>
                      </w:p>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儀器製造</w:t>
                        </w:r>
                      </w:p>
                    </w:txbxContent>
                  </v:textbox>
                </v:shape>
                <v:shape id="Text Box 276" o:spid="_x0000_s1069" type="#_x0000_t202" style="position:absolute;left:8421;top:14576;width:6807;height:3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OkesAA&#10;AADcAAAADwAAAGRycy9kb3ducmV2LnhtbERP24rCMBB9X9h/CLPg25q6gmg1ylJQfPJWP2BsxqbY&#10;TEoTtf69EQTf5nCuM1t0thY3an3lWMGgn4AgLpyuuFRwzJe/YxA+IGusHZOCB3lYzL+/Zphqd+c9&#10;3Q6hFDGEfYoKTAhNKqUvDFn0fdcQR+7sWoshwraUusV7DLe1/EuSkbRYcWww2FBmqLgcrlZBGfJ8&#10;sN0NN5vl8Wx0N8pWpypTqvfT/U9BBOrCR/x2r3WcP5nA65l4gZ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OkesAAAADcAAAADwAAAAAAAAAAAAAAAACYAgAAZHJzL2Rvd25y&#10;ZXYueG1sUEsFBgAAAAAEAAQA9QAAAIUDAAAAAA==&#10;">
                  <v:textbox inset="6.12pt,3.06pt,6.12pt,3.06pt">
                    <w:txbxContent>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標準</w:t>
                        </w:r>
                      </w:p>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認證</w:t>
                        </w:r>
                      </w:p>
                    </w:txbxContent>
                  </v:textbox>
                </v:shape>
                <v:shape id="Text Box 277" o:spid="_x0000_s1070" type="#_x0000_t202" style="position:absolute;left:17488;top:14576;width:5844;height:3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b5HMEA&#10;AADcAAAADwAAAGRycy9kb3ducmV2LnhtbESP3YrCMBSE7xd8h3AE79bUFUSqUaSgeOVffYBjc2yK&#10;zUlpslrf3giCl8PMfMPMl52txZ1aXzlWMBomIIgLpysuFZzz9e8UhA/IGmvHpOBJHpaL3s8cU+0e&#10;fKT7KZQiQtinqMCE0KRS+sKQRT90DXH0rq61GKJsS6lbfES4reVfkkykxYrjgsGGMkPF7fRvFZQh&#10;z0f7w3i3W5+vRneTbHOpMqUG/W41AxGoC9/wp73VCiIR3mfiEZ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W+RzBAAAA3AAAAA8AAAAAAAAAAAAAAAAAmAIAAGRycy9kb3du&#10;cmV2LnhtbFBLBQYAAAAABAAEAPUAAACGAwAAAAA=&#10;">
                  <v:textbox inset="6.12pt,3.06pt,6.12pt,3.06pt">
                    <w:txbxContent>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檢修</w:t>
                        </w:r>
                      </w:p>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維護</w:t>
                        </w:r>
                      </w:p>
                    </w:txbxContent>
                  </v:textbox>
                </v:shape>
                <v:shape id="Text Box 278" o:spid="_x0000_s1071" type="#_x0000_t202" style="position:absolute;left:645;top:22350;width:22358;height:1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ch8QA&#10;AADcAAAADwAAAGRycy9kb3ducmV2LnhtbESPwWrDMBBE74H+g9hCbonsFExwo5hicOkpTex8wNba&#10;WKbWylhq4vx9FSj0OMzMG2ZXzHYQV5p871hBuk5AELdO99wpODfVagvCB2SNg2NScCcPxf5pscNc&#10;uxuf6FqHTkQI+xwVmBDGXErfGrLo124kjt7FTRZDlFMn9YS3CLeD3CRJJi32HBcMjlQaar/rH6ug&#10;C02Tfh5fDofqfDF6zsr3r75Uavk8v72CCDSH//Bf+0Mr2CQpPM7EI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aXIfEAAAA3AAAAA8AAAAAAAAAAAAAAAAAmAIAAGRycy9k&#10;b3ducmV2LnhtbFBLBQYAAAAABAAEAPUAAACJAwAAAAA=&#10;">
                  <v:textbox inset="6.12pt,3.06pt,6.12pt,3.06pt">
                    <w:txbxContent>
                      <w:p w:rsidR="004864D6" w:rsidRPr="00984E35" w:rsidRDefault="004864D6" w:rsidP="00984406">
                        <w:pPr>
                          <w:jc w:val="center"/>
                          <w:rPr>
                            <w:rFonts w:ascii="標楷體" w:eastAsia="標楷體" w:hAnsi="標楷體"/>
                            <w:sz w:val="15"/>
                            <w:szCs w:val="18"/>
                          </w:rPr>
                        </w:pPr>
                        <w:r w:rsidRPr="00984E35">
                          <w:rPr>
                            <w:rFonts w:ascii="標楷體" w:eastAsia="標楷體" w:hAnsi="標楷體" w:hint="eastAsia"/>
                            <w:sz w:val="15"/>
                            <w:szCs w:val="18"/>
                          </w:rPr>
                          <w:t>產品銷售、需求與使用端</w:t>
                        </w:r>
                      </w:p>
                    </w:txbxContent>
                  </v:textbox>
                </v:shape>
                <v:shape id="Text Box 279" o:spid="_x0000_s1072" type="#_x0000_t202" style="position:absolute;left:645;top:25265;width:5838;height:3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jC8MMA&#10;AADcAAAADwAAAGRycy9kb3ducmV2LnhtbESP3YrCMBSE74V9h3AWvNPULohUo0jBZa/8ax/g2Byb&#10;YnNSmqzWtzfCwl4OM/MNs9oMthV36n3jWMFsmoAgrpxuuFZQFrvJAoQPyBpbx6TgSR4264/RCjPt&#10;Hnyi+znUIkLYZ6jAhNBlUvrKkEU/dR1x9K6utxii7Gupe3xEuG1lmiRzabHhuGCwo9xQdTv/WgV1&#10;KIrZ4fi13+/Kq9HDPP++NLlS489huwQRaAj/4b/2j1aQJim8z8Qj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jC8MMAAADcAAAADwAAAAAAAAAAAAAAAACYAgAAZHJzL2Rv&#10;d25yZXYueG1sUEsFBgAAAAAEAAQA9QAAAIgDAAAAAA==&#10;">
                  <v:textbox inset="6.12pt,3.06pt,6.12pt,3.06pt">
                    <w:txbxContent>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市場</w:t>
                        </w:r>
                      </w:p>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行銷</w:t>
                        </w:r>
                      </w:p>
                    </w:txbxContent>
                  </v:textbox>
                </v:shape>
                <v:shape id="Text Box 280" o:spid="_x0000_s1073" type="#_x0000_t202" style="position:absolute;left:11657;top:25265;width:11650;height:3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Rna8QA&#10;AADcAAAADwAAAGRycy9kb3ducmV2LnhtbESPwWrDMBBE74H+g9hCb7GcBEJxrYRiSMkpbWN/wMZa&#10;W6bWyliK7f59VSj0OMzMGyY/LrYXE42+c6xgk6QgiGunO24VVOVp/QzCB2SNvWNS8E0ejoeHVY6Z&#10;djN/0nQNrYgQ9hkqMCEMmZS+NmTRJ24gjl7jRoshyrGVesQ5wm0vt2m6lxY7jgsGByoM1V/Xu1XQ&#10;hrLcvH/sLpdT1Ri97Iu3W1co9fS4vL6ACLSE//Bf+6wVbNMd/J6JR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EZ2vEAAAA3AAAAA8AAAAAAAAAAAAAAAAAmAIAAGRycy9k&#10;b3ducmV2LnhtbFBLBQYAAAAABAAEAPUAAACJAwAAAAA=&#10;">
                  <v:textbox inset="6.12pt,3.06pt,6.12pt,3.06pt">
                    <w:txbxContent>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試驗室與現</w:t>
                        </w:r>
                      </w:p>
                      <w:p w:rsidR="004864D6" w:rsidRPr="00984E35" w:rsidRDefault="004864D6" w:rsidP="00984406">
                        <w:pPr>
                          <w:jc w:val="center"/>
                          <w:rPr>
                            <w:rFonts w:ascii="標楷體" w:eastAsia="標楷體" w:hAnsi="標楷體"/>
                            <w:sz w:val="17"/>
                            <w:szCs w:val="20"/>
                          </w:rPr>
                        </w:pPr>
                        <w:r w:rsidRPr="00984E35">
                          <w:rPr>
                            <w:rFonts w:ascii="標楷體" w:eastAsia="標楷體" w:hAnsi="標楷體" w:hint="eastAsia"/>
                            <w:sz w:val="17"/>
                            <w:szCs w:val="20"/>
                          </w:rPr>
                          <w:t>場量測使用</w:t>
                        </w:r>
                      </w:p>
                    </w:txbxContent>
                  </v:textbox>
                </v:shape>
                <v:line id="Line 281" o:spid="_x0000_s1074" style="position:absolute;visibility:visible;mso-wrap-style:square" from="12309,5830" to="12315,7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lsvMMAAADcAAAADwAAAGRycy9kb3ducmV2LnhtbESPQWsCMRSE74L/IbxCb5pUispqlCoU&#10;CsXDquD1uXnuLt28LEnqrv/eCILHYWa+YZbr3jbiSj7UjjV8jBUI4sKZmksNx8P3aA4iRGSDjWPS&#10;cKMA69VwsMTMuI5zuu5jKRKEQ4YaqhjbTMpQVGQxjF1LnLyL8xZjkr6UxmOX4LaRE6Wm0mLNaaHC&#10;lrYVFX/7f6ths2vzmznPgtqeZvND33mT46/W72/91wJEpD6+ws/2j9EwUZ/wOJOO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bLzDAAAA3AAAAA8AAAAAAAAAAAAA&#10;AAAAoQIAAGRycy9kb3ducmV2LnhtbFBLBQYAAAAABAAEAPkAAACRAwAAAAA=&#10;" strokeweight="3pt">
                  <v:stroke endarrow="block"/>
                </v:line>
                <v:line id="Line 282" o:spid="_x0000_s1075" style="position:absolute;visibility:visible;mso-wrap-style:square" from="12309,19434" to="12315,21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XJJ8MAAADcAAAADwAAAGRycy9kb3ducmV2LnhtbESPQWsCMRSE74L/IbxCb5pUqMpqlCoU&#10;CsXDquD1uXnuLt28LEnqrv/eCILHYWa+YZbr3jbiSj7UjjV8jBUI4sKZmksNx8P3aA4iRGSDjWPS&#10;cKMA69VwsMTMuI5zuu5jKRKEQ4YaqhjbTMpQVGQxjF1LnLyL8xZjkr6UxmOX4LaRE6Wm0mLNaaHC&#10;lrYVFX/7f6ths2vzmznPgtqeZvND33mT46/W72/91wJEpD6+ws/2j9EwUZ/wOJOO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FySfDAAAA3AAAAA8AAAAAAAAAAAAA&#10;AAAAoQIAAGRycy9kb3ducmV2LnhtbFBLBQYAAAAABAAEAPkAAACRAwAAAAA=&#10;" strokeweight="3pt">
                  <v:stroke endarrow="block"/>
                </v:line>
                <v:line id="Line 283" o:spid="_x0000_s1076" style="position:absolute;visibility:visible;mso-wrap-style:square" from="12309,10689" to="12315,11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GM2cQAAADcAAAADwAAAGRycy9kb3ducmV2LnhtbESPT2sCMRTE74LfITyhN83qQetqFHER&#10;eqgF/9Dz6+a5Wdy8LJt0Tb99IxR6HGbmN8x6G20jeup87VjBdJKBIC6drrlScL0cxq8gfEDW2Dgm&#10;BT/kYbsZDtaYa/fgE/XnUIkEYZ+jAhNCm0vpS0MW/cS1xMm7uc5iSLKrpO7wkeC2kbMsm0uLNacF&#10;gy3tDZX387dVsDDFSS5k8X75KPp6uozH+Pm1VOplFHcrEIFi+A//td+0glk2h+eZd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QYzZxAAAANwAAAAPAAAAAAAAAAAA&#10;AAAAAKECAABkcnMvZG93bnJldi54bWxQSwUGAAAAAAQABAD5AAAAkgMAAAAA&#10;">
                  <v:stroke endarrow="block"/>
                </v:line>
                <v:line id="Line 284" o:spid="_x0000_s1077" style="position:absolute;visibility:visible;mso-wrap-style:square" from="3887,13604" to="3893,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0pQsQAAADcAAAADwAAAGRycy9kb3ducmV2LnhtbESPQWsCMRSE7wX/Q3iCt5rVg1u3RhGX&#10;ggctqKXn183rZunmZdmka/z3Rij0OMzMN8xqE20rBup941jBbJqBIK6cbrhW8HF5e34B4QOyxtYx&#10;KbiRh8169LTCQrsrn2g4h1okCPsCFZgQukJKXxmy6KeuI07et+sthiT7WuoerwluWznPsoW02HBa&#10;MNjRzlD1c/61CnJTnmQuy8PlvRya2TIe4+fXUqnJOG5fQQSK4T/8195rBfMsh8eZdATk+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DSlCxAAAANwAAAAPAAAAAAAAAAAA&#10;AAAAAKECAABkcnMvZG93bnJldi54bWxQSwUGAAAAAAQABAD5AAAAkgMAAAAA&#10;">
                  <v:stroke endarrow="block"/>
                </v:line>
                <v:line id="Line 285" o:spid="_x0000_s1078" style="position:absolute;visibility:visible;mso-wrap-style:square" from="12309,13604" to="12315,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line id="Line 286" o:spid="_x0000_s1079" style="position:absolute;visibility:visible;mso-wrap-style:square" from="20078,13604" to="20084,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4Yq8QAAADcAAAADwAAAGRycy9kb3ducmV2LnhtbESPQWsCMRSE7wX/Q3iCt5rVg3ZXo4hL&#10;wYMtqKXn5+a5Wdy8LJt0Tf99Uyj0OMzMN8x6G20rBup941jBbJqBIK6cbrhW8HF5fX4B4QOyxtYx&#10;KfgmD9vN6GmNhXYPPtFwDrVIEPYFKjAhdIWUvjJk0U9dR5y8m+sthiT7WuoeHwluWznPsoW02HBa&#10;MNjR3lB1P39ZBUtTnuRSlsfLezk0szy+xc9rrtRkHHcrEIFi+A//tQ9awTzL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3hirxAAAANwAAAAPAAAAAAAAAAAA&#10;AAAAAKECAABkcnMvZG93bnJldi54bWxQSwUGAAAAAAQABAD5AAAAkgMAAAAA&#10;">
                  <v:stroke endarrow="block"/>
                </v:line>
                <v:line id="Line 287" o:spid="_x0000_s1080" style="position:absolute;visibility:visible;mso-wrap-style:square" from="3887,24293" to="3893,25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line id="Line 288" o:spid="_x0000_s1081" style="position:absolute;visibility:visible;mso-wrap-style:square" from="17488,24293" to="17494,25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GCcMQAAADcAAAADwAAAGRycy9kb3ducmV2LnhtbESPQWsCMRSE7wX/Q3iCt5pdD1pXo4hL&#10;wYMtqKXn5+a5Wdy8LJt0Tf99Uyj0OMzMN8x6G20rBup941hBPs1AEFdON1wr+Li8Pr+A8AFZY+uY&#10;FHyTh+1m9LTGQrsHn2g4h1okCPsCFZgQukJKXxmy6KeuI07ezfUWQ5J9LXWPjwS3rZxl2VxabDgt&#10;GOxob6i6n7+sgoUpT3Ihy+PlvRyafBnf4ud1qdRkHHcrEIFi+A//tQ9awS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cYJwxAAAANwAAAAPAAAAAAAAAAAA&#10;AAAAAKECAABkcnMvZG93bnJldi54bWxQSwUGAAAAAAQABAD5AAAAkgMAAAAA&#10;">
                  <v:stroke endarrow="block"/>
                </v:line>
                <v:line id="Line 289" o:spid="_x0000_s1082" style="position:absolute;visibility:visible;mso-wrap-style:square" from="6477,27208" to="11334,27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McB8UAAADcAAAADwAAAGRycy9kb3ducmV2LnhtbESPQWvCQBSE74X+h+UVequb5FA1dZXS&#10;IPRQBbX0/Jp9ZoPZtyG7xu2/7wqCx2FmvmEWq2g7MdLgW8cK8kkGgrh2uuVGwfdh/TID4QOyxs4x&#10;KfgjD6vl48MCS+0uvKNxHxqRIOxLVGBC6EspfW3Iop+4njh5RzdYDEkOjdQDXhLcdrLIsldpseW0&#10;YLCnD0P1aX+2Cqam2smprL4O22ps83ncxJ/fuVLPT/H9DUSgGO7hW/tTKyjyAq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6McB8UAAADcAAAADwAAAAAAAAAA&#10;AAAAAAChAgAAZHJzL2Rvd25yZXYueG1sUEsFBgAAAAAEAAQA+QAAAJMDAAAAAA==&#10;">
                  <v:stroke endarrow="block"/>
                </v:line>
                <w10:anchorlock/>
              </v:group>
            </w:pict>
          </mc:Fallback>
        </mc:AlternateContent>
      </w:r>
    </w:p>
    <w:p w:rsidR="00DC4ACB" w:rsidRDefault="002C7D93" w:rsidP="00965AF0">
      <w:pPr>
        <w:numPr>
          <w:ilvl w:val="0"/>
          <w:numId w:val="1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產業特性</w:t>
      </w:r>
    </w:p>
    <w:p w:rsidR="00DC4ACB" w:rsidRDefault="0074142A" w:rsidP="00965AF0">
      <w:pPr>
        <w:spacing w:beforeLines="50" w:before="120" w:afterLines="50" w:after="120" w:line="360" w:lineRule="auto"/>
        <w:ind w:leftChars="200" w:left="480" w:firstLineChars="200" w:firstLine="520"/>
        <w:jc w:val="both"/>
        <w:rPr>
          <w:rFonts w:eastAsia="標楷體"/>
          <w:sz w:val="26"/>
          <w:szCs w:val="26"/>
        </w:rPr>
      </w:pPr>
      <w:r w:rsidRPr="002C1D3B">
        <w:rPr>
          <w:rFonts w:eastAsia="標楷體" w:hint="eastAsia"/>
          <w:sz w:val="26"/>
          <w:szCs w:val="26"/>
        </w:rPr>
        <w:t>量化儀器是知識密集和技術密集的多學科的綜合體，對新技術的敏感，更新換代快。產品性能特點是高精度、高靈敏、高可靠、高環境適應性；生產的特點則是屬於多品種、小批量。所以此等產業的特性為所謂</w:t>
      </w:r>
      <w:r w:rsidRPr="002C1D3B">
        <w:rPr>
          <w:rFonts w:eastAsia="標楷體"/>
          <w:sz w:val="26"/>
          <w:szCs w:val="26"/>
        </w:rPr>
        <w:t>”</w:t>
      </w:r>
      <w:r w:rsidRPr="002C1D3B">
        <w:rPr>
          <w:rFonts w:eastAsia="標楷體" w:hint="eastAsia"/>
          <w:sz w:val="26"/>
          <w:szCs w:val="26"/>
        </w:rPr>
        <w:t>三高三低</w:t>
      </w:r>
      <w:r w:rsidRPr="002C1D3B">
        <w:rPr>
          <w:rFonts w:eastAsia="標楷體"/>
          <w:sz w:val="26"/>
          <w:szCs w:val="26"/>
        </w:rPr>
        <w:t>”</w:t>
      </w:r>
      <w:r w:rsidRPr="002C1D3B">
        <w:rPr>
          <w:rFonts w:eastAsia="標楷體" w:hint="eastAsia"/>
          <w:sz w:val="26"/>
          <w:szCs w:val="26"/>
        </w:rPr>
        <w:t>，義即：高技術、高投入、高產出、低耗能、低材料、低污染。產業發展的特點則是如下：</w:t>
      </w:r>
    </w:p>
    <w:p w:rsidR="00DC4ACB" w:rsidRDefault="0074142A" w:rsidP="00965AF0">
      <w:pPr>
        <w:numPr>
          <w:ilvl w:val="0"/>
          <w:numId w:val="53"/>
        </w:numPr>
        <w:tabs>
          <w:tab w:val="left" w:pos="960"/>
          <w:tab w:val="left" w:pos="1134"/>
        </w:tabs>
        <w:spacing w:beforeLines="50" w:before="120" w:afterLines="50" w:after="120" w:line="360" w:lineRule="auto"/>
        <w:jc w:val="both"/>
        <w:rPr>
          <w:rFonts w:eastAsia="標楷體"/>
          <w:sz w:val="26"/>
          <w:szCs w:val="26"/>
        </w:rPr>
      </w:pPr>
      <w:r w:rsidRPr="002C1D3B">
        <w:rPr>
          <w:rFonts w:eastAsia="標楷體" w:hint="eastAsia"/>
          <w:sz w:val="26"/>
          <w:szCs w:val="26"/>
        </w:rPr>
        <w:t>新技術的普遍應用：目前儀器普遍採用電子設計自動化、電腦輔助</w:t>
      </w:r>
      <w:r w:rsidRPr="002C1D3B">
        <w:rPr>
          <w:rFonts w:eastAsia="標楷體" w:hint="eastAsia"/>
          <w:sz w:val="26"/>
          <w:szCs w:val="26"/>
        </w:rPr>
        <w:lastRenderedPageBreak/>
        <w:t>製造、電腦輔助測試、數字信號處理、專用積體電路及表面貼裝等技術。</w:t>
      </w:r>
    </w:p>
    <w:p w:rsidR="00DC4ACB" w:rsidRDefault="0074142A" w:rsidP="00965AF0">
      <w:pPr>
        <w:numPr>
          <w:ilvl w:val="0"/>
          <w:numId w:val="53"/>
        </w:numPr>
        <w:tabs>
          <w:tab w:val="left" w:pos="960"/>
          <w:tab w:val="left" w:pos="1134"/>
        </w:tabs>
        <w:spacing w:beforeLines="50" w:before="120" w:afterLines="50" w:after="120" w:line="360" w:lineRule="auto"/>
        <w:jc w:val="both"/>
        <w:rPr>
          <w:rFonts w:eastAsia="標楷體"/>
          <w:sz w:val="26"/>
          <w:szCs w:val="26"/>
        </w:rPr>
      </w:pPr>
      <w:r w:rsidRPr="002C1D3B">
        <w:rPr>
          <w:rFonts w:eastAsia="標楷體" w:hint="eastAsia"/>
          <w:sz w:val="26"/>
          <w:szCs w:val="26"/>
        </w:rPr>
        <w:t>產品結構發生變化：在重視高檔儀器開發的同時，注重高新技術和量大面廣產品的開發與生產；不僅著眼於單機，更注重系統集成、產品軟化。</w:t>
      </w:r>
    </w:p>
    <w:p w:rsidR="00DC4ACB" w:rsidRDefault="0074142A" w:rsidP="00965AF0">
      <w:pPr>
        <w:numPr>
          <w:ilvl w:val="0"/>
          <w:numId w:val="53"/>
        </w:numPr>
        <w:tabs>
          <w:tab w:val="left" w:pos="960"/>
          <w:tab w:val="left" w:pos="1134"/>
        </w:tabs>
        <w:spacing w:beforeLines="50" w:before="120" w:afterLines="50" w:after="120" w:line="360" w:lineRule="auto"/>
        <w:jc w:val="both"/>
        <w:rPr>
          <w:rFonts w:eastAsia="標楷體"/>
          <w:sz w:val="26"/>
          <w:szCs w:val="26"/>
        </w:rPr>
      </w:pPr>
      <w:r w:rsidRPr="002C1D3B">
        <w:rPr>
          <w:rFonts w:eastAsia="標楷體" w:hint="eastAsia"/>
          <w:sz w:val="26"/>
          <w:szCs w:val="26"/>
        </w:rPr>
        <w:t>產品開發準則發生變化：從技術趨動轉為市場驅動，從一味追求高精尖轉為恰到好處。開發一</w:t>
      </w:r>
      <w:r>
        <w:rPr>
          <w:rFonts w:eastAsia="標楷體" w:hint="eastAsia"/>
          <w:sz w:val="26"/>
          <w:szCs w:val="26"/>
        </w:rPr>
        <w:t>項</w:t>
      </w:r>
      <w:r w:rsidRPr="002C1D3B">
        <w:rPr>
          <w:rFonts w:eastAsia="標楷體" w:hint="eastAsia"/>
          <w:sz w:val="26"/>
          <w:szCs w:val="26"/>
        </w:rPr>
        <w:t>成功產品的準則是：用戶有明確的需求；能用最短的開發時間投放市場；功能與性能恰到好處；集中優勢。</w:t>
      </w:r>
    </w:p>
    <w:p w:rsidR="00DC4ACB" w:rsidRDefault="0074142A" w:rsidP="00965AF0">
      <w:pPr>
        <w:spacing w:beforeLines="50" w:before="120" w:afterLines="50" w:after="120" w:line="360" w:lineRule="auto"/>
        <w:ind w:leftChars="200" w:left="480" w:firstLineChars="200" w:firstLine="520"/>
        <w:jc w:val="both"/>
        <w:rPr>
          <w:rFonts w:eastAsia="標楷體"/>
          <w:color w:val="0070C0"/>
          <w:sz w:val="26"/>
          <w:szCs w:val="26"/>
        </w:rPr>
      </w:pPr>
      <w:r w:rsidRPr="002C1D3B">
        <w:rPr>
          <w:rFonts w:eastAsia="標楷體" w:hint="eastAsia"/>
          <w:sz w:val="26"/>
          <w:szCs w:val="26"/>
        </w:rPr>
        <w:t>注重專業化生產：目前多以</w:t>
      </w:r>
      <w:r w:rsidRPr="002C1D3B">
        <w:rPr>
          <w:rFonts w:eastAsia="標楷體" w:hint="eastAsia"/>
          <w:sz w:val="26"/>
          <w:szCs w:val="26"/>
        </w:rPr>
        <w:t>GP-IB</w:t>
      </w:r>
      <w:r w:rsidRPr="002C1D3B">
        <w:rPr>
          <w:rFonts w:eastAsia="標楷體" w:hint="eastAsia"/>
          <w:sz w:val="26"/>
          <w:szCs w:val="26"/>
        </w:rPr>
        <w:t>儀器組件自動測試系統，生產線上一個個大的測試櫃，快速的進行自動測試、分析、列印出結果。</w:t>
      </w:r>
    </w:p>
    <w:p w:rsidR="00DC4ACB" w:rsidRDefault="00AA0DD0" w:rsidP="00965AF0">
      <w:pPr>
        <w:pStyle w:val="3"/>
        <w:numPr>
          <w:ilvl w:val="0"/>
          <w:numId w:val="10"/>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int="eastAsia"/>
          <w:sz w:val="32"/>
        </w:rPr>
        <w:t>市場</w:t>
      </w:r>
      <w:r w:rsidR="00FE04FB" w:rsidRPr="00EA272E">
        <w:rPr>
          <w:rFonts w:ascii="Times New Roman" w:eastAsia="標楷體" w:hint="eastAsia"/>
          <w:sz w:val="32"/>
        </w:rPr>
        <w:t>概況</w:t>
      </w:r>
      <w:r w:rsidR="00973901">
        <w:rPr>
          <w:rStyle w:val="af1"/>
          <w:rFonts w:ascii="Times New Roman" w:eastAsia="標楷體"/>
          <w:sz w:val="32"/>
        </w:rPr>
        <w:footnoteReference w:id="2"/>
      </w:r>
    </w:p>
    <w:p w:rsidR="00DC4ACB" w:rsidRPr="00DC4ACB" w:rsidRDefault="00DC4ACB" w:rsidP="00965AF0">
      <w:pPr>
        <w:spacing w:beforeLines="50" w:before="120" w:afterLines="50" w:after="120" w:line="360" w:lineRule="auto"/>
        <w:ind w:leftChars="200" w:left="480" w:firstLineChars="200" w:firstLine="520"/>
        <w:jc w:val="both"/>
        <w:rPr>
          <w:rFonts w:eastAsia="標楷體"/>
          <w:color w:val="000000" w:themeColor="text1"/>
          <w:sz w:val="26"/>
          <w:szCs w:val="26"/>
        </w:rPr>
      </w:pPr>
      <w:r w:rsidRPr="00DC4ACB">
        <w:rPr>
          <w:rFonts w:eastAsia="標楷體" w:hint="eastAsia"/>
          <w:color w:val="000000" w:themeColor="text1"/>
          <w:sz w:val="26"/>
          <w:szCs w:val="26"/>
        </w:rPr>
        <w:t>經濟型網路分析儀銷售表現將一路長紅。</w:t>
      </w:r>
      <w:r w:rsidRPr="00DC4ACB">
        <w:rPr>
          <w:rFonts w:eastAsia="標楷體"/>
          <w:color w:val="000000" w:themeColor="text1"/>
          <w:sz w:val="26"/>
          <w:szCs w:val="26"/>
        </w:rPr>
        <w:t>4G</w:t>
      </w:r>
      <w:r w:rsidRPr="00DC4ACB">
        <w:rPr>
          <w:rFonts w:eastAsia="標楷體" w:hint="eastAsia"/>
          <w:color w:val="000000" w:themeColor="text1"/>
          <w:sz w:val="26"/>
          <w:szCs w:val="26"/>
        </w:rPr>
        <w:t>和物聯網設計熱潮興起，已刺激龐大的射頻</w:t>
      </w:r>
      <w:r w:rsidRPr="00DC4ACB">
        <w:rPr>
          <w:rFonts w:eastAsia="標楷體"/>
          <w:color w:val="000000" w:themeColor="text1"/>
          <w:sz w:val="26"/>
          <w:szCs w:val="26"/>
        </w:rPr>
        <w:t>(RF)</w:t>
      </w:r>
      <w:r w:rsidRPr="00DC4ACB">
        <w:rPr>
          <w:rFonts w:eastAsia="標楷體" w:hint="eastAsia"/>
          <w:color w:val="000000" w:themeColor="text1"/>
          <w:sz w:val="26"/>
          <w:szCs w:val="26"/>
        </w:rPr>
        <w:t>天線、感測器和被動元件量測需求，可望引發分析儀採購潮；因此，主要儀器供應商也紛紛擴展產品陣容，並將祭出模組化設計策略，從而壓低整機價位、體積，並增進測試通道配置靈活度，以經濟型機種持續帶動買氣。</w:t>
      </w:r>
    </w:p>
    <w:p w:rsidR="00DC4ACB" w:rsidRPr="00DC4ACB" w:rsidRDefault="00DC4ACB" w:rsidP="00965AF0">
      <w:pPr>
        <w:spacing w:beforeLines="50" w:before="120" w:afterLines="50" w:after="120" w:line="360" w:lineRule="auto"/>
        <w:ind w:leftChars="200" w:left="480" w:firstLineChars="200" w:firstLine="520"/>
        <w:jc w:val="both"/>
        <w:rPr>
          <w:rFonts w:eastAsia="標楷體"/>
          <w:color w:val="000000" w:themeColor="text1"/>
          <w:sz w:val="26"/>
          <w:szCs w:val="26"/>
        </w:rPr>
      </w:pPr>
      <w:r w:rsidRPr="00DC4ACB">
        <w:rPr>
          <w:rFonts w:eastAsia="標楷體" w:hint="eastAsia"/>
          <w:color w:val="000000" w:themeColor="text1"/>
          <w:sz w:val="26"/>
          <w:szCs w:val="26"/>
        </w:rPr>
        <w:t>目前</w:t>
      </w:r>
      <w:r w:rsidRPr="00DC4ACB">
        <w:rPr>
          <w:rFonts w:eastAsia="標楷體"/>
          <w:color w:val="000000" w:themeColor="text1"/>
          <w:sz w:val="26"/>
          <w:szCs w:val="26"/>
        </w:rPr>
        <w:t>4G</w:t>
      </w:r>
      <w:r w:rsidRPr="00DC4ACB">
        <w:rPr>
          <w:rFonts w:eastAsia="標楷體" w:hint="eastAsia"/>
          <w:color w:val="000000" w:themeColor="text1"/>
          <w:sz w:val="26"/>
          <w:szCs w:val="26"/>
        </w:rPr>
        <w:t>長程演進計畫</w:t>
      </w:r>
      <w:r w:rsidRPr="00DC4ACB">
        <w:rPr>
          <w:rFonts w:eastAsia="標楷體"/>
          <w:color w:val="000000" w:themeColor="text1"/>
          <w:sz w:val="26"/>
          <w:szCs w:val="26"/>
        </w:rPr>
        <w:t>(LTE)</w:t>
      </w:r>
      <w:r w:rsidRPr="00DC4ACB">
        <w:rPr>
          <w:rFonts w:eastAsia="標楷體" w:hint="eastAsia"/>
          <w:color w:val="000000" w:themeColor="text1"/>
          <w:sz w:val="26"/>
          <w:szCs w:val="26"/>
        </w:rPr>
        <w:t>智慧手機，以及穿戴式電子、智慧家電和聯網汽車等物聯網裝置風潮正席捲整個電子科技產業，不僅引來諸多系統和晶片設計商機，亦驅動研發端和產線端業者添購示波器、向量網路分析儀</w:t>
      </w:r>
      <w:r w:rsidRPr="00DC4ACB">
        <w:rPr>
          <w:rFonts w:eastAsia="標楷體"/>
          <w:color w:val="000000" w:themeColor="text1"/>
          <w:sz w:val="26"/>
          <w:szCs w:val="26"/>
        </w:rPr>
        <w:t>(VNA)</w:t>
      </w:r>
      <w:r w:rsidRPr="00DC4ACB">
        <w:rPr>
          <w:rFonts w:eastAsia="標楷體" w:hint="eastAsia"/>
          <w:color w:val="000000" w:themeColor="text1"/>
          <w:sz w:val="26"/>
          <w:szCs w:val="26"/>
        </w:rPr>
        <w:t>等基礎測試儀器，可望為基礎儀器供應商注入新的營收成長動能。</w:t>
      </w:r>
    </w:p>
    <w:p w:rsidR="00DC4ACB" w:rsidRPr="00DC4ACB" w:rsidRDefault="00DC4ACB" w:rsidP="00965AF0">
      <w:pPr>
        <w:spacing w:beforeLines="50" w:before="120" w:afterLines="50" w:after="120" w:line="360" w:lineRule="auto"/>
        <w:ind w:leftChars="200" w:left="480" w:firstLineChars="200" w:firstLine="520"/>
        <w:jc w:val="both"/>
        <w:rPr>
          <w:rFonts w:eastAsia="標楷體"/>
          <w:color w:val="000000" w:themeColor="text1"/>
          <w:sz w:val="26"/>
          <w:szCs w:val="26"/>
        </w:rPr>
      </w:pPr>
      <w:r w:rsidRPr="00DC4ACB">
        <w:rPr>
          <w:rFonts w:eastAsia="標楷體" w:hint="eastAsia"/>
          <w:color w:val="000000" w:themeColor="text1"/>
          <w:sz w:val="26"/>
          <w:szCs w:val="26"/>
        </w:rPr>
        <w:lastRenderedPageBreak/>
        <w:t>尤其</w:t>
      </w:r>
      <w:r w:rsidRPr="00DC4ACB">
        <w:rPr>
          <w:rFonts w:eastAsia="標楷體"/>
          <w:color w:val="000000" w:themeColor="text1"/>
          <w:sz w:val="26"/>
          <w:szCs w:val="26"/>
        </w:rPr>
        <w:t>4G</w:t>
      </w:r>
      <w:r w:rsidRPr="00DC4ACB">
        <w:rPr>
          <w:rFonts w:eastAsia="標楷體" w:hint="eastAsia"/>
          <w:color w:val="000000" w:themeColor="text1"/>
          <w:sz w:val="26"/>
          <w:szCs w:val="26"/>
        </w:rPr>
        <w:t>手機逐漸升級至多重輸入多重輸出</w:t>
      </w:r>
      <w:r w:rsidRPr="00DC4ACB">
        <w:rPr>
          <w:rFonts w:eastAsia="標楷體"/>
          <w:color w:val="000000" w:themeColor="text1"/>
          <w:sz w:val="26"/>
          <w:szCs w:val="26"/>
        </w:rPr>
        <w:t>(MIMO)</w:t>
      </w:r>
      <w:r w:rsidRPr="00DC4ACB">
        <w:rPr>
          <w:rFonts w:eastAsia="標楷體" w:hint="eastAsia"/>
          <w:color w:val="000000" w:themeColor="text1"/>
          <w:sz w:val="26"/>
          <w:szCs w:val="26"/>
        </w:rPr>
        <w:t>規格，而物聯網裝置也須支援藍牙</w:t>
      </w:r>
      <w:r w:rsidRPr="00DC4ACB">
        <w:rPr>
          <w:rFonts w:eastAsia="標楷體"/>
          <w:color w:val="000000" w:themeColor="text1"/>
          <w:sz w:val="26"/>
          <w:szCs w:val="26"/>
        </w:rPr>
        <w:t>(Bluetooth)</w:t>
      </w:r>
      <w:r w:rsidRPr="00DC4ACB">
        <w:rPr>
          <w:rFonts w:eastAsia="標楷體" w:hint="eastAsia"/>
          <w:color w:val="000000" w:themeColor="text1"/>
          <w:sz w:val="26"/>
          <w:szCs w:val="26"/>
        </w:rPr>
        <w:t>等多元通訊方案，因此工程師透過</w:t>
      </w:r>
      <w:r w:rsidRPr="00DC4ACB">
        <w:rPr>
          <w:rFonts w:eastAsia="標楷體"/>
          <w:color w:val="000000" w:themeColor="text1"/>
          <w:sz w:val="26"/>
          <w:szCs w:val="26"/>
        </w:rPr>
        <w:t>VNA</w:t>
      </w:r>
      <w:r w:rsidRPr="00DC4ACB">
        <w:rPr>
          <w:rFonts w:eastAsia="標楷體" w:hint="eastAsia"/>
          <w:color w:val="000000" w:themeColor="text1"/>
          <w:sz w:val="26"/>
          <w:szCs w:val="26"/>
        </w:rPr>
        <w:t>量測系統天線、被動元件的散射</w:t>
      </w:r>
      <w:r w:rsidRPr="00DC4ACB">
        <w:rPr>
          <w:rFonts w:eastAsia="標楷體"/>
          <w:color w:val="000000" w:themeColor="text1"/>
          <w:sz w:val="26"/>
          <w:szCs w:val="26"/>
        </w:rPr>
        <w:t>(Scattering)</w:t>
      </w:r>
      <w:r w:rsidRPr="00DC4ACB">
        <w:rPr>
          <w:rFonts w:eastAsia="標楷體" w:hint="eastAsia"/>
          <w:color w:val="000000" w:themeColor="text1"/>
          <w:sz w:val="26"/>
          <w:szCs w:val="26"/>
        </w:rPr>
        <w:t>及其他參數的需求也與日俱增，從而掌握元件特性及其訊號衰減、相位關係。不過，一般</w:t>
      </w:r>
      <w:r w:rsidRPr="00DC4ACB">
        <w:rPr>
          <w:rFonts w:eastAsia="標楷體"/>
          <w:color w:val="000000" w:themeColor="text1"/>
          <w:sz w:val="26"/>
          <w:szCs w:val="26"/>
        </w:rPr>
        <w:t>VNA</w:t>
      </w:r>
      <w:r w:rsidRPr="00DC4ACB">
        <w:rPr>
          <w:rFonts w:eastAsia="標楷體" w:hint="eastAsia"/>
          <w:color w:val="000000" w:themeColor="text1"/>
          <w:sz w:val="26"/>
          <w:szCs w:val="26"/>
        </w:rPr>
        <w:t>動輒新台幣上百萬、體積重且龐大，對實驗室和產線端來說皆是沉重負擔，因此業界正興起模組化設計概念，期打造經濟型</w:t>
      </w:r>
      <w:r w:rsidRPr="00DC4ACB">
        <w:rPr>
          <w:rFonts w:eastAsia="標楷體"/>
          <w:color w:val="000000" w:themeColor="text1"/>
          <w:sz w:val="26"/>
          <w:szCs w:val="26"/>
        </w:rPr>
        <w:t>VNA</w:t>
      </w:r>
      <w:r w:rsidRPr="00DC4ACB">
        <w:rPr>
          <w:rFonts w:eastAsia="標楷體" w:hint="eastAsia"/>
          <w:color w:val="000000" w:themeColor="text1"/>
          <w:sz w:val="26"/>
          <w:szCs w:val="26"/>
        </w:rPr>
        <w:t>。</w:t>
      </w:r>
    </w:p>
    <w:p w:rsidR="00DC4ACB" w:rsidRPr="00DC4ACB" w:rsidRDefault="00DC4ACB" w:rsidP="00965AF0">
      <w:pPr>
        <w:spacing w:beforeLines="50" w:before="120" w:afterLines="50" w:after="120" w:line="360" w:lineRule="auto"/>
        <w:ind w:leftChars="200" w:left="480" w:firstLineChars="200" w:firstLine="520"/>
        <w:jc w:val="both"/>
        <w:rPr>
          <w:rFonts w:eastAsia="標楷體"/>
          <w:color w:val="000000" w:themeColor="text1"/>
          <w:sz w:val="26"/>
          <w:szCs w:val="26"/>
        </w:rPr>
      </w:pPr>
      <w:r w:rsidRPr="00DC4ACB">
        <w:rPr>
          <w:rFonts w:eastAsia="標楷體" w:hint="eastAsia"/>
          <w:color w:val="000000" w:themeColor="text1"/>
          <w:sz w:val="26"/>
          <w:szCs w:val="26"/>
        </w:rPr>
        <w:t>傳統</w:t>
      </w:r>
      <w:r w:rsidRPr="00DC4ACB">
        <w:rPr>
          <w:rFonts w:eastAsia="標楷體"/>
          <w:color w:val="000000" w:themeColor="text1"/>
          <w:sz w:val="26"/>
          <w:szCs w:val="26"/>
        </w:rPr>
        <w:t>VNA</w:t>
      </w:r>
      <w:r w:rsidRPr="00DC4ACB">
        <w:rPr>
          <w:rFonts w:eastAsia="標楷體" w:hint="eastAsia"/>
          <w:color w:val="000000" w:themeColor="text1"/>
          <w:sz w:val="26"/>
          <w:szCs w:val="26"/>
        </w:rPr>
        <w:t>中，關鍵的採樣器係由步階復原式二極體</w:t>
      </w:r>
      <w:r w:rsidRPr="00DC4ACB">
        <w:rPr>
          <w:rFonts w:eastAsia="標楷體"/>
          <w:color w:val="000000" w:themeColor="text1"/>
          <w:sz w:val="26"/>
          <w:szCs w:val="26"/>
        </w:rPr>
        <w:t>(SRD)</w:t>
      </w:r>
      <w:r w:rsidRPr="00DC4ACB">
        <w:rPr>
          <w:rFonts w:eastAsia="標楷體" w:hint="eastAsia"/>
          <w:color w:val="000000" w:themeColor="text1"/>
          <w:sz w:val="26"/>
          <w:szCs w:val="26"/>
        </w:rPr>
        <w:t>電路生成的脈衝波進行訊號擷取，再比對標準參考訊號源，由於採線性設計，架構較複雜，故難以縮減成本和體積。故非線性傳輸線</w:t>
      </w:r>
      <w:r w:rsidRPr="00DC4ACB">
        <w:rPr>
          <w:rFonts w:eastAsia="標楷體"/>
          <w:color w:val="000000" w:themeColor="text1"/>
          <w:sz w:val="26"/>
          <w:szCs w:val="26"/>
        </w:rPr>
        <w:t>(NLTL)</w:t>
      </w:r>
      <w:r w:rsidRPr="00DC4ACB">
        <w:rPr>
          <w:rFonts w:eastAsia="標楷體" w:hint="eastAsia"/>
          <w:color w:val="000000" w:themeColor="text1"/>
          <w:sz w:val="26"/>
          <w:szCs w:val="26"/>
        </w:rPr>
        <w:t>架構的採樣器，並將</w:t>
      </w:r>
      <w:r w:rsidRPr="00DC4ACB">
        <w:rPr>
          <w:rFonts w:eastAsia="標楷體"/>
          <w:color w:val="000000" w:themeColor="text1"/>
          <w:sz w:val="26"/>
          <w:szCs w:val="26"/>
        </w:rPr>
        <w:t>VNA</w:t>
      </w:r>
      <w:r w:rsidRPr="00DC4ACB">
        <w:rPr>
          <w:rFonts w:eastAsia="標楷體" w:hint="eastAsia"/>
          <w:color w:val="000000" w:themeColor="text1"/>
          <w:sz w:val="26"/>
          <w:szCs w:val="26"/>
        </w:rPr>
        <w:t>功能模組化，以大幅簡化系統設計和成本；相較於同級產品，新款模組化經濟型</w:t>
      </w:r>
      <w:r w:rsidRPr="00DC4ACB">
        <w:rPr>
          <w:rFonts w:eastAsia="標楷體"/>
          <w:color w:val="000000" w:themeColor="text1"/>
          <w:sz w:val="26"/>
          <w:szCs w:val="26"/>
        </w:rPr>
        <w:t>VNA</w:t>
      </w:r>
      <w:r w:rsidRPr="00DC4ACB">
        <w:rPr>
          <w:rFonts w:eastAsia="標楷體" w:hint="eastAsia"/>
          <w:color w:val="000000" w:themeColor="text1"/>
          <w:sz w:val="26"/>
          <w:szCs w:val="26"/>
        </w:rPr>
        <w:t>的價位及體積分別降低約</w:t>
      </w:r>
      <w:r w:rsidRPr="00DC4ACB">
        <w:rPr>
          <w:rFonts w:eastAsia="標楷體"/>
          <w:color w:val="000000" w:themeColor="text1"/>
          <w:sz w:val="26"/>
          <w:szCs w:val="26"/>
        </w:rPr>
        <w:t>50%</w:t>
      </w:r>
      <w:r w:rsidRPr="00DC4ACB">
        <w:rPr>
          <w:rFonts w:eastAsia="標楷體" w:hint="eastAsia"/>
          <w:color w:val="000000" w:themeColor="text1"/>
          <w:sz w:val="26"/>
          <w:szCs w:val="26"/>
        </w:rPr>
        <w:t>、</w:t>
      </w:r>
      <w:r w:rsidRPr="00DC4ACB">
        <w:rPr>
          <w:rFonts w:eastAsia="標楷體"/>
          <w:color w:val="000000" w:themeColor="text1"/>
          <w:sz w:val="26"/>
          <w:szCs w:val="26"/>
        </w:rPr>
        <w:t>30%</w:t>
      </w:r>
      <w:r w:rsidRPr="00DC4ACB">
        <w:rPr>
          <w:rFonts w:eastAsia="標楷體" w:hint="eastAsia"/>
          <w:color w:val="000000" w:themeColor="text1"/>
          <w:sz w:val="26"/>
          <w:szCs w:val="26"/>
        </w:rPr>
        <w:t>，可滿足市場兼顧測試效率、彈性和成本的要求。</w:t>
      </w:r>
    </w:p>
    <w:p w:rsidR="00DC4ACB" w:rsidRPr="00DC4ACB" w:rsidRDefault="00DC4ACB" w:rsidP="00965AF0">
      <w:pPr>
        <w:spacing w:beforeLines="50" w:before="120" w:afterLines="50" w:after="120" w:line="360" w:lineRule="auto"/>
        <w:ind w:leftChars="200" w:left="480" w:firstLineChars="200" w:firstLine="520"/>
        <w:jc w:val="both"/>
        <w:rPr>
          <w:rFonts w:eastAsia="標楷體"/>
          <w:color w:val="000000" w:themeColor="text1"/>
          <w:sz w:val="26"/>
          <w:szCs w:val="26"/>
        </w:rPr>
      </w:pPr>
      <w:r w:rsidRPr="00DC4ACB">
        <w:rPr>
          <w:rFonts w:eastAsia="標楷體" w:hint="eastAsia"/>
          <w:color w:val="000000" w:themeColor="text1"/>
          <w:sz w:val="26"/>
          <w:szCs w:val="26"/>
        </w:rPr>
        <w:t>隨著</w:t>
      </w:r>
      <w:r w:rsidRPr="00DC4ACB">
        <w:rPr>
          <w:rFonts w:eastAsia="標楷體"/>
          <w:color w:val="000000" w:themeColor="text1"/>
          <w:sz w:val="26"/>
          <w:szCs w:val="26"/>
        </w:rPr>
        <w:t>4G</w:t>
      </w:r>
      <w:r w:rsidRPr="00DC4ACB">
        <w:rPr>
          <w:rFonts w:eastAsia="標楷體" w:hint="eastAsia"/>
          <w:color w:val="000000" w:themeColor="text1"/>
          <w:sz w:val="26"/>
          <w:szCs w:val="26"/>
        </w:rPr>
        <w:t>、物聯網裝置上市時程和成本壓力遽增，原始設備製造</w:t>
      </w:r>
      <w:r w:rsidRPr="00DC4ACB">
        <w:rPr>
          <w:rFonts w:eastAsia="標楷體"/>
          <w:color w:val="000000" w:themeColor="text1"/>
          <w:sz w:val="26"/>
          <w:szCs w:val="26"/>
        </w:rPr>
        <w:t>(OEM)</w:t>
      </w:r>
      <w:r w:rsidRPr="00DC4ACB">
        <w:rPr>
          <w:rFonts w:eastAsia="標楷體" w:hint="eastAsia"/>
          <w:color w:val="000000" w:themeColor="text1"/>
          <w:sz w:val="26"/>
          <w:szCs w:val="26"/>
        </w:rPr>
        <w:t>廠對基礎儀器採購價格也更加敏感，並日益苛求功能配置彈性，以提高研發及產線測試工作站的效率。</w:t>
      </w:r>
    </w:p>
    <w:p w:rsidR="00DC4ACB" w:rsidRPr="00DC4ACB" w:rsidRDefault="00DC4ACB" w:rsidP="00965AF0">
      <w:pPr>
        <w:spacing w:beforeLines="50" w:before="120" w:afterLines="50" w:after="120" w:line="360" w:lineRule="auto"/>
        <w:ind w:leftChars="200" w:left="480" w:firstLineChars="200" w:firstLine="520"/>
        <w:jc w:val="both"/>
        <w:rPr>
          <w:rFonts w:eastAsia="標楷體"/>
          <w:color w:val="000000" w:themeColor="text1"/>
          <w:sz w:val="26"/>
          <w:szCs w:val="26"/>
        </w:rPr>
      </w:pPr>
      <w:r w:rsidRPr="00DC4ACB">
        <w:rPr>
          <w:rFonts w:eastAsia="標楷體" w:hint="eastAsia"/>
          <w:color w:val="000000" w:themeColor="text1"/>
          <w:sz w:val="26"/>
          <w:szCs w:val="26"/>
        </w:rPr>
        <w:t>事實上，近來手機和物聯網設備開發商頻頻擴產，對各類基礎儀器的導入需求皆有所提升，此外，部分先進國家也已經開始進入</w:t>
      </w:r>
      <w:r w:rsidRPr="00DC4ACB">
        <w:rPr>
          <w:rFonts w:eastAsia="標楷體"/>
          <w:color w:val="000000" w:themeColor="text1"/>
          <w:sz w:val="26"/>
          <w:szCs w:val="26"/>
        </w:rPr>
        <w:t>5G</w:t>
      </w:r>
      <w:r w:rsidRPr="00DC4ACB">
        <w:rPr>
          <w:rFonts w:eastAsia="標楷體" w:hint="eastAsia"/>
          <w:color w:val="000000" w:themeColor="text1"/>
          <w:sz w:val="26"/>
          <w:szCs w:val="26"/>
        </w:rPr>
        <w:t>網路的規劃，對電信與設備業者來說，測試設備供應商面對的不僅是最先進技術前沿的通訊技術驗證需求，同時，對於新的電信設備、行動裝置在開發階段，檢測設備的高精準度與因應複雜測試分析的能力，也會影響到產品開發的進程，而新一代的</w:t>
      </w:r>
      <w:r w:rsidRPr="00DC4ACB">
        <w:rPr>
          <w:rFonts w:eastAsia="標楷體"/>
          <w:color w:val="000000" w:themeColor="text1"/>
          <w:sz w:val="26"/>
          <w:szCs w:val="26"/>
        </w:rPr>
        <w:t>Massive MIMO</w:t>
      </w:r>
      <w:r w:rsidRPr="00DC4ACB">
        <w:rPr>
          <w:rFonts w:eastAsia="標楷體" w:hint="eastAsia"/>
          <w:color w:val="000000" w:themeColor="text1"/>
          <w:sz w:val="26"/>
          <w:szCs w:val="26"/>
        </w:rPr>
        <w:t>、</w:t>
      </w:r>
      <w:r w:rsidRPr="00DC4ACB">
        <w:rPr>
          <w:rFonts w:eastAsia="標楷體"/>
          <w:color w:val="000000" w:themeColor="text1"/>
          <w:sz w:val="26"/>
          <w:szCs w:val="26"/>
        </w:rPr>
        <w:t>LSAS</w:t>
      </w:r>
      <w:r w:rsidRPr="00DC4ACB">
        <w:rPr>
          <w:rFonts w:eastAsia="標楷體" w:hint="eastAsia"/>
          <w:color w:val="000000" w:themeColor="text1"/>
          <w:sz w:val="26"/>
          <w:szCs w:val="26"/>
        </w:rPr>
        <w:t>與</w:t>
      </w:r>
      <w:r w:rsidRPr="00DC4ACB">
        <w:rPr>
          <w:rFonts w:eastAsia="標楷體"/>
          <w:color w:val="000000" w:themeColor="text1"/>
          <w:sz w:val="26"/>
          <w:szCs w:val="26"/>
        </w:rPr>
        <w:t>mmWave</w:t>
      </w:r>
      <w:r w:rsidRPr="00DC4ACB">
        <w:rPr>
          <w:rFonts w:eastAsia="標楷體" w:hint="eastAsia"/>
          <w:color w:val="000000" w:themeColor="text1"/>
          <w:sz w:val="26"/>
          <w:szCs w:val="26"/>
        </w:rPr>
        <w:t>分析驗證，其複雜度甚高於</w:t>
      </w:r>
      <w:r w:rsidRPr="00DC4ACB">
        <w:rPr>
          <w:rFonts w:eastAsia="標楷體"/>
          <w:color w:val="000000" w:themeColor="text1"/>
          <w:sz w:val="26"/>
          <w:szCs w:val="26"/>
        </w:rPr>
        <w:t>4G</w:t>
      </w:r>
      <w:r w:rsidRPr="00DC4ACB">
        <w:rPr>
          <w:rFonts w:eastAsia="標楷體" w:hint="eastAsia"/>
          <w:color w:val="000000" w:themeColor="text1"/>
          <w:sz w:val="26"/>
          <w:szCs w:val="26"/>
        </w:rPr>
        <w:t>技術的驗證需求，測試儀表業者也必須開發可符合量產批量測試需求的驗證方案，不僅在開發端滿足測試、檢證實驗數據的儀表要求，在生產端也要能滿足大量生產通訊設備所需的批</w:t>
      </w:r>
      <w:r w:rsidRPr="00DC4ACB">
        <w:rPr>
          <w:rFonts w:eastAsia="標楷體" w:hint="eastAsia"/>
          <w:color w:val="000000" w:themeColor="text1"/>
          <w:sz w:val="26"/>
          <w:szCs w:val="26"/>
        </w:rPr>
        <w:lastRenderedPageBreak/>
        <w:t>量快速驗證需求，技術難度更高</w:t>
      </w:r>
      <w:r w:rsidR="00AA03FA">
        <w:rPr>
          <w:rFonts w:eastAsia="標楷體" w:hint="eastAsia"/>
          <w:color w:val="000000" w:themeColor="text1"/>
          <w:sz w:val="26"/>
          <w:szCs w:val="26"/>
        </w:rPr>
        <w:t>，</w:t>
      </w:r>
      <w:r w:rsidRPr="00DC4ACB">
        <w:rPr>
          <w:rFonts w:eastAsia="標楷體" w:hint="eastAsia"/>
          <w:color w:val="000000" w:themeColor="text1"/>
          <w:sz w:val="26"/>
          <w:szCs w:val="26"/>
        </w:rPr>
        <w:t>因此，為求覆蓋率的提升及新通訊技術在實踐上的穩定性，通訊測試儀器的需求仍是持續增加的。</w:t>
      </w:r>
    </w:p>
    <w:p w:rsidR="00DC4ACB" w:rsidRPr="00DC4ACB" w:rsidRDefault="00DC4ACB" w:rsidP="00965AF0">
      <w:pPr>
        <w:spacing w:beforeLines="50" w:before="120" w:afterLines="50" w:after="120" w:line="360" w:lineRule="auto"/>
        <w:ind w:leftChars="200" w:left="480" w:firstLineChars="200" w:firstLine="520"/>
        <w:jc w:val="both"/>
        <w:rPr>
          <w:rFonts w:eastAsia="標楷體"/>
          <w:color w:val="000000" w:themeColor="text1"/>
          <w:sz w:val="26"/>
          <w:szCs w:val="26"/>
        </w:rPr>
      </w:pPr>
      <w:r w:rsidRPr="00DC4ACB">
        <w:rPr>
          <w:rFonts w:eastAsia="標楷體" w:hint="eastAsia"/>
          <w:color w:val="000000" w:themeColor="text1"/>
          <w:sz w:val="26"/>
          <w:szCs w:val="26"/>
        </w:rPr>
        <w:t>從供給面來看，由於各間廠商競爭激烈，也都面臨較大的競爭壓力。無線通訊量測設備供應商發展至今形成六強競爭局面</w:t>
      </w:r>
      <w:r w:rsidRPr="00DC4ACB">
        <w:rPr>
          <w:rFonts w:eastAsia="標楷體"/>
          <w:color w:val="000000" w:themeColor="text1"/>
          <w:sz w:val="26"/>
          <w:szCs w:val="26"/>
        </w:rPr>
        <w:t>: Agilent(</w:t>
      </w:r>
      <w:r w:rsidRPr="00DC4ACB">
        <w:rPr>
          <w:rFonts w:eastAsia="標楷體" w:hint="eastAsia"/>
          <w:color w:val="000000" w:themeColor="text1"/>
          <w:sz w:val="26"/>
          <w:szCs w:val="26"/>
        </w:rPr>
        <w:t>安捷倫</w:t>
      </w:r>
      <w:r w:rsidRPr="00DC4ACB">
        <w:rPr>
          <w:rFonts w:eastAsia="標楷體"/>
          <w:color w:val="000000" w:themeColor="text1"/>
          <w:sz w:val="26"/>
          <w:szCs w:val="26"/>
        </w:rPr>
        <w:t>)</w:t>
      </w:r>
      <w:r w:rsidRPr="00DC4ACB">
        <w:rPr>
          <w:rFonts w:eastAsia="標楷體" w:hint="eastAsia"/>
          <w:color w:val="000000" w:themeColor="text1"/>
          <w:sz w:val="26"/>
          <w:szCs w:val="26"/>
        </w:rPr>
        <w:t>、</w:t>
      </w:r>
      <w:r w:rsidRPr="00DC4ACB">
        <w:rPr>
          <w:rFonts w:eastAsia="標楷體"/>
          <w:color w:val="000000" w:themeColor="text1"/>
          <w:sz w:val="26"/>
          <w:szCs w:val="26"/>
        </w:rPr>
        <w:t xml:space="preserve"> Tektronix(</w:t>
      </w:r>
      <w:r w:rsidRPr="00DC4ACB">
        <w:rPr>
          <w:rFonts w:eastAsia="標楷體" w:hint="eastAsia"/>
          <w:color w:val="000000" w:themeColor="text1"/>
          <w:sz w:val="26"/>
          <w:szCs w:val="26"/>
        </w:rPr>
        <w:t>太克</w:t>
      </w:r>
      <w:r w:rsidRPr="00DC4ACB">
        <w:rPr>
          <w:rFonts w:eastAsia="標楷體"/>
          <w:color w:val="000000" w:themeColor="text1"/>
          <w:sz w:val="26"/>
          <w:szCs w:val="26"/>
        </w:rPr>
        <w:t>)</w:t>
      </w:r>
      <w:r w:rsidRPr="00DC4ACB">
        <w:rPr>
          <w:rFonts w:eastAsia="標楷體" w:hint="eastAsia"/>
          <w:color w:val="000000" w:themeColor="text1"/>
          <w:sz w:val="26"/>
          <w:szCs w:val="26"/>
        </w:rPr>
        <w:t>、</w:t>
      </w:r>
      <w:r w:rsidRPr="00DC4ACB">
        <w:rPr>
          <w:rFonts w:eastAsia="標楷體"/>
          <w:color w:val="000000" w:themeColor="text1"/>
          <w:sz w:val="26"/>
          <w:szCs w:val="26"/>
        </w:rPr>
        <w:t>R&amp;S(</w:t>
      </w:r>
      <w:r w:rsidRPr="00DC4ACB">
        <w:rPr>
          <w:rFonts w:eastAsia="標楷體" w:hint="eastAsia"/>
          <w:color w:val="000000" w:themeColor="text1"/>
          <w:sz w:val="26"/>
          <w:szCs w:val="26"/>
        </w:rPr>
        <w:t>羅德史瓦茲</w:t>
      </w:r>
      <w:r w:rsidRPr="00DC4ACB">
        <w:rPr>
          <w:rFonts w:eastAsia="標楷體"/>
          <w:color w:val="000000" w:themeColor="text1"/>
          <w:sz w:val="26"/>
          <w:szCs w:val="26"/>
        </w:rPr>
        <w:t>)</w:t>
      </w:r>
      <w:r w:rsidRPr="00DC4ACB">
        <w:rPr>
          <w:rFonts w:eastAsia="標楷體" w:hint="eastAsia"/>
          <w:color w:val="000000" w:themeColor="text1"/>
          <w:sz w:val="26"/>
          <w:szCs w:val="26"/>
        </w:rPr>
        <w:t>、</w:t>
      </w:r>
      <w:r w:rsidRPr="00DC4ACB">
        <w:rPr>
          <w:rFonts w:eastAsia="標楷體"/>
          <w:color w:val="000000" w:themeColor="text1"/>
          <w:sz w:val="26"/>
          <w:szCs w:val="26"/>
        </w:rPr>
        <w:t>Anitsu(</w:t>
      </w:r>
      <w:r w:rsidRPr="00DC4ACB">
        <w:rPr>
          <w:rFonts w:eastAsia="標楷體" w:hint="eastAsia"/>
          <w:color w:val="000000" w:themeColor="text1"/>
          <w:sz w:val="26"/>
          <w:szCs w:val="26"/>
        </w:rPr>
        <w:t>安立知</w:t>
      </w:r>
      <w:r w:rsidRPr="00DC4ACB">
        <w:rPr>
          <w:rFonts w:eastAsia="標楷體"/>
          <w:color w:val="000000" w:themeColor="text1"/>
          <w:sz w:val="26"/>
          <w:szCs w:val="26"/>
        </w:rPr>
        <w:t>)</w:t>
      </w:r>
      <w:r w:rsidRPr="00DC4ACB">
        <w:rPr>
          <w:rFonts w:eastAsia="標楷體" w:hint="eastAsia"/>
          <w:color w:val="000000" w:themeColor="text1"/>
          <w:sz w:val="26"/>
          <w:szCs w:val="26"/>
        </w:rPr>
        <w:t>、</w:t>
      </w:r>
      <w:r w:rsidRPr="00DC4ACB">
        <w:rPr>
          <w:rFonts w:eastAsia="標楷體"/>
          <w:color w:val="000000" w:themeColor="text1"/>
          <w:sz w:val="26"/>
          <w:szCs w:val="26"/>
        </w:rPr>
        <w:t xml:space="preserve"> Litepoint(</w:t>
      </w:r>
      <w:r w:rsidRPr="00DC4ACB">
        <w:rPr>
          <w:rFonts w:eastAsia="標楷體" w:hint="eastAsia"/>
          <w:color w:val="000000" w:themeColor="text1"/>
          <w:sz w:val="26"/>
          <w:szCs w:val="26"/>
        </w:rPr>
        <w:t>萊特菠特</w:t>
      </w:r>
      <w:r w:rsidRPr="00DC4ACB">
        <w:rPr>
          <w:rFonts w:eastAsia="標楷體"/>
          <w:color w:val="000000" w:themeColor="text1"/>
          <w:sz w:val="26"/>
          <w:szCs w:val="26"/>
        </w:rPr>
        <w:t>)</w:t>
      </w:r>
      <w:r w:rsidRPr="00DC4ACB">
        <w:rPr>
          <w:rFonts w:eastAsia="標楷體" w:hint="eastAsia"/>
          <w:color w:val="000000" w:themeColor="text1"/>
          <w:sz w:val="26"/>
          <w:szCs w:val="26"/>
        </w:rPr>
        <w:t>以及</w:t>
      </w:r>
      <w:r w:rsidRPr="00DC4ACB">
        <w:rPr>
          <w:rFonts w:eastAsia="標楷體"/>
          <w:color w:val="000000" w:themeColor="text1"/>
          <w:sz w:val="26"/>
          <w:szCs w:val="26"/>
        </w:rPr>
        <w:t>NI(</w:t>
      </w:r>
      <w:r w:rsidRPr="00DC4ACB">
        <w:rPr>
          <w:rFonts w:eastAsia="標楷體" w:hint="eastAsia"/>
          <w:color w:val="000000" w:themeColor="text1"/>
          <w:sz w:val="26"/>
          <w:szCs w:val="26"/>
        </w:rPr>
        <w:t>美商國家儀器</w:t>
      </w:r>
      <w:r w:rsidRPr="00DC4ACB">
        <w:rPr>
          <w:rFonts w:eastAsia="標楷體"/>
          <w:color w:val="000000" w:themeColor="text1"/>
          <w:sz w:val="26"/>
          <w:szCs w:val="26"/>
        </w:rPr>
        <w:t>)</w:t>
      </w:r>
      <w:r w:rsidRPr="00DC4ACB">
        <w:rPr>
          <w:rFonts w:eastAsia="標楷體" w:hint="eastAsia"/>
          <w:color w:val="000000" w:themeColor="text1"/>
          <w:sz w:val="26"/>
          <w:szCs w:val="26"/>
        </w:rPr>
        <w:t>等六家。</w:t>
      </w:r>
      <w:r w:rsidRPr="00DC4ACB">
        <w:rPr>
          <w:rFonts w:eastAsia="標楷體"/>
          <w:color w:val="000000" w:themeColor="text1"/>
          <w:sz w:val="26"/>
          <w:szCs w:val="26"/>
        </w:rPr>
        <w:t xml:space="preserve"> </w:t>
      </w:r>
    </w:p>
    <w:p w:rsidR="00DC4ACB" w:rsidRDefault="00DC4ACB" w:rsidP="00965AF0">
      <w:pPr>
        <w:spacing w:beforeLines="50" w:before="120" w:afterLines="50" w:after="120" w:line="360" w:lineRule="auto"/>
        <w:ind w:leftChars="200" w:left="480" w:firstLineChars="200" w:firstLine="520"/>
        <w:jc w:val="both"/>
        <w:rPr>
          <w:color w:val="FF0000"/>
        </w:rPr>
      </w:pPr>
      <w:r w:rsidRPr="00DC4ACB">
        <w:rPr>
          <w:rFonts w:eastAsia="標楷體" w:hint="eastAsia"/>
          <w:color w:val="000000" w:themeColor="text1"/>
          <w:sz w:val="26"/>
          <w:szCs w:val="26"/>
        </w:rPr>
        <w:t>整體而言，根據</w:t>
      </w:r>
      <w:hyperlink r:id="rId22" w:history="1">
        <w:r w:rsidRPr="00DC4ACB">
          <w:rPr>
            <w:rFonts w:eastAsia="標楷體"/>
            <w:color w:val="000000" w:themeColor="text1"/>
            <w:sz w:val="26"/>
            <w:szCs w:val="26"/>
          </w:rPr>
          <w:t>MarketsandMarkets</w:t>
        </w:r>
      </w:hyperlink>
      <w:r w:rsidRPr="00DC4ACB">
        <w:rPr>
          <w:rFonts w:eastAsia="標楷體" w:hint="eastAsia"/>
          <w:color w:val="000000" w:themeColor="text1"/>
          <w:sz w:val="26"/>
          <w:szCs w:val="26"/>
        </w:rPr>
        <w:t>的預估，通訊測試市場產值將從</w:t>
      </w:r>
      <w:r w:rsidRPr="00DC4ACB">
        <w:rPr>
          <w:rFonts w:eastAsia="標楷體"/>
          <w:color w:val="000000" w:themeColor="text1"/>
          <w:sz w:val="26"/>
          <w:szCs w:val="26"/>
        </w:rPr>
        <w:t>2015</w:t>
      </w:r>
      <w:r w:rsidRPr="00DC4ACB">
        <w:rPr>
          <w:rFonts w:eastAsia="標楷體" w:hint="eastAsia"/>
          <w:color w:val="000000" w:themeColor="text1"/>
          <w:sz w:val="26"/>
          <w:szCs w:val="26"/>
        </w:rPr>
        <w:t>年的</w:t>
      </w:r>
      <w:r w:rsidRPr="00DC4ACB">
        <w:rPr>
          <w:rFonts w:eastAsia="標楷體"/>
          <w:color w:val="000000" w:themeColor="text1"/>
          <w:sz w:val="26"/>
          <w:szCs w:val="26"/>
        </w:rPr>
        <w:t>42</w:t>
      </w:r>
      <w:r w:rsidRPr="00DC4ACB">
        <w:rPr>
          <w:rFonts w:eastAsia="標楷體" w:hint="eastAsia"/>
          <w:color w:val="000000" w:themeColor="text1"/>
          <w:sz w:val="26"/>
          <w:szCs w:val="26"/>
        </w:rPr>
        <w:t>億美元成長至</w:t>
      </w:r>
      <w:r w:rsidRPr="00DC4ACB">
        <w:rPr>
          <w:rFonts w:eastAsia="標楷體"/>
          <w:color w:val="000000" w:themeColor="text1"/>
          <w:sz w:val="26"/>
          <w:szCs w:val="26"/>
        </w:rPr>
        <w:t>2020</w:t>
      </w:r>
      <w:r w:rsidRPr="00DC4ACB">
        <w:rPr>
          <w:rFonts w:eastAsia="標楷體" w:hint="eastAsia"/>
          <w:color w:val="000000" w:themeColor="text1"/>
          <w:sz w:val="26"/>
          <w:szCs w:val="26"/>
        </w:rPr>
        <w:t>年的</w:t>
      </w:r>
      <w:r w:rsidRPr="00DC4ACB">
        <w:rPr>
          <w:rFonts w:eastAsia="標楷體"/>
          <w:color w:val="000000" w:themeColor="text1"/>
          <w:sz w:val="26"/>
          <w:szCs w:val="26"/>
        </w:rPr>
        <w:t>66</w:t>
      </w:r>
      <w:r w:rsidRPr="00DC4ACB">
        <w:rPr>
          <w:rFonts w:eastAsia="標楷體" w:hint="eastAsia"/>
          <w:color w:val="000000" w:themeColor="text1"/>
          <w:sz w:val="26"/>
          <w:szCs w:val="26"/>
        </w:rPr>
        <w:t>億美元，此段期間平均每年的複合成長率為</w:t>
      </w:r>
      <w:r w:rsidRPr="00DC4ACB">
        <w:rPr>
          <w:rFonts w:eastAsia="標楷體"/>
          <w:color w:val="000000" w:themeColor="text1"/>
          <w:sz w:val="26"/>
          <w:szCs w:val="26"/>
        </w:rPr>
        <w:t>9.3%</w:t>
      </w:r>
      <w:r w:rsidRPr="00DC4ACB">
        <w:rPr>
          <w:rFonts w:eastAsia="標楷體" w:hint="eastAsia"/>
          <w:color w:val="000000" w:themeColor="text1"/>
          <w:sz w:val="26"/>
          <w:szCs w:val="26"/>
        </w:rPr>
        <w:t>。</w:t>
      </w:r>
    </w:p>
    <w:p w:rsidR="00DC4ACB" w:rsidRDefault="005855DE" w:rsidP="00965AF0">
      <w:pPr>
        <w:pStyle w:val="3"/>
        <w:numPr>
          <w:ilvl w:val="0"/>
          <w:numId w:val="10"/>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int="eastAsia"/>
          <w:sz w:val="32"/>
        </w:rPr>
        <w:t>產業</w:t>
      </w:r>
      <w:r w:rsidR="00CD04A9" w:rsidRPr="00EA272E">
        <w:rPr>
          <w:rFonts w:ascii="Times New Roman" w:eastAsia="標楷體" w:hint="eastAsia"/>
          <w:sz w:val="32"/>
        </w:rPr>
        <w:t>發展趨勢</w:t>
      </w:r>
    </w:p>
    <w:p w:rsidR="00DC4ACB" w:rsidRDefault="00EF58B6" w:rsidP="00965AF0">
      <w:pPr>
        <w:spacing w:beforeLines="50" w:before="120" w:afterLines="50" w:after="120" w:line="360" w:lineRule="auto"/>
        <w:ind w:firstLineChars="200" w:firstLine="520"/>
        <w:jc w:val="both"/>
        <w:rPr>
          <w:rFonts w:eastAsia="標楷體"/>
          <w:bCs/>
          <w:kern w:val="0"/>
          <w:sz w:val="26"/>
          <w:szCs w:val="26"/>
        </w:rPr>
      </w:pPr>
      <w:r w:rsidRPr="00EF58B6">
        <w:rPr>
          <w:rFonts w:eastAsia="標楷體" w:hint="eastAsia"/>
          <w:bCs/>
          <w:kern w:val="0"/>
          <w:sz w:val="26"/>
          <w:szCs w:val="26"/>
        </w:rPr>
        <w:t>量測儀器之發展有下列之方向：</w:t>
      </w:r>
    </w:p>
    <w:p w:rsidR="00DC4ACB" w:rsidRDefault="006B145A" w:rsidP="00965AF0">
      <w:pPr>
        <w:numPr>
          <w:ilvl w:val="0"/>
          <w:numId w:val="54"/>
        </w:numPr>
        <w:tabs>
          <w:tab w:val="left" w:pos="480"/>
          <w:tab w:val="left" w:pos="720"/>
        </w:tabs>
        <w:spacing w:beforeLines="50" w:before="120" w:afterLines="50" w:after="120" w:line="360" w:lineRule="auto"/>
        <w:ind w:left="720" w:hanging="240"/>
        <w:jc w:val="both"/>
        <w:rPr>
          <w:rFonts w:eastAsia="標楷體"/>
          <w:b/>
          <w:sz w:val="28"/>
          <w:szCs w:val="26"/>
        </w:rPr>
      </w:pPr>
      <w:r w:rsidRPr="002C1D3B">
        <w:rPr>
          <w:rFonts w:eastAsia="標楷體" w:hint="eastAsia"/>
          <w:b/>
          <w:sz w:val="28"/>
          <w:szCs w:val="26"/>
        </w:rPr>
        <w:t>滿足未來測試，降低單位測試成本</w:t>
      </w:r>
    </w:p>
    <w:p w:rsidR="00DC4ACB" w:rsidRDefault="006B145A" w:rsidP="00965AF0">
      <w:pPr>
        <w:spacing w:beforeLines="50" w:before="120" w:afterLines="50" w:after="120" w:line="360" w:lineRule="auto"/>
        <w:ind w:leftChars="200" w:left="480" w:firstLineChars="200" w:firstLine="520"/>
        <w:jc w:val="both"/>
        <w:rPr>
          <w:rFonts w:eastAsia="標楷體"/>
          <w:sz w:val="26"/>
          <w:szCs w:val="26"/>
        </w:rPr>
      </w:pPr>
      <w:r w:rsidRPr="002C1D3B">
        <w:rPr>
          <w:rFonts w:eastAsia="標楷體" w:hint="eastAsia"/>
          <w:sz w:val="26"/>
          <w:szCs w:val="26"/>
        </w:rPr>
        <w:t>以半導體產品為例，測試成本約佔製造成本的</w:t>
      </w:r>
      <w:r w:rsidRPr="002C1D3B">
        <w:rPr>
          <w:rFonts w:eastAsia="標楷體" w:hint="eastAsia"/>
          <w:sz w:val="26"/>
          <w:szCs w:val="26"/>
        </w:rPr>
        <w:t>10%</w:t>
      </w:r>
      <w:r w:rsidRPr="002C1D3B">
        <w:rPr>
          <w:rFonts w:eastAsia="標楷體" w:hint="eastAsia"/>
          <w:sz w:val="26"/>
          <w:szCs w:val="26"/>
        </w:rPr>
        <w:t>，若能降低測試成本，則產品將更具市場優勢。</w:t>
      </w:r>
    </w:p>
    <w:p w:rsidR="00DC4ACB" w:rsidRDefault="006B145A" w:rsidP="00965AF0">
      <w:pPr>
        <w:numPr>
          <w:ilvl w:val="0"/>
          <w:numId w:val="54"/>
        </w:numPr>
        <w:tabs>
          <w:tab w:val="left" w:pos="480"/>
          <w:tab w:val="left" w:pos="720"/>
        </w:tabs>
        <w:spacing w:beforeLines="50" w:before="120" w:afterLines="50" w:after="120" w:line="360" w:lineRule="auto"/>
        <w:ind w:left="720" w:hanging="240"/>
        <w:jc w:val="both"/>
        <w:rPr>
          <w:rFonts w:eastAsia="標楷體"/>
          <w:b/>
          <w:sz w:val="28"/>
          <w:szCs w:val="26"/>
        </w:rPr>
      </w:pPr>
      <w:r w:rsidRPr="002C1D3B">
        <w:rPr>
          <w:rFonts w:eastAsia="標楷體" w:hint="eastAsia"/>
          <w:b/>
          <w:sz w:val="28"/>
          <w:szCs w:val="26"/>
        </w:rPr>
        <w:t>數位化</w:t>
      </w:r>
    </w:p>
    <w:p w:rsidR="00DC4ACB" w:rsidRDefault="006B145A" w:rsidP="00965AF0">
      <w:pPr>
        <w:spacing w:beforeLines="50" w:before="120" w:afterLines="50" w:after="120" w:line="360" w:lineRule="auto"/>
        <w:ind w:leftChars="200" w:left="480" w:firstLineChars="200" w:firstLine="520"/>
        <w:jc w:val="both"/>
        <w:rPr>
          <w:rFonts w:eastAsia="標楷體"/>
          <w:sz w:val="26"/>
          <w:szCs w:val="26"/>
        </w:rPr>
      </w:pPr>
      <w:r w:rsidRPr="002C1D3B">
        <w:rPr>
          <w:rFonts w:eastAsia="標楷體" w:hint="eastAsia"/>
          <w:sz w:val="26"/>
          <w:szCs w:val="26"/>
        </w:rPr>
        <w:t>數位化是近年來發展趨勢，而儀器數位化也是配合產品數位化的需求，因此儀器會不</w:t>
      </w:r>
      <w:r>
        <w:rPr>
          <w:rFonts w:eastAsia="標楷體" w:hint="eastAsia"/>
          <w:sz w:val="26"/>
          <w:szCs w:val="26"/>
        </w:rPr>
        <w:t>斷</w:t>
      </w:r>
      <w:r w:rsidRPr="002C1D3B">
        <w:rPr>
          <w:rFonts w:eastAsia="標楷體" w:hint="eastAsia"/>
          <w:sz w:val="26"/>
          <w:szCs w:val="26"/>
        </w:rPr>
        <w:t>推陳出新，產生新的商機。</w:t>
      </w:r>
    </w:p>
    <w:p w:rsidR="00DC4ACB" w:rsidRDefault="006B145A" w:rsidP="00965AF0">
      <w:pPr>
        <w:numPr>
          <w:ilvl w:val="0"/>
          <w:numId w:val="54"/>
        </w:numPr>
        <w:tabs>
          <w:tab w:val="left" w:pos="480"/>
          <w:tab w:val="left" w:pos="720"/>
        </w:tabs>
        <w:spacing w:beforeLines="50" w:before="120" w:afterLines="50" w:after="120" w:line="360" w:lineRule="auto"/>
        <w:ind w:left="720" w:hanging="240"/>
        <w:jc w:val="both"/>
        <w:rPr>
          <w:rFonts w:eastAsia="標楷體"/>
          <w:b/>
          <w:sz w:val="28"/>
          <w:szCs w:val="26"/>
        </w:rPr>
      </w:pPr>
      <w:r w:rsidRPr="002C1D3B">
        <w:rPr>
          <w:rFonts w:eastAsia="標楷體" w:hint="eastAsia"/>
          <w:b/>
          <w:sz w:val="28"/>
          <w:szCs w:val="26"/>
        </w:rPr>
        <w:t>高頻、高速、高性能</w:t>
      </w:r>
    </w:p>
    <w:p w:rsidR="00DC4ACB" w:rsidRDefault="006B145A" w:rsidP="00965AF0">
      <w:pPr>
        <w:spacing w:beforeLines="50" w:before="120" w:afterLines="50" w:after="120" w:line="360" w:lineRule="auto"/>
        <w:ind w:leftChars="200" w:left="480" w:firstLineChars="200" w:firstLine="520"/>
        <w:jc w:val="both"/>
        <w:rPr>
          <w:rFonts w:eastAsia="標楷體"/>
          <w:sz w:val="26"/>
          <w:szCs w:val="26"/>
        </w:rPr>
      </w:pPr>
      <w:r w:rsidRPr="002C1D3B">
        <w:rPr>
          <w:rFonts w:eastAsia="標楷體" w:hint="eastAsia"/>
          <w:sz w:val="26"/>
          <w:szCs w:val="26"/>
        </w:rPr>
        <w:t>電子量測儀器必須較傳統儀器有更好的效率，高頻、高速、高性能是電子量測儀器必然的發展趨勢。</w:t>
      </w:r>
    </w:p>
    <w:p w:rsidR="00DC4ACB" w:rsidRDefault="006B145A" w:rsidP="00965AF0">
      <w:pPr>
        <w:numPr>
          <w:ilvl w:val="0"/>
          <w:numId w:val="54"/>
        </w:numPr>
        <w:tabs>
          <w:tab w:val="left" w:pos="480"/>
          <w:tab w:val="left" w:pos="720"/>
        </w:tabs>
        <w:spacing w:beforeLines="50" w:before="120" w:afterLines="50" w:after="120" w:line="360" w:lineRule="auto"/>
        <w:ind w:left="720" w:hanging="240"/>
        <w:jc w:val="both"/>
        <w:rPr>
          <w:rFonts w:eastAsia="標楷體"/>
          <w:b/>
          <w:sz w:val="28"/>
          <w:szCs w:val="26"/>
        </w:rPr>
      </w:pPr>
      <w:r w:rsidRPr="002C1D3B">
        <w:rPr>
          <w:rFonts w:eastAsia="標楷體" w:hint="eastAsia"/>
          <w:b/>
          <w:sz w:val="28"/>
          <w:szCs w:val="26"/>
        </w:rPr>
        <w:t>BIST (Building in Self Test)</w:t>
      </w:r>
    </w:p>
    <w:p w:rsidR="00DC4ACB" w:rsidRDefault="006B145A" w:rsidP="00965AF0">
      <w:pPr>
        <w:spacing w:beforeLines="50" w:before="120" w:afterLines="50" w:after="120" w:line="360" w:lineRule="auto"/>
        <w:ind w:leftChars="200" w:left="480" w:firstLineChars="200" w:firstLine="520"/>
        <w:jc w:val="both"/>
        <w:rPr>
          <w:rFonts w:eastAsia="標楷體"/>
          <w:sz w:val="26"/>
          <w:szCs w:val="26"/>
        </w:rPr>
      </w:pPr>
      <w:r w:rsidRPr="002C1D3B">
        <w:rPr>
          <w:rFonts w:eastAsia="標楷體" w:hint="eastAsia"/>
          <w:sz w:val="26"/>
          <w:szCs w:val="26"/>
        </w:rPr>
        <w:t>許多精密儀器的產品生命週期短，不斷推出新產品，一般儀器更新</w:t>
      </w:r>
      <w:r w:rsidRPr="002C1D3B">
        <w:rPr>
          <w:rFonts w:eastAsia="標楷體" w:hint="eastAsia"/>
          <w:sz w:val="26"/>
          <w:szCs w:val="26"/>
        </w:rPr>
        <w:lastRenderedPageBreak/>
        <w:t>速度無法滿足新產品測試，需要更高的儀器來測試，但更新的測試儀器成本過高，若能建有自我測試功能，則可節省購置測試儀器的龐大費用。</w:t>
      </w:r>
    </w:p>
    <w:p w:rsidR="00DC4ACB" w:rsidRDefault="006B145A" w:rsidP="00965AF0">
      <w:pPr>
        <w:numPr>
          <w:ilvl w:val="0"/>
          <w:numId w:val="54"/>
        </w:numPr>
        <w:tabs>
          <w:tab w:val="left" w:pos="480"/>
          <w:tab w:val="left" w:pos="720"/>
        </w:tabs>
        <w:spacing w:beforeLines="50" w:before="120" w:afterLines="50" w:after="120" w:line="360" w:lineRule="auto"/>
        <w:ind w:left="720" w:hanging="240"/>
        <w:jc w:val="both"/>
        <w:rPr>
          <w:rFonts w:eastAsia="標楷體"/>
          <w:b/>
          <w:sz w:val="28"/>
          <w:szCs w:val="26"/>
        </w:rPr>
      </w:pPr>
      <w:r w:rsidRPr="002C1D3B">
        <w:rPr>
          <w:rFonts w:eastAsia="標楷體" w:hint="eastAsia"/>
          <w:b/>
          <w:sz w:val="28"/>
          <w:szCs w:val="26"/>
        </w:rPr>
        <w:t>DFT (Design for Test)</w:t>
      </w:r>
    </w:p>
    <w:p w:rsidR="00DC4ACB" w:rsidRDefault="006B145A" w:rsidP="00965AF0">
      <w:pPr>
        <w:spacing w:beforeLines="50" w:before="120" w:afterLines="50" w:after="120" w:line="360" w:lineRule="auto"/>
        <w:ind w:leftChars="200" w:left="480" w:firstLineChars="200" w:firstLine="520"/>
        <w:jc w:val="both"/>
        <w:rPr>
          <w:rFonts w:eastAsia="標楷體"/>
          <w:sz w:val="26"/>
          <w:szCs w:val="26"/>
        </w:rPr>
      </w:pPr>
      <w:r w:rsidRPr="002C1D3B">
        <w:rPr>
          <w:rFonts w:eastAsia="標楷體" w:hint="eastAsia"/>
          <w:sz w:val="26"/>
          <w:szCs w:val="26"/>
        </w:rPr>
        <w:t>在設計產品時就考慮到測試需求，將各檢查點設計好，若能夠用現有儀器加以測試，便不需購置新的儀器。</w:t>
      </w:r>
    </w:p>
    <w:p w:rsidR="00DC4ACB" w:rsidRDefault="006B145A" w:rsidP="00965AF0">
      <w:pPr>
        <w:numPr>
          <w:ilvl w:val="0"/>
          <w:numId w:val="54"/>
        </w:numPr>
        <w:tabs>
          <w:tab w:val="left" w:pos="480"/>
          <w:tab w:val="left" w:pos="720"/>
        </w:tabs>
        <w:spacing w:beforeLines="50" w:before="120" w:afterLines="50" w:after="120" w:line="360" w:lineRule="auto"/>
        <w:ind w:left="720" w:hanging="240"/>
        <w:jc w:val="both"/>
        <w:rPr>
          <w:rFonts w:eastAsia="標楷體"/>
          <w:b/>
          <w:sz w:val="28"/>
          <w:szCs w:val="26"/>
        </w:rPr>
      </w:pPr>
      <w:r w:rsidRPr="002C1D3B">
        <w:rPr>
          <w:rFonts w:eastAsia="標楷體" w:hint="eastAsia"/>
          <w:b/>
          <w:sz w:val="28"/>
          <w:szCs w:val="26"/>
        </w:rPr>
        <w:t>模組化</w:t>
      </w:r>
    </w:p>
    <w:p w:rsidR="00DC4ACB" w:rsidRDefault="006B145A" w:rsidP="00965AF0">
      <w:pPr>
        <w:spacing w:beforeLines="50" w:before="120" w:afterLines="50" w:after="120" w:line="360" w:lineRule="auto"/>
        <w:ind w:leftChars="200" w:left="480" w:firstLineChars="200" w:firstLine="520"/>
        <w:jc w:val="both"/>
        <w:rPr>
          <w:rFonts w:eastAsia="標楷體"/>
          <w:sz w:val="26"/>
          <w:szCs w:val="26"/>
        </w:rPr>
      </w:pPr>
      <w:r w:rsidRPr="002C1D3B">
        <w:rPr>
          <w:rFonts w:eastAsia="標楷體" w:hint="eastAsia"/>
          <w:sz w:val="26"/>
          <w:szCs w:val="26"/>
        </w:rPr>
        <w:t>儀器常為配合新產品測試產生更新需求，但儀器價格昂貴，若能以模組化設計配合</w:t>
      </w:r>
      <w:r w:rsidRPr="002C1D3B">
        <w:rPr>
          <w:rFonts w:eastAsia="標楷體" w:hint="eastAsia"/>
          <w:sz w:val="26"/>
          <w:szCs w:val="26"/>
        </w:rPr>
        <w:t>PC-Base</w:t>
      </w:r>
      <w:r w:rsidRPr="002C1D3B">
        <w:rPr>
          <w:rFonts w:eastAsia="標楷體" w:hint="eastAsia"/>
          <w:sz w:val="26"/>
          <w:szCs w:val="26"/>
        </w:rPr>
        <w:t>開放式架構，則不需經常更換儀器，僅需調整部份設定，便能符合新的測試需求。</w:t>
      </w:r>
    </w:p>
    <w:p w:rsidR="00B43040" w:rsidRDefault="00B43040" w:rsidP="00965AF0">
      <w:pPr>
        <w:autoSpaceDE w:val="0"/>
        <w:autoSpaceDN w:val="0"/>
        <w:adjustRightInd w:val="0"/>
        <w:spacing w:beforeLines="50" w:before="120" w:afterLines="50" w:after="120" w:line="360" w:lineRule="auto"/>
        <w:ind w:firstLineChars="200" w:firstLine="520"/>
        <w:jc w:val="both"/>
        <w:rPr>
          <w:rFonts w:eastAsia="標楷體"/>
          <w:bCs/>
          <w:kern w:val="0"/>
          <w:sz w:val="26"/>
          <w:szCs w:val="26"/>
        </w:rPr>
      </w:pPr>
      <w:r>
        <w:rPr>
          <w:rFonts w:eastAsia="標楷體"/>
          <w:bCs/>
          <w:kern w:val="0"/>
          <w:sz w:val="26"/>
          <w:szCs w:val="26"/>
        </w:rPr>
        <w:br w:type="page"/>
      </w:r>
    </w:p>
    <w:p w:rsidR="00DC4ACB" w:rsidRDefault="00DC4ACB" w:rsidP="00965AF0">
      <w:pPr>
        <w:autoSpaceDE w:val="0"/>
        <w:autoSpaceDN w:val="0"/>
        <w:adjustRightInd w:val="0"/>
        <w:spacing w:beforeLines="50" w:before="120" w:afterLines="50" w:after="120" w:line="360" w:lineRule="auto"/>
        <w:ind w:firstLineChars="200" w:firstLine="520"/>
        <w:jc w:val="both"/>
        <w:rPr>
          <w:rFonts w:eastAsia="標楷體"/>
          <w:bCs/>
          <w:kern w:val="0"/>
          <w:sz w:val="26"/>
          <w:szCs w:val="26"/>
        </w:rPr>
      </w:pPr>
    </w:p>
    <w:p w:rsidR="00567251" w:rsidRPr="00EA272E" w:rsidRDefault="00567251" w:rsidP="00965AF0">
      <w:pPr>
        <w:autoSpaceDE w:val="0"/>
        <w:autoSpaceDN w:val="0"/>
        <w:adjustRightInd w:val="0"/>
        <w:spacing w:beforeLines="50" w:before="120" w:afterLines="50" w:after="120" w:line="360" w:lineRule="auto"/>
        <w:ind w:firstLineChars="200" w:firstLine="520"/>
        <w:jc w:val="both"/>
        <w:rPr>
          <w:rFonts w:eastAsia="標楷體"/>
          <w:bCs/>
          <w:kern w:val="0"/>
          <w:sz w:val="26"/>
          <w:szCs w:val="26"/>
        </w:rPr>
        <w:sectPr w:rsidR="00567251" w:rsidRPr="00EA272E" w:rsidSect="00A439EA">
          <w:headerReference w:type="even" r:id="rId23"/>
          <w:headerReference w:type="default" r:id="rId24"/>
          <w:headerReference w:type="first" r:id="rId25"/>
          <w:pgSz w:w="11906" w:h="16838" w:code="9"/>
          <w:pgMar w:top="2160" w:right="1440" w:bottom="1814" w:left="1440" w:header="851" w:footer="567" w:gutter="567"/>
          <w:cols w:space="425"/>
          <w:docGrid w:linePitch="360"/>
        </w:sectPr>
      </w:pPr>
    </w:p>
    <w:bookmarkStart w:id="35" w:name="_Toc253154509"/>
    <w:bookmarkStart w:id="36" w:name="_Toc253154577"/>
    <w:bookmarkStart w:id="37" w:name="_Toc272326008"/>
    <w:bookmarkStart w:id="38" w:name="_Toc272326636"/>
    <w:bookmarkStart w:id="39" w:name="_Toc272326815"/>
    <w:bookmarkStart w:id="40" w:name="_Toc275960648"/>
    <w:bookmarkStart w:id="41" w:name="_Toc389223538"/>
    <w:p w:rsidR="007821E9" w:rsidRPr="00EA272E" w:rsidRDefault="00965AF0" w:rsidP="007821E9">
      <w:pPr>
        <w:pStyle w:val="1"/>
        <w:numPr>
          <w:ilvl w:val="0"/>
          <w:numId w:val="0"/>
        </w:numPr>
        <w:spacing w:before="0" w:after="0" w:line="240" w:lineRule="auto"/>
        <w:jc w:val="right"/>
        <w:rPr>
          <w:rFonts w:ascii="Times New Roman" w:eastAsia="標楷體" w:hAnsi="Times New Roman"/>
          <w:sz w:val="56"/>
          <w:szCs w:val="56"/>
        </w:rPr>
      </w:pPr>
      <w:r>
        <w:rPr>
          <w:rFonts w:ascii="Times New Roman" w:eastAsia="標楷體" w:hAnsi="Times New Roman"/>
          <w:noProof/>
          <w:sz w:val="56"/>
          <w:szCs w:val="56"/>
        </w:rPr>
        <w:lastRenderedPageBreak/>
        <mc:AlternateContent>
          <mc:Choice Requires="wps">
            <w:drawing>
              <wp:anchor distT="0" distB="0" distL="114300" distR="114300" simplePos="0" relativeHeight="251653632" behindDoc="0" locked="0" layoutInCell="1" allowOverlap="1">
                <wp:simplePos x="0" y="0"/>
                <wp:positionH relativeFrom="column">
                  <wp:posOffset>4665980</wp:posOffset>
                </wp:positionH>
                <wp:positionV relativeFrom="paragraph">
                  <wp:posOffset>0</wp:posOffset>
                </wp:positionV>
                <wp:extent cx="720090" cy="720090"/>
                <wp:effectExtent l="8255" t="9525" r="5080" b="13335"/>
                <wp:wrapNone/>
                <wp:docPr id="6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4864D6" w:rsidRPr="00105A31" w:rsidRDefault="004864D6" w:rsidP="00105A31">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3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III</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83" type="#_x0000_t202" style="position:absolute;left:0;text-align:left;margin-left:367.4pt;margin-top:0;width:56.7pt;height:56.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">
                <v:textbox>
                  <w:txbxContent>
                    <w:p w:rsidR="004864D6" w:rsidRPr="00105A31" w:rsidRDefault="004864D6" w:rsidP="00105A31">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3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III</w:t>
                      </w:r>
                      <w:r>
                        <w:rPr>
                          <w:rFonts w:ascii="微軟正黑體" w:eastAsia="微軟正黑體" w:hAnsi="微軟正黑體"/>
                          <w:b/>
                          <w:sz w:val="56"/>
                          <w:szCs w:val="52"/>
                        </w:rPr>
                        <w:fldChar w:fldCharType="end"/>
                      </w:r>
                    </w:p>
                  </w:txbxContent>
                </v:textbox>
              </v:shape>
            </w:pict>
          </mc:Fallback>
        </mc:AlternateContent>
      </w:r>
      <w:bookmarkEnd w:id="35"/>
      <w:bookmarkEnd w:id="36"/>
      <w:bookmarkEnd w:id="37"/>
      <w:bookmarkEnd w:id="38"/>
      <w:bookmarkEnd w:id="39"/>
      <w:bookmarkEnd w:id="40"/>
      <w:bookmarkEnd w:id="41"/>
    </w:p>
    <w:p w:rsidR="007821E9" w:rsidRPr="00EA272E" w:rsidRDefault="007821E9" w:rsidP="007821E9">
      <w:pPr>
        <w:pStyle w:val="1"/>
        <w:numPr>
          <w:ilvl w:val="0"/>
          <w:numId w:val="0"/>
        </w:numPr>
        <w:spacing w:before="0" w:after="0" w:line="240" w:lineRule="auto"/>
        <w:jc w:val="right"/>
        <w:rPr>
          <w:rFonts w:ascii="Times New Roman" w:eastAsia="標楷體" w:hAnsi="Times New Roman"/>
          <w:sz w:val="56"/>
          <w:szCs w:val="56"/>
        </w:rPr>
      </w:pPr>
    </w:p>
    <w:p w:rsidR="00567251" w:rsidRPr="00EA272E" w:rsidRDefault="00567251" w:rsidP="0039241F">
      <w:pPr>
        <w:pStyle w:val="1"/>
        <w:spacing w:before="100" w:beforeAutospacing="1" w:after="100" w:afterAutospacing="1" w:line="360" w:lineRule="auto"/>
        <w:ind w:left="0" w:firstLine="0"/>
        <w:jc w:val="right"/>
        <w:rPr>
          <w:rFonts w:ascii="Times New Roman" w:eastAsia="標楷體" w:hAnsi="Times New Roman"/>
          <w:sz w:val="56"/>
          <w:szCs w:val="56"/>
        </w:rPr>
      </w:pPr>
      <w:bookmarkStart w:id="42" w:name="_Toc389223539"/>
      <w:r w:rsidRPr="00EA272E">
        <w:rPr>
          <w:rFonts w:ascii="Times New Roman" w:eastAsia="標楷體" w:hAnsi="Times New Roman"/>
          <w:sz w:val="56"/>
          <w:szCs w:val="56"/>
        </w:rPr>
        <w:t>受控交易</w:t>
      </w:r>
      <w:r w:rsidR="002C7D93" w:rsidRPr="00EA272E">
        <w:rPr>
          <w:rFonts w:ascii="Times New Roman" w:eastAsia="標楷體" w:hAnsi="Times New Roman" w:hint="eastAsia"/>
          <w:sz w:val="56"/>
          <w:szCs w:val="56"/>
        </w:rPr>
        <w:t>說明</w:t>
      </w:r>
      <w:bookmarkEnd w:id="42"/>
    </w:p>
    <w:p w:rsidR="00DC4ACB" w:rsidRDefault="00AA0DD0" w:rsidP="00965AF0">
      <w:pPr>
        <w:pStyle w:val="2"/>
        <w:numPr>
          <w:ilvl w:val="1"/>
          <w:numId w:val="11"/>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受控交易</w:t>
      </w:r>
      <w:r w:rsidR="0048600C" w:rsidRPr="00EA272E">
        <w:rPr>
          <w:rFonts w:ascii="Times New Roman" w:eastAsia="標楷體" w:hAnsi="Times New Roman" w:hint="eastAsia"/>
          <w:sz w:val="36"/>
          <w:szCs w:val="40"/>
        </w:rPr>
        <w:t>類型</w:t>
      </w:r>
    </w:p>
    <w:p w:rsidR="00DC4ACB" w:rsidRDefault="0056725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依據移轉</w:t>
      </w:r>
      <w:r w:rsidRPr="00EA272E">
        <w:rPr>
          <w:rFonts w:eastAsia="標楷體"/>
          <w:bCs/>
          <w:iCs/>
          <w:sz w:val="26"/>
          <w:szCs w:val="26"/>
        </w:rPr>
        <w:t>訂價</w:t>
      </w:r>
      <w:r w:rsidRPr="00EA272E">
        <w:rPr>
          <w:rFonts w:eastAsia="標楷體"/>
          <w:sz w:val="26"/>
          <w:szCs w:val="26"/>
        </w:rPr>
        <w:t>查核準則第</w:t>
      </w:r>
      <w:r w:rsidRPr="00EA272E">
        <w:rPr>
          <w:rFonts w:eastAsia="標楷體"/>
          <w:sz w:val="26"/>
          <w:szCs w:val="26"/>
        </w:rPr>
        <w:t>5</w:t>
      </w:r>
      <w:r w:rsidRPr="00EA272E">
        <w:rPr>
          <w:rFonts w:eastAsia="標楷體"/>
          <w:sz w:val="26"/>
          <w:szCs w:val="26"/>
        </w:rPr>
        <w:t>條，適用本準則之交易類型如下：</w:t>
      </w:r>
    </w:p>
    <w:p w:rsidR="00DC4ACB" w:rsidRDefault="00D92058" w:rsidP="00965AF0">
      <w:pPr>
        <w:spacing w:beforeLines="50" w:before="120" w:afterLines="50" w:after="120" w:line="360" w:lineRule="auto"/>
        <w:jc w:val="both"/>
        <w:rPr>
          <w:rFonts w:eastAsia="標楷體"/>
          <w:sz w:val="26"/>
          <w:szCs w:val="26"/>
        </w:rPr>
      </w:pPr>
      <w:r>
        <w:rPr>
          <w:rFonts w:eastAsia="標楷體" w:hint="eastAsia"/>
          <w:sz w:val="26"/>
          <w:szCs w:val="26"/>
        </w:rPr>
        <w:t>『</w:t>
      </w:r>
      <w:r w:rsidR="00567251" w:rsidRPr="00EA272E">
        <w:rPr>
          <w:rFonts w:eastAsia="標楷體"/>
          <w:sz w:val="26"/>
          <w:szCs w:val="26"/>
        </w:rPr>
        <w:t>一、有形資產之移轉，包括買賣、交換、贈與或其他安排。</w:t>
      </w:r>
    </w:p>
    <w:p w:rsidR="00DC4ACB" w:rsidRDefault="00567251" w:rsidP="00965AF0">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二、</w:t>
      </w:r>
      <w:r w:rsidR="008A13F7">
        <w:rPr>
          <w:rFonts w:eastAsia="標楷體" w:hint="eastAsia"/>
          <w:sz w:val="26"/>
          <w:szCs w:val="26"/>
        </w:rPr>
        <w:tab/>
      </w:r>
      <w:r w:rsidRPr="00EA272E">
        <w:rPr>
          <w:rFonts w:eastAsia="標楷體"/>
          <w:sz w:val="26"/>
          <w:szCs w:val="26"/>
        </w:rPr>
        <w:t>有形資產之使用，包括租賃、設定權利、提供他人持有、使用或占有，或其他安排。</w:t>
      </w:r>
    </w:p>
    <w:p w:rsidR="00DC4ACB" w:rsidRDefault="00567251" w:rsidP="00965AF0">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三、</w:t>
      </w:r>
      <w:r w:rsidR="008A13F7">
        <w:rPr>
          <w:rFonts w:eastAsia="標楷體" w:hint="eastAsia"/>
          <w:sz w:val="26"/>
          <w:szCs w:val="26"/>
        </w:rPr>
        <w:tab/>
      </w:r>
      <w:r w:rsidRPr="00EA272E">
        <w:rPr>
          <w:rFonts w:eastAsia="標楷體"/>
          <w:sz w:val="26"/>
          <w:szCs w:val="26"/>
        </w:rPr>
        <w:t>無形資產之移轉，包括買賣、交換、贈與或其他安排。</w:t>
      </w:r>
    </w:p>
    <w:p w:rsidR="00DC4ACB" w:rsidRDefault="00567251" w:rsidP="00965AF0">
      <w:pPr>
        <w:tabs>
          <w:tab w:val="left" w:pos="360"/>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四、</w:t>
      </w:r>
      <w:r w:rsidR="008A13F7">
        <w:rPr>
          <w:rFonts w:eastAsia="標楷體" w:hint="eastAsia"/>
          <w:sz w:val="26"/>
          <w:szCs w:val="26"/>
        </w:rPr>
        <w:tab/>
      </w:r>
      <w:r w:rsidRPr="00EA272E">
        <w:rPr>
          <w:rFonts w:eastAsia="標楷體"/>
          <w:sz w:val="26"/>
          <w:szCs w:val="26"/>
        </w:rPr>
        <w:t>無形資產之使用，包括授權、再授權、提供他人使用或其他安排。</w:t>
      </w:r>
    </w:p>
    <w:p w:rsidR="00DC4ACB" w:rsidRDefault="00567251" w:rsidP="00965AF0">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五、</w:t>
      </w:r>
      <w:r w:rsidR="008A13F7">
        <w:rPr>
          <w:rFonts w:eastAsia="標楷體" w:hint="eastAsia"/>
          <w:sz w:val="26"/>
          <w:szCs w:val="26"/>
        </w:rPr>
        <w:tab/>
      </w:r>
      <w:r w:rsidRPr="00EA272E">
        <w:rPr>
          <w:rFonts w:eastAsia="標楷體"/>
          <w:sz w:val="26"/>
          <w:szCs w:val="26"/>
        </w:rPr>
        <w:t>服務之提供，包括行銷、管理、行政、技術、人事、研究與發展、資訊處理、法律、會計或其他服務。</w:t>
      </w:r>
    </w:p>
    <w:p w:rsidR="00DC4ACB" w:rsidRDefault="00567251" w:rsidP="00965AF0">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六、</w:t>
      </w:r>
      <w:r w:rsidR="008A13F7">
        <w:rPr>
          <w:rFonts w:eastAsia="標楷體" w:hint="eastAsia"/>
          <w:sz w:val="26"/>
          <w:szCs w:val="26"/>
        </w:rPr>
        <w:tab/>
      </w:r>
      <w:r w:rsidRPr="00EA272E">
        <w:rPr>
          <w:rFonts w:eastAsia="標楷體"/>
          <w:sz w:val="26"/>
          <w:szCs w:val="26"/>
        </w:rPr>
        <w:t>資金之使用，包括資金借貸、預付款、暫付款、擔保、延期收款或其他安排。</w:t>
      </w:r>
    </w:p>
    <w:p w:rsidR="00DC4ACB" w:rsidRDefault="00567251" w:rsidP="00965AF0">
      <w:pPr>
        <w:tabs>
          <w:tab w:val="left" w:pos="840"/>
        </w:tabs>
        <w:spacing w:beforeLines="50" w:before="120" w:afterLines="50" w:after="120" w:line="360" w:lineRule="auto"/>
        <w:ind w:leftChars="110" w:left="823" w:hangingChars="215" w:hanging="559"/>
        <w:jc w:val="both"/>
        <w:rPr>
          <w:rFonts w:eastAsia="標楷體"/>
          <w:sz w:val="26"/>
          <w:szCs w:val="26"/>
        </w:rPr>
      </w:pPr>
      <w:r w:rsidRPr="00EA272E">
        <w:rPr>
          <w:rFonts w:eastAsia="標楷體"/>
          <w:sz w:val="26"/>
          <w:szCs w:val="26"/>
        </w:rPr>
        <w:t>七、</w:t>
      </w:r>
      <w:r w:rsidR="00A95622">
        <w:rPr>
          <w:rFonts w:eastAsia="標楷體" w:hint="eastAsia"/>
          <w:sz w:val="26"/>
          <w:szCs w:val="26"/>
        </w:rPr>
        <w:tab/>
      </w:r>
      <w:r w:rsidRPr="00EA272E">
        <w:rPr>
          <w:rFonts w:eastAsia="標楷體"/>
          <w:sz w:val="26"/>
          <w:szCs w:val="26"/>
        </w:rPr>
        <w:t>其他經財政部核定之交易類型。</w:t>
      </w:r>
      <w:r w:rsidR="00D92058">
        <w:rPr>
          <w:rFonts w:eastAsia="標楷體" w:hint="eastAsia"/>
          <w:sz w:val="26"/>
          <w:szCs w:val="26"/>
        </w:rPr>
        <w:t>』</w:t>
      </w:r>
    </w:p>
    <w:p w:rsidR="00DC4ACB" w:rsidRDefault="00DC4ACB" w:rsidP="00965AF0">
      <w:pPr>
        <w:tabs>
          <w:tab w:val="left" w:pos="840"/>
        </w:tabs>
        <w:spacing w:beforeLines="50" w:before="120" w:afterLines="50" w:after="120" w:line="360" w:lineRule="auto"/>
        <w:ind w:leftChars="110" w:left="823" w:hangingChars="215" w:hanging="559"/>
        <w:jc w:val="both"/>
        <w:rPr>
          <w:rFonts w:eastAsia="標楷體"/>
          <w:sz w:val="26"/>
          <w:szCs w:val="26"/>
        </w:rPr>
      </w:pPr>
    </w:p>
    <w:p w:rsidR="00DC4ACB" w:rsidRDefault="0048600C" w:rsidP="00965AF0">
      <w:pPr>
        <w:pStyle w:val="2"/>
        <w:numPr>
          <w:ilvl w:val="1"/>
          <w:numId w:val="11"/>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lastRenderedPageBreak/>
        <w:t>受控交易</w:t>
      </w:r>
      <w:r w:rsidR="00AA0DD0" w:rsidRPr="00EA272E">
        <w:rPr>
          <w:rFonts w:ascii="Times New Roman" w:eastAsia="標楷體" w:hAnsi="Times New Roman" w:hint="eastAsia"/>
          <w:sz w:val="36"/>
          <w:szCs w:val="40"/>
        </w:rPr>
        <w:t>敍述</w:t>
      </w:r>
    </w:p>
    <w:p w:rsidR="00DC4ACB" w:rsidRDefault="00567251" w:rsidP="00965AF0">
      <w:pPr>
        <w:pStyle w:val="3"/>
        <w:numPr>
          <w:ilvl w:val="0"/>
          <w:numId w:val="12"/>
        </w:numPr>
        <w:spacing w:beforeLines="50" w:before="120" w:afterLines="50" w:after="120" w:line="360" w:lineRule="auto"/>
        <w:ind w:leftChars="100" w:left="720"/>
        <w:jc w:val="both"/>
      </w:pPr>
      <w:r w:rsidRPr="00957031">
        <w:rPr>
          <w:rFonts w:ascii="Times New Roman" w:eastAsia="標楷體" w:hAnsi="Times New Roman"/>
          <w:sz w:val="32"/>
        </w:rPr>
        <w:t>受控交易參與人</w:t>
      </w:r>
    </w:p>
    <w:tbl>
      <w:tblPr>
        <w:tblW w:w="4761" w:type="pct"/>
        <w:tblInd w:w="415" w:type="dxa"/>
        <w:tblBorders>
          <w:top w:val="single" w:sz="8" w:space="0" w:color="365F91"/>
          <w:left w:val="single" w:sz="8" w:space="0" w:color="365F91"/>
          <w:bottom w:val="single" w:sz="8" w:space="0" w:color="365F91"/>
          <w:right w:val="single" w:sz="8" w:space="0" w:color="365F91"/>
          <w:insideH w:val="single" w:sz="8" w:space="0" w:color="365F91"/>
          <w:insideV w:val="single" w:sz="8" w:space="0" w:color="365F91"/>
        </w:tblBorders>
        <w:tblLayout w:type="fixed"/>
        <w:tblLook w:val="01E0" w:firstRow="1" w:lastRow="1" w:firstColumn="1" w:lastColumn="1" w:noHBand="0" w:noVBand="0"/>
      </w:tblPr>
      <w:tblGrid>
        <w:gridCol w:w="852"/>
        <w:gridCol w:w="1986"/>
        <w:gridCol w:w="990"/>
        <w:gridCol w:w="1227"/>
        <w:gridCol w:w="2661"/>
        <w:gridCol w:w="544"/>
      </w:tblGrid>
      <w:tr w:rsidR="00F74028" w:rsidRPr="00EA272E" w:rsidTr="008D321D">
        <w:trPr>
          <w:tblHeader/>
        </w:trPr>
        <w:tc>
          <w:tcPr>
            <w:tcW w:w="516" w:type="pct"/>
            <w:vMerge w:val="restart"/>
            <w:shd w:val="clear" w:color="auto" w:fill="4F81BD"/>
            <w:vAlign w:val="center"/>
          </w:tcPr>
          <w:p w:rsidR="00DC4ACB" w:rsidRDefault="00AD5750" w:rsidP="00965AF0">
            <w:pPr>
              <w:spacing w:beforeLines="25" w:before="60" w:afterLines="25" w:after="60"/>
              <w:ind w:right="-57"/>
              <w:jc w:val="center"/>
              <w:rPr>
                <w:rFonts w:eastAsia="標楷體"/>
                <w:b/>
                <w:bCs/>
                <w:color w:val="FFFFFF"/>
                <w:sz w:val="26"/>
              </w:rPr>
            </w:pPr>
            <w:r>
              <w:rPr>
                <w:rFonts w:eastAsia="標楷體" w:hint="eastAsia"/>
                <w:b/>
                <w:bCs/>
                <w:color w:val="FFFFFF"/>
                <w:sz w:val="26"/>
              </w:rPr>
              <w:t>編號</w:t>
            </w:r>
          </w:p>
        </w:tc>
        <w:tc>
          <w:tcPr>
            <w:tcW w:w="1202" w:type="pct"/>
            <w:vMerge w:val="restart"/>
            <w:shd w:val="clear" w:color="auto" w:fill="4F81BD"/>
            <w:vAlign w:val="center"/>
          </w:tcPr>
          <w:p w:rsidR="00DC4ACB" w:rsidRDefault="00AD5750" w:rsidP="00965AF0">
            <w:pPr>
              <w:spacing w:beforeLines="25" w:before="60" w:afterLines="25" w:after="60"/>
              <w:ind w:right="-57"/>
              <w:jc w:val="center"/>
              <w:rPr>
                <w:rFonts w:eastAsia="標楷體"/>
                <w:b/>
                <w:bCs/>
                <w:color w:val="FFFFFF"/>
                <w:sz w:val="26"/>
              </w:rPr>
            </w:pPr>
            <w:r w:rsidRPr="00EA272E">
              <w:rPr>
                <w:rFonts w:eastAsia="標楷體"/>
                <w:b/>
                <w:bCs/>
                <w:color w:val="FFFFFF"/>
                <w:sz w:val="26"/>
              </w:rPr>
              <w:t>關係企業</w:t>
            </w:r>
            <w:r>
              <w:rPr>
                <w:rFonts w:eastAsia="標楷體" w:hint="eastAsia"/>
                <w:b/>
                <w:bCs/>
                <w:color w:val="FFFFFF"/>
                <w:sz w:val="26"/>
              </w:rPr>
              <w:t>/</w:t>
            </w:r>
            <w:r>
              <w:rPr>
                <w:rFonts w:eastAsia="標楷體" w:hint="eastAsia"/>
                <w:b/>
                <w:bCs/>
                <w:color w:val="FFFFFF"/>
                <w:sz w:val="26"/>
              </w:rPr>
              <w:t>人</w:t>
            </w:r>
          </w:p>
        </w:tc>
        <w:tc>
          <w:tcPr>
            <w:tcW w:w="599" w:type="pct"/>
            <w:vMerge w:val="restart"/>
            <w:shd w:val="clear" w:color="auto" w:fill="4F81BD"/>
            <w:vAlign w:val="center"/>
          </w:tcPr>
          <w:p w:rsidR="00DC4ACB" w:rsidRDefault="00AD5750" w:rsidP="00965AF0">
            <w:pPr>
              <w:spacing w:beforeLines="25" w:before="60" w:afterLines="25" w:after="60"/>
              <w:ind w:right="-57"/>
              <w:jc w:val="center"/>
              <w:rPr>
                <w:rFonts w:eastAsia="標楷體"/>
                <w:b/>
                <w:bCs/>
                <w:color w:val="FFFFFF"/>
                <w:sz w:val="26"/>
              </w:rPr>
            </w:pPr>
            <w:r w:rsidRPr="00EA272E">
              <w:rPr>
                <w:rFonts w:eastAsia="標楷體" w:hint="eastAsia"/>
                <w:b/>
                <w:bCs/>
                <w:color w:val="FFFFFF"/>
                <w:sz w:val="26"/>
              </w:rPr>
              <w:t>國籍及</w:t>
            </w:r>
          </w:p>
          <w:p w:rsidR="00DC4ACB" w:rsidRDefault="00AD5750" w:rsidP="00965AF0">
            <w:pPr>
              <w:spacing w:beforeLines="25" w:before="60" w:afterLines="25" w:after="60"/>
              <w:ind w:right="-57"/>
              <w:jc w:val="center"/>
              <w:rPr>
                <w:rFonts w:eastAsia="標楷體"/>
                <w:b/>
                <w:bCs/>
                <w:color w:val="FFFFFF"/>
                <w:sz w:val="26"/>
              </w:rPr>
            </w:pPr>
            <w:r w:rsidRPr="00EA272E">
              <w:rPr>
                <w:rFonts w:eastAsia="標楷體" w:hint="eastAsia"/>
                <w:b/>
                <w:bCs/>
                <w:color w:val="FFFFFF"/>
                <w:sz w:val="26"/>
              </w:rPr>
              <w:t>所在地區</w:t>
            </w:r>
          </w:p>
        </w:tc>
        <w:tc>
          <w:tcPr>
            <w:tcW w:w="743" w:type="pct"/>
            <w:vMerge w:val="restart"/>
            <w:shd w:val="clear" w:color="auto" w:fill="4F81BD"/>
            <w:vAlign w:val="center"/>
          </w:tcPr>
          <w:p w:rsidR="00DC4ACB" w:rsidRDefault="00AD5750" w:rsidP="00965AF0">
            <w:pPr>
              <w:spacing w:beforeLines="25" w:before="60" w:afterLines="25" w:after="60"/>
              <w:ind w:left="-288" w:right="-57" w:firstLineChars="69" w:firstLine="180"/>
              <w:jc w:val="center"/>
              <w:rPr>
                <w:rFonts w:eastAsia="標楷體"/>
                <w:b/>
                <w:bCs/>
                <w:color w:val="FFFFFF"/>
                <w:sz w:val="26"/>
              </w:rPr>
            </w:pPr>
            <w:r w:rsidRPr="00EA272E">
              <w:rPr>
                <w:rFonts w:eastAsia="標楷體" w:hint="eastAsia"/>
                <w:b/>
                <w:bCs/>
                <w:color w:val="FFFFFF"/>
                <w:sz w:val="26"/>
              </w:rPr>
              <w:t>簡稱</w:t>
            </w:r>
          </w:p>
        </w:tc>
        <w:tc>
          <w:tcPr>
            <w:tcW w:w="1940" w:type="pct"/>
            <w:gridSpan w:val="2"/>
            <w:shd w:val="clear" w:color="auto" w:fill="4F81BD"/>
          </w:tcPr>
          <w:p w:rsidR="00DC4ACB" w:rsidRDefault="00AD5750" w:rsidP="00965AF0">
            <w:pPr>
              <w:spacing w:beforeLines="25" w:before="60" w:afterLines="25" w:after="60"/>
              <w:ind w:right="-57"/>
              <w:jc w:val="center"/>
              <w:rPr>
                <w:rFonts w:eastAsia="標楷體"/>
                <w:b/>
                <w:bCs/>
                <w:color w:val="FFFFFF"/>
                <w:sz w:val="26"/>
              </w:rPr>
            </w:pPr>
            <w:r w:rsidRPr="00EA272E">
              <w:rPr>
                <w:rFonts w:eastAsia="標楷體" w:hint="eastAsia"/>
                <w:b/>
                <w:bCs/>
                <w:color w:val="FFFFFF"/>
                <w:sz w:val="26"/>
              </w:rPr>
              <w:t>從屬與控制關係之認定</w:t>
            </w:r>
          </w:p>
        </w:tc>
      </w:tr>
      <w:tr w:rsidR="00C93758" w:rsidRPr="00EA272E" w:rsidTr="008D321D">
        <w:trPr>
          <w:tblHeader/>
        </w:trPr>
        <w:tc>
          <w:tcPr>
            <w:tcW w:w="516" w:type="pct"/>
            <w:vMerge/>
            <w:vAlign w:val="center"/>
          </w:tcPr>
          <w:p w:rsidR="00DC4ACB" w:rsidRDefault="00DC4ACB" w:rsidP="00965AF0">
            <w:pPr>
              <w:spacing w:beforeLines="25" w:before="60" w:afterLines="25" w:after="60"/>
              <w:ind w:left="-288" w:right="128" w:firstLineChars="69" w:firstLine="180"/>
              <w:jc w:val="center"/>
              <w:rPr>
                <w:rFonts w:eastAsia="標楷體"/>
                <w:b/>
                <w:bCs/>
                <w:sz w:val="26"/>
              </w:rPr>
            </w:pPr>
          </w:p>
        </w:tc>
        <w:tc>
          <w:tcPr>
            <w:tcW w:w="1202" w:type="pct"/>
            <w:vMerge/>
          </w:tcPr>
          <w:p w:rsidR="00DC4ACB" w:rsidRDefault="00DC4ACB" w:rsidP="00965AF0">
            <w:pPr>
              <w:spacing w:beforeLines="25" w:before="60" w:afterLines="25" w:after="60"/>
              <w:ind w:left="-288" w:right="128" w:firstLineChars="69" w:firstLine="180"/>
              <w:jc w:val="center"/>
              <w:rPr>
                <w:rFonts w:eastAsia="標楷體"/>
                <w:b/>
                <w:bCs/>
                <w:sz w:val="26"/>
              </w:rPr>
            </w:pPr>
          </w:p>
        </w:tc>
        <w:tc>
          <w:tcPr>
            <w:tcW w:w="599" w:type="pct"/>
            <w:vMerge/>
          </w:tcPr>
          <w:p w:rsidR="00DC4ACB" w:rsidRDefault="00DC4ACB" w:rsidP="00965AF0">
            <w:pPr>
              <w:spacing w:beforeLines="25" w:before="60" w:afterLines="25" w:after="60"/>
              <w:ind w:left="-288" w:right="128" w:firstLineChars="69" w:firstLine="180"/>
              <w:jc w:val="center"/>
              <w:rPr>
                <w:rFonts w:eastAsia="標楷體"/>
                <w:b/>
                <w:sz w:val="26"/>
              </w:rPr>
            </w:pPr>
          </w:p>
        </w:tc>
        <w:tc>
          <w:tcPr>
            <w:tcW w:w="743" w:type="pct"/>
            <w:vMerge/>
          </w:tcPr>
          <w:p w:rsidR="00DC4ACB" w:rsidRDefault="00DC4ACB" w:rsidP="00965AF0">
            <w:pPr>
              <w:spacing w:beforeLines="25" w:before="60" w:afterLines="25" w:after="60"/>
              <w:ind w:left="-288" w:right="128" w:firstLineChars="69" w:firstLine="180"/>
              <w:jc w:val="center"/>
              <w:rPr>
                <w:rFonts w:eastAsia="標楷體"/>
                <w:b/>
                <w:sz w:val="26"/>
              </w:rPr>
            </w:pPr>
          </w:p>
        </w:tc>
        <w:tc>
          <w:tcPr>
            <w:tcW w:w="1611" w:type="pct"/>
            <w:shd w:val="clear" w:color="auto" w:fill="4F81BD"/>
            <w:vAlign w:val="center"/>
          </w:tcPr>
          <w:p w:rsidR="00DC4ACB" w:rsidRDefault="004F25B4" w:rsidP="00965AF0">
            <w:pPr>
              <w:spacing w:beforeLines="25" w:before="60" w:afterLines="25" w:after="60"/>
              <w:ind w:right="-57"/>
              <w:jc w:val="center"/>
              <w:rPr>
                <w:rFonts w:eastAsia="標楷體"/>
                <w:bCs/>
                <w:color w:val="FFFFFF"/>
                <w:sz w:val="26"/>
              </w:rPr>
            </w:pPr>
            <w:r w:rsidRPr="004F25B4">
              <w:rPr>
                <w:rFonts w:eastAsia="標楷體" w:hint="eastAsia"/>
                <w:b/>
                <w:bCs/>
                <w:color w:val="FFFFFF"/>
                <w:sz w:val="26"/>
              </w:rPr>
              <w:t>關係說明</w:t>
            </w:r>
          </w:p>
        </w:tc>
        <w:tc>
          <w:tcPr>
            <w:tcW w:w="329" w:type="pct"/>
            <w:shd w:val="clear" w:color="auto" w:fill="4F81BD"/>
          </w:tcPr>
          <w:p w:rsidR="00DC4ACB" w:rsidRDefault="00AD5750" w:rsidP="00965AF0">
            <w:pPr>
              <w:spacing w:beforeLines="25" w:before="60" w:afterLines="25" w:after="60"/>
              <w:ind w:right="-57"/>
              <w:jc w:val="center"/>
              <w:rPr>
                <w:rFonts w:eastAsia="標楷體"/>
                <w:bCs/>
                <w:color w:val="FFFFFF"/>
                <w:sz w:val="26"/>
              </w:rPr>
            </w:pPr>
            <w:r w:rsidRPr="00EA272E">
              <w:rPr>
                <w:rFonts w:eastAsia="標楷體"/>
                <w:bCs/>
                <w:color w:val="FFFFFF"/>
                <w:sz w:val="26"/>
              </w:rPr>
              <w:t>代號</w:t>
            </w:r>
            <w:r w:rsidRPr="00763B8E">
              <w:rPr>
                <w:rFonts w:eastAsia="標楷體"/>
                <w:bCs/>
                <w:color w:val="FFFFFF"/>
                <w:sz w:val="26"/>
                <w:vertAlign w:val="superscript"/>
              </w:rPr>
              <w:footnoteReference w:id="3"/>
            </w:r>
          </w:p>
        </w:tc>
      </w:tr>
      <w:tr w:rsidR="00C93758" w:rsidRPr="00EA272E" w:rsidTr="008D321D">
        <w:trPr>
          <w:trHeight w:val="400"/>
        </w:trPr>
        <w:tc>
          <w:tcPr>
            <w:tcW w:w="516" w:type="pct"/>
            <w:vAlign w:val="center"/>
          </w:tcPr>
          <w:p w:rsidR="00DC4ACB" w:rsidRDefault="004F25B4" w:rsidP="00965AF0">
            <w:pPr>
              <w:spacing w:beforeLines="25" w:before="60" w:afterLines="25" w:after="60"/>
              <w:jc w:val="center"/>
              <w:rPr>
                <w:rFonts w:eastAsia="標楷體"/>
                <w:bCs/>
                <w:sz w:val="26"/>
              </w:rPr>
            </w:pPr>
            <w:r w:rsidRPr="004F25B4">
              <w:rPr>
                <w:rFonts w:eastAsia="標楷體"/>
                <w:bCs/>
                <w:sz w:val="26"/>
              </w:rPr>
              <w:t>1</w:t>
            </w:r>
          </w:p>
        </w:tc>
        <w:tc>
          <w:tcPr>
            <w:tcW w:w="1202" w:type="pct"/>
            <w:vAlign w:val="center"/>
          </w:tcPr>
          <w:p w:rsidR="00DC4ACB" w:rsidRDefault="004F25B4" w:rsidP="00965AF0">
            <w:pPr>
              <w:spacing w:beforeLines="25" w:before="60" w:afterLines="25" w:after="60"/>
              <w:jc w:val="center"/>
              <w:rPr>
                <w:rFonts w:eastAsia="標楷體"/>
                <w:bCs/>
                <w:sz w:val="26"/>
              </w:rPr>
            </w:pPr>
            <w:r w:rsidRPr="004F25B4">
              <w:rPr>
                <w:rFonts w:eastAsia="標楷體"/>
                <w:bCs/>
                <w:sz w:val="26"/>
              </w:rPr>
              <w:t>Tektronic,Inc</w:t>
            </w:r>
          </w:p>
        </w:tc>
        <w:tc>
          <w:tcPr>
            <w:tcW w:w="599" w:type="pct"/>
            <w:vAlign w:val="center"/>
          </w:tcPr>
          <w:p w:rsidR="00DC4ACB" w:rsidRDefault="00AD5750" w:rsidP="00965AF0">
            <w:pPr>
              <w:spacing w:beforeLines="25" w:before="60" w:afterLines="25" w:after="60"/>
              <w:jc w:val="center"/>
              <w:rPr>
                <w:rFonts w:eastAsia="標楷體"/>
                <w:sz w:val="26"/>
              </w:rPr>
            </w:pPr>
            <w:r>
              <w:rPr>
                <w:rFonts w:eastAsia="標楷體" w:hint="eastAsia"/>
                <w:sz w:val="26"/>
              </w:rPr>
              <w:t>美國</w:t>
            </w:r>
          </w:p>
        </w:tc>
        <w:tc>
          <w:tcPr>
            <w:tcW w:w="743" w:type="pct"/>
            <w:vAlign w:val="center"/>
          </w:tcPr>
          <w:p w:rsidR="00DC4ACB" w:rsidRDefault="00AD5750" w:rsidP="00965AF0">
            <w:pPr>
              <w:spacing w:beforeLines="25" w:before="60" w:afterLines="25" w:after="60"/>
              <w:jc w:val="center"/>
              <w:rPr>
                <w:rFonts w:eastAsia="標楷體"/>
                <w:sz w:val="26"/>
              </w:rPr>
            </w:pPr>
            <w:r>
              <w:rPr>
                <w:rFonts w:eastAsia="標楷體" w:hint="eastAsia"/>
                <w:sz w:val="26"/>
              </w:rPr>
              <w:t>母公司</w:t>
            </w:r>
          </w:p>
        </w:tc>
        <w:tc>
          <w:tcPr>
            <w:tcW w:w="1611" w:type="pct"/>
            <w:vAlign w:val="center"/>
          </w:tcPr>
          <w:p w:rsidR="00DC4ACB" w:rsidRDefault="00AD5750" w:rsidP="00965AF0">
            <w:pPr>
              <w:spacing w:beforeLines="25" w:before="60" w:afterLines="25" w:after="60"/>
              <w:jc w:val="both"/>
              <w:rPr>
                <w:rFonts w:eastAsia="標楷體"/>
                <w:sz w:val="26"/>
              </w:rPr>
            </w:pPr>
            <w:r>
              <w:rPr>
                <w:rFonts w:eastAsia="標楷體" w:hint="eastAsia"/>
                <w:sz w:val="26"/>
              </w:rPr>
              <w:t>母公司持有太克科技</w:t>
            </w:r>
            <w:r>
              <w:rPr>
                <w:rFonts w:eastAsia="標楷體" w:hint="eastAsia"/>
                <w:sz w:val="26"/>
              </w:rPr>
              <w:t>100</w:t>
            </w:r>
            <w:r>
              <w:rPr>
                <w:rFonts w:eastAsia="標楷體" w:hint="eastAsia"/>
                <w:sz w:val="26"/>
              </w:rPr>
              <w:t>％股權</w:t>
            </w:r>
          </w:p>
        </w:tc>
        <w:tc>
          <w:tcPr>
            <w:tcW w:w="329" w:type="pct"/>
            <w:vAlign w:val="center"/>
          </w:tcPr>
          <w:p w:rsidR="00DC4ACB" w:rsidRDefault="00AD5750" w:rsidP="00965AF0">
            <w:pPr>
              <w:spacing w:beforeLines="25" w:before="60" w:afterLines="25" w:after="60"/>
              <w:ind w:left="-108" w:right="-71"/>
              <w:jc w:val="center"/>
              <w:rPr>
                <w:rFonts w:eastAsia="標楷體"/>
                <w:b/>
                <w:bCs/>
                <w:sz w:val="26"/>
              </w:rPr>
            </w:pPr>
            <w:r>
              <w:rPr>
                <w:rFonts w:eastAsia="標楷體" w:hint="eastAsia"/>
                <w:b/>
                <w:bCs/>
                <w:sz w:val="26"/>
              </w:rPr>
              <w:t>1b</w:t>
            </w:r>
          </w:p>
        </w:tc>
      </w:tr>
      <w:tr w:rsidR="00C93758" w:rsidRPr="00EA272E" w:rsidTr="008D321D">
        <w:tc>
          <w:tcPr>
            <w:tcW w:w="516" w:type="pct"/>
            <w:vAlign w:val="center"/>
          </w:tcPr>
          <w:p w:rsidR="00DC4ACB" w:rsidRDefault="004F25B4" w:rsidP="00965AF0">
            <w:pPr>
              <w:spacing w:beforeLines="25" w:before="60" w:afterLines="25" w:after="60"/>
              <w:jc w:val="center"/>
              <w:rPr>
                <w:rFonts w:eastAsia="標楷體"/>
                <w:bCs/>
                <w:sz w:val="26"/>
              </w:rPr>
            </w:pPr>
            <w:r w:rsidRPr="004F25B4">
              <w:rPr>
                <w:rFonts w:eastAsia="標楷體"/>
                <w:bCs/>
                <w:sz w:val="26"/>
              </w:rPr>
              <w:t>2</w:t>
            </w:r>
          </w:p>
        </w:tc>
        <w:tc>
          <w:tcPr>
            <w:tcW w:w="1202" w:type="pct"/>
            <w:vAlign w:val="center"/>
          </w:tcPr>
          <w:p w:rsidR="00DC4ACB" w:rsidRDefault="004F25B4" w:rsidP="00965AF0">
            <w:pPr>
              <w:spacing w:beforeLines="25" w:before="60" w:afterLines="25" w:after="60"/>
              <w:jc w:val="center"/>
              <w:rPr>
                <w:rFonts w:eastAsia="標楷體"/>
                <w:bCs/>
                <w:sz w:val="26"/>
              </w:rPr>
            </w:pPr>
            <w:r w:rsidRPr="004F25B4">
              <w:rPr>
                <w:rFonts w:eastAsia="標楷體"/>
                <w:bCs/>
                <w:sz w:val="26"/>
              </w:rPr>
              <w:t>Tektronix International Sale GmbH</w:t>
            </w:r>
          </w:p>
        </w:tc>
        <w:tc>
          <w:tcPr>
            <w:tcW w:w="599" w:type="pct"/>
            <w:vAlign w:val="center"/>
          </w:tcPr>
          <w:p w:rsidR="00DC4ACB" w:rsidRDefault="004E2126" w:rsidP="00965AF0">
            <w:pPr>
              <w:spacing w:beforeLines="25" w:before="60" w:afterLines="25" w:after="60"/>
              <w:jc w:val="center"/>
              <w:rPr>
                <w:rFonts w:eastAsia="標楷體"/>
                <w:sz w:val="26"/>
              </w:rPr>
            </w:pPr>
            <w:r w:rsidRPr="009555A9">
              <w:rPr>
                <w:rFonts w:eastAsia="標楷體" w:hint="eastAsia"/>
                <w:sz w:val="26"/>
              </w:rPr>
              <w:t>瑞士</w:t>
            </w:r>
          </w:p>
        </w:tc>
        <w:tc>
          <w:tcPr>
            <w:tcW w:w="743" w:type="pct"/>
            <w:vAlign w:val="center"/>
          </w:tcPr>
          <w:p w:rsidR="00DC4ACB" w:rsidRDefault="004E2126" w:rsidP="00965AF0">
            <w:pPr>
              <w:spacing w:beforeLines="25" w:before="60" w:afterLines="25" w:after="60"/>
              <w:jc w:val="center"/>
              <w:rPr>
                <w:rFonts w:eastAsia="標楷體"/>
                <w:sz w:val="26"/>
              </w:rPr>
            </w:pPr>
            <w:r>
              <w:rPr>
                <w:rFonts w:eastAsia="標楷體" w:hint="eastAsia"/>
                <w:sz w:val="26"/>
              </w:rPr>
              <w:t>TIS</w:t>
            </w:r>
          </w:p>
        </w:tc>
        <w:tc>
          <w:tcPr>
            <w:tcW w:w="1611" w:type="pct"/>
            <w:vAlign w:val="center"/>
          </w:tcPr>
          <w:p w:rsidR="00DC4ACB" w:rsidRDefault="00FC0AA3" w:rsidP="00965AF0">
            <w:pPr>
              <w:spacing w:beforeLines="25" w:before="60" w:afterLines="25" w:after="60"/>
              <w:jc w:val="both"/>
              <w:rPr>
                <w:rFonts w:eastAsia="標楷體"/>
                <w:b/>
                <w:bCs/>
                <w:sz w:val="26"/>
              </w:rPr>
            </w:pPr>
            <w:r>
              <w:rPr>
                <w:rFonts w:eastAsia="標楷體" w:hint="eastAsia"/>
                <w:sz w:val="26"/>
              </w:rPr>
              <w:t>TIS</w:t>
            </w:r>
            <w:r w:rsidR="004E2126" w:rsidRPr="00752CF9">
              <w:rPr>
                <w:rFonts w:eastAsia="標楷體" w:hint="eastAsia"/>
                <w:sz w:val="26"/>
              </w:rPr>
              <w:t>與太克科技</w:t>
            </w:r>
            <w:r w:rsidR="004E2126">
              <w:rPr>
                <w:rFonts w:eastAsia="標楷體" w:hint="eastAsia"/>
                <w:sz w:val="26"/>
              </w:rPr>
              <w:t>被相同之人直接或間接持有超過</w:t>
            </w:r>
            <w:r w:rsidR="004E2126">
              <w:rPr>
                <w:rFonts w:eastAsia="標楷體" w:hint="eastAsia"/>
                <w:sz w:val="26"/>
              </w:rPr>
              <w:t>20</w:t>
            </w:r>
            <w:r w:rsidR="004E2126">
              <w:rPr>
                <w:rFonts w:eastAsia="標楷體" w:hint="eastAsia"/>
                <w:sz w:val="26"/>
              </w:rPr>
              <w:t>％有表決權之股份。</w:t>
            </w:r>
          </w:p>
        </w:tc>
        <w:tc>
          <w:tcPr>
            <w:tcW w:w="329" w:type="pct"/>
            <w:vAlign w:val="center"/>
          </w:tcPr>
          <w:p w:rsidR="00DC4ACB" w:rsidRDefault="004E2126" w:rsidP="00965AF0">
            <w:pPr>
              <w:spacing w:beforeLines="25" w:before="60" w:afterLines="25" w:after="60"/>
              <w:ind w:left="-108" w:right="-71"/>
              <w:jc w:val="center"/>
              <w:rPr>
                <w:rFonts w:eastAsia="標楷體"/>
                <w:b/>
                <w:bCs/>
                <w:sz w:val="26"/>
              </w:rPr>
            </w:pPr>
            <w:r>
              <w:rPr>
                <w:rFonts w:eastAsia="標楷體" w:hint="eastAsia"/>
                <w:b/>
                <w:bCs/>
                <w:sz w:val="26"/>
              </w:rPr>
              <w:t>2</w:t>
            </w:r>
          </w:p>
        </w:tc>
      </w:tr>
      <w:tr w:rsidR="00C93758" w:rsidRPr="00EA272E" w:rsidTr="008D321D">
        <w:trPr>
          <w:trHeight w:val="210"/>
        </w:trPr>
        <w:tc>
          <w:tcPr>
            <w:tcW w:w="516" w:type="pct"/>
            <w:vAlign w:val="center"/>
          </w:tcPr>
          <w:p w:rsidR="00DC4ACB" w:rsidRDefault="004F25B4" w:rsidP="00965AF0">
            <w:pPr>
              <w:spacing w:beforeLines="25" w:before="60" w:afterLines="25" w:after="60"/>
              <w:jc w:val="center"/>
              <w:rPr>
                <w:rFonts w:eastAsia="標楷體"/>
                <w:bCs/>
                <w:sz w:val="26"/>
              </w:rPr>
            </w:pPr>
            <w:r w:rsidRPr="004F25B4">
              <w:rPr>
                <w:rFonts w:eastAsia="標楷體"/>
                <w:bCs/>
                <w:sz w:val="26"/>
              </w:rPr>
              <w:t>3</w:t>
            </w:r>
          </w:p>
        </w:tc>
        <w:tc>
          <w:tcPr>
            <w:tcW w:w="1202" w:type="pct"/>
            <w:shd w:val="clear" w:color="auto" w:fill="auto"/>
            <w:vAlign w:val="center"/>
          </w:tcPr>
          <w:p w:rsidR="00DC4ACB" w:rsidRDefault="005F7C06" w:rsidP="00965AF0">
            <w:pPr>
              <w:spacing w:beforeLines="25" w:before="60" w:afterLines="25" w:after="60"/>
              <w:jc w:val="center"/>
              <w:rPr>
                <w:rFonts w:eastAsia="標楷體"/>
                <w:bCs/>
                <w:color w:val="FF0000"/>
                <w:sz w:val="26"/>
              </w:rPr>
            </w:pPr>
            <w:r w:rsidRPr="004F25B4">
              <w:rPr>
                <w:rFonts w:eastAsia="標楷體"/>
                <w:bCs/>
                <w:sz w:val="26"/>
              </w:rPr>
              <w:t>Tektronix</w:t>
            </w:r>
            <w:r>
              <w:rPr>
                <w:rFonts w:eastAsia="標楷體" w:hint="eastAsia"/>
                <w:bCs/>
                <w:sz w:val="26"/>
              </w:rPr>
              <w:t xml:space="preserve"> China Trading</w:t>
            </w:r>
          </w:p>
        </w:tc>
        <w:tc>
          <w:tcPr>
            <w:tcW w:w="599" w:type="pct"/>
            <w:shd w:val="clear" w:color="auto" w:fill="auto"/>
            <w:vAlign w:val="center"/>
          </w:tcPr>
          <w:p w:rsidR="00DC4ACB" w:rsidRDefault="005F7C06" w:rsidP="00965AF0">
            <w:pPr>
              <w:spacing w:beforeLines="25" w:before="60" w:afterLines="25" w:after="60"/>
              <w:jc w:val="center"/>
              <w:rPr>
                <w:rFonts w:eastAsia="標楷體"/>
                <w:color w:val="FF0000"/>
                <w:sz w:val="26"/>
              </w:rPr>
            </w:pPr>
            <w:r w:rsidRPr="005F7C06">
              <w:rPr>
                <w:rFonts w:eastAsia="標楷體" w:hint="eastAsia"/>
                <w:sz w:val="26"/>
              </w:rPr>
              <w:t>中國</w:t>
            </w:r>
          </w:p>
        </w:tc>
        <w:tc>
          <w:tcPr>
            <w:tcW w:w="743" w:type="pct"/>
            <w:shd w:val="clear" w:color="auto" w:fill="auto"/>
            <w:vAlign w:val="center"/>
          </w:tcPr>
          <w:p w:rsidR="00DC4ACB" w:rsidRDefault="005F7C06" w:rsidP="00965AF0">
            <w:pPr>
              <w:spacing w:beforeLines="25" w:before="60" w:afterLines="25" w:after="60"/>
              <w:jc w:val="center"/>
              <w:rPr>
                <w:rFonts w:eastAsia="標楷體"/>
                <w:color w:val="FF0000"/>
                <w:sz w:val="26"/>
              </w:rPr>
            </w:pPr>
            <w:r w:rsidRPr="005F7C06">
              <w:rPr>
                <w:rFonts w:eastAsia="標楷體" w:hint="eastAsia"/>
                <w:sz w:val="26"/>
              </w:rPr>
              <w:t>TCT</w:t>
            </w:r>
          </w:p>
        </w:tc>
        <w:tc>
          <w:tcPr>
            <w:tcW w:w="1611" w:type="pct"/>
            <w:shd w:val="clear" w:color="auto" w:fill="auto"/>
            <w:vAlign w:val="center"/>
          </w:tcPr>
          <w:p w:rsidR="00DC4ACB" w:rsidRDefault="005F7C06" w:rsidP="00965AF0">
            <w:pPr>
              <w:spacing w:beforeLines="25" w:before="60" w:afterLines="25" w:after="60"/>
              <w:jc w:val="both"/>
              <w:rPr>
                <w:rFonts w:eastAsia="標楷體"/>
                <w:color w:val="FF0000"/>
                <w:sz w:val="26"/>
              </w:rPr>
            </w:pPr>
            <w:r>
              <w:rPr>
                <w:rFonts w:eastAsia="標楷體" w:hint="eastAsia"/>
                <w:sz w:val="26"/>
              </w:rPr>
              <w:t>TIS</w:t>
            </w:r>
            <w:r w:rsidRPr="00752CF9">
              <w:rPr>
                <w:rFonts w:eastAsia="標楷體" w:hint="eastAsia"/>
                <w:sz w:val="26"/>
              </w:rPr>
              <w:t>與太克科技</w:t>
            </w:r>
            <w:r>
              <w:rPr>
                <w:rFonts w:eastAsia="標楷體" w:hint="eastAsia"/>
                <w:sz w:val="26"/>
              </w:rPr>
              <w:t>被相同之人直接或間接持有超過</w:t>
            </w:r>
            <w:r>
              <w:rPr>
                <w:rFonts w:eastAsia="標楷體" w:hint="eastAsia"/>
                <w:sz w:val="26"/>
              </w:rPr>
              <w:t>20</w:t>
            </w:r>
            <w:r>
              <w:rPr>
                <w:rFonts w:eastAsia="標楷體" w:hint="eastAsia"/>
                <w:sz w:val="26"/>
              </w:rPr>
              <w:t>％有表決權之股份。</w:t>
            </w:r>
          </w:p>
        </w:tc>
        <w:tc>
          <w:tcPr>
            <w:tcW w:w="329" w:type="pct"/>
            <w:shd w:val="clear" w:color="auto" w:fill="auto"/>
            <w:vAlign w:val="center"/>
          </w:tcPr>
          <w:p w:rsidR="0032590C" w:rsidRDefault="00267C2B" w:rsidP="00965AF0">
            <w:pPr>
              <w:spacing w:beforeLines="25" w:before="60" w:afterLines="25" w:after="60"/>
              <w:ind w:left="-108" w:right="-71"/>
              <w:jc w:val="center"/>
              <w:rPr>
                <w:rFonts w:eastAsia="標楷體"/>
                <w:b/>
                <w:bCs/>
                <w:sz w:val="26"/>
              </w:rPr>
            </w:pPr>
            <w:r w:rsidRPr="00267C2B">
              <w:rPr>
                <w:rFonts w:eastAsia="標楷體"/>
                <w:b/>
                <w:bCs/>
                <w:sz w:val="26"/>
              </w:rPr>
              <w:t>2</w:t>
            </w:r>
          </w:p>
        </w:tc>
      </w:tr>
      <w:tr w:rsidR="00C93758" w:rsidRPr="00EA272E" w:rsidTr="008D321D">
        <w:trPr>
          <w:trHeight w:val="340"/>
        </w:trPr>
        <w:tc>
          <w:tcPr>
            <w:tcW w:w="516" w:type="pct"/>
            <w:vAlign w:val="center"/>
          </w:tcPr>
          <w:p w:rsidR="00DC4ACB" w:rsidRDefault="004F25B4" w:rsidP="00965AF0">
            <w:pPr>
              <w:spacing w:beforeLines="25" w:before="60" w:afterLines="25" w:after="60"/>
              <w:jc w:val="center"/>
              <w:rPr>
                <w:rFonts w:eastAsia="標楷體"/>
                <w:bCs/>
                <w:sz w:val="26"/>
              </w:rPr>
            </w:pPr>
            <w:r w:rsidRPr="004F25B4">
              <w:rPr>
                <w:rFonts w:eastAsia="標楷體"/>
                <w:bCs/>
                <w:sz w:val="26"/>
              </w:rPr>
              <w:t>4</w:t>
            </w:r>
          </w:p>
        </w:tc>
        <w:tc>
          <w:tcPr>
            <w:tcW w:w="1202" w:type="pct"/>
            <w:shd w:val="clear" w:color="auto" w:fill="auto"/>
            <w:vAlign w:val="center"/>
          </w:tcPr>
          <w:p w:rsidR="00DC4ACB" w:rsidRDefault="004F25B4" w:rsidP="00965AF0">
            <w:pPr>
              <w:spacing w:beforeLines="25" w:before="60" w:afterLines="25" w:after="60"/>
              <w:jc w:val="center"/>
              <w:rPr>
                <w:rFonts w:eastAsia="標楷體"/>
                <w:bCs/>
                <w:sz w:val="26"/>
              </w:rPr>
            </w:pPr>
            <w:r w:rsidRPr="004F25B4">
              <w:rPr>
                <w:rFonts w:eastAsia="標楷體"/>
                <w:bCs/>
                <w:sz w:val="26"/>
              </w:rPr>
              <w:t>Tektronix International Inc.</w:t>
            </w:r>
          </w:p>
        </w:tc>
        <w:tc>
          <w:tcPr>
            <w:tcW w:w="599" w:type="pct"/>
            <w:shd w:val="clear" w:color="auto" w:fill="auto"/>
            <w:vAlign w:val="center"/>
          </w:tcPr>
          <w:p w:rsidR="00DC4ACB" w:rsidRDefault="00855CD6" w:rsidP="00965AF0">
            <w:pPr>
              <w:spacing w:beforeLines="25" w:before="60" w:afterLines="25" w:after="60"/>
              <w:jc w:val="center"/>
              <w:rPr>
                <w:rFonts w:eastAsia="標楷體"/>
                <w:sz w:val="26"/>
              </w:rPr>
            </w:pPr>
            <w:r>
              <w:rPr>
                <w:rFonts w:eastAsia="標楷體" w:hint="eastAsia"/>
                <w:sz w:val="26"/>
              </w:rPr>
              <w:t>美國</w:t>
            </w:r>
          </w:p>
        </w:tc>
        <w:tc>
          <w:tcPr>
            <w:tcW w:w="743" w:type="pct"/>
            <w:shd w:val="clear" w:color="auto" w:fill="auto"/>
            <w:vAlign w:val="center"/>
          </w:tcPr>
          <w:p w:rsidR="00DC4ACB" w:rsidRDefault="00855CD6" w:rsidP="00965AF0">
            <w:pPr>
              <w:spacing w:beforeLines="25" w:before="60" w:afterLines="25" w:after="60"/>
              <w:jc w:val="center"/>
              <w:rPr>
                <w:rFonts w:eastAsia="標楷體"/>
                <w:b/>
                <w:bCs/>
                <w:sz w:val="26"/>
              </w:rPr>
            </w:pPr>
            <w:r w:rsidRPr="009555A9">
              <w:rPr>
                <w:rFonts w:eastAsia="標楷體" w:hint="eastAsia"/>
                <w:sz w:val="26"/>
              </w:rPr>
              <w:t>TII</w:t>
            </w:r>
          </w:p>
        </w:tc>
        <w:tc>
          <w:tcPr>
            <w:tcW w:w="1611" w:type="pct"/>
            <w:shd w:val="clear" w:color="auto" w:fill="auto"/>
            <w:vAlign w:val="center"/>
          </w:tcPr>
          <w:p w:rsidR="00DC4ACB" w:rsidRDefault="00855CD6" w:rsidP="00965AF0">
            <w:pPr>
              <w:spacing w:beforeLines="25" w:before="60" w:afterLines="25" w:after="60"/>
              <w:jc w:val="both"/>
              <w:rPr>
                <w:rFonts w:eastAsia="標楷體"/>
                <w:b/>
                <w:bCs/>
                <w:sz w:val="26"/>
              </w:rPr>
            </w:pPr>
            <w:r w:rsidRPr="00F81C66">
              <w:rPr>
                <w:rFonts w:eastAsia="標楷體" w:hint="eastAsia"/>
                <w:sz w:val="26"/>
              </w:rPr>
              <w:t>TII</w:t>
            </w:r>
            <w:r w:rsidRPr="00F81C66">
              <w:rPr>
                <w:rFonts w:eastAsia="標楷體" w:hint="eastAsia"/>
                <w:sz w:val="26"/>
              </w:rPr>
              <w:t>與太克科技被相同之人直接或間接持有</w:t>
            </w:r>
            <w:r>
              <w:rPr>
                <w:rFonts w:eastAsia="標楷體" w:hint="eastAsia"/>
                <w:sz w:val="26"/>
              </w:rPr>
              <w:t>超過</w:t>
            </w:r>
            <w:r>
              <w:rPr>
                <w:rFonts w:eastAsia="標楷體" w:hint="eastAsia"/>
                <w:sz w:val="26"/>
              </w:rPr>
              <w:t>20</w:t>
            </w:r>
            <w:r w:rsidRPr="00F81C66">
              <w:rPr>
                <w:rFonts w:eastAsia="標楷體" w:hint="eastAsia"/>
                <w:sz w:val="26"/>
              </w:rPr>
              <w:t>％有表決權之股份</w:t>
            </w:r>
            <w:r>
              <w:rPr>
                <w:rFonts w:eastAsia="標楷體" w:hint="eastAsia"/>
                <w:sz w:val="26"/>
              </w:rPr>
              <w:t>。</w:t>
            </w:r>
          </w:p>
        </w:tc>
        <w:tc>
          <w:tcPr>
            <w:tcW w:w="329" w:type="pct"/>
            <w:shd w:val="clear" w:color="auto" w:fill="auto"/>
            <w:vAlign w:val="center"/>
          </w:tcPr>
          <w:p w:rsidR="00DC4ACB" w:rsidRDefault="00855CD6" w:rsidP="00965AF0">
            <w:pPr>
              <w:spacing w:beforeLines="25" w:before="60" w:afterLines="25" w:after="60"/>
              <w:ind w:left="-108" w:right="-71"/>
              <w:jc w:val="center"/>
              <w:rPr>
                <w:rFonts w:eastAsia="標楷體"/>
                <w:b/>
                <w:bCs/>
                <w:sz w:val="26"/>
              </w:rPr>
            </w:pPr>
            <w:r>
              <w:rPr>
                <w:rFonts w:eastAsia="標楷體" w:hint="eastAsia"/>
                <w:b/>
                <w:bCs/>
                <w:sz w:val="26"/>
              </w:rPr>
              <w:t>2</w:t>
            </w:r>
          </w:p>
        </w:tc>
      </w:tr>
      <w:tr w:rsidR="00C93758" w:rsidRPr="00EA272E" w:rsidTr="008D321D">
        <w:trPr>
          <w:trHeight w:val="340"/>
        </w:trPr>
        <w:tc>
          <w:tcPr>
            <w:tcW w:w="516" w:type="pct"/>
            <w:vAlign w:val="center"/>
          </w:tcPr>
          <w:p w:rsidR="00DC4ACB" w:rsidRDefault="004F25B4" w:rsidP="00965AF0">
            <w:pPr>
              <w:spacing w:beforeLines="25" w:before="60" w:afterLines="25" w:after="60"/>
              <w:jc w:val="center"/>
              <w:rPr>
                <w:rFonts w:eastAsia="標楷體"/>
                <w:bCs/>
                <w:sz w:val="26"/>
              </w:rPr>
            </w:pPr>
            <w:r w:rsidRPr="004F25B4">
              <w:rPr>
                <w:rFonts w:eastAsia="標楷體"/>
                <w:bCs/>
                <w:sz w:val="26"/>
              </w:rPr>
              <w:t>5</w:t>
            </w:r>
          </w:p>
        </w:tc>
        <w:tc>
          <w:tcPr>
            <w:tcW w:w="1202" w:type="pct"/>
            <w:shd w:val="clear" w:color="auto" w:fill="auto"/>
            <w:vAlign w:val="center"/>
          </w:tcPr>
          <w:p w:rsidR="00DC4ACB" w:rsidRDefault="004F25B4" w:rsidP="00965AF0">
            <w:pPr>
              <w:spacing w:beforeLines="25" w:before="60" w:afterLines="25" w:after="60"/>
              <w:jc w:val="center"/>
              <w:rPr>
                <w:rFonts w:eastAsia="標楷體"/>
                <w:bCs/>
                <w:sz w:val="26"/>
              </w:rPr>
            </w:pPr>
            <w:r w:rsidRPr="004F25B4">
              <w:rPr>
                <w:rFonts w:eastAsia="標楷體"/>
                <w:bCs/>
                <w:sz w:val="26"/>
              </w:rPr>
              <w:t>Fluke Southeast Asia Pte.</w:t>
            </w:r>
          </w:p>
        </w:tc>
        <w:tc>
          <w:tcPr>
            <w:tcW w:w="599" w:type="pct"/>
            <w:shd w:val="clear" w:color="auto" w:fill="auto"/>
            <w:vAlign w:val="center"/>
          </w:tcPr>
          <w:p w:rsidR="0032590C" w:rsidRDefault="00855CD6" w:rsidP="00965AF0">
            <w:pPr>
              <w:spacing w:beforeLines="25" w:before="60" w:afterLines="25" w:after="60"/>
              <w:jc w:val="center"/>
              <w:rPr>
                <w:rFonts w:eastAsia="標楷體"/>
                <w:sz w:val="26"/>
              </w:rPr>
            </w:pPr>
            <w:r>
              <w:rPr>
                <w:rFonts w:eastAsia="標楷體" w:hint="eastAsia"/>
                <w:sz w:val="26"/>
              </w:rPr>
              <w:t>新加坡</w:t>
            </w:r>
          </w:p>
        </w:tc>
        <w:tc>
          <w:tcPr>
            <w:tcW w:w="743" w:type="pct"/>
            <w:shd w:val="clear" w:color="auto" w:fill="auto"/>
            <w:vAlign w:val="center"/>
          </w:tcPr>
          <w:p w:rsidR="0032590C" w:rsidRDefault="00855CD6" w:rsidP="00965AF0">
            <w:pPr>
              <w:spacing w:beforeLines="25" w:before="60" w:afterLines="25" w:after="60"/>
              <w:jc w:val="center"/>
              <w:rPr>
                <w:rFonts w:eastAsia="標楷體"/>
                <w:sz w:val="26"/>
              </w:rPr>
            </w:pPr>
            <w:r w:rsidRPr="004E2126">
              <w:rPr>
                <w:rFonts w:eastAsia="標楷體"/>
                <w:sz w:val="26"/>
              </w:rPr>
              <w:t>Fluke</w:t>
            </w:r>
            <w:r w:rsidR="00675FCB">
              <w:rPr>
                <w:rFonts w:eastAsia="標楷體" w:hint="eastAsia"/>
                <w:sz w:val="26"/>
              </w:rPr>
              <w:t xml:space="preserve"> SEA</w:t>
            </w:r>
          </w:p>
        </w:tc>
        <w:tc>
          <w:tcPr>
            <w:tcW w:w="1611" w:type="pct"/>
            <w:shd w:val="clear" w:color="auto" w:fill="auto"/>
          </w:tcPr>
          <w:p w:rsidR="0032590C" w:rsidRDefault="00675FCB" w:rsidP="00965AF0">
            <w:pPr>
              <w:spacing w:beforeLines="25" w:before="60" w:afterLines="25" w:after="60"/>
              <w:jc w:val="both"/>
              <w:rPr>
                <w:rFonts w:eastAsia="標楷體"/>
                <w:b/>
                <w:bCs/>
                <w:sz w:val="26"/>
              </w:rPr>
            </w:pPr>
            <w:r>
              <w:rPr>
                <w:rFonts w:eastAsia="標楷體"/>
                <w:sz w:val="26"/>
              </w:rPr>
              <w:t>Fluke SEA</w:t>
            </w:r>
            <w:r w:rsidR="00855CD6" w:rsidRPr="00F81C66">
              <w:rPr>
                <w:rFonts w:eastAsia="標楷體" w:hint="eastAsia"/>
                <w:sz w:val="26"/>
              </w:rPr>
              <w:t>與太克科技被相同之人直接或間接持有</w:t>
            </w:r>
            <w:r w:rsidR="00855CD6">
              <w:rPr>
                <w:rFonts w:eastAsia="標楷體" w:hint="eastAsia"/>
                <w:sz w:val="26"/>
              </w:rPr>
              <w:t>超過</w:t>
            </w:r>
            <w:r w:rsidR="00855CD6">
              <w:rPr>
                <w:rFonts w:eastAsia="標楷體" w:hint="eastAsia"/>
                <w:sz w:val="26"/>
              </w:rPr>
              <w:t>20</w:t>
            </w:r>
            <w:r w:rsidR="00855CD6" w:rsidRPr="00F81C66">
              <w:rPr>
                <w:rFonts w:eastAsia="標楷體" w:hint="eastAsia"/>
                <w:sz w:val="26"/>
              </w:rPr>
              <w:t>％有表決權之股份</w:t>
            </w:r>
            <w:r w:rsidR="00855CD6">
              <w:rPr>
                <w:rFonts w:eastAsia="標楷體" w:hint="eastAsia"/>
                <w:sz w:val="26"/>
              </w:rPr>
              <w:t>。</w:t>
            </w:r>
          </w:p>
        </w:tc>
        <w:tc>
          <w:tcPr>
            <w:tcW w:w="329" w:type="pct"/>
            <w:shd w:val="clear" w:color="auto" w:fill="auto"/>
            <w:vAlign w:val="center"/>
          </w:tcPr>
          <w:p w:rsidR="0032590C" w:rsidRDefault="00855CD6" w:rsidP="00965AF0">
            <w:pPr>
              <w:spacing w:beforeLines="25" w:before="60" w:afterLines="25" w:after="60"/>
              <w:ind w:left="-108" w:right="-71"/>
              <w:jc w:val="center"/>
              <w:rPr>
                <w:rFonts w:eastAsia="標楷體"/>
                <w:b/>
                <w:bCs/>
                <w:sz w:val="26"/>
              </w:rPr>
            </w:pPr>
            <w:r>
              <w:rPr>
                <w:rFonts w:eastAsia="標楷體" w:hint="eastAsia"/>
                <w:b/>
                <w:bCs/>
                <w:sz w:val="26"/>
              </w:rPr>
              <w:t>2</w:t>
            </w:r>
          </w:p>
        </w:tc>
      </w:tr>
      <w:tr w:rsidR="00C93758" w:rsidRPr="00EA272E" w:rsidTr="008D321D">
        <w:trPr>
          <w:trHeight w:val="340"/>
        </w:trPr>
        <w:tc>
          <w:tcPr>
            <w:tcW w:w="516" w:type="pct"/>
            <w:vAlign w:val="center"/>
          </w:tcPr>
          <w:p w:rsidR="00DC4ACB" w:rsidRDefault="004F25B4" w:rsidP="00965AF0">
            <w:pPr>
              <w:spacing w:beforeLines="25" w:before="60" w:afterLines="25" w:after="60"/>
              <w:jc w:val="center"/>
              <w:rPr>
                <w:rFonts w:eastAsia="標楷體"/>
                <w:bCs/>
                <w:sz w:val="26"/>
              </w:rPr>
            </w:pPr>
            <w:r w:rsidRPr="004F25B4">
              <w:rPr>
                <w:rFonts w:eastAsia="標楷體"/>
                <w:bCs/>
                <w:sz w:val="26"/>
              </w:rPr>
              <w:t>6</w:t>
            </w:r>
          </w:p>
        </w:tc>
        <w:tc>
          <w:tcPr>
            <w:tcW w:w="1202" w:type="pct"/>
            <w:shd w:val="clear" w:color="auto" w:fill="auto"/>
            <w:vAlign w:val="center"/>
          </w:tcPr>
          <w:p w:rsidR="0032590C" w:rsidRDefault="004F25B4" w:rsidP="00965AF0">
            <w:pPr>
              <w:spacing w:beforeLines="25" w:before="60" w:afterLines="25" w:after="60"/>
              <w:jc w:val="center"/>
              <w:rPr>
                <w:rFonts w:eastAsia="標楷體"/>
                <w:bCs/>
                <w:sz w:val="26"/>
              </w:rPr>
            </w:pPr>
            <w:r w:rsidRPr="004F25B4">
              <w:rPr>
                <w:rFonts w:eastAsia="標楷體"/>
                <w:bCs/>
                <w:sz w:val="26"/>
              </w:rPr>
              <w:t>KaVo Taiwan Ltd.</w:t>
            </w:r>
          </w:p>
        </w:tc>
        <w:tc>
          <w:tcPr>
            <w:tcW w:w="599" w:type="pct"/>
            <w:shd w:val="clear" w:color="auto" w:fill="auto"/>
            <w:vAlign w:val="center"/>
          </w:tcPr>
          <w:p w:rsidR="0032590C" w:rsidRDefault="001B34EB" w:rsidP="00965AF0">
            <w:pPr>
              <w:spacing w:beforeLines="25" w:before="60" w:afterLines="25" w:after="60"/>
              <w:jc w:val="center"/>
              <w:rPr>
                <w:rFonts w:eastAsia="標楷體"/>
                <w:sz w:val="26"/>
              </w:rPr>
            </w:pPr>
            <w:r>
              <w:rPr>
                <w:rFonts w:eastAsia="標楷體" w:hint="eastAsia"/>
                <w:sz w:val="26"/>
              </w:rPr>
              <w:t>台灣</w:t>
            </w:r>
          </w:p>
        </w:tc>
        <w:tc>
          <w:tcPr>
            <w:tcW w:w="743" w:type="pct"/>
            <w:shd w:val="clear" w:color="auto" w:fill="auto"/>
            <w:vAlign w:val="center"/>
          </w:tcPr>
          <w:p w:rsidR="0032590C" w:rsidRDefault="001B34EB" w:rsidP="00965AF0">
            <w:pPr>
              <w:spacing w:beforeLines="25" w:before="60" w:afterLines="25" w:after="60"/>
              <w:jc w:val="center"/>
              <w:rPr>
                <w:rFonts w:eastAsia="標楷體"/>
                <w:sz w:val="26"/>
              </w:rPr>
            </w:pPr>
            <w:r>
              <w:rPr>
                <w:rFonts w:eastAsia="標楷體" w:hint="eastAsia"/>
                <w:sz w:val="26"/>
              </w:rPr>
              <w:t>KAVO</w:t>
            </w:r>
          </w:p>
        </w:tc>
        <w:tc>
          <w:tcPr>
            <w:tcW w:w="1611" w:type="pct"/>
            <w:shd w:val="clear" w:color="auto" w:fill="auto"/>
          </w:tcPr>
          <w:p w:rsidR="0032590C" w:rsidRDefault="001B34EB" w:rsidP="00965AF0">
            <w:pPr>
              <w:spacing w:beforeLines="25" w:before="60" w:afterLines="25" w:after="60"/>
              <w:jc w:val="both"/>
              <w:rPr>
                <w:rFonts w:eastAsia="標楷體"/>
                <w:sz w:val="26"/>
              </w:rPr>
            </w:pPr>
            <w:r>
              <w:rPr>
                <w:rFonts w:eastAsia="標楷體" w:hint="eastAsia"/>
                <w:sz w:val="26"/>
              </w:rPr>
              <w:t>KAVO</w:t>
            </w:r>
            <w:r w:rsidRPr="00F81C66">
              <w:rPr>
                <w:rFonts w:eastAsia="標楷體" w:hint="eastAsia"/>
                <w:sz w:val="26"/>
              </w:rPr>
              <w:t>與太克科技被相同之人直接或間接持</w:t>
            </w:r>
            <w:r w:rsidRPr="001645B5">
              <w:rPr>
                <w:rFonts w:eastAsia="標楷體"/>
                <w:sz w:val="26"/>
              </w:rPr>
              <w:t>有超過</w:t>
            </w:r>
            <w:r w:rsidRPr="001645B5">
              <w:rPr>
                <w:rFonts w:eastAsia="標楷體"/>
                <w:sz w:val="26"/>
              </w:rPr>
              <w:t>20</w:t>
            </w:r>
            <w:r w:rsidRPr="001645B5">
              <w:rPr>
                <w:rFonts w:eastAsia="標楷體"/>
                <w:sz w:val="26"/>
              </w:rPr>
              <w:t>％以上有表決</w:t>
            </w:r>
            <w:r w:rsidRPr="00F81C66">
              <w:rPr>
                <w:rFonts w:eastAsia="標楷體" w:hint="eastAsia"/>
                <w:sz w:val="26"/>
              </w:rPr>
              <w:t>權之股份</w:t>
            </w:r>
            <w:r>
              <w:rPr>
                <w:rFonts w:eastAsia="標楷體" w:hint="eastAsia"/>
                <w:sz w:val="26"/>
              </w:rPr>
              <w:t>。</w:t>
            </w:r>
          </w:p>
        </w:tc>
        <w:tc>
          <w:tcPr>
            <w:tcW w:w="329" w:type="pct"/>
            <w:shd w:val="clear" w:color="auto" w:fill="auto"/>
            <w:vAlign w:val="center"/>
          </w:tcPr>
          <w:p w:rsidR="0032590C" w:rsidRDefault="001B34EB" w:rsidP="00965AF0">
            <w:pPr>
              <w:spacing w:beforeLines="25" w:before="60" w:afterLines="25" w:after="60"/>
              <w:ind w:left="-108" w:right="-71"/>
              <w:jc w:val="center"/>
              <w:rPr>
                <w:rFonts w:eastAsia="標楷體"/>
                <w:b/>
                <w:bCs/>
                <w:sz w:val="26"/>
              </w:rPr>
            </w:pPr>
            <w:r>
              <w:rPr>
                <w:rFonts w:eastAsia="標楷體" w:hint="eastAsia"/>
                <w:b/>
                <w:bCs/>
                <w:sz w:val="26"/>
              </w:rPr>
              <w:t>2</w:t>
            </w:r>
          </w:p>
        </w:tc>
      </w:tr>
      <w:tr w:rsidR="008D321D" w:rsidRPr="00EA272E" w:rsidTr="008D321D">
        <w:trPr>
          <w:trHeight w:val="340"/>
        </w:trPr>
        <w:tc>
          <w:tcPr>
            <w:tcW w:w="516" w:type="pct"/>
            <w:vAlign w:val="center"/>
          </w:tcPr>
          <w:p w:rsidR="008D321D" w:rsidRPr="004F25B4" w:rsidRDefault="008D321D" w:rsidP="00965AF0">
            <w:pPr>
              <w:spacing w:beforeLines="25" w:before="60" w:afterLines="25" w:after="60"/>
              <w:jc w:val="center"/>
              <w:rPr>
                <w:rFonts w:eastAsia="標楷體"/>
                <w:bCs/>
                <w:sz w:val="26"/>
              </w:rPr>
            </w:pPr>
            <w:r>
              <w:rPr>
                <w:rFonts w:eastAsia="標楷體" w:hint="eastAsia"/>
                <w:bCs/>
                <w:sz w:val="26"/>
              </w:rPr>
              <w:t>7</w:t>
            </w:r>
          </w:p>
        </w:tc>
        <w:tc>
          <w:tcPr>
            <w:tcW w:w="1202" w:type="pct"/>
            <w:shd w:val="clear" w:color="auto" w:fill="auto"/>
            <w:vAlign w:val="center"/>
          </w:tcPr>
          <w:p w:rsidR="008D321D" w:rsidRDefault="008D321D" w:rsidP="004864D6">
            <w:pPr>
              <w:spacing w:beforeLines="25" w:before="60" w:afterLines="25" w:after="60"/>
              <w:jc w:val="center"/>
              <w:rPr>
                <w:rFonts w:eastAsia="標楷體"/>
                <w:bCs/>
                <w:sz w:val="26"/>
              </w:rPr>
            </w:pPr>
            <w:r>
              <w:rPr>
                <w:rFonts w:eastAsia="標楷體" w:hint="eastAsia"/>
                <w:bCs/>
                <w:sz w:val="26"/>
              </w:rPr>
              <w:t>Sonix(Taiwan) Co.,Ltd</w:t>
            </w:r>
          </w:p>
        </w:tc>
        <w:tc>
          <w:tcPr>
            <w:tcW w:w="599" w:type="pct"/>
            <w:shd w:val="clear" w:color="auto" w:fill="auto"/>
            <w:vAlign w:val="center"/>
          </w:tcPr>
          <w:p w:rsidR="008D321D" w:rsidRDefault="008D321D" w:rsidP="004864D6">
            <w:pPr>
              <w:spacing w:beforeLines="25" w:before="60" w:afterLines="25" w:after="60"/>
              <w:jc w:val="center"/>
              <w:rPr>
                <w:rFonts w:eastAsia="標楷體"/>
                <w:sz w:val="26"/>
              </w:rPr>
            </w:pPr>
            <w:r>
              <w:rPr>
                <w:rFonts w:eastAsia="標楷體" w:hint="eastAsia"/>
                <w:sz w:val="26"/>
              </w:rPr>
              <w:t>台灣</w:t>
            </w:r>
          </w:p>
        </w:tc>
        <w:tc>
          <w:tcPr>
            <w:tcW w:w="743" w:type="pct"/>
            <w:shd w:val="clear" w:color="auto" w:fill="auto"/>
            <w:vAlign w:val="center"/>
          </w:tcPr>
          <w:p w:rsidR="008D321D" w:rsidRDefault="008D321D" w:rsidP="004864D6">
            <w:pPr>
              <w:spacing w:beforeLines="25" w:before="60" w:afterLines="25" w:after="60"/>
              <w:jc w:val="center"/>
              <w:rPr>
                <w:rFonts w:eastAsia="標楷體"/>
                <w:sz w:val="26"/>
              </w:rPr>
            </w:pPr>
            <w:r>
              <w:rPr>
                <w:rFonts w:eastAsia="標楷體" w:hint="eastAsia"/>
                <w:bCs/>
                <w:sz w:val="26"/>
              </w:rPr>
              <w:t>Sonix</w:t>
            </w:r>
          </w:p>
        </w:tc>
        <w:tc>
          <w:tcPr>
            <w:tcW w:w="1611" w:type="pct"/>
            <w:shd w:val="clear" w:color="auto" w:fill="auto"/>
          </w:tcPr>
          <w:p w:rsidR="008D321D" w:rsidRDefault="008D321D" w:rsidP="004864D6">
            <w:pPr>
              <w:spacing w:beforeLines="25" w:before="60" w:afterLines="25" w:after="60"/>
              <w:jc w:val="both"/>
              <w:rPr>
                <w:rFonts w:eastAsia="標楷體"/>
                <w:sz w:val="26"/>
              </w:rPr>
            </w:pPr>
            <w:r>
              <w:rPr>
                <w:rFonts w:eastAsia="標楷體" w:hint="eastAsia"/>
                <w:bCs/>
                <w:sz w:val="26"/>
              </w:rPr>
              <w:t>Sonix</w:t>
            </w:r>
            <w:r w:rsidRPr="00F81C66">
              <w:rPr>
                <w:rFonts w:eastAsia="標楷體" w:hint="eastAsia"/>
                <w:sz w:val="26"/>
              </w:rPr>
              <w:t>與太克科技被相同之人直接或間接</w:t>
            </w:r>
            <w:r w:rsidRPr="00F81C66">
              <w:rPr>
                <w:rFonts w:eastAsia="標楷體" w:hint="eastAsia"/>
                <w:sz w:val="26"/>
              </w:rPr>
              <w:lastRenderedPageBreak/>
              <w:t>持</w:t>
            </w:r>
            <w:r w:rsidRPr="001645B5">
              <w:rPr>
                <w:rFonts w:eastAsia="標楷體"/>
                <w:sz w:val="26"/>
              </w:rPr>
              <w:t>有超過</w:t>
            </w:r>
            <w:r w:rsidRPr="001645B5">
              <w:rPr>
                <w:rFonts w:eastAsia="標楷體"/>
                <w:sz w:val="26"/>
              </w:rPr>
              <w:t>20</w:t>
            </w:r>
            <w:r w:rsidRPr="001645B5">
              <w:rPr>
                <w:rFonts w:eastAsia="標楷體"/>
                <w:sz w:val="26"/>
              </w:rPr>
              <w:t>％以上有表決</w:t>
            </w:r>
            <w:r w:rsidRPr="00F81C66">
              <w:rPr>
                <w:rFonts w:eastAsia="標楷體" w:hint="eastAsia"/>
                <w:sz w:val="26"/>
              </w:rPr>
              <w:t>權之股份</w:t>
            </w:r>
            <w:r>
              <w:rPr>
                <w:rFonts w:eastAsia="標楷體" w:hint="eastAsia"/>
                <w:sz w:val="26"/>
              </w:rPr>
              <w:t>。</w:t>
            </w:r>
          </w:p>
        </w:tc>
        <w:tc>
          <w:tcPr>
            <w:tcW w:w="329" w:type="pct"/>
            <w:shd w:val="clear" w:color="auto" w:fill="auto"/>
            <w:vAlign w:val="center"/>
          </w:tcPr>
          <w:p w:rsidR="008D321D" w:rsidRDefault="008D321D" w:rsidP="004864D6">
            <w:pPr>
              <w:spacing w:beforeLines="25" w:before="60" w:afterLines="25" w:after="60"/>
              <w:ind w:left="-108" w:right="-71"/>
              <w:jc w:val="center"/>
              <w:rPr>
                <w:rFonts w:eastAsia="標楷體"/>
                <w:b/>
                <w:bCs/>
                <w:sz w:val="26"/>
              </w:rPr>
            </w:pPr>
            <w:r>
              <w:rPr>
                <w:rFonts w:eastAsia="標楷體" w:hint="eastAsia"/>
                <w:b/>
                <w:bCs/>
                <w:sz w:val="26"/>
              </w:rPr>
              <w:lastRenderedPageBreak/>
              <w:t>2</w:t>
            </w:r>
          </w:p>
        </w:tc>
      </w:tr>
      <w:tr w:rsidR="008D321D" w:rsidRPr="00EA272E" w:rsidTr="008D321D">
        <w:trPr>
          <w:trHeight w:val="340"/>
        </w:trPr>
        <w:tc>
          <w:tcPr>
            <w:tcW w:w="516" w:type="pct"/>
            <w:vAlign w:val="center"/>
          </w:tcPr>
          <w:p w:rsidR="008D321D" w:rsidRPr="004F25B4" w:rsidRDefault="008D321D" w:rsidP="00965AF0">
            <w:pPr>
              <w:spacing w:beforeLines="25" w:before="60" w:afterLines="25" w:after="60"/>
              <w:jc w:val="center"/>
              <w:rPr>
                <w:rFonts w:eastAsia="標楷體"/>
                <w:bCs/>
                <w:sz w:val="26"/>
              </w:rPr>
            </w:pPr>
            <w:r>
              <w:rPr>
                <w:rFonts w:eastAsia="標楷體" w:hint="eastAsia"/>
                <w:bCs/>
                <w:sz w:val="26"/>
              </w:rPr>
              <w:lastRenderedPageBreak/>
              <w:t>8</w:t>
            </w:r>
          </w:p>
        </w:tc>
        <w:tc>
          <w:tcPr>
            <w:tcW w:w="1202" w:type="pct"/>
            <w:shd w:val="clear" w:color="auto" w:fill="auto"/>
            <w:vAlign w:val="center"/>
          </w:tcPr>
          <w:p w:rsidR="008D321D" w:rsidRDefault="008D321D" w:rsidP="004864D6">
            <w:pPr>
              <w:spacing w:beforeLines="25" w:before="60" w:afterLines="25" w:after="60"/>
              <w:jc w:val="center"/>
              <w:rPr>
                <w:rFonts w:eastAsia="標楷體"/>
                <w:bCs/>
                <w:sz w:val="26"/>
              </w:rPr>
            </w:pPr>
            <w:r>
              <w:rPr>
                <w:rFonts w:eastAsia="標楷體" w:hint="eastAsia"/>
                <w:bCs/>
                <w:sz w:val="26"/>
              </w:rPr>
              <w:t>MDS Analytical Technologies(Hong Kong)</w:t>
            </w:r>
          </w:p>
        </w:tc>
        <w:tc>
          <w:tcPr>
            <w:tcW w:w="599" w:type="pct"/>
            <w:shd w:val="clear" w:color="auto" w:fill="auto"/>
            <w:vAlign w:val="center"/>
          </w:tcPr>
          <w:p w:rsidR="008D321D" w:rsidRDefault="008D321D" w:rsidP="004864D6">
            <w:pPr>
              <w:spacing w:beforeLines="25" w:before="60" w:afterLines="25" w:after="60"/>
              <w:jc w:val="center"/>
              <w:rPr>
                <w:rFonts w:eastAsia="標楷體"/>
                <w:sz w:val="26"/>
              </w:rPr>
            </w:pPr>
            <w:r>
              <w:rPr>
                <w:rFonts w:eastAsia="標楷體" w:hint="eastAsia"/>
                <w:sz w:val="26"/>
              </w:rPr>
              <w:t>香港</w:t>
            </w:r>
          </w:p>
        </w:tc>
        <w:tc>
          <w:tcPr>
            <w:tcW w:w="743" w:type="pct"/>
            <w:shd w:val="clear" w:color="auto" w:fill="auto"/>
            <w:vAlign w:val="center"/>
          </w:tcPr>
          <w:p w:rsidR="008D321D" w:rsidRDefault="008D321D" w:rsidP="004864D6">
            <w:pPr>
              <w:spacing w:beforeLines="25" w:before="60" w:afterLines="25" w:after="60"/>
              <w:jc w:val="center"/>
              <w:rPr>
                <w:rFonts w:eastAsia="標楷體"/>
                <w:sz w:val="26"/>
              </w:rPr>
            </w:pPr>
            <w:r>
              <w:rPr>
                <w:rFonts w:eastAsia="標楷體" w:hint="eastAsia"/>
                <w:sz w:val="26"/>
              </w:rPr>
              <w:t>MDS</w:t>
            </w:r>
          </w:p>
        </w:tc>
        <w:tc>
          <w:tcPr>
            <w:tcW w:w="1611" w:type="pct"/>
            <w:shd w:val="clear" w:color="auto" w:fill="auto"/>
          </w:tcPr>
          <w:p w:rsidR="008D321D" w:rsidRDefault="008D321D" w:rsidP="004864D6">
            <w:pPr>
              <w:spacing w:beforeLines="25" w:before="60" w:afterLines="25" w:after="60"/>
              <w:jc w:val="both"/>
              <w:rPr>
                <w:rFonts w:eastAsia="標楷體"/>
                <w:sz w:val="26"/>
              </w:rPr>
            </w:pPr>
            <w:r>
              <w:rPr>
                <w:rFonts w:eastAsia="標楷體" w:hint="eastAsia"/>
                <w:sz w:val="26"/>
              </w:rPr>
              <w:t>MDS</w:t>
            </w:r>
            <w:r w:rsidRPr="00F81C66">
              <w:rPr>
                <w:rFonts w:eastAsia="標楷體" w:hint="eastAsia"/>
                <w:sz w:val="26"/>
              </w:rPr>
              <w:t>與太克科技被相同之人直接或間接持</w:t>
            </w:r>
            <w:r w:rsidRPr="001645B5">
              <w:rPr>
                <w:rFonts w:eastAsia="標楷體"/>
                <w:sz w:val="26"/>
              </w:rPr>
              <w:t>有超過</w:t>
            </w:r>
            <w:r w:rsidRPr="001645B5">
              <w:rPr>
                <w:rFonts w:eastAsia="標楷體"/>
                <w:sz w:val="26"/>
              </w:rPr>
              <w:t>20</w:t>
            </w:r>
            <w:r w:rsidRPr="001645B5">
              <w:rPr>
                <w:rFonts w:eastAsia="標楷體"/>
                <w:sz w:val="26"/>
              </w:rPr>
              <w:t>％以上有表決</w:t>
            </w:r>
            <w:r w:rsidRPr="00F81C66">
              <w:rPr>
                <w:rFonts w:eastAsia="標楷體" w:hint="eastAsia"/>
                <w:sz w:val="26"/>
              </w:rPr>
              <w:t>權之股份</w:t>
            </w:r>
            <w:r>
              <w:rPr>
                <w:rFonts w:eastAsia="標楷體" w:hint="eastAsia"/>
                <w:sz w:val="26"/>
              </w:rPr>
              <w:t>。</w:t>
            </w:r>
          </w:p>
        </w:tc>
        <w:tc>
          <w:tcPr>
            <w:tcW w:w="329" w:type="pct"/>
            <w:shd w:val="clear" w:color="auto" w:fill="auto"/>
            <w:vAlign w:val="center"/>
          </w:tcPr>
          <w:p w:rsidR="008D321D" w:rsidRDefault="008D321D" w:rsidP="004864D6">
            <w:pPr>
              <w:spacing w:beforeLines="25" w:before="60" w:afterLines="25" w:after="60"/>
              <w:ind w:left="-108" w:right="-71"/>
              <w:jc w:val="center"/>
              <w:rPr>
                <w:rFonts w:eastAsia="標楷體"/>
                <w:b/>
                <w:bCs/>
                <w:sz w:val="26"/>
              </w:rPr>
            </w:pPr>
            <w:r>
              <w:rPr>
                <w:rFonts w:eastAsia="標楷體" w:hint="eastAsia"/>
                <w:b/>
                <w:bCs/>
                <w:sz w:val="26"/>
              </w:rPr>
              <w:t>2</w:t>
            </w:r>
          </w:p>
        </w:tc>
      </w:tr>
      <w:tr w:rsidR="008D321D" w:rsidRPr="00EA272E" w:rsidTr="008D321D">
        <w:trPr>
          <w:trHeight w:val="340"/>
        </w:trPr>
        <w:tc>
          <w:tcPr>
            <w:tcW w:w="516" w:type="pct"/>
            <w:vAlign w:val="center"/>
          </w:tcPr>
          <w:p w:rsidR="008D321D" w:rsidRPr="004F25B4" w:rsidRDefault="008D321D" w:rsidP="00965AF0">
            <w:pPr>
              <w:spacing w:beforeLines="25" w:before="60" w:afterLines="25" w:after="60"/>
              <w:jc w:val="center"/>
              <w:rPr>
                <w:rFonts w:eastAsia="標楷體"/>
                <w:bCs/>
                <w:sz w:val="26"/>
              </w:rPr>
            </w:pPr>
            <w:r>
              <w:rPr>
                <w:rFonts w:eastAsia="標楷體" w:hint="eastAsia"/>
                <w:bCs/>
                <w:sz w:val="26"/>
              </w:rPr>
              <w:t>9</w:t>
            </w:r>
          </w:p>
        </w:tc>
        <w:tc>
          <w:tcPr>
            <w:tcW w:w="1202" w:type="pct"/>
            <w:shd w:val="clear" w:color="auto" w:fill="auto"/>
            <w:vAlign w:val="center"/>
          </w:tcPr>
          <w:p w:rsidR="008D321D" w:rsidRDefault="008D321D" w:rsidP="004864D6">
            <w:pPr>
              <w:spacing w:beforeLines="25" w:before="60" w:afterLines="25" w:after="60"/>
              <w:jc w:val="center"/>
              <w:rPr>
                <w:rFonts w:eastAsia="標楷體"/>
                <w:bCs/>
                <w:sz w:val="26"/>
              </w:rPr>
            </w:pPr>
            <w:r>
              <w:rPr>
                <w:rFonts w:eastAsia="標楷體" w:hint="eastAsia"/>
                <w:bCs/>
                <w:sz w:val="26"/>
              </w:rPr>
              <w:t>Lecia Micro System Pte.,Ltd</w:t>
            </w:r>
          </w:p>
        </w:tc>
        <w:tc>
          <w:tcPr>
            <w:tcW w:w="599" w:type="pct"/>
            <w:shd w:val="clear" w:color="auto" w:fill="auto"/>
            <w:vAlign w:val="center"/>
          </w:tcPr>
          <w:p w:rsidR="008D321D" w:rsidRDefault="008D321D" w:rsidP="004864D6">
            <w:pPr>
              <w:spacing w:beforeLines="25" w:before="60" w:afterLines="25" w:after="60"/>
              <w:jc w:val="center"/>
              <w:rPr>
                <w:rFonts w:eastAsia="標楷體"/>
                <w:sz w:val="26"/>
              </w:rPr>
            </w:pPr>
            <w:r>
              <w:rPr>
                <w:rFonts w:eastAsia="標楷體" w:hint="eastAsia"/>
                <w:sz w:val="26"/>
              </w:rPr>
              <w:t>新加坡</w:t>
            </w:r>
          </w:p>
        </w:tc>
        <w:tc>
          <w:tcPr>
            <w:tcW w:w="743" w:type="pct"/>
            <w:shd w:val="clear" w:color="auto" w:fill="auto"/>
            <w:vAlign w:val="center"/>
          </w:tcPr>
          <w:p w:rsidR="008D321D" w:rsidRDefault="008D321D" w:rsidP="004864D6">
            <w:pPr>
              <w:spacing w:beforeLines="25" w:before="60" w:afterLines="25" w:after="60"/>
              <w:jc w:val="center"/>
              <w:rPr>
                <w:rFonts w:eastAsia="標楷體"/>
                <w:bCs/>
                <w:sz w:val="26"/>
              </w:rPr>
            </w:pPr>
            <w:r>
              <w:rPr>
                <w:rFonts w:eastAsia="標楷體" w:hint="eastAsia"/>
                <w:bCs/>
                <w:sz w:val="26"/>
              </w:rPr>
              <w:t>Lecia</w:t>
            </w:r>
          </w:p>
        </w:tc>
        <w:tc>
          <w:tcPr>
            <w:tcW w:w="1611" w:type="pct"/>
            <w:shd w:val="clear" w:color="auto" w:fill="auto"/>
          </w:tcPr>
          <w:p w:rsidR="008D321D" w:rsidRDefault="008D321D" w:rsidP="004864D6">
            <w:pPr>
              <w:spacing w:beforeLines="25" w:before="60" w:afterLines="25" w:after="60"/>
              <w:jc w:val="both"/>
              <w:rPr>
                <w:rFonts w:eastAsia="標楷體"/>
                <w:sz w:val="26"/>
              </w:rPr>
            </w:pPr>
            <w:r>
              <w:rPr>
                <w:rFonts w:eastAsia="標楷體" w:hint="eastAsia"/>
                <w:bCs/>
                <w:sz w:val="26"/>
              </w:rPr>
              <w:t>Lecia</w:t>
            </w:r>
            <w:r w:rsidRPr="00597E76">
              <w:rPr>
                <w:rFonts w:eastAsia="標楷體" w:hint="eastAsia"/>
                <w:sz w:val="26"/>
              </w:rPr>
              <w:t>與太克科技被相同之人直接或間接持</w:t>
            </w:r>
            <w:r w:rsidRPr="00597E76">
              <w:rPr>
                <w:rFonts w:eastAsia="標楷體"/>
                <w:sz w:val="26"/>
              </w:rPr>
              <w:t>有超過</w:t>
            </w:r>
            <w:r w:rsidRPr="00597E76">
              <w:rPr>
                <w:rFonts w:eastAsia="標楷體"/>
                <w:sz w:val="26"/>
              </w:rPr>
              <w:t>20</w:t>
            </w:r>
            <w:r w:rsidRPr="00597E76">
              <w:rPr>
                <w:rFonts w:eastAsia="標楷體"/>
                <w:sz w:val="26"/>
              </w:rPr>
              <w:t>％以上有表決</w:t>
            </w:r>
            <w:r w:rsidRPr="00597E76">
              <w:rPr>
                <w:rFonts w:eastAsia="標楷體" w:hint="eastAsia"/>
                <w:sz w:val="26"/>
              </w:rPr>
              <w:t>權之股份。</w:t>
            </w:r>
          </w:p>
        </w:tc>
        <w:tc>
          <w:tcPr>
            <w:tcW w:w="329" w:type="pct"/>
            <w:shd w:val="clear" w:color="auto" w:fill="auto"/>
            <w:vAlign w:val="center"/>
          </w:tcPr>
          <w:p w:rsidR="008D321D" w:rsidRDefault="008D321D" w:rsidP="004864D6">
            <w:pPr>
              <w:spacing w:beforeLines="25" w:before="60" w:afterLines="25" w:after="60"/>
              <w:ind w:left="-108" w:right="-71"/>
              <w:jc w:val="center"/>
              <w:rPr>
                <w:rFonts w:eastAsia="標楷體"/>
                <w:b/>
                <w:bCs/>
                <w:sz w:val="26"/>
              </w:rPr>
            </w:pPr>
            <w:r>
              <w:rPr>
                <w:rFonts w:eastAsia="標楷體" w:hint="eastAsia"/>
                <w:b/>
                <w:bCs/>
                <w:sz w:val="26"/>
              </w:rPr>
              <w:t>2</w:t>
            </w:r>
          </w:p>
        </w:tc>
      </w:tr>
      <w:tr w:rsidR="008D321D" w:rsidRPr="00EA272E" w:rsidTr="008D321D">
        <w:trPr>
          <w:trHeight w:val="340"/>
        </w:trPr>
        <w:tc>
          <w:tcPr>
            <w:tcW w:w="516" w:type="pct"/>
            <w:vAlign w:val="center"/>
          </w:tcPr>
          <w:p w:rsidR="008D321D" w:rsidRDefault="008D321D" w:rsidP="00965AF0">
            <w:pPr>
              <w:spacing w:beforeLines="25" w:before="60" w:afterLines="25" w:after="60"/>
              <w:jc w:val="center"/>
              <w:rPr>
                <w:rFonts w:eastAsia="標楷體"/>
                <w:bCs/>
                <w:sz w:val="26"/>
              </w:rPr>
            </w:pPr>
            <w:r>
              <w:rPr>
                <w:rFonts w:eastAsia="標楷體" w:hint="eastAsia"/>
                <w:bCs/>
                <w:sz w:val="26"/>
              </w:rPr>
              <w:t>10</w:t>
            </w:r>
          </w:p>
        </w:tc>
        <w:tc>
          <w:tcPr>
            <w:tcW w:w="1202" w:type="pct"/>
            <w:shd w:val="clear" w:color="auto" w:fill="auto"/>
            <w:vAlign w:val="center"/>
          </w:tcPr>
          <w:p w:rsidR="008D321D" w:rsidRDefault="008D321D" w:rsidP="004864D6">
            <w:pPr>
              <w:spacing w:beforeLines="25" w:before="60" w:afterLines="25" w:after="60"/>
              <w:jc w:val="center"/>
              <w:rPr>
                <w:rFonts w:eastAsia="標楷體"/>
                <w:bCs/>
                <w:sz w:val="26"/>
              </w:rPr>
            </w:pPr>
            <w:r>
              <w:rPr>
                <w:rFonts w:eastAsia="標楷體" w:hint="eastAsia"/>
                <w:bCs/>
                <w:sz w:val="26"/>
              </w:rPr>
              <w:t>Matco Tools.,Inc</w:t>
            </w:r>
          </w:p>
        </w:tc>
        <w:tc>
          <w:tcPr>
            <w:tcW w:w="599" w:type="pct"/>
            <w:shd w:val="clear" w:color="auto" w:fill="auto"/>
            <w:vAlign w:val="center"/>
          </w:tcPr>
          <w:p w:rsidR="008D321D" w:rsidRDefault="008D321D" w:rsidP="004864D6">
            <w:pPr>
              <w:spacing w:beforeLines="25" w:before="60" w:afterLines="25" w:after="60"/>
              <w:jc w:val="center"/>
              <w:rPr>
                <w:rFonts w:eastAsia="標楷體"/>
                <w:sz w:val="26"/>
              </w:rPr>
            </w:pPr>
            <w:r>
              <w:rPr>
                <w:rFonts w:eastAsia="標楷體" w:hint="eastAsia"/>
                <w:sz w:val="26"/>
              </w:rPr>
              <w:t>美國</w:t>
            </w:r>
          </w:p>
        </w:tc>
        <w:tc>
          <w:tcPr>
            <w:tcW w:w="743" w:type="pct"/>
            <w:shd w:val="clear" w:color="auto" w:fill="auto"/>
            <w:vAlign w:val="center"/>
          </w:tcPr>
          <w:p w:rsidR="008D321D" w:rsidRDefault="008D321D" w:rsidP="004864D6">
            <w:pPr>
              <w:spacing w:beforeLines="25" w:before="60" w:afterLines="25" w:after="60"/>
              <w:jc w:val="center"/>
              <w:rPr>
                <w:rFonts w:eastAsia="標楷體"/>
                <w:bCs/>
                <w:sz w:val="26"/>
              </w:rPr>
            </w:pPr>
            <w:r>
              <w:rPr>
                <w:rFonts w:eastAsia="標楷體" w:hint="eastAsia"/>
                <w:bCs/>
                <w:sz w:val="26"/>
              </w:rPr>
              <w:t>Matco</w:t>
            </w:r>
          </w:p>
        </w:tc>
        <w:tc>
          <w:tcPr>
            <w:tcW w:w="1611" w:type="pct"/>
            <w:shd w:val="clear" w:color="auto" w:fill="auto"/>
          </w:tcPr>
          <w:p w:rsidR="008D321D" w:rsidRDefault="008D321D" w:rsidP="004864D6">
            <w:pPr>
              <w:spacing w:beforeLines="25" w:before="60" w:afterLines="25" w:after="60"/>
              <w:jc w:val="both"/>
              <w:rPr>
                <w:rFonts w:eastAsia="標楷體"/>
                <w:bCs/>
                <w:sz w:val="26"/>
              </w:rPr>
            </w:pPr>
            <w:r>
              <w:rPr>
                <w:rFonts w:eastAsia="標楷體" w:hint="eastAsia"/>
                <w:bCs/>
                <w:sz w:val="26"/>
              </w:rPr>
              <w:t>Matco</w:t>
            </w:r>
            <w:r w:rsidRPr="00597E76">
              <w:rPr>
                <w:rFonts w:eastAsia="標楷體" w:hint="eastAsia"/>
                <w:sz w:val="26"/>
              </w:rPr>
              <w:t>與太克科技被相同之人直接或間接持</w:t>
            </w:r>
            <w:r w:rsidRPr="00597E76">
              <w:rPr>
                <w:rFonts w:eastAsia="標楷體"/>
                <w:sz w:val="26"/>
              </w:rPr>
              <w:t>有超過</w:t>
            </w:r>
            <w:r w:rsidRPr="00597E76">
              <w:rPr>
                <w:rFonts w:eastAsia="標楷體"/>
                <w:sz w:val="26"/>
              </w:rPr>
              <w:t>20</w:t>
            </w:r>
            <w:r w:rsidRPr="00597E76">
              <w:rPr>
                <w:rFonts w:eastAsia="標楷體"/>
                <w:sz w:val="26"/>
              </w:rPr>
              <w:t>％以上有表決</w:t>
            </w:r>
            <w:r w:rsidRPr="00597E76">
              <w:rPr>
                <w:rFonts w:eastAsia="標楷體" w:hint="eastAsia"/>
                <w:sz w:val="26"/>
              </w:rPr>
              <w:t>權之股份。</w:t>
            </w:r>
          </w:p>
        </w:tc>
        <w:tc>
          <w:tcPr>
            <w:tcW w:w="329" w:type="pct"/>
            <w:shd w:val="clear" w:color="auto" w:fill="auto"/>
            <w:vAlign w:val="center"/>
          </w:tcPr>
          <w:p w:rsidR="008D321D" w:rsidRDefault="008D321D" w:rsidP="004864D6">
            <w:pPr>
              <w:spacing w:beforeLines="25" w:before="60" w:afterLines="25" w:after="60"/>
              <w:ind w:left="-108" w:right="-71"/>
              <w:jc w:val="center"/>
              <w:rPr>
                <w:rFonts w:eastAsia="標楷體"/>
                <w:b/>
                <w:bCs/>
                <w:sz w:val="26"/>
              </w:rPr>
            </w:pPr>
            <w:r>
              <w:rPr>
                <w:rFonts w:eastAsia="標楷體" w:hint="eastAsia"/>
                <w:b/>
                <w:bCs/>
                <w:sz w:val="26"/>
              </w:rPr>
              <w:t>2</w:t>
            </w:r>
          </w:p>
        </w:tc>
      </w:tr>
      <w:tr w:rsidR="008D321D" w:rsidRPr="00EA272E" w:rsidTr="008D321D">
        <w:trPr>
          <w:trHeight w:val="340"/>
        </w:trPr>
        <w:tc>
          <w:tcPr>
            <w:tcW w:w="516" w:type="pct"/>
            <w:vAlign w:val="center"/>
          </w:tcPr>
          <w:p w:rsidR="008D321D" w:rsidRDefault="008D321D" w:rsidP="00965AF0">
            <w:pPr>
              <w:spacing w:beforeLines="25" w:before="60" w:afterLines="25" w:after="60"/>
              <w:jc w:val="center"/>
              <w:rPr>
                <w:rFonts w:eastAsia="標楷體"/>
                <w:bCs/>
                <w:sz w:val="26"/>
              </w:rPr>
            </w:pPr>
            <w:r>
              <w:rPr>
                <w:rFonts w:eastAsia="標楷體" w:hint="eastAsia"/>
                <w:bCs/>
                <w:sz w:val="26"/>
              </w:rPr>
              <w:t>11</w:t>
            </w:r>
          </w:p>
        </w:tc>
        <w:tc>
          <w:tcPr>
            <w:tcW w:w="1202" w:type="pct"/>
            <w:shd w:val="clear" w:color="auto" w:fill="auto"/>
            <w:vAlign w:val="center"/>
          </w:tcPr>
          <w:p w:rsidR="008D321D" w:rsidRDefault="008D321D" w:rsidP="004864D6">
            <w:pPr>
              <w:spacing w:beforeLines="25" w:before="60" w:afterLines="25" w:after="60"/>
              <w:jc w:val="center"/>
              <w:rPr>
                <w:rFonts w:eastAsia="標楷體"/>
                <w:bCs/>
                <w:sz w:val="26"/>
              </w:rPr>
            </w:pPr>
            <w:r>
              <w:rPr>
                <w:rFonts w:eastAsia="標楷體" w:hint="eastAsia"/>
                <w:bCs/>
                <w:sz w:val="26"/>
              </w:rPr>
              <w:t>Danaher Tool Group</w:t>
            </w:r>
          </w:p>
        </w:tc>
        <w:tc>
          <w:tcPr>
            <w:tcW w:w="599" w:type="pct"/>
            <w:shd w:val="clear" w:color="auto" w:fill="auto"/>
            <w:vAlign w:val="center"/>
          </w:tcPr>
          <w:p w:rsidR="008D321D" w:rsidRDefault="008D321D" w:rsidP="004864D6">
            <w:pPr>
              <w:spacing w:beforeLines="25" w:before="60" w:afterLines="25" w:after="60"/>
              <w:jc w:val="center"/>
              <w:rPr>
                <w:rFonts w:eastAsia="標楷體"/>
                <w:sz w:val="26"/>
              </w:rPr>
            </w:pPr>
            <w:r>
              <w:rPr>
                <w:rFonts w:eastAsia="標楷體" w:hint="eastAsia"/>
                <w:sz w:val="26"/>
              </w:rPr>
              <w:t>美國</w:t>
            </w:r>
          </w:p>
        </w:tc>
        <w:tc>
          <w:tcPr>
            <w:tcW w:w="743" w:type="pct"/>
            <w:shd w:val="clear" w:color="auto" w:fill="auto"/>
            <w:vAlign w:val="center"/>
          </w:tcPr>
          <w:p w:rsidR="008D321D" w:rsidRDefault="008D321D" w:rsidP="004864D6">
            <w:pPr>
              <w:spacing w:beforeLines="25" w:before="60" w:afterLines="25" w:after="60"/>
              <w:jc w:val="center"/>
              <w:rPr>
                <w:rFonts w:eastAsia="標楷體"/>
                <w:bCs/>
                <w:sz w:val="26"/>
              </w:rPr>
            </w:pPr>
            <w:r>
              <w:rPr>
                <w:rFonts w:eastAsia="標楷體" w:hint="eastAsia"/>
                <w:bCs/>
                <w:sz w:val="26"/>
              </w:rPr>
              <w:t>Danaher</w:t>
            </w:r>
          </w:p>
        </w:tc>
        <w:tc>
          <w:tcPr>
            <w:tcW w:w="1611" w:type="pct"/>
            <w:shd w:val="clear" w:color="auto" w:fill="auto"/>
          </w:tcPr>
          <w:p w:rsidR="008D321D" w:rsidRDefault="008D321D" w:rsidP="004864D6">
            <w:pPr>
              <w:spacing w:beforeLines="25" w:before="60" w:afterLines="25" w:after="60"/>
              <w:jc w:val="both"/>
              <w:rPr>
                <w:rFonts w:eastAsia="標楷體"/>
                <w:bCs/>
                <w:sz w:val="26"/>
              </w:rPr>
            </w:pPr>
            <w:r>
              <w:rPr>
                <w:rFonts w:eastAsia="標楷體" w:hint="eastAsia"/>
                <w:bCs/>
                <w:sz w:val="26"/>
              </w:rPr>
              <w:t>Danaher</w:t>
            </w:r>
            <w:r w:rsidRPr="00597E76">
              <w:rPr>
                <w:rFonts w:eastAsia="標楷體" w:hint="eastAsia"/>
                <w:sz w:val="26"/>
              </w:rPr>
              <w:t>與太克科技被相同之人直接或間接持</w:t>
            </w:r>
            <w:r w:rsidRPr="00597E76">
              <w:rPr>
                <w:rFonts w:eastAsia="標楷體"/>
                <w:sz w:val="26"/>
              </w:rPr>
              <w:t>有超過</w:t>
            </w:r>
            <w:r w:rsidRPr="00597E76">
              <w:rPr>
                <w:rFonts w:eastAsia="標楷體"/>
                <w:sz w:val="26"/>
              </w:rPr>
              <w:t>20</w:t>
            </w:r>
            <w:r w:rsidRPr="00597E76">
              <w:rPr>
                <w:rFonts w:eastAsia="標楷體"/>
                <w:sz w:val="26"/>
              </w:rPr>
              <w:t>％以上有表決</w:t>
            </w:r>
            <w:r w:rsidRPr="00597E76">
              <w:rPr>
                <w:rFonts w:eastAsia="標楷體" w:hint="eastAsia"/>
                <w:sz w:val="26"/>
              </w:rPr>
              <w:t>權之股份。</w:t>
            </w:r>
          </w:p>
        </w:tc>
        <w:tc>
          <w:tcPr>
            <w:tcW w:w="329" w:type="pct"/>
            <w:shd w:val="clear" w:color="auto" w:fill="auto"/>
            <w:vAlign w:val="center"/>
          </w:tcPr>
          <w:p w:rsidR="008D321D" w:rsidRDefault="008D321D" w:rsidP="004864D6">
            <w:pPr>
              <w:spacing w:beforeLines="25" w:before="60" w:afterLines="25" w:after="60"/>
              <w:ind w:left="-108" w:right="-71"/>
              <w:jc w:val="center"/>
              <w:rPr>
                <w:rFonts w:eastAsia="標楷體"/>
                <w:b/>
                <w:bCs/>
                <w:sz w:val="26"/>
              </w:rPr>
            </w:pPr>
            <w:r>
              <w:rPr>
                <w:rFonts w:eastAsia="標楷體" w:hint="eastAsia"/>
                <w:b/>
                <w:bCs/>
                <w:sz w:val="26"/>
              </w:rPr>
              <w:t>2</w:t>
            </w:r>
          </w:p>
        </w:tc>
      </w:tr>
      <w:tr w:rsidR="008D321D" w:rsidRPr="00EA272E" w:rsidTr="008D321D">
        <w:trPr>
          <w:trHeight w:val="340"/>
        </w:trPr>
        <w:tc>
          <w:tcPr>
            <w:tcW w:w="516" w:type="pct"/>
            <w:vAlign w:val="center"/>
          </w:tcPr>
          <w:p w:rsidR="008D321D" w:rsidRDefault="008D321D" w:rsidP="00965AF0">
            <w:pPr>
              <w:spacing w:beforeLines="25" w:before="60" w:afterLines="25" w:after="60"/>
              <w:jc w:val="center"/>
              <w:rPr>
                <w:rFonts w:eastAsia="標楷體"/>
                <w:bCs/>
                <w:sz w:val="26"/>
              </w:rPr>
            </w:pPr>
            <w:r>
              <w:rPr>
                <w:rFonts w:eastAsia="標楷體" w:hint="eastAsia"/>
                <w:bCs/>
                <w:sz w:val="26"/>
              </w:rPr>
              <w:t>12</w:t>
            </w:r>
          </w:p>
        </w:tc>
        <w:tc>
          <w:tcPr>
            <w:tcW w:w="1202" w:type="pct"/>
            <w:shd w:val="clear" w:color="auto" w:fill="auto"/>
            <w:vAlign w:val="center"/>
          </w:tcPr>
          <w:p w:rsidR="008D321D" w:rsidRDefault="008D321D" w:rsidP="004864D6">
            <w:pPr>
              <w:spacing w:beforeLines="25" w:before="60" w:afterLines="25" w:after="60"/>
              <w:jc w:val="center"/>
              <w:rPr>
                <w:rFonts w:eastAsia="標楷體"/>
                <w:bCs/>
                <w:sz w:val="26"/>
              </w:rPr>
            </w:pPr>
            <w:r>
              <w:rPr>
                <w:rFonts w:eastAsia="標楷體" w:hint="eastAsia"/>
                <w:bCs/>
                <w:sz w:val="26"/>
              </w:rPr>
              <w:t>Aquafine Corporation</w:t>
            </w:r>
          </w:p>
        </w:tc>
        <w:tc>
          <w:tcPr>
            <w:tcW w:w="599" w:type="pct"/>
            <w:shd w:val="clear" w:color="auto" w:fill="auto"/>
            <w:vAlign w:val="center"/>
          </w:tcPr>
          <w:p w:rsidR="008D321D" w:rsidRDefault="008D321D" w:rsidP="004864D6">
            <w:pPr>
              <w:spacing w:beforeLines="25" w:before="60" w:afterLines="25" w:after="60"/>
              <w:jc w:val="center"/>
              <w:rPr>
                <w:rFonts w:eastAsia="標楷體"/>
                <w:sz w:val="26"/>
              </w:rPr>
            </w:pPr>
            <w:r>
              <w:rPr>
                <w:rFonts w:eastAsia="標楷體" w:hint="eastAsia"/>
                <w:sz w:val="26"/>
              </w:rPr>
              <w:t>美國</w:t>
            </w:r>
          </w:p>
        </w:tc>
        <w:tc>
          <w:tcPr>
            <w:tcW w:w="743" w:type="pct"/>
            <w:shd w:val="clear" w:color="auto" w:fill="auto"/>
            <w:vAlign w:val="center"/>
          </w:tcPr>
          <w:p w:rsidR="008D321D" w:rsidRDefault="008D321D" w:rsidP="004864D6">
            <w:pPr>
              <w:spacing w:beforeLines="25" w:before="60" w:afterLines="25" w:after="60"/>
              <w:jc w:val="center"/>
              <w:rPr>
                <w:rFonts w:eastAsia="標楷體"/>
                <w:bCs/>
                <w:sz w:val="26"/>
              </w:rPr>
            </w:pPr>
            <w:r>
              <w:rPr>
                <w:rFonts w:eastAsia="標楷體" w:hint="eastAsia"/>
                <w:bCs/>
                <w:sz w:val="26"/>
              </w:rPr>
              <w:t>Aquafine</w:t>
            </w:r>
          </w:p>
        </w:tc>
        <w:tc>
          <w:tcPr>
            <w:tcW w:w="1611" w:type="pct"/>
            <w:shd w:val="clear" w:color="auto" w:fill="auto"/>
          </w:tcPr>
          <w:p w:rsidR="008D321D" w:rsidRDefault="008D321D" w:rsidP="004864D6">
            <w:pPr>
              <w:spacing w:beforeLines="25" w:before="60" w:afterLines="25" w:after="60"/>
              <w:jc w:val="both"/>
              <w:rPr>
                <w:rFonts w:eastAsia="標楷體"/>
                <w:bCs/>
                <w:sz w:val="26"/>
              </w:rPr>
            </w:pPr>
            <w:r>
              <w:rPr>
                <w:rFonts w:eastAsia="標楷體" w:hint="eastAsia"/>
                <w:bCs/>
                <w:sz w:val="26"/>
              </w:rPr>
              <w:t>Aquafine</w:t>
            </w:r>
            <w:r w:rsidRPr="00597E76">
              <w:rPr>
                <w:rFonts w:eastAsia="標楷體" w:hint="eastAsia"/>
                <w:sz w:val="26"/>
              </w:rPr>
              <w:t>與太克科技被相同之人直接或間接持</w:t>
            </w:r>
            <w:r w:rsidRPr="00597E76">
              <w:rPr>
                <w:rFonts w:eastAsia="標楷體"/>
                <w:sz w:val="26"/>
              </w:rPr>
              <w:t>有超過</w:t>
            </w:r>
            <w:r w:rsidRPr="00597E76">
              <w:rPr>
                <w:rFonts w:eastAsia="標楷體"/>
                <w:sz w:val="26"/>
              </w:rPr>
              <w:t>20</w:t>
            </w:r>
            <w:r w:rsidRPr="00597E76">
              <w:rPr>
                <w:rFonts w:eastAsia="標楷體"/>
                <w:sz w:val="26"/>
              </w:rPr>
              <w:t>％以上有表決</w:t>
            </w:r>
            <w:r w:rsidRPr="00597E76">
              <w:rPr>
                <w:rFonts w:eastAsia="標楷體" w:hint="eastAsia"/>
                <w:sz w:val="26"/>
              </w:rPr>
              <w:t>權之股份。</w:t>
            </w:r>
          </w:p>
        </w:tc>
        <w:tc>
          <w:tcPr>
            <w:tcW w:w="329" w:type="pct"/>
            <w:shd w:val="clear" w:color="auto" w:fill="auto"/>
            <w:vAlign w:val="center"/>
          </w:tcPr>
          <w:p w:rsidR="008D321D" w:rsidRPr="00965AF0" w:rsidRDefault="008D321D" w:rsidP="004864D6">
            <w:pPr>
              <w:spacing w:beforeLines="25" w:before="60" w:afterLines="25" w:after="60"/>
              <w:ind w:left="-108" w:right="-71"/>
              <w:jc w:val="center"/>
              <w:rPr>
                <w:rFonts w:eastAsia="標楷體"/>
                <w:b/>
                <w:bCs/>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eastAsia="標楷體" w:hint="eastAsia"/>
                <w:b/>
                <w:bCs/>
                <w:sz w:val="26"/>
              </w:rPr>
              <w:t>2</w:t>
            </w:r>
          </w:p>
        </w:tc>
      </w:tr>
    </w:tbl>
    <w:p w:rsidR="0032590C" w:rsidRDefault="00D923B3" w:rsidP="00965AF0">
      <w:pPr>
        <w:pStyle w:val="3"/>
        <w:numPr>
          <w:ilvl w:val="0"/>
          <w:numId w:val="12"/>
        </w:numPr>
        <w:spacing w:beforeLines="100" w:before="240" w:afterLines="50" w:after="120" w:line="360" w:lineRule="auto"/>
        <w:ind w:leftChars="100" w:left="722" w:hanging="482"/>
        <w:jc w:val="both"/>
        <w:rPr>
          <w:rFonts w:ascii="Times New Roman" w:eastAsia="標楷體" w:hAnsi="Times New Roman"/>
          <w:sz w:val="32"/>
        </w:rPr>
      </w:pPr>
      <w:r>
        <w:rPr>
          <w:rFonts w:ascii="Times New Roman" w:eastAsia="標楷體" w:hAnsi="Times New Roman" w:hint="eastAsia"/>
          <w:sz w:val="32"/>
        </w:rPr>
        <w:t>10</w:t>
      </w:r>
      <w:r w:rsidR="0066362E">
        <w:rPr>
          <w:rFonts w:ascii="Times New Roman" w:eastAsia="標楷體" w:hAnsi="Times New Roman" w:hint="eastAsia"/>
          <w:sz w:val="32"/>
        </w:rPr>
        <w:t>5</w:t>
      </w:r>
      <w:r w:rsidR="00321ECD" w:rsidRPr="00957031">
        <w:rPr>
          <w:rFonts w:ascii="Times New Roman" w:eastAsia="標楷體" w:hAnsi="Times New Roman" w:hint="eastAsia"/>
          <w:sz w:val="32"/>
        </w:rPr>
        <w:t>年度</w:t>
      </w:r>
      <w:r w:rsidR="006E057A" w:rsidRPr="00957031">
        <w:rPr>
          <w:rFonts w:ascii="Times New Roman" w:eastAsia="標楷體" w:hAnsi="Times New Roman"/>
          <w:sz w:val="32"/>
        </w:rPr>
        <w:t>受控交易</w:t>
      </w:r>
      <w:r w:rsidR="00686FAB" w:rsidRPr="00957031">
        <w:rPr>
          <w:rFonts w:ascii="Times New Roman" w:eastAsia="標楷體" w:hAnsi="Times New Roman" w:hint="eastAsia"/>
          <w:sz w:val="32"/>
        </w:rPr>
        <w:t>彙總明細</w:t>
      </w:r>
    </w:p>
    <w:tbl>
      <w:tblPr>
        <w:tblW w:w="8573" w:type="dxa"/>
        <w:tblInd w:w="477"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shd w:val="clear" w:color="auto" w:fill="FFFFFF"/>
        <w:tblCellMar>
          <w:left w:w="28" w:type="dxa"/>
          <w:right w:w="28" w:type="dxa"/>
        </w:tblCellMar>
        <w:tblLook w:val="0000" w:firstRow="0" w:lastRow="0" w:firstColumn="0" w:lastColumn="0" w:noHBand="0" w:noVBand="0"/>
      </w:tblPr>
      <w:tblGrid>
        <w:gridCol w:w="1559"/>
        <w:gridCol w:w="709"/>
        <w:gridCol w:w="708"/>
        <w:gridCol w:w="1560"/>
        <w:gridCol w:w="1984"/>
        <w:gridCol w:w="2053"/>
      </w:tblGrid>
      <w:tr w:rsidR="001F257D" w:rsidRPr="00EA272E" w:rsidTr="008D321D">
        <w:trPr>
          <w:trHeight w:val="330"/>
          <w:tblHeader/>
        </w:trPr>
        <w:tc>
          <w:tcPr>
            <w:tcW w:w="6520" w:type="dxa"/>
            <w:gridSpan w:val="5"/>
            <w:shd w:val="clear" w:color="auto" w:fill="4F81BD"/>
            <w:noWrap/>
            <w:vAlign w:val="center"/>
          </w:tcPr>
          <w:p w:rsidR="0032590C" w:rsidRDefault="001F257D" w:rsidP="00965AF0">
            <w:pPr>
              <w:widowControl/>
              <w:spacing w:beforeLines="25" w:before="60" w:afterLines="25" w:after="60"/>
              <w:jc w:val="center"/>
              <w:rPr>
                <w:rFonts w:eastAsia="標楷體"/>
                <w:bCs/>
                <w:color w:val="FFFFFF"/>
                <w:kern w:val="0"/>
                <w:sz w:val="26"/>
                <w:szCs w:val="26"/>
              </w:rPr>
            </w:pPr>
            <w:r w:rsidRPr="00EA272E">
              <w:rPr>
                <w:rFonts w:eastAsia="標楷體" w:hint="eastAsia"/>
                <w:bCs/>
                <w:color w:val="FFFFFF"/>
                <w:kern w:val="0"/>
                <w:sz w:val="26"/>
                <w:szCs w:val="26"/>
              </w:rPr>
              <w:t>受控交易說明</w:t>
            </w:r>
          </w:p>
        </w:tc>
        <w:tc>
          <w:tcPr>
            <w:tcW w:w="2053" w:type="dxa"/>
            <w:vMerge w:val="restart"/>
            <w:shd w:val="clear" w:color="auto" w:fill="4F81BD"/>
            <w:noWrap/>
            <w:vAlign w:val="center"/>
          </w:tcPr>
          <w:p w:rsidR="0032590C" w:rsidRDefault="001F257D" w:rsidP="00965AF0">
            <w:pPr>
              <w:widowControl/>
              <w:spacing w:beforeLines="25" w:before="60" w:afterLines="25" w:after="60"/>
              <w:jc w:val="center"/>
              <w:rPr>
                <w:rFonts w:eastAsia="標楷體"/>
                <w:bCs/>
                <w:color w:val="FFFFFF"/>
                <w:kern w:val="0"/>
                <w:sz w:val="26"/>
                <w:szCs w:val="26"/>
              </w:rPr>
            </w:pPr>
            <w:r w:rsidRPr="00EA272E">
              <w:rPr>
                <w:rFonts w:eastAsia="標楷體"/>
                <w:bCs/>
                <w:color w:val="FFFFFF"/>
                <w:kern w:val="0"/>
                <w:sz w:val="26"/>
                <w:szCs w:val="26"/>
              </w:rPr>
              <w:t>金額</w:t>
            </w:r>
          </w:p>
          <w:p w:rsidR="0032590C" w:rsidRDefault="001F257D" w:rsidP="00965AF0">
            <w:pPr>
              <w:spacing w:beforeLines="25" w:before="60" w:afterLines="25" w:after="60"/>
              <w:jc w:val="center"/>
              <w:rPr>
                <w:rFonts w:eastAsia="標楷體"/>
                <w:bCs/>
                <w:color w:val="FFFFFF"/>
                <w:kern w:val="0"/>
                <w:sz w:val="26"/>
                <w:szCs w:val="26"/>
              </w:rPr>
            </w:pPr>
            <w:r w:rsidRPr="00EA272E">
              <w:rPr>
                <w:rFonts w:eastAsia="標楷體"/>
                <w:bCs/>
                <w:color w:val="FFFFFF"/>
                <w:kern w:val="0"/>
                <w:sz w:val="26"/>
                <w:szCs w:val="26"/>
              </w:rPr>
              <w:t>(</w:t>
            </w:r>
            <w:r w:rsidRPr="00EA272E">
              <w:rPr>
                <w:rFonts w:eastAsia="標楷體"/>
                <w:bCs/>
                <w:color w:val="FFFFFF"/>
                <w:kern w:val="0"/>
                <w:sz w:val="26"/>
                <w:szCs w:val="26"/>
              </w:rPr>
              <w:t>新台幣元</w:t>
            </w:r>
            <w:r w:rsidRPr="00EA272E">
              <w:rPr>
                <w:rFonts w:eastAsia="標楷體"/>
                <w:bCs/>
                <w:color w:val="FFFFFF"/>
                <w:kern w:val="0"/>
                <w:sz w:val="26"/>
                <w:szCs w:val="26"/>
              </w:rPr>
              <w:t>)</w:t>
            </w:r>
          </w:p>
        </w:tc>
      </w:tr>
      <w:tr w:rsidR="001F257D" w:rsidRPr="00EA272E" w:rsidTr="008D321D">
        <w:trPr>
          <w:trHeight w:val="330"/>
          <w:tblHeader/>
        </w:trPr>
        <w:tc>
          <w:tcPr>
            <w:tcW w:w="1559" w:type="dxa"/>
            <w:shd w:val="clear" w:color="auto" w:fill="4F81BD"/>
            <w:noWrap/>
            <w:vAlign w:val="center"/>
          </w:tcPr>
          <w:p w:rsidR="00DC4ACB" w:rsidRDefault="001F257D" w:rsidP="00965AF0">
            <w:pPr>
              <w:widowControl/>
              <w:spacing w:beforeLines="25" w:before="60" w:afterLines="25" w:after="60"/>
              <w:jc w:val="center"/>
              <w:rPr>
                <w:rFonts w:eastAsia="標楷體"/>
                <w:bCs/>
                <w:color w:val="FFFFFF"/>
                <w:kern w:val="0"/>
                <w:sz w:val="26"/>
                <w:szCs w:val="26"/>
              </w:rPr>
            </w:pPr>
            <w:r w:rsidRPr="00EA272E">
              <w:rPr>
                <w:rFonts w:eastAsia="標楷體" w:hint="eastAsia"/>
                <w:bCs/>
                <w:color w:val="FFFFFF"/>
                <w:kern w:val="0"/>
                <w:sz w:val="26"/>
                <w:szCs w:val="26"/>
              </w:rPr>
              <w:t>受控</w:t>
            </w:r>
            <w:r w:rsidRPr="00EA272E">
              <w:rPr>
                <w:rFonts w:eastAsia="標楷體"/>
                <w:bCs/>
                <w:color w:val="FFFFFF"/>
                <w:kern w:val="0"/>
                <w:sz w:val="26"/>
                <w:szCs w:val="26"/>
              </w:rPr>
              <w:t>交易類型</w:t>
            </w:r>
          </w:p>
        </w:tc>
        <w:tc>
          <w:tcPr>
            <w:tcW w:w="709" w:type="dxa"/>
            <w:shd w:val="clear" w:color="auto" w:fill="4F81BD"/>
            <w:noWrap/>
            <w:vAlign w:val="center"/>
          </w:tcPr>
          <w:p w:rsidR="0032590C" w:rsidRDefault="001F257D" w:rsidP="00965AF0">
            <w:pPr>
              <w:widowControl/>
              <w:spacing w:beforeLines="25" w:before="60" w:afterLines="25" w:after="60"/>
              <w:jc w:val="center"/>
              <w:rPr>
                <w:rFonts w:eastAsia="標楷體"/>
                <w:bCs/>
                <w:color w:val="FFFFFF"/>
                <w:kern w:val="0"/>
                <w:sz w:val="26"/>
                <w:szCs w:val="26"/>
              </w:rPr>
            </w:pPr>
            <w:r w:rsidRPr="00EA272E">
              <w:rPr>
                <w:rFonts w:eastAsia="標楷體" w:hint="eastAsia"/>
                <w:bCs/>
                <w:color w:val="FFFFFF"/>
                <w:kern w:val="0"/>
                <w:sz w:val="26"/>
                <w:szCs w:val="26"/>
              </w:rPr>
              <w:t>會計</w:t>
            </w:r>
          </w:p>
          <w:p w:rsidR="0032590C" w:rsidRDefault="001F257D" w:rsidP="00965AF0">
            <w:pPr>
              <w:widowControl/>
              <w:spacing w:beforeLines="25" w:before="60" w:afterLines="25" w:after="60"/>
              <w:jc w:val="center"/>
              <w:rPr>
                <w:rFonts w:eastAsia="標楷體"/>
                <w:bCs/>
                <w:color w:val="FFFFFF"/>
                <w:kern w:val="0"/>
                <w:sz w:val="26"/>
                <w:szCs w:val="26"/>
              </w:rPr>
            </w:pPr>
            <w:r w:rsidRPr="00EA272E">
              <w:rPr>
                <w:rFonts w:eastAsia="標楷體" w:hint="eastAsia"/>
                <w:bCs/>
                <w:color w:val="FFFFFF"/>
                <w:kern w:val="0"/>
                <w:sz w:val="26"/>
                <w:szCs w:val="26"/>
              </w:rPr>
              <w:t>科目</w:t>
            </w:r>
          </w:p>
        </w:tc>
        <w:tc>
          <w:tcPr>
            <w:tcW w:w="708" w:type="dxa"/>
            <w:shd w:val="clear" w:color="auto" w:fill="4F81BD"/>
            <w:vAlign w:val="center"/>
          </w:tcPr>
          <w:p w:rsidR="0032590C" w:rsidRDefault="001F257D" w:rsidP="00965AF0">
            <w:pPr>
              <w:spacing w:beforeLines="25" w:before="60" w:afterLines="25" w:after="60"/>
              <w:jc w:val="center"/>
              <w:rPr>
                <w:rFonts w:eastAsia="標楷體"/>
                <w:bCs/>
                <w:color w:val="FFFFFF"/>
                <w:kern w:val="0"/>
                <w:sz w:val="26"/>
                <w:szCs w:val="26"/>
              </w:rPr>
            </w:pPr>
            <w:r>
              <w:rPr>
                <w:rFonts w:eastAsia="標楷體" w:hint="eastAsia"/>
                <w:bCs/>
                <w:color w:val="FFFFFF"/>
                <w:kern w:val="0"/>
                <w:sz w:val="26"/>
                <w:szCs w:val="26"/>
              </w:rPr>
              <w:t>編號</w:t>
            </w:r>
          </w:p>
        </w:tc>
        <w:tc>
          <w:tcPr>
            <w:tcW w:w="1560" w:type="dxa"/>
            <w:shd w:val="clear" w:color="auto" w:fill="4F81BD"/>
            <w:vAlign w:val="center"/>
          </w:tcPr>
          <w:p w:rsidR="0032590C" w:rsidRDefault="001F257D" w:rsidP="00965AF0">
            <w:pPr>
              <w:spacing w:beforeLines="25" w:before="60" w:afterLines="25" w:after="60"/>
              <w:jc w:val="center"/>
              <w:rPr>
                <w:rFonts w:eastAsia="標楷體"/>
                <w:bCs/>
                <w:color w:val="FFFFFF"/>
                <w:kern w:val="0"/>
                <w:sz w:val="26"/>
                <w:szCs w:val="26"/>
              </w:rPr>
            </w:pPr>
            <w:r w:rsidRPr="00EA272E">
              <w:rPr>
                <w:rFonts w:eastAsia="標楷體" w:hint="eastAsia"/>
                <w:bCs/>
                <w:color w:val="FFFFFF"/>
                <w:kern w:val="0"/>
                <w:sz w:val="26"/>
                <w:szCs w:val="26"/>
              </w:rPr>
              <w:t>交易</w:t>
            </w:r>
            <w:r w:rsidRPr="00EA272E">
              <w:rPr>
                <w:rFonts w:eastAsia="標楷體"/>
                <w:bCs/>
                <w:color w:val="FFFFFF"/>
                <w:kern w:val="0"/>
                <w:sz w:val="26"/>
                <w:szCs w:val="26"/>
              </w:rPr>
              <w:t>對象</w:t>
            </w:r>
          </w:p>
        </w:tc>
        <w:tc>
          <w:tcPr>
            <w:tcW w:w="1984" w:type="dxa"/>
            <w:shd w:val="clear" w:color="auto" w:fill="4F81BD"/>
            <w:noWrap/>
            <w:vAlign w:val="center"/>
          </w:tcPr>
          <w:p w:rsidR="0032590C" w:rsidRDefault="001F257D" w:rsidP="00965AF0">
            <w:pPr>
              <w:widowControl/>
              <w:spacing w:beforeLines="25" w:before="60" w:afterLines="25" w:after="60"/>
              <w:jc w:val="center"/>
              <w:rPr>
                <w:rFonts w:eastAsia="標楷體"/>
                <w:bCs/>
                <w:color w:val="FFFFFF"/>
                <w:kern w:val="0"/>
                <w:sz w:val="26"/>
                <w:szCs w:val="26"/>
              </w:rPr>
            </w:pPr>
            <w:r w:rsidRPr="00EA272E">
              <w:rPr>
                <w:rFonts w:eastAsia="標楷體"/>
                <w:bCs/>
                <w:color w:val="FFFFFF"/>
                <w:kern w:val="0"/>
                <w:sz w:val="26"/>
                <w:szCs w:val="26"/>
              </w:rPr>
              <w:t>交易內容敘述</w:t>
            </w:r>
          </w:p>
        </w:tc>
        <w:tc>
          <w:tcPr>
            <w:tcW w:w="2053" w:type="dxa"/>
            <w:vMerge/>
            <w:shd w:val="clear" w:color="auto" w:fill="4F81BD"/>
            <w:noWrap/>
            <w:vAlign w:val="center"/>
          </w:tcPr>
          <w:p w:rsidR="0032590C" w:rsidRDefault="0032590C" w:rsidP="00965AF0">
            <w:pPr>
              <w:widowControl/>
              <w:spacing w:beforeLines="25" w:before="60" w:afterLines="25" w:after="60"/>
              <w:jc w:val="center"/>
              <w:rPr>
                <w:rFonts w:eastAsia="標楷體"/>
                <w:b/>
                <w:bCs/>
                <w:kern w:val="0"/>
                <w:sz w:val="26"/>
                <w:szCs w:val="26"/>
              </w:rPr>
            </w:pPr>
          </w:p>
        </w:tc>
      </w:tr>
      <w:tr w:rsidR="00F6367F" w:rsidRPr="00EA272E" w:rsidTr="008D321D">
        <w:trPr>
          <w:trHeight w:val="240"/>
        </w:trPr>
        <w:tc>
          <w:tcPr>
            <w:tcW w:w="1559" w:type="dxa"/>
            <w:vMerge w:val="restart"/>
            <w:shd w:val="clear" w:color="auto" w:fill="auto"/>
            <w:noWrap/>
            <w:vAlign w:val="center"/>
          </w:tcPr>
          <w:p w:rsidR="00F6367F" w:rsidRDefault="00F6367F" w:rsidP="00965AF0">
            <w:pPr>
              <w:widowControl/>
              <w:spacing w:beforeLines="25" w:before="60" w:afterLines="25" w:after="60"/>
              <w:jc w:val="center"/>
              <w:rPr>
                <w:rFonts w:eastAsia="標楷體"/>
                <w:bCs/>
                <w:kern w:val="0"/>
                <w:sz w:val="26"/>
                <w:szCs w:val="26"/>
              </w:rPr>
            </w:pPr>
            <w:r w:rsidRPr="00F81C66">
              <w:rPr>
                <w:rFonts w:eastAsia="標楷體" w:hint="eastAsia"/>
                <w:bCs/>
                <w:kern w:val="0"/>
                <w:sz w:val="26"/>
                <w:szCs w:val="26"/>
              </w:rPr>
              <w:t>有形資產之移轉</w:t>
            </w:r>
          </w:p>
        </w:tc>
        <w:tc>
          <w:tcPr>
            <w:tcW w:w="709" w:type="dxa"/>
            <w:vMerge w:val="restart"/>
            <w:shd w:val="clear" w:color="auto" w:fill="auto"/>
            <w:noWrap/>
            <w:vAlign w:val="center"/>
          </w:tcPr>
          <w:p w:rsidR="00F6367F" w:rsidRDefault="00F6367F" w:rsidP="00965AF0">
            <w:pPr>
              <w:widowControl/>
              <w:spacing w:beforeLines="25" w:before="60" w:afterLines="25" w:after="60"/>
              <w:jc w:val="center"/>
              <w:rPr>
                <w:rFonts w:eastAsia="標楷體"/>
                <w:bCs/>
                <w:kern w:val="0"/>
                <w:sz w:val="26"/>
                <w:szCs w:val="26"/>
              </w:rPr>
            </w:pPr>
            <w:r w:rsidRPr="00F81C66">
              <w:rPr>
                <w:rFonts w:eastAsia="標楷體" w:hint="eastAsia"/>
                <w:bCs/>
                <w:kern w:val="0"/>
                <w:sz w:val="26"/>
                <w:szCs w:val="26"/>
              </w:rPr>
              <w:t>進貨</w:t>
            </w:r>
          </w:p>
        </w:tc>
        <w:tc>
          <w:tcPr>
            <w:tcW w:w="708" w:type="dxa"/>
            <w:vMerge w:val="restart"/>
            <w:shd w:val="clear" w:color="auto" w:fill="auto"/>
            <w:vAlign w:val="center"/>
          </w:tcPr>
          <w:p w:rsidR="00F6367F" w:rsidRDefault="00F6367F" w:rsidP="00965AF0">
            <w:pPr>
              <w:spacing w:beforeLines="25" w:before="60" w:afterLines="25" w:after="60"/>
              <w:jc w:val="center"/>
              <w:rPr>
                <w:rFonts w:eastAsia="標楷體"/>
                <w:bCs/>
                <w:kern w:val="0"/>
                <w:sz w:val="26"/>
                <w:szCs w:val="26"/>
              </w:rPr>
            </w:pPr>
            <w:r>
              <w:rPr>
                <w:rFonts w:eastAsia="標楷體" w:hint="eastAsia"/>
                <w:bCs/>
                <w:kern w:val="0"/>
                <w:sz w:val="26"/>
                <w:szCs w:val="26"/>
              </w:rPr>
              <w:t>1</w:t>
            </w:r>
          </w:p>
        </w:tc>
        <w:tc>
          <w:tcPr>
            <w:tcW w:w="1560" w:type="dxa"/>
            <w:shd w:val="clear" w:color="auto" w:fill="auto"/>
            <w:vAlign w:val="center"/>
          </w:tcPr>
          <w:p w:rsidR="00F6367F" w:rsidRDefault="00F6367F" w:rsidP="00965AF0">
            <w:pPr>
              <w:spacing w:beforeLines="25" w:before="60" w:afterLines="25" w:after="60"/>
              <w:jc w:val="center"/>
              <w:rPr>
                <w:rFonts w:eastAsia="標楷體"/>
                <w:bCs/>
                <w:kern w:val="0"/>
                <w:sz w:val="26"/>
                <w:szCs w:val="26"/>
              </w:rPr>
            </w:pPr>
            <w:r>
              <w:rPr>
                <w:rFonts w:eastAsia="標楷體" w:hint="eastAsia"/>
                <w:sz w:val="26"/>
              </w:rPr>
              <w:t>TIS</w:t>
            </w:r>
          </w:p>
        </w:tc>
        <w:tc>
          <w:tcPr>
            <w:tcW w:w="1984" w:type="dxa"/>
            <w:vMerge w:val="restart"/>
            <w:shd w:val="clear" w:color="auto" w:fill="auto"/>
            <w:noWrap/>
            <w:vAlign w:val="center"/>
          </w:tcPr>
          <w:p w:rsidR="00F6367F" w:rsidRDefault="00F6367F" w:rsidP="00F6367F">
            <w:pPr>
              <w:widowControl/>
              <w:spacing w:beforeLines="25" w:before="60" w:afterLines="25" w:after="60"/>
              <w:jc w:val="both"/>
              <w:rPr>
                <w:rFonts w:eastAsia="標楷體"/>
                <w:bCs/>
                <w:kern w:val="0"/>
                <w:sz w:val="26"/>
                <w:szCs w:val="26"/>
              </w:rPr>
            </w:pPr>
            <w:r w:rsidRPr="00F81C66">
              <w:rPr>
                <w:rFonts w:eastAsia="標楷體" w:hint="eastAsia"/>
                <w:bCs/>
                <w:kern w:val="0"/>
                <w:sz w:val="26"/>
                <w:szCs w:val="26"/>
              </w:rPr>
              <w:t>購入電子測量儀器</w:t>
            </w:r>
          </w:p>
        </w:tc>
        <w:tc>
          <w:tcPr>
            <w:tcW w:w="2053" w:type="dxa"/>
            <w:shd w:val="clear" w:color="auto" w:fill="auto"/>
            <w:noWrap/>
            <w:vAlign w:val="center"/>
          </w:tcPr>
          <w:p w:rsidR="00F6367F" w:rsidRDefault="00F6367F">
            <w:pPr>
              <w:jc w:val="right"/>
              <w:rPr>
                <w:color w:val="000000"/>
                <w:sz w:val="26"/>
                <w:szCs w:val="26"/>
              </w:rPr>
            </w:pPr>
            <w:r>
              <w:rPr>
                <w:color w:val="000000"/>
                <w:sz w:val="26"/>
                <w:szCs w:val="26"/>
              </w:rPr>
              <w:t>167,547,636</w:t>
            </w:r>
          </w:p>
        </w:tc>
      </w:tr>
      <w:tr w:rsidR="00F6367F" w:rsidRPr="00EA272E" w:rsidTr="008D321D">
        <w:trPr>
          <w:trHeight w:val="233"/>
        </w:trPr>
        <w:tc>
          <w:tcPr>
            <w:tcW w:w="1559" w:type="dxa"/>
            <w:vMerge/>
            <w:shd w:val="clear" w:color="auto" w:fill="auto"/>
            <w:noWrap/>
            <w:vAlign w:val="center"/>
          </w:tcPr>
          <w:p w:rsidR="00F6367F" w:rsidRDefault="00F6367F" w:rsidP="00965AF0">
            <w:pPr>
              <w:widowControl/>
              <w:spacing w:beforeLines="25" w:before="60" w:afterLines="25" w:after="60"/>
              <w:jc w:val="center"/>
              <w:rPr>
                <w:rFonts w:eastAsia="標楷體"/>
                <w:bCs/>
                <w:color w:val="7F7F7F"/>
                <w:kern w:val="0"/>
                <w:sz w:val="26"/>
                <w:szCs w:val="26"/>
              </w:rPr>
            </w:pPr>
          </w:p>
        </w:tc>
        <w:tc>
          <w:tcPr>
            <w:tcW w:w="709" w:type="dxa"/>
            <w:vMerge/>
            <w:shd w:val="clear" w:color="auto" w:fill="auto"/>
            <w:noWrap/>
            <w:vAlign w:val="center"/>
          </w:tcPr>
          <w:p w:rsidR="00F6367F" w:rsidRDefault="00F6367F" w:rsidP="00965AF0">
            <w:pPr>
              <w:widowControl/>
              <w:spacing w:beforeLines="25" w:before="60" w:afterLines="25" w:after="60"/>
              <w:jc w:val="center"/>
              <w:rPr>
                <w:rFonts w:eastAsia="標楷體"/>
                <w:bCs/>
                <w:kern w:val="0"/>
                <w:sz w:val="26"/>
                <w:szCs w:val="26"/>
              </w:rPr>
            </w:pPr>
          </w:p>
        </w:tc>
        <w:tc>
          <w:tcPr>
            <w:tcW w:w="708" w:type="dxa"/>
            <w:vMerge/>
            <w:shd w:val="clear" w:color="auto" w:fill="auto"/>
            <w:vAlign w:val="center"/>
          </w:tcPr>
          <w:p w:rsidR="00F6367F" w:rsidRDefault="00F6367F" w:rsidP="00965AF0">
            <w:pPr>
              <w:spacing w:beforeLines="25" w:before="60" w:afterLines="25" w:after="60"/>
              <w:jc w:val="center"/>
              <w:rPr>
                <w:rFonts w:eastAsia="標楷體"/>
                <w:bCs/>
                <w:kern w:val="0"/>
                <w:sz w:val="26"/>
                <w:szCs w:val="26"/>
              </w:rPr>
            </w:pPr>
          </w:p>
        </w:tc>
        <w:tc>
          <w:tcPr>
            <w:tcW w:w="1560" w:type="dxa"/>
            <w:shd w:val="clear" w:color="auto" w:fill="auto"/>
            <w:vAlign w:val="center"/>
          </w:tcPr>
          <w:p w:rsidR="00F6367F" w:rsidRDefault="00F6367F" w:rsidP="00965AF0">
            <w:pPr>
              <w:spacing w:beforeLines="25" w:before="60" w:afterLines="25" w:after="60"/>
              <w:jc w:val="center"/>
              <w:rPr>
                <w:rFonts w:eastAsia="標楷體"/>
                <w:bCs/>
                <w:kern w:val="0"/>
                <w:sz w:val="26"/>
                <w:szCs w:val="26"/>
              </w:rPr>
            </w:pPr>
            <w:r>
              <w:rPr>
                <w:rFonts w:eastAsia="標楷體" w:hint="eastAsia"/>
                <w:bCs/>
                <w:kern w:val="0"/>
                <w:sz w:val="26"/>
                <w:szCs w:val="26"/>
              </w:rPr>
              <w:t>TCT</w:t>
            </w:r>
          </w:p>
        </w:tc>
        <w:tc>
          <w:tcPr>
            <w:tcW w:w="1984" w:type="dxa"/>
            <w:vMerge/>
            <w:shd w:val="clear" w:color="auto" w:fill="auto"/>
            <w:noWrap/>
            <w:vAlign w:val="center"/>
          </w:tcPr>
          <w:p w:rsidR="00F6367F" w:rsidRDefault="00F6367F" w:rsidP="00965AF0">
            <w:pPr>
              <w:spacing w:beforeLines="25" w:before="60" w:afterLines="25" w:after="60"/>
              <w:jc w:val="both"/>
              <w:rPr>
                <w:rFonts w:eastAsia="標楷體"/>
                <w:bCs/>
                <w:kern w:val="0"/>
                <w:sz w:val="26"/>
                <w:szCs w:val="26"/>
              </w:rPr>
            </w:pPr>
          </w:p>
        </w:tc>
        <w:tc>
          <w:tcPr>
            <w:tcW w:w="2053" w:type="dxa"/>
            <w:shd w:val="clear" w:color="auto" w:fill="auto"/>
            <w:noWrap/>
            <w:vAlign w:val="center"/>
          </w:tcPr>
          <w:p w:rsidR="00F6367F" w:rsidRDefault="00F6367F">
            <w:pPr>
              <w:jc w:val="right"/>
              <w:rPr>
                <w:color w:val="000000"/>
                <w:sz w:val="26"/>
                <w:szCs w:val="26"/>
              </w:rPr>
            </w:pPr>
            <w:r>
              <w:rPr>
                <w:color w:val="000000"/>
                <w:sz w:val="26"/>
                <w:szCs w:val="26"/>
              </w:rPr>
              <w:t>147,329,756</w:t>
            </w:r>
          </w:p>
        </w:tc>
      </w:tr>
      <w:tr w:rsidR="00F6367F" w:rsidRPr="00EA272E" w:rsidTr="008D321D">
        <w:trPr>
          <w:trHeight w:val="233"/>
        </w:trPr>
        <w:tc>
          <w:tcPr>
            <w:tcW w:w="1559" w:type="dxa"/>
            <w:vMerge/>
            <w:shd w:val="clear" w:color="auto" w:fill="auto"/>
            <w:noWrap/>
            <w:vAlign w:val="center"/>
          </w:tcPr>
          <w:p w:rsidR="00F6367F" w:rsidRDefault="00F6367F" w:rsidP="00965AF0">
            <w:pPr>
              <w:widowControl/>
              <w:spacing w:beforeLines="25" w:before="60" w:afterLines="25" w:after="60"/>
              <w:jc w:val="center"/>
              <w:rPr>
                <w:rFonts w:eastAsia="標楷體"/>
                <w:bCs/>
                <w:color w:val="7F7F7F"/>
                <w:kern w:val="0"/>
                <w:sz w:val="26"/>
                <w:szCs w:val="26"/>
              </w:rPr>
            </w:pPr>
          </w:p>
        </w:tc>
        <w:tc>
          <w:tcPr>
            <w:tcW w:w="709" w:type="dxa"/>
            <w:vMerge/>
            <w:shd w:val="clear" w:color="auto" w:fill="auto"/>
            <w:noWrap/>
            <w:vAlign w:val="center"/>
          </w:tcPr>
          <w:p w:rsidR="00F6367F" w:rsidRDefault="00F6367F" w:rsidP="00965AF0">
            <w:pPr>
              <w:widowControl/>
              <w:spacing w:beforeLines="25" w:before="60" w:afterLines="25" w:after="60"/>
              <w:jc w:val="center"/>
              <w:rPr>
                <w:rFonts w:eastAsia="標楷體"/>
                <w:bCs/>
                <w:kern w:val="0"/>
                <w:sz w:val="26"/>
                <w:szCs w:val="26"/>
              </w:rPr>
            </w:pPr>
          </w:p>
        </w:tc>
        <w:tc>
          <w:tcPr>
            <w:tcW w:w="708" w:type="dxa"/>
            <w:vMerge/>
            <w:shd w:val="clear" w:color="auto" w:fill="auto"/>
          </w:tcPr>
          <w:p w:rsidR="00F6367F" w:rsidRPr="001522B5" w:rsidRDefault="00F6367F"/>
        </w:tc>
        <w:tc>
          <w:tcPr>
            <w:tcW w:w="1560" w:type="dxa"/>
            <w:shd w:val="clear" w:color="auto" w:fill="auto"/>
            <w:vAlign w:val="center"/>
          </w:tcPr>
          <w:p w:rsidR="00F6367F" w:rsidRDefault="00F6367F" w:rsidP="00965AF0">
            <w:pPr>
              <w:spacing w:beforeLines="25" w:before="60" w:afterLines="25" w:after="60"/>
              <w:jc w:val="center"/>
              <w:rPr>
                <w:rFonts w:eastAsia="標楷體"/>
                <w:bCs/>
                <w:kern w:val="0"/>
                <w:sz w:val="26"/>
                <w:szCs w:val="26"/>
              </w:rPr>
            </w:pPr>
            <w:r>
              <w:rPr>
                <w:rFonts w:eastAsia="標楷體" w:hint="eastAsia"/>
                <w:bCs/>
                <w:kern w:val="0"/>
                <w:sz w:val="26"/>
                <w:szCs w:val="26"/>
              </w:rPr>
              <w:t>Fluke SEA</w:t>
            </w:r>
          </w:p>
        </w:tc>
        <w:tc>
          <w:tcPr>
            <w:tcW w:w="1984" w:type="dxa"/>
            <w:vMerge/>
            <w:shd w:val="clear" w:color="auto" w:fill="auto"/>
            <w:noWrap/>
          </w:tcPr>
          <w:p w:rsidR="00F6367F" w:rsidRDefault="00F6367F" w:rsidP="00965AF0">
            <w:pPr>
              <w:spacing w:beforeLines="25" w:before="60" w:afterLines="25" w:after="60"/>
              <w:jc w:val="both"/>
            </w:pPr>
          </w:p>
        </w:tc>
        <w:tc>
          <w:tcPr>
            <w:tcW w:w="2053" w:type="dxa"/>
            <w:shd w:val="clear" w:color="auto" w:fill="auto"/>
            <w:noWrap/>
            <w:vAlign w:val="center"/>
          </w:tcPr>
          <w:p w:rsidR="00F6367F" w:rsidRDefault="00F6367F">
            <w:pPr>
              <w:jc w:val="right"/>
              <w:rPr>
                <w:color w:val="000000"/>
                <w:sz w:val="26"/>
                <w:szCs w:val="26"/>
              </w:rPr>
            </w:pPr>
            <w:r>
              <w:rPr>
                <w:color w:val="000000"/>
                <w:sz w:val="26"/>
                <w:szCs w:val="26"/>
              </w:rPr>
              <w:t>1,826,327</w:t>
            </w:r>
          </w:p>
        </w:tc>
      </w:tr>
      <w:tr w:rsidR="00F6367F" w:rsidRPr="00EA272E" w:rsidTr="008D321D">
        <w:trPr>
          <w:trHeight w:val="233"/>
        </w:trPr>
        <w:tc>
          <w:tcPr>
            <w:tcW w:w="1559" w:type="dxa"/>
            <w:vMerge/>
            <w:shd w:val="clear" w:color="auto" w:fill="auto"/>
            <w:noWrap/>
            <w:vAlign w:val="center"/>
          </w:tcPr>
          <w:p w:rsidR="00F6367F" w:rsidRDefault="00F6367F" w:rsidP="00965AF0">
            <w:pPr>
              <w:widowControl/>
              <w:spacing w:beforeLines="25" w:before="60" w:afterLines="25" w:after="60"/>
              <w:jc w:val="center"/>
              <w:rPr>
                <w:rFonts w:eastAsia="標楷體"/>
                <w:bCs/>
                <w:color w:val="7F7F7F"/>
                <w:kern w:val="0"/>
                <w:sz w:val="26"/>
                <w:szCs w:val="26"/>
              </w:rPr>
            </w:pPr>
          </w:p>
        </w:tc>
        <w:tc>
          <w:tcPr>
            <w:tcW w:w="709" w:type="dxa"/>
            <w:vMerge/>
            <w:shd w:val="clear" w:color="auto" w:fill="auto"/>
            <w:noWrap/>
            <w:vAlign w:val="center"/>
          </w:tcPr>
          <w:p w:rsidR="00F6367F" w:rsidRDefault="00F6367F" w:rsidP="00965AF0">
            <w:pPr>
              <w:widowControl/>
              <w:spacing w:beforeLines="25" w:before="60" w:afterLines="25" w:after="60"/>
              <w:jc w:val="center"/>
              <w:rPr>
                <w:rFonts w:eastAsia="標楷體"/>
                <w:bCs/>
                <w:kern w:val="0"/>
                <w:sz w:val="26"/>
                <w:szCs w:val="26"/>
              </w:rPr>
            </w:pPr>
          </w:p>
        </w:tc>
        <w:tc>
          <w:tcPr>
            <w:tcW w:w="708" w:type="dxa"/>
            <w:vMerge/>
            <w:shd w:val="clear" w:color="auto" w:fill="auto"/>
          </w:tcPr>
          <w:p w:rsidR="00F6367F" w:rsidRPr="001522B5" w:rsidRDefault="00F6367F"/>
        </w:tc>
        <w:tc>
          <w:tcPr>
            <w:tcW w:w="1560" w:type="dxa"/>
            <w:shd w:val="clear" w:color="auto" w:fill="auto"/>
            <w:vAlign w:val="center"/>
          </w:tcPr>
          <w:p w:rsidR="00F6367F" w:rsidRDefault="00F6367F" w:rsidP="00965AF0">
            <w:pPr>
              <w:spacing w:beforeLines="25" w:before="60" w:afterLines="25" w:after="60"/>
              <w:jc w:val="center"/>
              <w:rPr>
                <w:rFonts w:eastAsia="標楷體"/>
                <w:bCs/>
                <w:kern w:val="0"/>
                <w:sz w:val="26"/>
                <w:szCs w:val="26"/>
              </w:rPr>
            </w:pPr>
            <w:r w:rsidRPr="00F81C66">
              <w:rPr>
                <w:rFonts w:eastAsia="標楷體" w:hint="eastAsia"/>
                <w:bCs/>
                <w:kern w:val="0"/>
                <w:sz w:val="26"/>
                <w:szCs w:val="26"/>
              </w:rPr>
              <w:t xml:space="preserve">TII </w:t>
            </w:r>
          </w:p>
        </w:tc>
        <w:tc>
          <w:tcPr>
            <w:tcW w:w="1984" w:type="dxa"/>
            <w:vMerge/>
            <w:shd w:val="clear" w:color="auto" w:fill="auto"/>
            <w:noWrap/>
          </w:tcPr>
          <w:p w:rsidR="00F6367F" w:rsidRDefault="00F6367F" w:rsidP="00965AF0">
            <w:pPr>
              <w:spacing w:beforeLines="25" w:before="60" w:afterLines="25" w:after="60"/>
              <w:jc w:val="both"/>
            </w:pPr>
          </w:p>
        </w:tc>
        <w:tc>
          <w:tcPr>
            <w:tcW w:w="2053" w:type="dxa"/>
            <w:shd w:val="clear" w:color="auto" w:fill="auto"/>
            <w:noWrap/>
            <w:vAlign w:val="center"/>
          </w:tcPr>
          <w:p w:rsidR="00F6367F" w:rsidRDefault="00F6367F">
            <w:pPr>
              <w:jc w:val="right"/>
              <w:rPr>
                <w:color w:val="000000"/>
                <w:sz w:val="26"/>
                <w:szCs w:val="26"/>
              </w:rPr>
            </w:pPr>
            <w:r>
              <w:rPr>
                <w:color w:val="000000"/>
                <w:sz w:val="26"/>
                <w:szCs w:val="26"/>
              </w:rPr>
              <w:t>340,039</w:t>
            </w:r>
          </w:p>
        </w:tc>
      </w:tr>
      <w:tr w:rsidR="00505F28" w:rsidRPr="00EA272E" w:rsidTr="008D321D">
        <w:trPr>
          <w:trHeight w:val="330"/>
        </w:trPr>
        <w:tc>
          <w:tcPr>
            <w:tcW w:w="1559" w:type="dxa"/>
            <w:vMerge w:val="restart"/>
            <w:shd w:val="clear" w:color="auto" w:fill="auto"/>
            <w:noWrap/>
            <w:vAlign w:val="center"/>
          </w:tcPr>
          <w:p w:rsidR="00505F28" w:rsidRDefault="00505F28" w:rsidP="00965AF0">
            <w:pPr>
              <w:widowControl/>
              <w:spacing w:beforeLines="25" w:before="60" w:afterLines="25" w:after="60"/>
              <w:jc w:val="center"/>
              <w:rPr>
                <w:rFonts w:eastAsia="標楷體"/>
                <w:bCs/>
                <w:kern w:val="0"/>
                <w:sz w:val="26"/>
                <w:szCs w:val="26"/>
              </w:rPr>
            </w:pPr>
            <w:r w:rsidRPr="00780DF6">
              <w:rPr>
                <w:rFonts w:eastAsia="標楷體" w:hint="eastAsia"/>
                <w:bCs/>
                <w:kern w:val="0"/>
                <w:sz w:val="26"/>
                <w:szCs w:val="26"/>
              </w:rPr>
              <w:t>服務之</w:t>
            </w:r>
          </w:p>
          <w:p w:rsidR="0032590C" w:rsidRDefault="00505F28" w:rsidP="00965AF0">
            <w:pPr>
              <w:widowControl/>
              <w:spacing w:beforeLines="25" w:before="60" w:afterLines="25" w:after="60"/>
              <w:jc w:val="center"/>
              <w:rPr>
                <w:rFonts w:eastAsia="標楷體"/>
                <w:bCs/>
                <w:kern w:val="0"/>
                <w:sz w:val="26"/>
                <w:szCs w:val="26"/>
              </w:rPr>
            </w:pPr>
            <w:r w:rsidRPr="00780DF6">
              <w:rPr>
                <w:rFonts w:eastAsia="標楷體" w:hint="eastAsia"/>
                <w:bCs/>
                <w:kern w:val="0"/>
                <w:sz w:val="26"/>
                <w:szCs w:val="26"/>
              </w:rPr>
              <w:t>提供</w:t>
            </w:r>
          </w:p>
        </w:tc>
        <w:tc>
          <w:tcPr>
            <w:tcW w:w="709" w:type="dxa"/>
            <w:vMerge w:val="restart"/>
            <w:shd w:val="clear" w:color="auto" w:fill="auto"/>
            <w:noWrap/>
            <w:vAlign w:val="center"/>
          </w:tcPr>
          <w:p w:rsidR="0032590C" w:rsidRDefault="00505F28" w:rsidP="00965AF0">
            <w:pPr>
              <w:widowControl/>
              <w:spacing w:beforeLines="25" w:before="60" w:afterLines="25" w:after="60"/>
              <w:jc w:val="center"/>
              <w:rPr>
                <w:rFonts w:eastAsia="標楷體"/>
                <w:bCs/>
                <w:kern w:val="0"/>
                <w:sz w:val="26"/>
                <w:szCs w:val="26"/>
              </w:rPr>
            </w:pPr>
            <w:r w:rsidRPr="00F81C66">
              <w:rPr>
                <w:rFonts w:eastAsia="標楷體" w:hint="eastAsia"/>
                <w:bCs/>
                <w:kern w:val="0"/>
                <w:sz w:val="26"/>
                <w:szCs w:val="26"/>
              </w:rPr>
              <w:t>服務</w:t>
            </w:r>
          </w:p>
          <w:p w:rsidR="0032590C" w:rsidRDefault="00505F28" w:rsidP="00965AF0">
            <w:pPr>
              <w:widowControl/>
              <w:spacing w:beforeLines="25" w:before="60" w:afterLines="25" w:after="60"/>
              <w:jc w:val="center"/>
              <w:rPr>
                <w:rFonts w:eastAsia="標楷體"/>
                <w:bCs/>
                <w:kern w:val="0"/>
                <w:sz w:val="26"/>
                <w:szCs w:val="26"/>
              </w:rPr>
            </w:pPr>
            <w:r w:rsidRPr="00F81C66">
              <w:rPr>
                <w:rFonts w:eastAsia="標楷體" w:hint="eastAsia"/>
                <w:bCs/>
                <w:kern w:val="0"/>
                <w:sz w:val="26"/>
                <w:szCs w:val="26"/>
              </w:rPr>
              <w:t>收入</w:t>
            </w:r>
          </w:p>
        </w:tc>
        <w:tc>
          <w:tcPr>
            <w:tcW w:w="708" w:type="dxa"/>
            <w:shd w:val="clear" w:color="auto" w:fill="auto"/>
            <w:vAlign w:val="center"/>
          </w:tcPr>
          <w:p w:rsidR="0032590C" w:rsidRDefault="00505F28" w:rsidP="00965AF0">
            <w:pPr>
              <w:spacing w:beforeLines="25" w:before="60" w:afterLines="25" w:after="60"/>
              <w:jc w:val="center"/>
              <w:rPr>
                <w:rFonts w:eastAsia="標楷體"/>
                <w:bCs/>
                <w:kern w:val="0"/>
                <w:sz w:val="26"/>
                <w:szCs w:val="26"/>
              </w:rPr>
            </w:pPr>
            <w:r w:rsidRPr="001522B5">
              <w:rPr>
                <w:rFonts w:eastAsia="標楷體"/>
                <w:bCs/>
                <w:kern w:val="0"/>
                <w:sz w:val="26"/>
                <w:szCs w:val="26"/>
              </w:rPr>
              <w:t>2</w:t>
            </w:r>
            <w:r>
              <w:rPr>
                <w:rFonts w:eastAsia="標楷體" w:hint="eastAsia"/>
                <w:bCs/>
                <w:kern w:val="0"/>
                <w:sz w:val="26"/>
                <w:szCs w:val="26"/>
              </w:rPr>
              <w:t>(1)</w:t>
            </w:r>
          </w:p>
        </w:tc>
        <w:tc>
          <w:tcPr>
            <w:tcW w:w="1560" w:type="dxa"/>
            <w:shd w:val="clear" w:color="auto" w:fill="auto"/>
            <w:vAlign w:val="center"/>
          </w:tcPr>
          <w:p w:rsidR="0032590C" w:rsidRDefault="00505F28" w:rsidP="00965AF0">
            <w:pPr>
              <w:spacing w:beforeLines="25" w:before="60" w:afterLines="25" w:after="60"/>
              <w:jc w:val="center"/>
              <w:rPr>
                <w:rFonts w:eastAsia="標楷體"/>
                <w:bCs/>
                <w:kern w:val="0"/>
                <w:sz w:val="26"/>
                <w:szCs w:val="26"/>
              </w:rPr>
            </w:pPr>
            <w:r w:rsidRPr="00F81C66">
              <w:rPr>
                <w:rFonts w:eastAsia="標楷體" w:hint="eastAsia"/>
                <w:bCs/>
                <w:kern w:val="0"/>
                <w:sz w:val="26"/>
                <w:szCs w:val="26"/>
              </w:rPr>
              <w:t>母公司</w:t>
            </w:r>
          </w:p>
        </w:tc>
        <w:tc>
          <w:tcPr>
            <w:tcW w:w="1984" w:type="dxa"/>
            <w:shd w:val="clear" w:color="auto" w:fill="auto"/>
            <w:noWrap/>
            <w:vAlign w:val="center"/>
          </w:tcPr>
          <w:p w:rsidR="0032590C" w:rsidRDefault="00505F28" w:rsidP="00965AF0">
            <w:pPr>
              <w:widowControl/>
              <w:spacing w:beforeLines="25" w:before="60" w:afterLines="25" w:after="60"/>
              <w:jc w:val="both"/>
              <w:rPr>
                <w:rFonts w:eastAsia="標楷體"/>
                <w:b/>
                <w:bCs/>
                <w:kern w:val="0"/>
                <w:sz w:val="26"/>
                <w:szCs w:val="26"/>
              </w:rPr>
            </w:pPr>
            <w:r w:rsidRPr="00780DF6">
              <w:rPr>
                <w:rFonts w:eastAsia="標楷體" w:hint="eastAsia"/>
                <w:bCs/>
                <w:kern w:val="0"/>
                <w:sz w:val="26"/>
                <w:szCs w:val="26"/>
              </w:rPr>
              <w:t>提供接單、行銷、維修及保固等產品服務</w:t>
            </w:r>
          </w:p>
        </w:tc>
        <w:tc>
          <w:tcPr>
            <w:tcW w:w="2053" w:type="dxa"/>
            <w:shd w:val="clear" w:color="auto" w:fill="auto"/>
            <w:noWrap/>
            <w:vAlign w:val="center"/>
          </w:tcPr>
          <w:p w:rsidR="0032590C" w:rsidRDefault="0066362E" w:rsidP="00965AF0">
            <w:pPr>
              <w:widowControl/>
              <w:spacing w:beforeLines="25" w:before="60" w:afterLines="25" w:after="60"/>
              <w:jc w:val="right"/>
              <w:rPr>
                <w:rFonts w:eastAsia="標楷體"/>
                <w:b/>
                <w:bCs/>
                <w:color w:val="000000" w:themeColor="text1"/>
                <w:kern w:val="0"/>
                <w:sz w:val="26"/>
                <w:szCs w:val="26"/>
              </w:rPr>
            </w:pPr>
            <w:r>
              <w:rPr>
                <w:rFonts w:eastAsia="標楷體" w:hint="eastAsia"/>
                <w:bCs/>
                <w:color w:val="000000" w:themeColor="text1"/>
                <w:kern w:val="0"/>
                <w:sz w:val="26"/>
                <w:szCs w:val="26"/>
              </w:rPr>
              <w:t>101</w:t>
            </w:r>
            <w:r w:rsidR="00505F28" w:rsidRPr="00DC4ACB">
              <w:rPr>
                <w:rFonts w:eastAsia="標楷體"/>
                <w:bCs/>
                <w:color w:val="000000" w:themeColor="text1"/>
                <w:kern w:val="0"/>
                <w:sz w:val="26"/>
                <w:szCs w:val="26"/>
              </w:rPr>
              <w:t>,</w:t>
            </w:r>
            <w:r>
              <w:rPr>
                <w:rFonts w:eastAsia="標楷體" w:hint="eastAsia"/>
                <w:bCs/>
                <w:color w:val="000000" w:themeColor="text1"/>
                <w:kern w:val="0"/>
                <w:sz w:val="26"/>
                <w:szCs w:val="26"/>
              </w:rPr>
              <w:t>384</w:t>
            </w:r>
            <w:r w:rsidR="00505F28" w:rsidRPr="00DC4ACB">
              <w:rPr>
                <w:rFonts w:eastAsia="標楷體"/>
                <w:bCs/>
                <w:color w:val="000000" w:themeColor="text1"/>
                <w:kern w:val="0"/>
                <w:sz w:val="26"/>
                <w:szCs w:val="26"/>
              </w:rPr>
              <w:t>,</w:t>
            </w:r>
            <w:r>
              <w:rPr>
                <w:rFonts w:eastAsia="標楷體" w:hint="eastAsia"/>
                <w:bCs/>
                <w:color w:val="000000" w:themeColor="text1"/>
                <w:kern w:val="0"/>
                <w:sz w:val="26"/>
                <w:szCs w:val="26"/>
              </w:rPr>
              <w:t>211</w:t>
            </w:r>
          </w:p>
        </w:tc>
      </w:tr>
      <w:tr w:rsidR="00F6367F" w:rsidRPr="00EA272E" w:rsidTr="008D321D">
        <w:trPr>
          <w:trHeight w:val="330"/>
        </w:trPr>
        <w:tc>
          <w:tcPr>
            <w:tcW w:w="1559" w:type="dxa"/>
            <w:vMerge/>
            <w:shd w:val="clear" w:color="auto" w:fill="auto"/>
            <w:noWrap/>
            <w:vAlign w:val="center"/>
          </w:tcPr>
          <w:p w:rsidR="00F6367F" w:rsidRDefault="00F6367F" w:rsidP="00965AF0">
            <w:pPr>
              <w:widowControl/>
              <w:spacing w:beforeLines="25" w:before="60" w:afterLines="25" w:after="60"/>
              <w:jc w:val="center"/>
              <w:rPr>
                <w:rFonts w:eastAsia="標楷體"/>
                <w:bCs/>
                <w:kern w:val="0"/>
                <w:sz w:val="26"/>
                <w:szCs w:val="26"/>
              </w:rPr>
            </w:pPr>
          </w:p>
        </w:tc>
        <w:tc>
          <w:tcPr>
            <w:tcW w:w="709" w:type="dxa"/>
            <w:vMerge/>
            <w:shd w:val="clear" w:color="auto" w:fill="auto"/>
            <w:noWrap/>
            <w:vAlign w:val="center"/>
          </w:tcPr>
          <w:p w:rsidR="00F6367F" w:rsidRDefault="00F6367F" w:rsidP="00965AF0">
            <w:pPr>
              <w:widowControl/>
              <w:spacing w:beforeLines="25" w:before="60" w:afterLines="25" w:after="60"/>
              <w:jc w:val="center"/>
              <w:rPr>
                <w:rFonts w:eastAsia="標楷體"/>
                <w:bCs/>
                <w:kern w:val="0"/>
                <w:sz w:val="26"/>
                <w:szCs w:val="26"/>
              </w:rPr>
            </w:pPr>
          </w:p>
        </w:tc>
        <w:tc>
          <w:tcPr>
            <w:tcW w:w="708" w:type="dxa"/>
            <w:vMerge w:val="restart"/>
            <w:shd w:val="clear" w:color="auto" w:fill="auto"/>
            <w:vAlign w:val="center"/>
          </w:tcPr>
          <w:p w:rsidR="00F6367F" w:rsidRDefault="00F6367F" w:rsidP="00965AF0">
            <w:pPr>
              <w:spacing w:beforeLines="25" w:before="60" w:afterLines="25" w:after="60"/>
              <w:jc w:val="center"/>
              <w:rPr>
                <w:rFonts w:eastAsia="標楷體"/>
                <w:bCs/>
                <w:kern w:val="0"/>
                <w:sz w:val="26"/>
                <w:szCs w:val="26"/>
              </w:rPr>
            </w:pPr>
            <w:r>
              <w:rPr>
                <w:rFonts w:eastAsia="標楷體" w:hint="eastAsia"/>
                <w:bCs/>
                <w:kern w:val="0"/>
                <w:sz w:val="26"/>
                <w:szCs w:val="26"/>
              </w:rPr>
              <w:t xml:space="preserve">2(2) </w:t>
            </w:r>
          </w:p>
        </w:tc>
        <w:tc>
          <w:tcPr>
            <w:tcW w:w="1560" w:type="dxa"/>
            <w:shd w:val="clear" w:color="auto" w:fill="auto"/>
            <w:vAlign w:val="center"/>
          </w:tcPr>
          <w:p w:rsidR="00F6367F" w:rsidRDefault="00F6367F" w:rsidP="00965AF0">
            <w:pPr>
              <w:spacing w:beforeLines="25" w:before="60" w:afterLines="25" w:after="60"/>
              <w:jc w:val="center"/>
              <w:rPr>
                <w:rFonts w:eastAsia="標楷體"/>
                <w:bCs/>
                <w:kern w:val="0"/>
                <w:sz w:val="26"/>
                <w:szCs w:val="26"/>
              </w:rPr>
            </w:pPr>
            <w:r>
              <w:rPr>
                <w:rFonts w:eastAsia="標楷體" w:hint="eastAsia"/>
                <w:sz w:val="26"/>
              </w:rPr>
              <w:t>TIS</w:t>
            </w:r>
          </w:p>
        </w:tc>
        <w:tc>
          <w:tcPr>
            <w:tcW w:w="1984" w:type="dxa"/>
            <w:vMerge w:val="restart"/>
            <w:shd w:val="clear" w:color="auto" w:fill="auto"/>
            <w:noWrap/>
            <w:vAlign w:val="center"/>
          </w:tcPr>
          <w:p w:rsidR="00F6367F" w:rsidRDefault="00F6367F" w:rsidP="00BC13CF">
            <w:pPr>
              <w:widowControl/>
              <w:spacing w:beforeLines="25" w:before="60" w:afterLines="25" w:after="60"/>
              <w:jc w:val="both"/>
              <w:rPr>
                <w:rFonts w:eastAsia="標楷體"/>
                <w:bCs/>
                <w:kern w:val="0"/>
                <w:sz w:val="26"/>
                <w:szCs w:val="26"/>
              </w:rPr>
            </w:pPr>
            <w:r w:rsidRPr="00E60602">
              <w:rPr>
                <w:rFonts w:eastAsia="標楷體" w:hint="eastAsia"/>
                <w:bCs/>
                <w:kern w:val="0"/>
                <w:sz w:val="26"/>
                <w:szCs w:val="26"/>
              </w:rPr>
              <w:t>產品調度</w:t>
            </w:r>
            <w:r>
              <w:rPr>
                <w:rFonts w:eastAsia="標楷體" w:hint="eastAsia"/>
                <w:bCs/>
                <w:kern w:val="0"/>
                <w:sz w:val="26"/>
                <w:szCs w:val="26"/>
              </w:rPr>
              <w:t>、代收付服務</w:t>
            </w:r>
          </w:p>
        </w:tc>
        <w:tc>
          <w:tcPr>
            <w:tcW w:w="2053" w:type="dxa"/>
            <w:shd w:val="clear" w:color="auto" w:fill="auto"/>
            <w:noWrap/>
            <w:vAlign w:val="center"/>
          </w:tcPr>
          <w:p w:rsidR="00F6367F" w:rsidRPr="00762061" w:rsidRDefault="00F6367F" w:rsidP="00F6367F">
            <w:pPr>
              <w:jc w:val="right"/>
            </w:pPr>
            <w:r w:rsidRPr="00762061">
              <w:t xml:space="preserve"> 1,543,060 </w:t>
            </w:r>
          </w:p>
        </w:tc>
      </w:tr>
      <w:tr w:rsidR="00F6367F" w:rsidRPr="00EA272E" w:rsidTr="008D321D">
        <w:trPr>
          <w:trHeight w:val="330"/>
        </w:trPr>
        <w:tc>
          <w:tcPr>
            <w:tcW w:w="1559" w:type="dxa"/>
            <w:vMerge/>
            <w:shd w:val="clear" w:color="auto" w:fill="auto"/>
            <w:noWrap/>
            <w:vAlign w:val="center"/>
          </w:tcPr>
          <w:p w:rsidR="00F6367F" w:rsidRDefault="00F6367F" w:rsidP="00965AF0">
            <w:pPr>
              <w:widowControl/>
              <w:spacing w:beforeLines="25" w:before="60" w:afterLines="25" w:after="60"/>
              <w:jc w:val="center"/>
              <w:rPr>
                <w:rFonts w:eastAsia="標楷體"/>
                <w:bCs/>
                <w:i/>
                <w:kern w:val="0"/>
                <w:sz w:val="26"/>
                <w:szCs w:val="26"/>
              </w:rPr>
            </w:pPr>
          </w:p>
        </w:tc>
        <w:tc>
          <w:tcPr>
            <w:tcW w:w="709" w:type="dxa"/>
            <w:vMerge/>
            <w:shd w:val="clear" w:color="auto" w:fill="auto"/>
            <w:noWrap/>
            <w:vAlign w:val="center"/>
          </w:tcPr>
          <w:p w:rsidR="00F6367F" w:rsidRDefault="00F6367F" w:rsidP="00965AF0">
            <w:pPr>
              <w:widowControl/>
              <w:spacing w:beforeLines="25" w:before="60" w:afterLines="25" w:after="60"/>
              <w:jc w:val="center"/>
              <w:rPr>
                <w:rFonts w:eastAsia="標楷體"/>
                <w:bCs/>
                <w:kern w:val="0"/>
                <w:sz w:val="26"/>
                <w:szCs w:val="26"/>
              </w:rPr>
            </w:pPr>
          </w:p>
        </w:tc>
        <w:tc>
          <w:tcPr>
            <w:tcW w:w="708" w:type="dxa"/>
            <w:vMerge/>
            <w:shd w:val="clear" w:color="auto" w:fill="auto"/>
            <w:vAlign w:val="center"/>
          </w:tcPr>
          <w:p w:rsidR="00F6367F" w:rsidRDefault="00F6367F" w:rsidP="00965AF0">
            <w:pPr>
              <w:spacing w:beforeLines="25" w:before="60" w:afterLines="25" w:after="60"/>
              <w:jc w:val="center"/>
              <w:rPr>
                <w:rFonts w:eastAsia="標楷體"/>
                <w:bCs/>
                <w:kern w:val="0"/>
                <w:sz w:val="26"/>
                <w:szCs w:val="26"/>
              </w:rPr>
            </w:pPr>
          </w:p>
        </w:tc>
        <w:tc>
          <w:tcPr>
            <w:tcW w:w="1560" w:type="dxa"/>
            <w:shd w:val="clear" w:color="auto" w:fill="auto"/>
            <w:vAlign w:val="center"/>
          </w:tcPr>
          <w:p w:rsidR="00F6367F" w:rsidRDefault="00F6367F" w:rsidP="00965AF0">
            <w:pPr>
              <w:spacing w:beforeLines="25" w:before="60" w:afterLines="25" w:after="60"/>
              <w:jc w:val="center"/>
              <w:rPr>
                <w:rFonts w:eastAsia="標楷體"/>
                <w:sz w:val="26"/>
              </w:rPr>
            </w:pPr>
            <w:r>
              <w:rPr>
                <w:rFonts w:eastAsia="標楷體" w:hint="eastAsia"/>
                <w:bCs/>
                <w:kern w:val="0"/>
                <w:sz w:val="26"/>
                <w:szCs w:val="26"/>
              </w:rPr>
              <w:t>Fluke SEA</w:t>
            </w:r>
          </w:p>
        </w:tc>
        <w:tc>
          <w:tcPr>
            <w:tcW w:w="1984" w:type="dxa"/>
            <w:vMerge/>
            <w:shd w:val="clear" w:color="auto" w:fill="auto"/>
            <w:noWrap/>
            <w:vAlign w:val="center"/>
          </w:tcPr>
          <w:p w:rsidR="00F6367F" w:rsidRDefault="00F6367F" w:rsidP="00965AF0">
            <w:pPr>
              <w:widowControl/>
              <w:spacing w:beforeLines="25" w:before="60" w:afterLines="25" w:after="60"/>
              <w:jc w:val="both"/>
              <w:rPr>
                <w:rFonts w:eastAsia="標楷體"/>
                <w:bCs/>
                <w:kern w:val="0"/>
                <w:sz w:val="26"/>
                <w:szCs w:val="26"/>
              </w:rPr>
            </w:pPr>
          </w:p>
        </w:tc>
        <w:tc>
          <w:tcPr>
            <w:tcW w:w="2053" w:type="dxa"/>
            <w:shd w:val="clear" w:color="auto" w:fill="auto"/>
            <w:noWrap/>
            <w:vAlign w:val="center"/>
          </w:tcPr>
          <w:p w:rsidR="00F6367F" w:rsidRPr="00762061" w:rsidRDefault="00F6367F" w:rsidP="00F6367F">
            <w:pPr>
              <w:jc w:val="right"/>
            </w:pPr>
            <w:r w:rsidRPr="00762061">
              <w:t xml:space="preserve"> 2,515,193 </w:t>
            </w:r>
          </w:p>
        </w:tc>
      </w:tr>
      <w:tr w:rsidR="00F6367F" w:rsidRPr="00EA272E" w:rsidTr="008D321D">
        <w:trPr>
          <w:trHeight w:val="330"/>
        </w:trPr>
        <w:tc>
          <w:tcPr>
            <w:tcW w:w="1559" w:type="dxa"/>
            <w:vMerge/>
            <w:shd w:val="clear" w:color="auto" w:fill="auto"/>
            <w:noWrap/>
            <w:vAlign w:val="center"/>
          </w:tcPr>
          <w:p w:rsidR="00F6367F" w:rsidRDefault="00F6367F" w:rsidP="00965AF0">
            <w:pPr>
              <w:widowControl/>
              <w:spacing w:beforeLines="25" w:before="60" w:afterLines="25" w:after="60"/>
              <w:jc w:val="center"/>
              <w:rPr>
                <w:rFonts w:eastAsia="標楷體"/>
                <w:bCs/>
                <w:i/>
                <w:kern w:val="0"/>
                <w:sz w:val="26"/>
                <w:szCs w:val="26"/>
              </w:rPr>
            </w:pPr>
          </w:p>
        </w:tc>
        <w:tc>
          <w:tcPr>
            <w:tcW w:w="709" w:type="dxa"/>
            <w:vMerge/>
            <w:shd w:val="clear" w:color="auto" w:fill="auto"/>
            <w:noWrap/>
            <w:vAlign w:val="center"/>
          </w:tcPr>
          <w:p w:rsidR="00F6367F" w:rsidRDefault="00F6367F" w:rsidP="00965AF0">
            <w:pPr>
              <w:widowControl/>
              <w:spacing w:beforeLines="25" w:before="60" w:afterLines="25" w:after="60"/>
              <w:jc w:val="center"/>
              <w:rPr>
                <w:rFonts w:eastAsia="標楷體"/>
                <w:bCs/>
                <w:kern w:val="0"/>
                <w:sz w:val="26"/>
                <w:szCs w:val="26"/>
              </w:rPr>
            </w:pPr>
          </w:p>
        </w:tc>
        <w:tc>
          <w:tcPr>
            <w:tcW w:w="708" w:type="dxa"/>
            <w:vMerge/>
            <w:shd w:val="clear" w:color="auto" w:fill="auto"/>
            <w:vAlign w:val="center"/>
          </w:tcPr>
          <w:p w:rsidR="00F6367F" w:rsidRDefault="00F6367F" w:rsidP="00965AF0">
            <w:pPr>
              <w:spacing w:beforeLines="25" w:before="60" w:afterLines="25" w:after="60"/>
              <w:jc w:val="center"/>
              <w:rPr>
                <w:rFonts w:eastAsia="標楷體"/>
                <w:bCs/>
                <w:kern w:val="0"/>
                <w:sz w:val="26"/>
                <w:szCs w:val="26"/>
              </w:rPr>
            </w:pPr>
          </w:p>
        </w:tc>
        <w:tc>
          <w:tcPr>
            <w:tcW w:w="1560" w:type="dxa"/>
            <w:shd w:val="clear" w:color="auto" w:fill="auto"/>
            <w:vAlign w:val="center"/>
          </w:tcPr>
          <w:p w:rsidR="00F6367F" w:rsidRDefault="00F6367F" w:rsidP="00965AF0">
            <w:pPr>
              <w:spacing w:beforeLines="25" w:before="60" w:afterLines="25" w:after="60"/>
              <w:jc w:val="center"/>
              <w:rPr>
                <w:rFonts w:eastAsia="標楷體"/>
                <w:sz w:val="26"/>
              </w:rPr>
            </w:pPr>
            <w:r>
              <w:rPr>
                <w:rFonts w:eastAsia="標楷體" w:hint="eastAsia"/>
                <w:sz w:val="26"/>
              </w:rPr>
              <w:t>Sonix</w:t>
            </w:r>
          </w:p>
        </w:tc>
        <w:tc>
          <w:tcPr>
            <w:tcW w:w="1984" w:type="dxa"/>
            <w:vMerge/>
            <w:shd w:val="clear" w:color="auto" w:fill="auto"/>
            <w:noWrap/>
            <w:vAlign w:val="center"/>
          </w:tcPr>
          <w:p w:rsidR="00F6367F" w:rsidRDefault="00F6367F" w:rsidP="00965AF0">
            <w:pPr>
              <w:widowControl/>
              <w:spacing w:beforeLines="25" w:before="60" w:afterLines="25" w:after="60"/>
              <w:jc w:val="both"/>
              <w:rPr>
                <w:rFonts w:eastAsia="標楷體"/>
                <w:bCs/>
                <w:kern w:val="0"/>
                <w:sz w:val="26"/>
                <w:szCs w:val="26"/>
              </w:rPr>
            </w:pPr>
          </w:p>
        </w:tc>
        <w:tc>
          <w:tcPr>
            <w:tcW w:w="2053" w:type="dxa"/>
            <w:shd w:val="clear" w:color="auto" w:fill="auto"/>
            <w:noWrap/>
            <w:vAlign w:val="center"/>
          </w:tcPr>
          <w:p w:rsidR="00F6367F" w:rsidRPr="00762061" w:rsidRDefault="00F6367F" w:rsidP="00F6367F">
            <w:pPr>
              <w:jc w:val="right"/>
            </w:pPr>
            <w:r w:rsidRPr="00762061">
              <w:t>1</w:t>
            </w:r>
            <w:r w:rsidR="003036DC" w:rsidRPr="00DC4ACB">
              <w:rPr>
                <w:rFonts w:eastAsia="標楷體"/>
                <w:bCs/>
                <w:color w:val="000000" w:themeColor="text1"/>
                <w:kern w:val="0"/>
                <w:sz w:val="26"/>
                <w:szCs w:val="26"/>
              </w:rPr>
              <w:t>,</w:t>
            </w:r>
            <w:r w:rsidRPr="00762061">
              <w:t>186</w:t>
            </w:r>
            <w:r w:rsidR="003036DC" w:rsidRPr="00DC4ACB">
              <w:rPr>
                <w:rFonts w:eastAsia="標楷體"/>
                <w:bCs/>
                <w:color w:val="000000" w:themeColor="text1"/>
                <w:kern w:val="0"/>
                <w:sz w:val="26"/>
                <w:szCs w:val="26"/>
              </w:rPr>
              <w:t>,</w:t>
            </w:r>
            <w:r w:rsidRPr="00762061">
              <w:t>015</w:t>
            </w:r>
          </w:p>
        </w:tc>
      </w:tr>
      <w:tr w:rsidR="00F6367F" w:rsidRPr="00EA272E" w:rsidTr="008D321D">
        <w:trPr>
          <w:trHeight w:val="330"/>
        </w:trPr>
        <w:tc>
          <w:tcPr>
            <w:tcW w:w="1559" w:type="dxa"/>
            <w:vMerge/>
            <w:shd w:val="clear" w:color="auto" w:fill="auto"/>
            <w:noWrap/>
            <w:vAlign w:val="center"/>
          </w:tcPr>
          <w:p w:rsidR="00F6367F" w:rsidRDefault="00F6367F" w:rsidP="00965AF0">
            <w:pPr>
              <w:widowControl/>
              <w:spacing w:beforeLines="25" w:before="60" w:afterLines="25" w:after="60"/>
              <w:jc w:val="center"/>
              <w:rPr>
                <w:rFonts w:eastAsia="標楷體"/>
                <w:bCs/>
                <w:i/>
                <w:kern w:val="0"/>
                <w:sz w:val="26"/>
                <w:szCs w:val="26"/>
              </w:rPr>
            </w:pPr>
          </w:p>
        </w:tc>
        <w:tc>
          <w:tcPr>
            <w:tcW w:w="709" w:type="dxa"/>
            <w:vMerge/>
            <w:shd w:val="clear" w:color="auto" w:fill="auto"/>
            <w:noWrap/>
            <w:vAlign w:val="center"/>
          </w:tcPr>
          <w:p w:rsidR="00F6367F" w:rsidRDefault="00F6367F" w:rsidP="00965AF0">
            <w:pPr>
              <w:widowControl/>
              <w:spacing w:beforeLines="25" w:before="60" w:afterLines="25" w:after="60"/>
              <w:jc w:val="center"/>
              <w:rPr>
                <w:rFonts w:eastAsia="標楷體"/>
                <w:bCs/>
                <w:kern w:val="0"/>
                <w:sz w:val="26"/>
                <w:szCs w:val="26"/>
              </w:rPr>
            </w:pPr>
          </w:p>
        </w:tc>
        <w:tc>
          <w:tcPr>
            <w:tcW w:w="708" w:type="dxa"/>
            <w:vMerge/>
            <w:shd w:val="clear" w:color="auto" w:fill="auto"/>
            <w:vAlign w:val="center"/>
          </w:tcPr>
          <w:p w:rsidR="00F6367F" w:rsidRDefault="00F6367F" w:rsidP="00965AF0">
            <w:pPr>
              <w:spacing w:beforeLines="25" w:before="60" w:afterLines="25" w:after="60"/>
              <w:jc w:val="center"/>
              <w:rPr>
                <w:rFonts w:eastAsia="標楷體"/>
                <w:bCs/>
                <w:kern w:val="0"/>
                <w:sz w:val="26"/>
                <w:szCs w:val="26"/>
              </w:rPr>
            </w:pPr>
          </w:p>
        </w:tc>
        <w:tc>
          <w:tcPr>
            <w:tcW w:w="1560" w:type="dxa"/>
            <w:shd w:val="clear" w:color="auto" w:fill="auto"/>
            <w:vAlign w:val="center"/>
          </w:tcPr>
          <w:p w:rsidR="00F6367F" w:rsidRDefault="00F6367F" w:rsidP="00965AF0">
            <w:pPr>
              <w:spacing w:beforeLines="25" w:before="60" w:afterLines="25" w:after="60"/>
              <w:jc w:val="center"/>
              <w:rPr>
                <w:rFonts w:eastAsia="標楷體"/>
                <w:sz w:val="26"/>
              </w:rPr>
            </w:pPr>
            <w:r>
              <w:rPr>
                <w:rFonts w:eastAsia="標楷體" w:hint="eastAsia"/>
                <w:sz w:val="26"/>
              </w:rPr>
              <w:t>MDS</w:t>
            </w:r>
          </w:p>
        </w:tc>
        <w:tc>
          <w:tcPr>
            <w:tcW w:w="1984" w:type="dxa"/>
            <w:vMerge/>
            <w:shd w:val="clear" w:color="auto" w:fill="auto"/>
            <w:noWrap/>
            <w:vAlign w:val="center"/>
          </w:tcPr>
          <w:p w:rsidR="00F6367F" w:rsidRDefault="00F6367F" w:rsidP="00965AF0">
            <w:pPr>
              <w:widowControl/>
              <w:spacing w:beforeLines="25" w:before="60" w:afterLines="25" w:after="60"/>
              <w:jc w:val="both"/>
              <w:rPr>
                <w:rFonts w:eastAsia="標楷體"/>
                <w:bCs/>
                <w:kern w:val="0"/>
                <w:sz w:val="26"/>
                <w:szCs w:val="26"/>
              </w:rPr>
            </w:pPr>
          </w:p>
        </w:tc>
        <w:tc>
          <w:tcPr>
            <w:tcW w:w="2053" w:type="dxa"/>
            <w:shd w:val="clear" w:color="auto" w:fill="auto"/>
            <w:noWrap/>
            <w:vAlign w:val="center"/>
          </w:tcPr>
          <w:p w:rsidR="00F6367F" w:rsidRPr="00762061" w:rsidRDefault="00F6367F" w:rsidP="00F6367F">
            <w:pPr>
              <w:jc w:val="right"/>
            </w:pPr>
            <w:r w:rsidRPr="00762061">
              <w:t>457</w:t>
            </w:r>
            <w:r w:rsidR="003036DC" w:rsidRPr="00DC4ACB">
              <w:rPr>
                <w:rFonts w:eastAsia="標楷體"/>
                <w:bCs/>
                <w:color w:val="000000" w:themeColor="text1"/>
                <w:kern w:val="0"/>
                <w:sz w:val="26"/>
                <w:szCs w:val="26"/>
              </w:rPr>
              <w:t>,</w:t>
            </w:r>
            <w:r w:rsidRPr="00762061">
              <w:t>703</w:t>
            </w:r>
          </w:p>
        </w:tc>
      </w:tr>
      <w:tr w:rsidR="00F6367F" w:rsidRPr="00EA272E" w:rsidTr="008D321D">
        <w:trPr>
          <w:trHeight w:val="330"/>
        </w:trPr>
        <w:tc>
          <w:tcPr>
            <w:tcW w:w="1559" w:type="dxa"/>
            <w:vMerge/>
            <w:shd w:val="clear" w:color="auto" w:fill="auto"/>
            <w:noWrap/>
            <w:vAlign w:val="center"/>
          </w:tcPr>
          <w:p w:rsidR="00F6367F" w:rsidRDefault="00F6367F" w:rsidP="00965AF0">
            <w:pPr>
              <w:widowControl/>
              <w:spacing w:beforeLines="25" w:before="60" w:afterLines="25" w:after="60"/>
              <w:jc w:val="center"/>
              <w:rPr>
                <w:rFonts w:eastAsia="標楷體"/>
                <w:bCs/>
                <w:i/>
                <w:kern w:val="0"/>
                <w:sz w:val="26"/>
                <w:szCs w:val="26"/>
              </w:rPr>
            </w:pPr>
          </w:p>
        </w:tc>
        <w:tc>
          <w:tcPr>
            <w:tcW w:w="709" w:type="dxa"/>
            <w:vMerge/>
            <w:shd w:val="clear" w:color="auto" w:fill="auto"/>
            <w:noWrap/>
            <w:vAlign w:val="center"/>
          </w:tcPr>
          <w:p w:rsidR="00F6367F" w:rsidRDefault="00F6367F" w:rsidP="00965AF0">
            <w:pPr>
              <w:widowControl/>
              <w:spacing w:beforeLines="25" w:before="60" w:afterLines="25" w:after="60"/>
              <w:jc w:val="center"/>
              <w:rPr>
                <w:rFonts w:eastAsia="標楷體"/>
                <w:bCs/>
                <w:kern w:val="0"/>
                <w:sz w:val="26"/>
                <w:szCs w:val="26"/>
              </w:rPr>
            </w:pPr>
          </w:p>
        </w:tc>
        <w:tc>
          <w:tcPr>
            <w:tcW w:w="708" w:type="dxa"/>
            <w:vMerge/>
            <w:shd w:val="clear" w:color="auto" w:fill="auto"/>
            <w:vAlign w:val="center"/>
          </w:tcPr>
          <w:p w:rsidR="00F6367F" w:rsidRDefault="00F6367F" w:rsidP="00965AF0">
            <w:pPr>
              <w:spacing w:beforeLines="25" w:before="60" w:afterLines="25" w:after="60"/>
              <w:jc w:val="center"/>
              <w:rPr>
                <w:rFonts w:eastAsia="標楷體"/>
                <w:bCs/>
                <w:kern w:val="0"/>
                <w:sz w:val="26"/>
                <w:szCs w:val="26"/>
              </w:rPr>
            </w:pPr>
          </w:p>
        </w:tc>
        <w:tc>
          <w:tcPr>
            <w:tcW w:w="1560" w:type="dxa"/>
            <w:shd w:val="clear" w:color="auto" w:fill="auto"/>
            <w:vAlign w:val="center"/>
          </w:tcPr>
          <w:p w:rsidR="00F6367F" w:rsidRDefault="00F6367F" w:rsidP="00965AF0">
            <w:pPr>
              <w:spacing w:beforeLines="25" w:before="60" w:afterLines="25" w:after="60"/>
              <w:jc w:val="center"/>
              <w:rPr>
                <w:rFonts w:eastAsia="標楷體"/>
                <w:sz w:val="26"/>
              </w:rPr>
            </w:pPr>
            <w:r>
              <w:rPr>
                <w:rFonts w:eastAsia="標楷體" w:hint="eastAsia"/>
                <w:bCs/>
                <w:sz w:val="26"/>
              </w:rPr>
              <w:t>Lecia</w:t>
            </w:r>
          </w:p>
        </w:tc>
        <w:tc>
          <w:tcPr>
            <w:tcW w:w="1984" w:type="dxa"/>
            <w:vMerge/>
            <w:shd w:val="clear" w:color="auto" w:fill="auto"/>
            <w:noWrap/>
            <w:vAlign w:val="center"/>
          </w:tcPr>
          <w:p w:rsidR="00F6367F" w:rsidRDefault="00F6367F" w:rsidP="00965AF0">
            <w:pPr>
              <w:widowControl/>
              <w:spacing w:beforeLines="25" w:before="60" w:afterLines="25" w:after="60"/>
              <w:jc w:val="both"/>
              <w:rPr>
                <w:rFonts w:eastAsia="標楷體"/>
                <w:bCs/>
                <w:kern w:val="0"/>
                <w:sz w:val="26"/>
                <w:szCs w:val="26"/>
              </w:rPr>
            </w:pPr>
          </w:p>
        </w:tc>
        <w:tc>
          <w:tcPr>
            <w:tcW w:w="2053" w:type="dxa"/>
            <w:shd w:val="clear" w:color="auto" w:fill="auto"/>
            <w:noWrap/>
            <w:vAlign w:val="center"/>
          </w:tcPr>
          <w:p w:rsidR="00F6367F" w:rsidRPr="00762061" w:rsidRDefault="00F6367F" w:rsidP="00F6367F">
            <w:pPr>
              <w:jc w:val="right"/>
            </w:pPr>
            <w:r w:rsidRPr="00762061">
              <w:t>160</w:t>
            </w:r>
            <w:r w:rsidR="003036DC" w:rsidRPr="00DC4ACB">
              <w:rPr>
                <w:rFonts w:eastAsia="標楷體"/>
                <w:bCs/>
                <w:color w:val="000000" w:themeColor="text1"/>
                <w:kern w:val="0"/>
                <w:sz w:val="26"/>
                <w:szCs w:val="26"/>
              </w:rPr>
              <w:t>,</w:t>
            </w:r>
            <w:r w:rsidRPr="00762061">
              <w:t>755</w:t>
            </w:r>
          </w:p>
        </w:tc>
      </w:tr>
      <w:tr w:rsidR="00F6367F" w:rsidRPr="00EA272E" w:rsidTr="008D321D">
        <w:trPr>
          <w:trHeight w:val="330"/>
        </w:trPr>
        <w:tc>
          <w:tcPr>
            <w:tcW w:w="1559" w:type="dxa"/>
            <w:vMerge/>
            <w:shd w:val="clear" w:color="auto" w:fill="auto"/>
            <w:noWrap/>
            <w:vAlign w:val="center"/>
          </w:tcPr>
          <w:p w:rsidR="00F6367F" w:rsidRDefault="00F6367F" w:rsidP="00965AF0">
            <w:pPr>
              <w:widowControl/>
              <w:spacing w:beforeLines="25" w:before="60" w:afterLines="25" w:after="60"/>
              <w:jc w:val="center"/>
              <w:rPr>
                <w:rFonts w:eastAsia="標楷體"/>
                <w:bCs/>
                <w:i/>
                <w:kern w:val="0"/>
                <w:sz w:val="26"/>
                <w:szCs w:val="26"/>
              </w:rPr>
            </w:pPr>
          </w:p>
        </w:tc>
        <w:tc>
          <w:tcPr>
            <w:tcW w:w="709" w:type="dxa"/>
            <w:vMerge/>
            <w:shd w:val="clear" w:color="auto" w:fill="auto"/>
            <w:noWrap/>
            <w:vAlign w:val="center"/>
          </w:tcPr>
          <w:p w:rsidR="00F6367F" w:rsidRDefault="00F6367F" w:rsidP="00965AF0">
            <w:pPr>
              <w:widowControl/>
              <w:spacing w:beforeLines="25" w:before="60" w:afterLines="25" w:after="60"/>
              <w:jc w:val="center"/>
              <w:rPr>
                <w:rFonts w:eastAsia="標楷體"/>
                <w:bCs/>
                <w:kern w:val="0"/>
                <w:sz w:val="26"/>
                <w:szCs w:val="26"/>
              </w:rPr>
            </w:pPr>
          </w:p>
        </w:tc>
        <w:tc>
          <w:tcPr>
            <w:tcW w:w="708" w:type="dxa"/>
            <w:vMerge/>
            <w:shd w:val="clear" w:color="auto" w:fill="auto"/>
            <w:vAlign w:val="center"/>
          </w:tcPr>
          <w:p w:rsidR="00F6367F" w:rsidRDefault="00F6367F" w:rsidP="00965AF0">
            <w:pPr>
              <w:spacing w:beforeLines="25" w:before="60" w:afterLines="25" w:after="60"/>
              <w:jc w:val="center"/>
              <w:rPr>
                <w:rFonts w:eastAsia="標楷體"/>
                <w:bCs/>
                <w:kern w:val="0"/>
                <w:sz w:val="26"/>
                <w:szCs w:val="26"/>
              </w:rPr>
            </w:pPr>
          </w:p>
        </w:tc>
        <w:tc>
          <w:tcPr>
            <w:tcW w:w="1560" w:type="dxa"/>
            <w:shd w:val="clear" w:color="auto" w:fill="auto"/>
            <w:vAlign w:val="center"/>
          </w:tcPr>
          <w:p w:rsidR="00F6367F" w:rsidRDefault="00F6367F" w:rsidP="00965AF0">
            <w:pPr>
              <w:spacing w:beforeLines="25" w:before="60" w:afterLines="25" w:after="60"/>
              <w:jc w:val="center"/>
              <w:rPr>
                <w:rFonts w:eastAsia="標楷體"/>
                <w:sz w:val="26"/>
              </w:rPr>
            </w:pPr>
            <w:r>
              <w:rPr>
                <w:rFonts w:eastAsia="標楷體" w:hint="eastAsia"/>
                <w:bCs/>
                <w:sz w:val="26"/>
              </w:rPr>
              <w:t>Matco</w:t>
            </w:r>
          </w:p>
        </w:tc>
        <w:tc>
          <w:tcPr>
            <w:tcW w:w="1984" w:type="dxa"/>
            <w:vMerge/>
            <w:shd w:val="clear" w:color="auto" w:fill="auto"/>
            <w:noWrap/>
            <w:vAlign w:val="center"/>
          </w:tcPr>
          <w:p w:rsidR="00F6367F" w:rsidRDefault="00F6367F" w:rsidP="00965AF0">
            <w:pPr>
              <w:widowControl/>
              <w:spacing w:beforeLines="25" w:before="60" w:afterLines="25" w:after="60"/>
              <w:jc w:val="both"/>
              <w:rPr>
                <w:rFonts w:eastAsia="標楷體"/>
                <w:bCs/>
                <w:kern w:val="0"/>
                <w:sz w:val="26"/>
                <w:szCs w:val="26"/>
              </w:rPr>
            </w:pPr>
          </w:p>
        </w:tc>
        <w:tc>
          <w:tcPr>
            <w:tcW w:w="2053" w:type="dxa"/>
            <w:shd w:val="clear" w:color="auto" w:fill="auto"/>
            <w:noWrap/>
            <w:vAlign w:val="center"/>
          </w:tcPr>
          <w:p w:rsidR="00F6367F" w:rsidRPr="00762061" w:rsidRDefault="00F6367F" w:rsidP="00F6367F">
            <w:pPr>
              <w:jc w:val="right"/>
            </w:pPr>
            <w:r w:rsidRPr="00762061">
              <w:t>192</w:t>
            </w:r>
            <w:r w:rsidR="003036DC" w:rsidRPr="00DC4ACB">
              <w:rPr>
                <w:rFonts w:eastAsia="標楷體"/>
                <w:bCs/>
                <w:color w:val="000000" w:themeColor="text1"/>
                <w:kern w:val="0"/>
                <w:sz w:val="26"/>
                <w:szCs w:val="26"/>
              </w:rPr>
              <w:t>,</w:t>
            </w:r>
            <w:r w:rsidRPr="00762061">
              <w:t>120</w:t>
            </w:r>
          </w:p>
        </w:tc>
      </w:tr>
      <w:tr w:rsidR="00F6367F" w:rsidRPr="00EA272E" w:rsidTr="008D321D">
        <w:trPr>
          <w:trHeight w:val="330"/>
        </w:trPr>
        <w:tc>
          <w:tcPr>
            <w:tcW w:w="1559" w:type="dxa"/>
            <w:vMerge/>
            <w:shd w:val="clear" w:color="auto" w:fill="auto"/>
            <w:noWrap/>
            <w:vAlign w:val="center"/>
          </w:tcPr>
          <w:p w:rsidR="00F6367F" w:rsidRDefault="00F6367F" w:rsidP="00965AF0">
            <w:pPr>
              <w:widowControl/>
              <w:spacing w:beforeLines="25" w:before="60" w:afterLines="25" w:after="60"/>
              <w:jc w:val="center"/>
              <w:rPr>
                <w:rFonts w:eastAsia="標楷體"/>
                <w:bCs/>
                <w:i/>
                <w:kern w:val="0"/>
                <w:sz w:val="26"/>
                <w:szCs w:val="26"/>
              </w:rPr>
            </w:pPr>
          </w:p>
        </w:tc>
        <w:tc>
          <w:tcPr>
            <w:tcW w:w="709" w:type="dxa"/>
            <w:vMerge/>
            <w:shd w:val="clear" w:color="auto" w:fill="auto"/>
            <w:noWrap/>
            <w:vAlign w:val="center"/>
          </w:tcPr>
          <w:p w:rsidR="00F6367F" w:rsidRDefault="00F6367F" w:rsidP="00965AF0">
            <w:pPr>
              <w:widowControl/>
              <w:spacing w:beforeLines="25" w:before="60" w:afterLines="25" w:after="60"/>
              <w:jc w:val="center"/>
              <w:rPr>
                <w:rFonts w:eastAsia="標楷體"/>
                <w:bCs/>
                <w:kern w:val="0"/>
                <w:sz w:val="26"/>
                <w:szCs w:val="26"/>
              </w:rPr>
            </w:pPr>
          </w:p>
        </w:tc>
        <w:tc>
          <w:tcPr>
            <w:tcW w:w="708" w:type="dxa"/>
            <w:vMerge/>
            <w:shd w:val="clear" w:color="auto" w:fill="auto"/>
            <w:vAlign w:val="center"/>
          </w:tcPr>
          <w:p w:rsidR="00F6367F" w:rsidRDefault="00F6367F" w:rsidP="00965AF0">
            <w:pPr>
              <w:spacing w:beforeLines="25" w:before="60" w:afterLines="25" w:after="60"/>
              <w:jc w:val="center"/>
              <w:rPr>
                <w:rFonts w:eastAsia="標楷體"/>
                <w:bCs/>
                <w:kern w:val="0"/>
                <w:sz w:val="26"/>
                <w:szCs w:val="26"/>
              </w:rPr>
            </w:pPr>
          </w:p>
        </w:tc>
        <w:tc>
          <w:tcPr>
            <w:tcW w:w="1560" w:type="dxa"/>
            <w:shd w:val="clear" w:color="auto" w:fill="auto"/>
            <w:vAlign w:val="center"/>
          </w:tcPr>
          <w:p w:rsidR="00F6367F" w:rsidRDefault="00F6367F" w:rsidP="00965AF0">
            <w:pPr>
              <w:spacing w:beforeLines="25" w:before="60" w:afterLines="25" w:after="60"/>
              <w:jc w:val="center"/>
              <w:rPr>
                <w:rFonts w:eastAsia="標楷體"/>
                <w:sz w:val="26"/>
              </w:rPr>
            </w:pPr>
            <w:r>
              <w:rPr>
                <w:rFonts w:eastAsia="標楷體" w:hint="eastAsia"/>
                <w:bCs/>
                <w:sz w:val="26"/>
              </w:rPr>
              <w:t>Danaher</w:t>
            </w:r>
          </w:p>
        </w:tc>
        <w:tc>
          <w:tcPr>
            <w:tcW w:w="1984" w:type="dxa"/>
            <w:vMerge/>
            <w:shd w:val="clear" w:color="auto" w:fill="auto"/>
            <w:noWrap/>
            <w:vAlign w:val="center"/>
          </w:tcPr>
          <w:p w:rsidR="00F6367F" w:rsidRDefault="00F6367F" w:rsidP="00965AF0">
            <w:pPr>
              <w:widowControl/>
              <w:spacing w:beforeLines="25" w:before="60" w:afterLines="25" w:after="60"/>
              <w:jc w:val="both"/>
              <w:rPr>
                <w:rFonts w:eastAsia="標楷體"/>
                <w:bCs/>
                <w:kern w:val="0"/>
                <w:sz w:val="26"/>
                <w:szCs w:val="26"/>
              </w:rPr>
            </w:pPr>
          </w:p>
        </w:tc>
        <w:tc>
          <w:tcPr>
            <w:tcW w:w="2053" w:type="dxa"/>
            <w:shd w:val="clear" w:color="auto" w:fill="auto"/>
            <w:noWrap/>
            <w:vAlign w:val="center"/>
          </w:tcPr>
          <w:p w:rsidR="00F6367F" w:rsidRPr="00762061" w:rsidRDefault="00F6367F" w:rsidP="00F6367F">
            <w:pPr>
              <w:jc w:val="right"/>
            </w:pPr>
            <w:r w:rsidRPr="00762061">
              <w:t>211</w:t>
            </w:r>
            <w:r w:rsidR="003036DC" w:rsidRPr="00DC4ACB">
              <w:rPr>
                <w:rFonts w:eastAsia="標楷體"/>
                <w:bCs/>
                <w:color w:val="000000" w:themeColor="text1"/>
                <w:kern w:val="0"/>
                <w:sz w:val="26"/>
                <w:szCs w:val="26"/>
              </w:rPr>
              <w:t>,</w:t>
            </w:r>
            <w:r w:rsidRPr="00762061">
              <w:t>827</w:t>
            </w:r>
          </w:p>
        </w:tc>
      </w:tr>
      <w:tr w:rsidR="00F6367F" w:rsidRPr="00EA272E" w:rsidTr="008D321D">
        <w:trPr>
          <w:trHeight w:val="330"/>
        </w:trPr>
        <w:tc>
          <w:tcPr>
            <w:tcW w:w="1559" w:type="dxa"/>
            <w:vMerge/>
            <w:shd w:val="clear" w:color="auto" w:fill="auto"/>
            <w:noWrap/>
            <w:vAlign w:val="center"/>
          </w:tcPr>
          <w:p w:rsidR="00F6367F" w:rsidRDefault="00F6367F" w:rsidP="00965AF0">
            <w:pPr>
              <w:widowControl/>
              <w:spacing w:beforeLines="25" w:before="60" w:afterLines="25" w:after="60"/>
              <w:jc w:val="center"/>
              <w:rPr>
                <w:rFonts w:eastAsia="標楷體"/>
                <w:bCs/>
                <w:i/>
                <w:kern w:val="0"/>
                <w:sz w:val="26"/>
                <w:szCs w:val="26"/>
              </w:rPr>
            </w:pPr>
          </w:p>
        </w:tc>
        <w:tc>
          <w:tcPr>
            <w:tcW w:w="709" w:type="dxa"/>
            <w:vMerge/>
            <w:shd w:val="clear" w:color="auto" w:fill="auto"/>
            <w:noWrap/>
            <w:vAlign w:val="center"/>
          </w:tcPr>
          <w:p w:rsidR="00F6367F" w:rsidRDefault="00F6367F" w:rsidP="00965AF0">
            <w:pPr>
              <w:widowControl/>
              <w:spacing w:beforeLines="25" w:before="60" w:afterLines="25" w:after="60"/>
              <w:jc w:val="center"/>
              <w:rPr>
                <w:rFonts w:eastAsia="標楷體"/>
                <w:bCs/>
                <w:kern w:val="0"/>
                <w:sz w:val="26"/>
                <w:szCs w:val="26"/>
              </w:rPr>
            </w:pPr>
          </w:p>
        </w:tc>
        <w:tc>
          <w:tcPr>
            <w:tcW w:w="708" w:type="dxa"/>
            <w:vMerge/>
            <w:shd w:val="clear" w:color="auto" w:fill="auto"/>
            <w:vAlign w:val="center"/>
          </w:tcPr>
          <w:p w:rsidR="00F6367F" w:rsidRDefault="00F6367F" w:rsidP="00965AF0">
            <w:pPr>
              <w:spacing w:beforeLines="25" w:before="60" w:afterLines="25" w:after="60"/>
              <w:jc w:val="center"/>
              <w:rPr>
                <w:rFonts w:eastAsia="標楷體"/>
                <w:bCs/>
                <w:kern w:val="0"/>
                <w:sz w:val="26"/>
                <w:szCs w:val="26"/>
              </w:rPr>
            </w:pPr>
          </w:p>
        </w:tc>
        <w:tc>
          <w:tcPr>
            <w:tcW w:w="1560" w:type="dxa"/>
            <w:shd w:val="clear" w:color="auto" w:fill="auto"/>
            <w:vAlign w:val="center"/>
          </w:tcPr>
          <w:p w:rsidR="00F6367F" w:rsidRDefault="00F6367F" w:rsidP="00965AF0">
            <w:pPr>
              <w:spacing w:beforeLines="25" w:before="60" w:afterLines="25" w:after="60"/>
              <w:jc w:val="center"/>
              <w:rPr>
                <w:rFonts w:eastAsia="標楷體"/>
                <w:sz w:val="26"/>
              </w:rPr>
            </w:pPr>
            <w:r>
              <w:rPr>
                <w:rFonts w:eastAsia="標楷體" w:hint="eastAsia"/>
                <w:bCs/>
                <w:sz w:val="26"/>
              </w:rPr>
              <w:t>Aquafine</w:t>
            </w:r>
          </w:p>
        </w:tc>
        <w:tc>
          <w:tcPr>
            <w:tcW w:w="1984" w:type="dxa"/>
            <w:vMerge/>
            <w:shd w:val="clear" w:color="auto" w:fill="auto"/>
            <w:noWrap/>
            <w:vAlign w:val="center"/>
          </w:tcPr>
          <w:p w:rsidR="00F6367F" w:rsidRDefault="00F6367F" w:rsidP="00965AF0">
            <w:pPr>
              <w:widowControl/>
              <w:spacing w:beforeLines="25" w:before="60" w:afterLines="25" w:after="60"/>
              <w:jc w:val="both"/>
              <w:rPr>
                <w:rFonts w:eastAsia="標楷體"/>
                <w:bCs/>
                <w:kern w:val="0"/>
                <w:sz w:val="26"/>
                <w:szCs w:val="26"/>
              </w:rPr>
            </w:pPr>
          </w:p>
        </w:tc>
        <w:tc>
          <w:tcPr>
            <w:tcW w:w="2053" w:type="dxa"/>
            <w:shd w:val="clear" w:color="auto" w:fill="auto"/>
            <w:noWrap/>
            <w:vAlign w:val="center"/>
          </w:tcPr>
          <w:p w:rsidR="00F6367F" w:rsidRDefault="00F6367F" w:rsidP="00F6367F">
            <w:pPr>
              <w:jc w:val="right"/>
            </w:pPr>
            <w:r w:rsidRPr="00762061">
              <w:t>63</w:t>
            </w:r>
            <w:r w:rsidR="003036DC" w:rsidRPr="00DC4ACB">
              <w:rPr>
                <w:rFonts w:eastAsia="標楷體"/>
                <w:bCs/>
                <w:color w:val="000000" w:themeColor="text1"/>
                <w:kern w:val="0"/>
                <w:sz w:val="26"/>
                <w:szCs w:val="26"/>
              </w:rPr>
              <w:t>,</w:t>
            </w:r>
            <w:r w:rsidRPr="00762061">
              <w:t>477</w:t>
            </w:r>
          </w:p>
        </w:tc>
      </w:tr>
    </w:tbl>
    <w:p w:rsidR="00DC4ACB" w:rsidRDefault="00567251" w:rsidP="00965AF0">
      <w:pPr>
        <w:pStyle w:val="3"/>
        <w:numPr>
          <w:ilvl w:val="0"/>
          <w:numId w:val="12"/>
        </w:numPr>
        <w:spacing w:beforeLines="50" w:before="120" w:afterLines="50" w:after="120" w:line="360" w:lineRule="auto"/>
        <w:ind w:leftChars="100" w:left="722" w:hanging="482"/>
        <w:jc w:val="both"/>
        <w:rPr>
          <w:rFonts w:ascii="Times New Roman" w:eastAsia="標楷體" w:hAnsi="Times New Roman"/>
          <w:sz w:val="32"/>
        </w:rPr>
      </w:pPr>
      <w:r w:rsidRPr="00EA272E">
        <w:rPr>
          <w:rFonts w:ascii="Times New Roman" w:eastAsia="標楷體" w:hAnsi="Times New Roman"/>
          <w:sz w:val="32"/>
        </w:rPr>
        <w:t>受控交易流程</w:t>
      </w:r>
      <w:r w:rsidR="00686FAB" w:rsidRPr="00EA272E">
        <w:rPr>
          <w:rFonts w:ascii="Times New Roman" w:eastAsia="標楷體" w:hAnsi="Times New Roman" w:hint="eastAsia"/>
          <w:sz w:val="32"/>
        </w:rPr>
        <w:t>及說明</w:t>
      </w:r>
    </w:p>
    <w:p w:rsidR="00DC4ACB" w:rsidRDefault="00B22C52" w:rsidP="00965AF0">
      <w:pPr>
        <w:numPr>
          <w:ilvl w:val="0"/>
          <w:numId w:val="16"/>
        </w:numPr>
        <w:tabs>
          <w:tab w:val="left" w:pos="1134"/>
        </w:tabs>
        <w:spacing w:beforeLines="50" w:before="120" w:afterLines="50" w:after="120" w:line="360" w:lineRule="auto"/>
        <w:ind w:leftChars="250" w:left="1080"/>
        <w:jc w:val="both"/>
        <w:rPr>
          <w:rFonts w:eastAsia="標楷體"/>
          <w:b/>
          <w:sz w:val="28"/>
          <w:szCs w:val="26"/>
        </w:rPr>
      </w:pPr>
      <w:r w:rsidRPr="00EA272E">
        <w:rPr>
          <w:rFonts w:eastAsia="標楷體" w:hint="eastAsia"/>
          <w:b/>
          <w:sz w:val="28"/>
          <w:szCs w:val="26"/>
        </w:rPr>
        <w:t>有形資產之移轉</w:t>
      </w:r>
      <w:r w:rsidR="007F71ED" w:rsidRPr="00AF409C">
        <w:rPr>
          <w:rFonts w:eastAsia="標楷體" w:hint="eastAsia"/>
          <w:b/>
          <w:sz w:val="28"/>
          <w:szCs w:val="26"/>
        </w:rPr>
        <w:t>－</w:t>
      </w:r>
      <w:r w:rsidR="006105AF">
        <w:rPr>
          <w:rFonts w:eastAsia="標楷體" w:hint="eastAsia"/>
          <w:b/>
          <w:sz w:val="28"/>
          <w:szCs w:val="26"/>
        </w:rPr>
        <w:t>進貨</w:t>
      </w:r>
    </w:p>
    <w:p w:rsidR="00DC4ACB" w:rsidRDefault="00B22C52" w:rsidP="00965AF0">
      <w:pPr>
        <w:tabs>
          <w:tab w:val="left" w:pos="1134"/>
        </w:tabs>
        <w:spacing w:beforeLines="50" w:before="120" w:afterLines="50" w:after="120" w:line="360" w:lineRule="auto"/>
        <w:ind w:leftChars="400" w:left="960"/>
        <w:jc w:val="both"/>
        <w:rPr>
          <w:rFonts w:eastAsia="標楷體"/>
          <w:sz w:val="26"/>
          <w:szCs w:val="26"/>
        </w:rPr>
      </w:pPr>
      <w:r w:rsidRPr="00376B34">
        <w:rPr>
          <w:rFonts w:eastAsia="標楷體" w:hint="eastAsia"/>
          <w:sz w:val="26"/>
          <w:szCs w:val="26"/>
        </w:rPr>
        <w:t>太克科技向</w:t>
      </w:r>
      <w:r w:rsidR="00FC0AA3">
        <w:rPr>
          <w:rFonts w:eastAsia="標楷體" w:hint="eastAsia"/>
          <w:sz w:val="26"/>
          <w:szCs w:val="26"/>
        </w:rPr>
        <w:t>TIS</w:t>
      </w:r>
      <w:r w:rsidRPr="00376B34">
        <w:rPr>
          <w:rFonts w:eastAsia="標楷體" w:hint="eastAsia"/>
          <w:sz w:val="26"/>
          <w:szCs w:val="26"/>
        </w:rPr>
        <w:t>、</w:t>
      </w:r>
      <w:r w:rsidR="00170E4C">
        <w:rPr>
          <w:rFonts w:eastAsia="標楷體" w:hint="eastAsia"/>
          <w:sz w:val="26"/>
          <w:szCs w:val="26"/>
        </w:rPr>
        <w:t>TCT</w:t>
      </w:r>
      <w:r>
        <w:rPr>
          <w:rFonts w:ascii="標楷體" w:eastAsia="標楷體" w:hAnsi="標楷體" w:hint="eastAsia"/>
          <w:sz w:val="26"/>
          <w:szCs w:val="26"/>
        </w:rPr>
        <w:t>、</w:t>
      </w:r>
      <w:r w:rsidR="008A558E">
        <w:rPr>
          <w:rFonts w:eastAsia="標楷體" w:hint="eastAsia"/>
          <w:sz w:val="26"/>
        </w:rPr>
        <w:t>Fluke</w:t>
      </w:r>
      <w:r w:rsidR="00B6409E">
        <w:rPr>
          <w:rFonts w:eastAsia="標楷體" w:hint="eastAsia"/>
          <w:sz w:val="26"/>
        </w:rPr>
        <w:t xml:space="preserve"> SEA</w:t>
      </w:r>
      <w:r w:rsidR="00AE1EC1" w:rsidRPr="00376B34">
        <w:rPr>
          <w:rFonts w:eastAsia="標楷體" w:hint="eastAsia"/>
          <w:sz w:val="26"/>
          <w:szCs w:val="26"/>
        </w:rPr>
        <w:t>及</w:t>
      </w:r>
      <w:r w:rsidRPr="00376B34">
        <w:rPr>
          <w:rFonts w:eastAsia="標楷體" w:hint="eastAsia"/>
          <w:sz w:val="26"/>
          <w:szCs w:val="26"/>
        </w:rPr>
        <w:t>TII</w:t>
      </w:r>
      <w:r w:rsidRPr="00376B34">
        <w:rPr>
          <w:rFonts w:eastAsia="標楷體" w:hint="eastAsia"/>
          <w:sz w:val="26"/>
          <w:szCs w:val="26"/>
        </w:rPr>
        <w:t>購買電子測量儀器後轉售</w:t>
      </w:r>
      <w:r w:rsidR="006467B2">
        <w:rPr>
          <w:rFonts w:eastAsia="標楷體" w:hint="eastAsia"/>
          <w:sz w:val="26"/>
          <w:szCs w:val="26"/>
        </w:rPr>
        <w:t>，</w:t>
      </w:r>
      <w:r w:rsidR="001A47C3">
        <w:rPr>
          <w:rFonts w:eastAsia="標楷體" w:hint="eastAsia"/>
          <w:sz w:val="26"/>
          <w:szCs w:val="26"/>
        </w:rPr>
        <w:t>105</w:t>
      </w:r>
      <w:r w:rsidR="006467B2">
        <w:rPr>
          <w:rFonts w:eastAsia="標楷體" w:hint="eastAsia"/>
          <w:sz w:val="26"/>
          <w:szCs w:val="26"/>
        </w:rPr>
        <w:t>會計年度進貨金額共為</w:t>
      </w:r>
      <w:r w:rsidR="0066362E">
        <w:rPr>
          <w:rFonts w:eastAsia="標楷體" w:hint="eastAsia"/>
          <w:bCs/>
          <w:kern w:val="0"/>
          <w:sz w:val="26"/>
          <w:szCs w:val="26"/>
        </w:rPr>
        <w:t>317,043,758</w:t>
      </w:r>
      <w:r w:rsidR="006467B2">
        <w:rPr>
          <w:rFonts w:eastAsia="標楷體" w:hint="eastAsia"/>
          <w:sz w:val="26"/>
          <w:szCs w:val="26"/>
        </w:rPr>
        <w:t>元。</w:t>
      </w:r>
    </w:p>
    <w:p w:rsidR="00DC4ACB" w:rsidRDefault="008D321D" w:rsidP="00965AF0">
      <w:pPr>
        <w:numPr>
          <w:ilvl w:val="0"/>
          <w:numId w:val="49"/>
        </w:numPr>
        <w:tabs>
          <w:tab w:val="left" w:pos="1134"/>
        </w:tabs>
        <w:spacing w:beforeLines="50" w:before="120" w:afterLines="50" w:after="120" w:line="360" w:lineRule="auto"/>
        <w:jc w:val="both"/>
        <w:rPr>
          <w:rFonts w:eastAsia="標楷體"/>
          <w:sz w:val="26"/>
          <w:szCs w:val="26"/>
        </w:rPr>
      </w:pPr>
      <w:r>
        <w:rPr>
          <w:rFonts w:eastAsia="標楷體"/>
          <w:noProof/>
          <w:sz w:val="26"/>
          <w:szCs w:val="26"/>
        </w:rPr>
        <mc:AlternateContent>
          <mc:Choice Requires="wps">
            <w:drawing>
              <wp:anchor distT="0" distB="0" distL="114300" distR="114300" simplePos="0" relativeHeight="251684352" behindDoc="0" locked="0" layoutInCell="1" allowOverlap="1" wp14:anchorId="2D322DB7" wp14:editId="79109161">
                <wp:simplePos x="0" y="0"/>
                <wp:positionH relativeFrom="column">
                  <wp:posOffset>3676650</wp:posOffset>
                </wp:positionH>
                <wp:positionV relativeFrom="paragraph">
                  <wp:posOffset>357505</wp:posOffset>
                </wp:positionV>
                <wp:extent cx="450215" cy="1152525"/>
                <wp:effectExtent l="19050" t="19050" r="45085" b="66675"/>
                <wp:wrapNone/>
                <wp:docPr id="60" name="Rectangle 3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215" cy="1152525"/>
                        </a:xfrm>
                        <a:prstGeom prst="rect">
                          <a:avLst/>
                        </a:prstGeom>
                        <a:solidFill>
                          <a:schemeClr val="accent1">
                            <a:lumMod val="100000"/>
                            <a:lumOff val="0"/>
                          </a:schemeClr>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4864D6" w:rsidRPr="000A7150" w:rsidRDefault="004864D6" w:rsidP="00DC4ACB">
                            <w:pPr>
                              <w:jc w:val="center"/>
                              <w:rPr>
                                <w:rFonts w:ascii="標楷體" w:eastAsia="標楷體" w:hAnsi="標楷體"/>
                                <w:color w:val="FFFFFF" w:themeColor="background1"/>
                                <w:sz w:val="28"/>
                                <w:szCs w:val="28"/>
                              </w:rPr>
                            </w:pPr>
                            <w:r w:rsidRPr="002154E4">
                              <w:rPr>
                                <w:rFonts w:ascii="標楷體" w:eastAsia="標楷體" w:hAnsi="標楷體" w:hint="eastAsia"/>
                                <w:color w:val="FFFFFF" w:themeColor="background1"/>
                                <w:sz w:val="28"/>
                                <w:szCs w:val="28"/>
                              </w:rPr>
                              <w:t>客戶</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3" o:spid="_x0000_s1084" style="position:absolute;left:0;text-align:left;margin-left:289.5pt;margin-top:28.15pt;width:35.45pt;height:90.7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" fillcolor="#4f81bd [3204]" strokecolor="#f2f2f2 [3041]" strokeweight="3pt">
                <v:shadow on="t" color="#243f60 [1604]" opacity=".5" offset="1pt"/>
                <v:textbox style="layout-flow:vertical-ideographic">
                  <w:txbxContent>
                    <w:p w:rsidR="004864D6" w:rsidRPr="000A7150" w:rsidRDefault="004864D6" w:rsidP="00DC4ACB">
                      <w:pPr>
                        <w:jc w:val="center"/>
                        <w:rPr>
                          <w:rFonts w:ascii="標楷體" w:eastAsia="標楷體" w:hAnsi="標楷體"/>
                          <w:color w:val="FFFFFF" w:themeColor="background1"/>
                          <w:sz w:val="28"/>
                          <w:szCs w:val="28"/>
                        </w:rPr>
                      </w:pPr>
                      <w:r w:rsidRPr="002154E4">
                        <w:rPr>
                          <w:rFonts w:ascii="標楷體" w:eastAsia="標楷體" w:hAnsi="標楷體" w:hint="eastAsia"/>
                          <w:color w:val="FFFFFF" w:themeColor="background1"/>
                          <w:sz w:val="28"/>
                          <w:szCs w:val="28"/>
                        </w:rPr>
                        <w:t>客戶</w:t>
                      </w:r>
                    </w:p>
                  </w:txbxContent>
                </v:textbox>
              </v:rect>
            </w:pict>
          </mc:Fallback>
        </mc:AlternateContent>
      </w:r>
      <w:r>
        <w:rPr>
          <w:rFonts w:eastAsia="標楷體"/>
          <w:noProof/>
          <w:sz w:val="26"/>
          <w:szCs w:val="26"/>
        </w:rPr>
        <mc:AlternateContent>
          <mc:Choice Requires="wps">
            <w:drawing>
              <wp:anchor distT="0" distB="0" distL="114300" distR="114300" simplePos="0" relativeHeight="251683328" behindDoc="0" locked="0" layoutInCell="1" allowOverlap="1" wp14:anchorId="1E4F184E" wp14:editId="5B642D7E">
                <wp:simplePos x="0" y="0"/>
                <wp:positionH relativeFrom="column">
                  <wp:posOffset>2571750</wp:posOffset>
                </wp:positionH>
                <wp:positionV relativeFrom="paragraph">
                  <wp:posOffset>338455</wp:posOffset>
                </wp:positionV>
                <wp:extent cx="450215" cy="1200150"/>
                <wp:effectExtent l="0" t="0" r="26035" b="19050"/>
                <wp:wrapNone/>
                <wp:docPr id="59"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215" cy="1200150"/>
                        </a:xfrm>
                        <a:prstGeom prst="rect">
                          <a:avLst/>
                        </a:prstGeom>
                        <a:solidFill>
                          <a:srgbClr val="FFFFFF"/>
                        </a:solidFill>
                        <a:ln w="9525">
                          <a:solidFill>
                            <a:srgbClr val="000000"/>
                          </a:solidFill>
                          <a:miter lim="800000"/>
                          <a:headEnd/>
                          <a:tailEnd/>
                        </a:ln>
                      </wps:spPr>
                      <wps:txbx>
                        <w:txbxContent>
                          <w:p w:rsidR="004864D6" w:rsidRPr="00DC4ACB" w:rsidRDefault="004864D6" w:rsidP="00DC4ACB">
                            <w:pPr>
                              <w:jc w:val="center"/>
                              <w:rPr>
                                <w:rFonts w:ascii="標楷體" w:eastAsia="標楷體" w:hAnsi="標楷體"/>
                                <w:sz w:val="28"/>
                                <w:szCs w:val="28"/>
                              </w:rPr>
                            </w:pPr>
                            <w:r w:rsidRPr="00DC4ACB">
                              <w:rPr>
                                <w:rFonts w:ascii="標楷體" w:eastAsia="標楷體" w:hAnsi="標楷體" w:hint="eastAsia"/>
                                <w:sz w:val="28"/>
                                <w:szCs w:val="28"/>
                              </w:rPr>
                              <w:t>太克科技</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2" o:spid="_x0000_s1085" style="position:absolute;left:0;text-align:left;margin-left:202.5pt;margin-top:26.65pt;width:35.45pt;height:9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">
                <v:textbox style="layout-flow:vertical-ideographic">
                  <w:txbxContent>
                    <w:p w:rsidR="004864D6" w:rsidRPr="00DC4ACB" w:rsidRDefault="004864D6" w:rsidP="00DC4ACB">
                      <w:pPr>
                        <w:jc w:val="center"/>
                        <w:rPr>
                          <w:rFonts w:ascii="標楷體" w:eastAsia="標楷體" w:hAnsi="標楷體"/>
                          <w:sz w:val="28"/>
                          <w:szCs w:val="28"/>
                        </w:rPr>
                      </w:pPr>
                      <w:r w:rsidRPr="00DC4ACB">
                        <w:rPr>
                          <w:rFonts w:ascii="標楷體" w:eastAsia="標楷體" w:hAnsi="標楷體" w:hint="eastAsia"/>
                          <w:sz w:val="28"/>
                          <w:szCs w:val="28"/>
                        </w:rPr>
                        <w:t>太克科技</w:t>
                      </w:r>
                    </w:p>
                  </w:txbxContent>
                </v:textbox>
              </v:rect>
            </w:pict>
          </mc:Fallback>
        </mc:AlternateContent>
      </w:r>
      <w:r>
        <w:rPr>
          <w:rFonts w:eastAsia="標楷體"/>
          <w:noProof/>
          <w:sz w:val="26"/>
          <w:szCs w:val="26"/>
        </w:rPr>
        <mc:AlternateContent>
          <mc:Choice Requires="wps">
            <w:drawing>
              <wp:anchor distT="0" distB="0" distL="114300" distR="114300" simplePos="0" relativeHeight="251679232" behindDoc="0" locked="0" layoutInCell="1" allowOverlap="1" wp14:anchorId="45891A74" wp14:editId="37C8A06B">
                <wp:simplePos x="0" y="0"/>
                <wp:positionH relativeFrom="column">
                  <wp:posOffset>935355</wp:posOffset>
                </wp:positionH>
                <wp:positionV relativeFrom="paragraph">
                  <wp:posOffset>295275</wp:posOffset>
                </wp:positionV>
                <wp:extent cx="982980" cy="266700"/>
                <wp:effectExtent l="0" t="0" r="26670" b="19050"/>
                <wp:wrapNone/>
                <wp:docPr id="58" name="Rectangle 3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2980" cy="266700"/>
                        </a:xfrm>
                        <a:prstGeom prst="rect">
                          <a:avLst/>
                        </a:prstGeom>
                        <a:solidFill>
                          <a:schemeClr val="lt1">
                            <a:lumMod val="100000"/>
                            <a:lumOff val="0"/>
                          </a:schemeClr>
                        </a:solidFill>
                        <a:ln w="190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4D6" w:rsidRDefault="004864D6" w:rsidP="00DC4ACB">
                            <w:pPr>
                              <w:jc w:val="center"/>
                            </w:pPr>
                            <w:r>
                              <w:rPr>
                                <w:rFonts w:eastAsia="標楷體" w:hint="eastAsia"/>
                                <w:sz w:val="26"/>
                              </w:rPr>
                              <w:t>TIS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8" o:spid="_x0000_s1086" style="position:absolute;left:0;text-align:left;margin-left:73.65pt;margin-top:23.25pt;width:77.4pt;height:21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" fillcolor="white [3201]" strokecolor="#4bacc6 [3208]" strokeweight="1.5pt">
                <v:shadow color="#868686"/>
                <v:textbox>
                  <w:txbxContent>
                    <w:p w:rsidR="004864D6" w:rsidRDefault="004864D6" w:rsidP="00DC4ACB">
                      <w:pPr>
                        <w:jc w:val="center"/>
                      </w:pPr>
                      <w:r>
                        <w:rPr>
                          <w:rFonts w:eastAsia="標楷體" w:hint="eastAsia"/>
                          <w:sz w:val="26"/>
                        </w:rPr>
                        <w:t>TIS</w:t>
                      </w:r>
                    </w:p>
                  </w:txbxContent>
                </v:textbox>
              </v:rect>
            </w:pict>
          </mc:Fallback>
        </mc:AlternateContent>
      </w:r>
      <w:r w:rsidR="00A84D53" w:rsidRPr="00376B34">
        <w:rPr>
          <w:rFonts w:eastAsia="標楷體" w:hint="eastAsia"/>
          <w:sz w:val="26"/>
          <w:szCs w:val="26"/>
        </w:rPr>
        <w:t>太克科技與</w:t>
      </w:r>
      <w:r w:rsidR="00A84D53">
        <w:rPr>
          <w:rFonts w:eastAsia="標楷體" w:hint="eastAsia"/>
          <w:sz w:val="26"/>
          <w:szCs w:val="26"/>
        </w:rPr>
        <w:t>關係企業進貨</w:t>
      </w:r>
      <w:r w:rsidR="00A84D53" w:rsidRPr="00376B34">
        <w:rPr>
          <w:rFonts w:eastAsia="標楷體" w:hint="eastAsia"/>
          <w:sz w:val="26"/>
          <w:szCs w:val="26"/>
        </w:rPr>
        <w:t>受控交易流程如下</w:t>
      </w:r>
      <w:r w:rsidR="00A84D53" w:rsidRPr="00EA272E">
        <w:rPr>
          <w:rFonts w:eastAsia="標楷體" w:hint="eastAsia"/>
          <w:sz w:val="26"/>
          <w:szCs w:val="26"/>
        </w:rPr>
        <w:t>圖所示：</w:t>
      </w:r>
    </w:p>
    <w:p w:rsidR="008D321D" w:rsidRDefault="008D321D" w:rsidP="00965AF0">
      <w:pPr>
        <w:tabs>
          <w:tab w:val="left" w:pos="1134"/>
        </w:tabs>
        <w:spacing w:beforeLines="50" w:before="120" w:afterLines="50" w:after="120" w:line="360" w:lineRule="auto"/>
        <w:ind w:leftChars="400" w:left="960"/>
        <w:jc w:val="both"/>
        <w:rPr>
          <w:rFonts w:eastAsia="標楷體"/>
          <w:sz w:val="26"/>
          <w:szCs w:val="26"/>
        </w:rPr>
      </w:pPr>
      <w:r>
        <w:rPr>
          <w:rFonts w:eastAsia="標楷體"/>
          <w:noProof/>
          <w:sz w:val="26"/>
          <w:szCs w:val="26"/>
        </w:rPr>
        <mc:AlternateContent>
          <mc:Choice Requires="wpg">
            <w:drawing>
              <wp:anchor distT="0" distB="0" distL="114300" distR="114300" simplePos="0" relativeHeight="251690496" behindDoc="0" locked="0" layoutInCell="1" allowOverlap="1" wp14:anchorId="6990B751" wp14:editId="6FD59E7A">
                <wp:simplePos x="0" y="0"/>
                <wp:positionH relativeFrom="column">
                  <wp:posOffset>933450</wp:posOffset>
                </wp:positionH>
                <wp:positionV relativeFrom="paragraph">
                  <wp:posOffset>24130</wp:posOffset>
                </wp:positionV>
                <wp:extent cx="1634490" cy="1066800"/>
                <wp:effectExtent l="0" t="0" r="41910" b="19050"/>
                <wp:wrapNone/>
                <wp:docPr id="129" name="群組 129"/>
                <wp:cNvGraphicFramePr/>
                <a:graphic xmlns:a="http://schemas.openxmlformats.org/drawingml/2006/main">
                  <a:graphicData uri="http://schemas.microsoft.com/office/word/2010/wordprocessingGroup">
                    <wpg:wgp>
                      <wpg:cNvGrpSpPr/>
                      <wpg:grpSpPr>
                        <a:xfrm>
                          <a:off x="0" y="0"/>
                          <a:ext cx="1634490" cy="1066800"/>
                          <a:chOff x="0" y="0"/>
                          <a:chExt cx="1634490" cy="1066800"/>
                        </a:xfrm>
                      </wpg:grpSpPr>
                      <wps:wsp>
                        <wps:cNvPr id="56" name="Rectangle 359"/>
                        <wps:cNvSpPr>
                          <a:spLocks noChangeArrowheads="1"/>
                        </wps:cNvSpPr>
                        <wps:spPr bwMode="auto">
                          <a:xfrm>
                            <a:off x="9525" y="180975"/>
                            <a:ext cx="982980" cy="257175"/>
                          </a:xfrm>
                          <a:prstGeom prst="rect">
                            <a:avLst/>
                          </a:prstGeom>
                          <a:solidFill>
                            <a:schemeClr val="lt1">
                              <a:lumMod val="100000"/>
                              <a:lumOff val="0"/>
                            </a:schemeClr>
                          </a:solidFill>
                          <a:ln w="190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4D6" w:rsidRDefault="004864D6" w:rsidP="00DC4ACB">
                              <w:pPr>
                                <w:jc w:val="center"/>
                              </w:pPr>
                              <w:r>
                                <w:rPr>
                                  <w:rFonts w:eastAsia="標楷體" w:hint="eastAsia"/>
                                  <w:bCs/>
                                  <w:kern w:val="0"/>
                                  <w:sz w:val="26"/>
                                  <w:szCs w:val="26"/>
                                </w:rPr>
                                <w:t>TCT</w:t>
                              </w:r>
                            </w:p>
                          </w:txbxContent>
                        </wps:txbx>
                        <wps:bodyPr rot="0" vert="horz" wrap="square" lIns="91440" tIns="45720" rIns="91440" bIns="45720" anchor="t" anchorCtr="0" upright="1">
                          <a:noAutofit/>
                        </wps:bodyPr>
                      </wps:wsp>
                      <wps:wsp>
                        <wps:cNvPr id="52" name="Rectangle 360"/>
                        <wps:cNvSpPr>
                          <a:spLocks noChangeArrowheads="1"/>
                        </wps:cNvSpPr>
                        <wps:spPr bwMode="auto">
                          <a:xfrm>
                            <a:off x="9525" y="485775"/>
                            <a:ext cx="982980" cy="266700"/>
                          </a:xfrm>
                          <a:prstGeom prst="rect">
                            <a:avLst/>
                          </a:prstGeom>
                          <a:solidFill>
                            <a:schemeClr val="lt1">
                              <a:lumMod val="100000"/>
                              <a:lumOff val="0"/>
                            </a:schemeClr>
                          </a:solidFill>
                          <a:ln w="190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4D6" w:rsidRDefault="004864D6" w:rsidP="00DC4ACB">
                              <w:pPr>
                                <w:jc w:val="center"/>
                              </w:pPr>
                              <w:r>
                                <w:rPr>
                                  <w:rFonts w:eastAsia="標楷體" w:hint="eastAsia"/>
                                  <w:bCs/>
                                  <w:kern w:val="0"/>
                                  <w:sz w:val="26"/>
                                  <w:szCs w:val="26"/>
                                </w:rPr>
                                <w:t>Fluke SEA</w:t>
                              </w:r>
                            </w:p>
                          </w:txbxContent>
                        </wps:txbx>
                        <wps:bodyPr rot="0" vert="horz" wrap="square" lIns="91440" tIns="45720" rIns="91440" bIns="45720" anchor="t" anchorCtr="0" upright="1">
                          <a:noAutofit/>
                        </wps:bodyPr>
                      </wps:wsp>
                      <wps:wsp>
                        <wps:cNvPr id="50" name="Rectangle 361"/>
                        <wps:cNvSpPr>
                          <a:spLocks noChangeArrowheads="1"/>
                        </wps:cNvSpPr>
                        <wps:spPr bwMode="auto">
                          <a:xfrm>
                            <a:off x="0" y="809625"/>
                            <a:ext cx="982980" cy="257175"/>
                          </a:xfrm>
                          <a:prstGeom prst="rect">
                            <a:avLst/>
                          </a:prstGeom>
                          <a:solidFill>
                            <a:schemeClr val="lt1">
                              <a:lumMod val="100000"/>
                              <a:lumOff val="0"/>
                            </a:schemeClr>
                          </a:solidFill>
                          <a:ln w="190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4D6" w:rsidRDefault="004864D6" w:rsidP="00DC4ACB">
                              <w:pPr>
                                <w:jc w:val="center"/>
                              </w:pPr>
                              <w:r w:rsidRPr="00F81C66">
                                <w:rPr>
                                  <w:rFonts w:eastAsia="標楷體" w:hint="eastAsia"/>
                                  <w:bCs/>
                                  <w:kern w:val="0"/>
                                  <w:sz w:val="26"/>
                                  <w:szCs w:val="26"/>
                                </w:rPr>
                                <w:t>TII</w:t>
                              </w:r>
                            </w:p>
                          </w:txbxContent>
                        </wps:txbx>
                        <wps:bodyPr rot="0" vert="horz" wrap="square" lIns="91440" tIns="45720" rIns="91440" bIns="45720" anchor="t" anchorCtr="0" upright="1">
                          <a:noAutofit/>
                        </wps:bodyPr>
                      </wps:wsp>
                      <wps:wsp>
                        <wps:cNvPr id="61" name="AutoShape 364"/>
                        <wps:cNvCnPr>
                          <a:cxnSpLocks noChangeShapeType="1"/>
                        </wps:cNvCnPr>
                        <wps:spPr bwMode="auto">
                          <a:xfrm>
                            <a:off x="990600" y="9525"/>
                            <a:ext cx="25209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365"/>
                        <wps:cNvCnPr>
                          <a:cxnSpLocks noChangeShapeType="1"/>
                        </wps:cNvCnPr>
                        <wps:spPr bwMode="auto">
                          <a:xfrm>
                            <a:off x="990600" y="352425"/>
                            <a:ext cx="25209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366"/>
                        <wps:cNvCnPr>
                          <a:cxnSpLocks noChangeShapeType="1"/>
                        </wps:cNvCnPr>
                        <wps:spPr bwMode="auto">
                          <a:xfrm>
                            <a:off x="990600" y="638175"/>
                            <a:ext cx="25209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367"/>
                        <wps:cNvCnPr>
                          <a:cxnSpLocks noChangeShapeType="1"/>
                        </wps:cNvCnPr>
                        <wps:spPr bwMode="auto">
                          <a:xfrm>
                            <a:off x="981075" y="942975"/>
                            <a:ext cx="25209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368"/>
                        <wps:cNvCnPr>
                          <a:cxnSpLocks noChangeShapeType="1"/>
                        </wps:cNvCnPr>
                        <wps:spPr bwMode="auto">
                          <a:xfrm flipH="1">
                            <a:off x="1238250" y="0"/>
                            <a:ext cx="14605" cy="9429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369"/>
                        <wps:cNvCnPr>
                          <a:cxnSpLocks noChangeShapeType="1"/>
                        </wps:cNvCnPr>
                        <wps:spPr bwMode="auto">
                          <a:xfrm>
                            <a:off x="1238250" y="485775"/>
                            <a:ext cx="396240" cy="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id="群組 129" o:spid="_x0000_s1087" style="position:absolute;left:0;text-align:left;margin-left:73.5pt;margin-top:1.9pt;width:128.7pt;height:84pt;z-index:251690496;mso-position-horizontal-relative:text;mso-position-vertical-relative:text" coordsize="16344,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">
                <v:rect id="Rectangle 359" o:spid="_x0000_s1088" style="position:absolute;left:95;top:1809;width:983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Df8YA&#10;AADbAAAADwAAAGRycy9kb3ducmV2LnhtbESPW2vCQBSE3wX/w3IE33TTihdSVylFi1QRrw99O2RP&#10;k9Ds2ZDdmtRf7wqCj8PMfMNM540pxIUql1tW8NKPQBAnVuecKjgdl70JCOeRNRaWScE/OZjP2q0p&#10;xtrWvKfLwaciQNjFqCDzvoyldElGBl3flsTB+7GVQR9klUpdYR3gppCvUTSSBnMOCxmW9JFR8nv4&#10;MwoWg+vXp6wXK7+epKfd93i5PW8Kpbqd5v0NhKfGP8OP9korGI7g/iX8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XDf8YAAADbAAAADwAAAAAAAAAAAAAAAACYAgAAZHJz&#10;L2Rvd25yZXYueG1sUEsFBgAAAAAEAAQA9QAAAIsDAAAAAA==&#10;" fillcolor="white [3201]" strokecolor="#4bacc6 [3208]" strokeweight="1.5pt">
                  <v:shadow color="#868686"/>
                  <v:textbox>
                    <w:txbxContent>
                      <w:p w:rsidR="004864D6" w:rsidRDefault="004864D6" w:rsidP="00DC4ACB">
                        <w:pPr>
                          <w:jc w:val="center"/>
                        </w:pPr>
                        <w:r>
                          <w:rPr>
                            <w:rFonts w:eastAsia="標楷體" w:hint="eastAsia"/>
                            <w:bCs/>
                            <w:kern w:val="0"/>
                            <w:sz w:val="26"/>
                            <w:szCs w:val="26"/>
                          </w:rPr>
                          <w:t>TCT</w:t>
                        </w:r>
                      </w:p>
                    </w:txbxContent>
                  </v:textbox>
                </v:rect>
                <v:rect id="Rectangle 360" o:spid="_x0000_s1089" style="position:absolute;left:95;top:4857;width:983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FfMYA&#10;AADbAAAADwAAAGRycy9kb3ducmV2LnhtbESPT2vCQBTE74LfYXlCb7ppSlVSVyklFqki/j309si+&#10;JqHZtyG7NWk/fVcQPA4z8xtmtuhMJS7UuNKygsdRBII4s7rkXMHpuBxOQTiPrLGyTAp+ycFi3u/N&#10;MNG25T1dDj4XAcIuQQWF93UipcsKMuhGtiYO3pdtDPogm1zqBtsAN5WMo2gsDZYcFgqs6a2g7Pvw&#10;YxSkT38f77JNV349zU+7z8lye95USj0MutcXEJ46fw/f2iut4DmG65fwA+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7FfMYAAADbAAAADwAAAAAAAAAAAAAAAACYAgAAZHJz&#10;L2Rvd25yZXYueG1sUEsFBgAAAAAEAAQA9QAAAIsDAAAAAA==&#10;" fillcolor="white [3201]" strokecolor="#4bacc6 [3208]" strokeweight="1.5pt">
                  <v:shadow color="#868686"/>
                  <v:textbox>
                    <w:txbxContent>
                      <w:p w:rsidR="004864D6" w:rsidRDefault="004864D6" w:rsidP="00DC4ACB">
                        <w:pPr>
                          <w:jc w:val="center"/>
                        </w:pPr>
                        <w:r>
                          <w:rPr>
                            <w:rFonts w:eastAsia="標楷體" w:hint="eastAsia"/>
                            <w:bCs/>
                            <w:kern w:val="0"/>
                            <w:sz w:val="26"/>
                            <w:szCs w:val="26"/>
                          </w:rPr>
                          <w:t>Fluke SEA</w:t>
                        </w:r>
                      </w:p>
                    </w:txbxContent>
                  </v:textbox>
                </v:rect>
                <v:rect id="Rectangle 361" o:spid="_x0000_s1090" style="position:absolute;top:8096;width:982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kMIA&#10;AADbAAAADwAAAGRycy9kb3ducmV2LnhtbERPy2rCQBTdC/7DcAV3daLSKtFRRFTEluJz4e6SuSbB&#10;zJ2QmZrYr+8sCi4P5z2dN6YQD6pcbllBvxeBIE6szjlVcD6t38YgnEfWWFgmBU9yMJ+1W1OMta35&#10;QI+jT0UIYRejgsz7MpbSJRkZdD1bEgfuZiuDPsAqlbrCOoSbQg6i6EMazDk0ZFjSMqPkfvwxClbD&#10;391G1qut/xyn5/11tP6+fBVKdTvNYgLCU+Nf4n/3Vit4D+vDl/A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IP6QwgAAANsAAAAPAAAAAAAAAAAAAAAAAJgCAABkcnMvZG93&#10;bnJldi54bWxQSwUGAAAAAAQABAD1AAAAhwMAAAAA&#10;" fillcolor="white [3201]" strokecolor="#4bacc6 [3208]" strokeweight="1.5pt">
                  <v:shadow color="#868686"/>
                  <v:textbox>
                    <w:txbxContent>
                      <w:p w:rsidR="004864D6" w:rsidRDefault="004864D6" w:rsidP="00DC4ACB">
                        <w:pPr>
                          <w:jc w:val="center"/>
                        </w:pPr>
                        <w:r w:rsidRPr="00F81C66">
                          <w:rPr>
                            <w:rFonts w:eastAsia="標楷體" w:hint="eastAsia"/>
                            <w:bCs/>
                            <w:kern w:val="0"/>
                            <w:sz w:val="26"/>
                            <w:szCs w:val="26"/>
                          </w:rPr>
                          <w:t>TII</w:t>
                        </w:r>
                      </w:p>
                    </w:txbxContent>
                  </v:textbox>
                </v:rect>
                <v:shape id="AutoShape 364" o:spid="_x0000_s1091" type="#_x0000_t32" style="position:absolute;left:9906;top:95;width:25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BZW74AAADbAAAADwAAAGRycy9kb3ducmV2LnhtbESPzQrCMBCE74LvEFbwpqkKItUoKghe&#10;PPhz8bY0a1NsNrWJtb69EQSPw8x8wyxWrS1FQ7UvHCsYDRMQxJnTBecKLufdYAbCB2SNpWNS8CYP&#10;q2W3s8BUuxcfqTmFXEQI+xQVmBCqVEqfGbLoh64ijt7N1RZDlHUudY2vCLelHCfJVFosOC4YrGhr&#10;KLufnlaBrbR9HJzR13sxKTe0v603SaNUv9eu5yACteEf/rX3WsF0BN8v8Qf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GYFlbvgAAANsAAAAPAAAAAAAAAAAAAAAAAKEC&#10;AABkcnMvZG93bnJldi54bWxQSwUGAAAAAAQABAD5AAAAjAMAAAAA&#10;" strokeweight="1.5pt"/>
                <v:shape id="AutoShape 365" o:spid="_x0000_s1092" type="#_x0000_t32" style="position:absolute;left:9906;top:3524;width:25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muCcIAAADbAAAADwAAAGRycy9kb3ducmV2LnhtbESPQYvCMBSE7wv+h/AEb2uqsiq1UXRB&#10;8OJh1Yu3R/NsSpuX2mRr/fdmYcHjMDPfMNmmt7XoqPWlYwWTcQKCOHe65ELB5bz/XILwAVlj7ZgU&#10;PMnDZj34yDDV7sE/1J1CISKEfYoKTAhNKqXPDVn0Y9cQR+/mWoshyraQusVHhNtaTpNkLi2WHBcM&#10;NvRtKK9Ov1aBbbS9H53R16qc1Ts63La7pFNqNOy3KxCB+vAO/7cPWsHXA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muCcIAAADbAAAADwAAAAAAAAAAAAAA&#10;AAChAgAAZHJzL2Rvd25yZXYueG1sUEsFBgAAAAAEAAQA+QAAAJADAAAAAA==&#10;" strokeweight="1.5pt"/>
                <v:shape id="AutoShape 366" o:spid="_x0000_s1093" type="#_x0000_t32" style="position:absolute;left:9906;top:6381;width:25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KoCsMAAADbAAAADwAAAGRycy9kb3ducmV2LnhtbESPwWrDMBBE74X8g9hAbo3chJbgWjZO&#10;IZBLD01zyW2x1paxtXItxXH+PioUehxm5g2TFbPtxUSjbx0reFknIIgrp1tuFJy/D887ED4ga+wd&#10;k4I7eSjyxVOGqXY3/qLpFBoRIexTVGBCGFIpfWXIol+7gTh6tRsthijHRuoRbxFue7lJkjdpseW4&#10;YHCgD0NVd7paBXbQ9ufTGX3p2m2/p2Nd7pNJqdVyLt9BBJrDf/ivfdQKXrfw+yX+AJ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SqArDAAAA2wAAAA8AAAAAAAAAAAAA&#10;AAAAoQIAAGRycy9kb3ducmV2LnhtbFBLBQYAAAAABAAEAPkAAACRAwAAAAA=&#10;" strokeweight="1.5pt"/>
                <v:shape id="AutoShape 367" o:spid="_x0000_s1094" type="#_x0000_t32" style="position:absolute;left:9810;top:9429;width:2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T5sMAAADbAAAADwAAAGRycy9kb3ducmV2LnhtbESPQWvCQBSE7wX/w/IK3pqNiqWkWUMU&#10;BC89aL309si+ZIPZtzG7xvjv3UKhx2FmvmHyYrKdGGnwrWMFiyQFQVw53XKj4Py9f/sA4QOyxs4x&#10;KXiQh2Ize8kx0+7ORxpPoRERwj5DBSaEPpPSV4Ys+sT1xNGr3WAxRDk0Ug94j3DbyWWavkuLLccF&#10;gz3tDFWX080qsL221y9n9M+lXXVbOtTlNh2Vmr9O5SeIQFP4D/+1D1rBegG/X+IPkJ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Mk+bDAAAA2wAAAA8AAAAAAAAAAAAA&#10;AAAAoQIAAGRycy9kb3ducmV2LnhtbFBLBQYAAAAABAAEAPkAAACRAwAAAAA=&#10;" strokeweight="1.5pt"/>
                <v:shape id="AutoShape 368" o:spid="_x0000_s1095" type="#_x0000_t32" style="position:absolute;left:12382;width:146;height:9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6DRsIAAADbAAAADwAAAGRycy9kb3ducmV2LnhtbESPQWvCQBSE7wX/w/IEb3VjCqmkriJC&#10;JddGwesj+5qNZt8m2Y3Gf98tFHocZuYbZrObbCvuNPjGsYLVMgFBXDndcK3gfPp8XYPwAVlj65gU&#10;PMnDbjt72WCu3YO/6F6GWkQI+xwVmBC6XEpfGbLol64jjt63GyyGKIda6gEfEW5bmSZJJi02HBcM&#10;dnQwVN3K0Sp4O1/7U3J5X12OvemPOPqi7NdKLebT/gNEoCn8h//ahVaQpfD7Jf4Au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6DRsIAAADbAAAADwAAAAAAAAAAAAAA&#10;AAChAgAAZHJzL2Rvd25yZXYueG1sUEsFBgAAAAAEAAQA+QAAAJADAAAAAA==&#10;" strokeweight="1.5pt"/>
                <v:shape id="AutoShape 369" o:spid="_x0000_s1096" type="#_x0000_t32" style="position:absolute;left:12382;top:4857;width:39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ySq8QAAADbAAAADwAAAGRycy9kb3ducmV2LnhtbESPQWvCQBSE74X+h+UJ3urG0pYSXcUE&#10;C/Zo3EOPz+wzCWbfhuwao7/eLRR6HGbmG2a5Hm0rBup941jBfJaAIC6dabhSoA9fL58gfEA22Dom&#10;BTfysF49Py0xNe7KexqKUIkIYZ+igjqELpXSlzVZ9DPXEUfv5HqLIcq+kqbHa4TbVr4myYe02HBc&#10;qLGjvKbyXFysglxfBp0NRbfdZz/zqv3e7o53rdR0Mm4WIAKN4T/8194ZBe9v8Psl/gC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JKrxAAAANsAAAAPAAAAAAAAAAAA&#10;AAAAAKECAABkcnMvZG93bnJldi54bWxQSwUGAAAAAAQABAD5AAAAkgMAAAAA&#10;" strokeweight="1.5pt">
                  <v:stroke endarrow="block"/>
                </v:shape>
              </v:group>
            </w:pict>
          </mc:Fallback>
        </mc:AlternateContent>
      </w:r>
    </w:p>
    <w:p w:rsidR="008D321D" w:rsidRDefault="008D321D" w:rsidP="00965AF0">
      <w:pPr>
        <w:tabs>
          <w:tab w:val="left" w:pos="1134"/>
        </w:tabs>
        <w:spacing w:beforeLines="50" w:before="120" w:afterLines="50" w:after="120" w:line="360" w:lineRule="auto"/>
        <w:ind w:leftChars="400" w:left="960"/>
        <w:jc w:val="both"/>
        <w:rPr>
          <w:rFonts w:eastAsia="標楷體"/>
          <w:sz w:val="26"/>
          <w:szCs w:val="26"/>
        </w:rPr>
      </w:pPr>
      <w:r>
        <w:rPr>
          <w:rFonts w:eastAsia="標楷體"/>
          <w:noProof/>
          <w:sz w:val="26"/>
          <w:szCs w:val="26"/>
        </w:rPr>
        <mc:AlternateContent>
          <mc:Choice Requires="wps">
            <w:drawing>
              <wp:anchor distT="0" distB="0" distL="114300" distR="114300" simplePos="0" relativeHeight="251691520" behindDoc="0" locked="0" layoutInCell="1" allowOverlap="1" wp14:anchorId="08A14A36" wp14:editId="2EA8AE25">
                <wp:simplePos x="0" y="0"/>
                <wp:positionH relativeFrom="column">
                  <wp:posOffset>3020695</wp:posOffset>
                </wp:positionH>
                <wp:positionV relativeFrom="paragraph">
                  <wp:posOffset>151130</wp:posOffset>
                </wp:positionV>
                <wp:extent cx="647700" cy="0"/>
                <wp:effectExtent l="0" t="76200" r="19050" b="95250"/>
                <wp:wrapNone/>
                <wp:docPr id="55" name="AutoShap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0" o:spid="_x0000_s1026" type="#_x0000_t32" style="position:absolute;margin-left:237.85pt;margin-top:11.9pt;width:51pt;height: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" strokeweight="1pt">
                <v:stroke endarrow="block"/>
              </v:shape>
            </w:pict>
          </mc:Fallback>
        </mc:AlternateContent>
      </w:r>
    </w:p>
    <w:p w:rsidR="00DC4ACB" w:rsidRDefault="008D321D" w:rsidP="00965AF0">
      <w:pPr>
        <w:tabs>
          <w:tab w:val="left" w:pos="1134"/>
        </w:tabs>
        <w:spacing w:beforeLines="50" w:before="120" w:afterLines="50" w:after="120" w:line="360" w:lineRule="auto"/>
        <w:ind w:leftChars="400" w:left="960"/>
        <w:jc w:val="both"/>
        <w:rPr>
          <w:rFonts w:eastAsia="標楷體"/>
          <w:sz w:val="26"/>
          <w:szCs w:val="26"/>
        </w:rPr>
      </w:pPr>
      <w:r>
        <w:rPr>
          <w:rFonts w:eastAsia="標楷體"/>
          <w:noProof/>
          <w:sz w:val="26"/>
          <w:szCs w:val="26"/>
        </w:rPr>
        <mc:AlternateContent>
          <mc:Choice Requires="wpg">
            <w:drawing>
              <wp:anchor distT="0" distB="0" distL="114300" distR="114300" simplePos="0" relativeHeight="251678208" behindDoc="0" locked="0" layoutInCell="1" allowOverlap="1" wp14:anchorId="7A316B81" wp14:editId="54F63D95">
                <wp:simplePos x="0" y="0"/>
                <wp:positionH relativeFrom="column">
                  <wp:posOffset>4371975</wp:posOffset>
                </wp:positionH>
                <wp:positionV relativeFrom="paragraph">
                  <wp:posOffset>339725</wp:posOffset>
                </wp:positionV>
                <wp:extent cx="838200" cy="447040"/>
                <wp:effectExtent l="0" t="76200" r="0" b="0"/>
                <wp:wrapNone/>
                <wp:docPr id="128" name="群組 128"/>
                <wp:cNvGraphicFramePr/>
                <a:graphic xmlns:a="http://schemas.openxmlformats.org/drawingml/2006/main">
                  <a:graphicData uri="http://schemas.microsoft.com/office/word/2010/wordprocessingGroup">
                    <wpg:wgp>
                      <wpg:cNvGrpSpPr/>
                      <wpg:grpSpPr>
                        <a:xfrm>
                          <a:off x="0" y="0"/>
                          <a:ext cx="838200" cy="447040"/>
                          <a:chOff x="0" y="0"/>
                          <a:chExt cx="838200" cy="447040"/>
                        </a:xfrm>
                      </wpg:grpSpPr>
                      <wps:wsp>
                        <wps:cNvPr id="48" name="Line 536"/>
                        <wps:cNvCnPr>
                          <a:cxnSpLocks noChangeShapeType="1"/>
                        </wps:cNvCnPr>
                        <wps:spPr bwMode="auto">
                          <a:xfrm>
                            <a:off x="85725" y="0"/>
                            <a:ext cx="685165" cy="635"/>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Text Box 537"/>
                        <wps:cNvSpPr txBox="1">
                          <a:spLocks noChangeArrowheads="1"/>
                        </wps:cNvSpPr>
                        <wps:spPr bwMode="auto">
                          <a:xfrm>
                            <a:off x="0" y="104775"/>
                            <a:ext cx="838200"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4D6" w:rsidRDefault="004864D6" w:rsidP="008362B2">
                              <w:pPr>
                                <w:jc w:val="center"/>
                                <w:rPr>
                                  <w:rFonts w:ascii="標楷體" w:eastAsia="標楷體" w:hAnsi="標楷體"/>
                                </w:rPr>
                              </w:pPr>
                              <w:r w:rsidRPr="00AD7EE2">
                                <w:rPr>
                                  <w:rFonts w:ascii="標楷體" w:eastAsia="標楷體" w:hAnsi="標楷體" w:hint="eastAsia"/>
                                </w:rPr>
                                <w:t>產品</w:t>
                              </w:r>
                            </w:p>
                          </w:txbxContent>
                        </wps:txbx>
                        <wps:bodyPr rot="0" vert="horz" wrap="square" lIns="91440" tIns="45720" rIns="91440" bIns="45720" anchor="t" anchorCtr="0" upright="1">
                          <a:noAutofit/>
                        </wps:bodyPr>
                      </wps:wsp>
                    </wpg:wgp>
                  </a:graphicData>
                </a:graphic>
              </wp:anchor>
            </w:drawing>
          </mc:Choice>
          <mc:Fallback>
            <w:pict>
              <v:group id="群組 128" o:spid="_x0000_s1097" style="position:absolute;left:0;text-align:left;margin-left:344.25pt;margin-top:26.75pt;width:66pt;height:35.2pt;z-index:251678208;mso-position-horizontal-relative:text;mso-position-vertical-relative:text" coordsize="8382,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">
                <v:line id="Line 536" o:spid="_x0000_s1098" style="position:absolute;visibility:visible;mso-wrap-style:square" from="857,0" to="77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ldsEAAADbAAAADwAAAGRycy9kb3ducmV2LnhtbERP3WrCMBS+F/YO4Qy8EU2VYV1nLEM2&#10;6eXs9gCH5tiWNiddkrXd25uLwS4/vv9jPptejOR8a1nBdpOAIK6sbrlW8PX5vj6A8AFZY2+ZFPyS&#10;h/z0sDhipu3EVxrLUIsYwj5DBU0IQyalrxoy6Dd2II7czTqDIUJXS+1wiuGml7sk2UuDLceGBgc6&#10;N1R15Y9R0F5Wb0Nhu3RVpPPk+Dm5fX90Si0f59cXEIHm8C/+cxdawVMcG7/EHyBP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xOV2wQAAANsAAAAPAAAAAAAAAAAAAAAA&#10;AKECAABkcnMvZG93bnJldi54bWxQSwUGAAAAAAQABAD5AAAAjwMAAAAA&#10;" strokeweight="2pt">
                  <v:stroke endarrow="block"/>
                </v:line>
                <v:shape id="Text Box 537" o:spid="_x0000_s1099" type="#_x0000_t202" style="position:absolute;top:1047;width:8382;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4864D6" w:rsidRDefault="004864D6" w:rsidP="008362B2">
                        <w:pPr>
                          <w:jc w:val="center"/>
                          <w:rPr>
                            <w:rFonts w:ascii="標楷體" w:eastAsia="標楷體" w:hAnsi="標楷體"/>
                          </w:rPr>
                        </w:pPr>
                        <w:r w:rsidRPr="00AD7EE2">
                          <w:rPr>
                            <w:rFonts w:ascii="標楷體" w:eastAsia="標楷體" w:hAnsi="標楷體" w:hint="eastAsia"/>
                          </w:rPr>
                          <w:t>產品</w:t>
                        </w:r>
                      </w:p>
                    </w:txbxContent>
                  </v:textbox>
                </v:shape>
              </v:group>
            </w:pict>
          </mc:Fallback>
        </mc:AlternateContent>
      </w:r>
    </w:p>
    <w:p w:rsidR="008D321D" w:rsidRDefault="008D321D" w:rsidP="00965AF0">
      <w:pPr>
        <w:tabs>
          <w:tab w:val="left" w:pos="1134"/>
        </w:tabs>
        <w:spacing w:beforeLines="50" w:before="120" w:afterLines="50" w:after="120" w:line="360" w:lineRule="auto"/>
        <w:ind w:leftChars="400" w:left="960"/>
        <w:jc w:val="both"/>
        <w:rPr>
          <w:rFonts w:eastAsia="標楷體"/>
          <w:sz w:val="26"/>
          <w:szCs w:val="26"/>
        </w:rPr>
      </w:pPr>
    </w:p>
    <w:p w:rsidR="008D321D" w:rsidRDefault="00A84D53" w:rsidP="008D321D">
      <w:pPr>
        <w:tabs>
          <w:tab w:val="left" w:pos="2493"/>
        </w:tabs>
        <w:spacing w:beforeLines="50" w:before="120" w:afterLines="50" w:after="120" w:line="360" w:lineRule="auto"/>
        <w:ind w:leftChars="400" w:left="960"/>
        <w:jc w:val="both"/>
        <w:rPr>
          <w:rFonts w:eastAsia="標楷體"/>
          <w:sz w:val="26"/>
          <w:szCs w:val="26"/>
        </w:rPr>
      </w:pPr>
      <w:r>
        <w:rPr>
          <w:rFonts w:eastAsia="標楷體"/>
          <w:sz w:val="26"/>
          <w:szCs w:val="26"/>
        </w:rPr>
        <w:tab/>
      </w:r>
    </w:p>
    <w:p w:rsidR="00DC4ACB" w:rsidRDefault="00B22C52" w:rsidP="00965AF0">
      <w:pPr>
        <w:numPr>
          <w:ilvl w:val="0"/>
          <w:numId w:val="16"/>
        </w:numPr>
        <w:tabs>
          <w:tab w:val="left" w:pos="1134"/>
        </w:tabs>
        <w:spacing w:beforeLines="50" w:before="120" w:afterLines="50" w:after="120" w:line="360" w:lineRule="auto"/>
        <w:ind w:leftChars="250" w:left="1080"/>
        <w:jc w:val="both"/>
        <w:rPr>
          <w:rFonts w:eastAsia="標楷體"/>
          <w:b/>
          <w:sz w:val="28"/>
          <w:szCs w:val="26"/>
        </w:rPr>
      </w:pPr>
      <w:r w:rsidRPr="00AF409C">
        <w:rPr>
          <w:rFonts w:eastAsia="標楷體" w:hint="eastAsia"/>
          <w:b/>
          <w:sz w:val="28"/>
          <w:szCs w:val="26"/>
        </w:rPr>
        <w:lastRenderedPageBreak/>
        <w:t>服務之提供－提供產品服務</w:t>
      </w:r>
    </w:p>
    <w:p w:rsidR="00DC4ACB" w:rsidRDefault="006467B2" w:rsidP="00965AF0">
      <w:pPr>
        <w:tabs>
          <w:tab w:val="left" w:pos="1134"/>
        </w:tabs>
        <w:spacing w:beforeLines="50" w:before="120" w:afterLines="50" w:after="120" w:line="360" w:lineRule="auto"/>
        <w:ind w:leftChars="400" w:left="960"/>
        <w:jc w:val="both"/>
        <w:rPr>
          <w:rFonts w:eastAsia="標楷體"/>
          <w:bCs/>
          <w:color w:val="000000" w:themeColor="text1"/>
          <w:kern w:val="0"/>
          <w:sz w:val="26"/>
          <w:szCs w:val="26"/>
        </w:rPr>
      </w:pPr>
      <w:r>
        <w:rPr>
          <w:rFonts w:eastAsia="標楷體" w:hint="eastAsia"/>
          <w:sz w:val="26"/>
          <w:szCs w:val="26"/>
        </w:rPr>
        <w:t>太克科技</w:t>
      </w:r>
      <w:r w:rsidR="00B22C52" w:rsidRPr="00CC5239">
        <w:rPr>
          <w:rFonts w:eastAsia="標楷體" w:hint="eastAsia"/>
          <w:sz w:val="26"/>
          <w:szCs w:val="26"/>
        </w:rPr>
        <w:t>提供母公</w:t>
      </w:r>
      <w:r w:rsidR="00DC4ACB" w:rsidRPr="00DC4ACB">
        <w:rPr>
          <w:rFonts w:eastAsia="標楷體" w:hint="eastAsia"/>
          <w:color w:val="000000" w:themeColor="text1"/>
          <w:sz w:val="26"/>
          <w:szCs w:val="26"/>
        </w:rPr>
        <w:t>司接單、行銷、維修及保固等產品服務。</w:t>
      </w:r>
      <w:r w:rsidR="0066362E" w:rsidRPr="00DC4ACB">
        <w:rPr>
          <w:rFonts w:eastAsia="標楷體"/>
          <w:color w:val="000000" w:themeColor="text1"/>
          <w:sz w:val="26"/>
          <w:szCs w:val="26"/>
        </w:rPr>
        <w:t>1</w:t>
      </w:r>
      <w:r w:rsidR="0066362E">
        <w:rPr>
          <w:rFonts w:eastAsia="標楷體" w:hint="eastAsia"/>
          <w:color w:val="000000" w:themeColor="text1"/>
          <w:sz w:val="26"/>
          <w:szCs w:val="26"/>
        </w:rPr>
        <w:t>05</w:t>
      </w:r>
      <w:r w:rsidR="00DC4ACB" w:rsidRPr="00DC4ACB">
        <w:rPr>
          <w:rFonts w:eastAsia="標楷體" w:hint="eastAsia"/>
          <w:color w:val="000000" w:themeColor="text1"/>
          <w:sz w:val="26"/>
          <w:szCs w:val="26"/>
        </w:rPr>
        <w:t>會計年度交易金額為</w:t>
      </w:r>
      <w:r w:rsidR="0066362E">
        <w:rPr>
          <w:rFonts w:eastAsia="標楷體" w:hint="eastAsia"/>
          <w:bCs/>
          <w:color w:val="000000" w:themeColor="text1"/>
          <w:kern w:val="0"/>
          <w:sz w:val="26"/>
          <w:szCs w:val="26"/>
        </w:rPr>
        <w:t>101</w:t>
      </w:r>
      <w:r w:rsidR="0066362E" w:rsidRPr="00DC4ACB">
        <w:rPr>
          <w:rFonts w:eastAsia="標楷體"/>
          <w:bCs/>
          <w:color w:val="000000" w:themeColor="text1"/>
          <w:kern w:val="0"/>
          <w:sz w:val="26"/>
          <w:szCs w:val="26"/>
        </w:rPr>
        <w:t>,</w:t>
      </w:r>
      <w:r w:rsidR="0066362E">
        <w:rPr>
          <w:rFonts w:eastAsia="標楷體" w:hint="eastAsia"/>
          <w:bCs/>
          <w:color w:val="000000" w:themeColor="text1"/>
          <w:kern w:val="0"/>
          <w:sz w:val="26"/>
          <w:szCs w:val="26"/>
        </w:rPr>
        <w:t>384</w:t>
      </w:r>
      <w:r w:rsidR="0066362E" w:rsidRPr="00DC4ACB">
        <w:rPr>
          <w:rFonts w:eastAsia="標楷體"/>
          <w:bCs/>
          <w:color w:val="000000" w:themeColor="text1"/>
          <w:kern w:val="0"/>
          <w:sz w:val="26"/>
          <w:szCs w:val="26"/>
        </w:rPr>
        <w:t>,</w:t>
      </w:r>
      <w:r w:rsidR="0066362E">
        <w:rPr>
          <w:rFonts w:eastAsia="標楷體" w:hint="eastAsia"/>
          <w:bCs/>
          <w:color w:val="000000" w:themeColor="text1"/>
          <w:kern w:val="0"/>
          <w:sz w:val="26"/>
          <w:szCs w:val="26"/>
        </w:rPr>
        <w:t>211</w:t>
      </w:r>
      <w:r w:rsidR="00DC4ACB" w:rsidRPr="00DC4ACB">
        <w:rPr>
          <w:rFonts w:eastAsia="標楷體" w:hint="eastAsia"/>
          <w:bCs/>
          <w:color w:val="000000" w:themeColor="text1"/>
          <w:kern w:val="0"/>
          <w:sz w:val="26"/>
          <w:szCs w:val="26"/>
        </w:rPr>
        <w:t>元。</w:t>
      </w:r>
    </w:p>
    <w:p w:rsidR="00505F28" w:rsidRPr="00505F28" w:rsidRDefault="00505F28" w:rsidP="00965AF0">
      <w:pPr>
        <w:numPr>
          <w:ilvl w:val="0"/>
          <w:numId w:val="16"/>
        </w:numPr>
        <w:tabs>
          <w:tab w:val="left" w:pos="1134"/>
        </w:tabs>
        <w:spacing w:beforeLines="50" w:before="120" w:afterLines="50" w:after="120" w:line="360" w:lineRule="auto"/>
        <w:ind w:leftChars="250" w:left="1080"/>
        <w:jc w:val="both"/>
        <w:rPr>
          <w:rFonts w:eastAsia="標楷體"/>
          <w:color w:val="000000" w:themeColor="text1"/>
          <w:sz w:val="26"/>
          <w:szCs w:val="26"/>
        </w:rPr>
      </w:pPr>
      <w:r w:rsidRPr="00505F28">
        <w:rPr>
          <w:rFonts w:eastAsia="標楷體" w:hint="eastAsia"/>
          <w:b/>
          <w:sz w:val="28"/>
          <w:szCs w:val="26"/>
        </w:rPr>
        <w:t>服務之提供</w:t>
      </w:r>
      <w:r w:rsidRPr="00AF409C">
        <w:rPr>
          <w:rFonts w:eastAsia="標楷體" w:hint="eastAsia"/>
          <w:b/>
          <w:sz w:val="28"/>
          <w:szCs w:val="26"/>
        </w:rPr>
        <w:t>－</w:t>
      </w:r>
      <w:r>
        <w:rPr>
          <w:rFonts w:eastAsia="標楷體" w:hint="eastAsia"/>
          <w:b/>
          <w:sz w:val="28"/>
          <w:szCs w:val="26"/>
        </w:rPr>
        <w:t>產品調度、代收付服務</w:t>
      </w:r>
    </w:p>
    <w:p w:rsidR="00505F28" w:rsidRPr="00DC4ACB" w:rsidRDefault="00505F28" w:rsidP="00965AF0">
      <w:pPr>
        <w:tabs>
          <w:tab w:val="left" w:pos="1134"/>
        </w:tabs>
        <w:spacing w:beforeLines="50" w:before="120" w:afterLines="50" w:after="120" w:line="360" w:lineRule="auto"/>
        <w:ind w:leftChars="400" w:left="960"/>
        <w:jc w:val="both"/>
        <w:rPr>
          <w:rFonts w:eastAsia="標楷體"/>
          <w:color w:val="000000" w:themeColor="text1"/>
          <w:sz w:val="26"/>
          <w:szCs w:val="26"/>
        </w:rPr>
      </w:pPr>
      <w:r w:rsidRPr="00505F28">
        <w:rPr>
          <w:rFonts w:eastAsia="標楷體" w:hint="eastAsia"/>
          <w:color w:val="000000" w:themeColor="text1"/>
          <w:sz w:val="26"/>
          <w:szCs w:val="26"/>
        </w:rPr>
        <w:t>太克科技因集團企業存貨之調整而提供儀器及零件調度予關係企業。</w:t>
      </w:r>
      <w:r w:rsidR="0066362E" w:rsidRPr="00505F28">
        <w:rPr>
          <w:rFonts w:eastAsia="標楷體"/>
          <w:color w:val="000000" w:themeColor="text1"/>
          <w:sz w:val="26"/>
          <w:szCs w:val="26"/>
        </w:rPr>
        <w:t>10</w:t>
      </w:r>
      <w:r w:rsidR="0066362E">
        <w:rPr>
          <w:rFonts w:eastAsia="標楷體" w:hint="eastAsia"/>
          <w:color w:val="000000" w:themeColor="text1"/>
          <w:sz w:val="26"/>
          <w:szCs w:val="26"/>
        </w:rPr>
        <w:t>5</w:t>
      </w:r>
      <w:r w:rsidRPr="00505F28">
        <w:rPr>
          <w:rFonts w:eastAsia="標楷體" w:hint="eastAsia"/>
          <w:color w:val="000000" w:themeColor="text1"/>
          <w:sz w:val="26"/>
          <w:szCs w:val="26"/>
        </w:rPr>
        <w:t>會計年度交易金額為</w:t>
      </w:r>
      <w:r w:rsidR="0066362E">
        <w:rPr>
          <w:rFonts w:eastAsia="標楷體" w:hint="eastAsia"/>
          <w:bCs/>
          <w:kern w:val="0"/>
          <w:sz w:val="26"/>
          <w:szCs w:val="26"/>
        </w:rPr>
        <w:t>6,330,150</w:t>
      </w:r>
      <w:r w:rsidRPr="00505F28">
        <w:rPr>
          <w:rFonts w:eastAsia="標楷體" w:hint="eastAsia"/>
          <w:bCs/>
          <w:color w:val="000000" w:themeColor="text1"/>
          <w:kern w:val="0"/>
          <w:sz w:val="26"/>
          <w:szCs w:val="26"/>
        </w:rPr>
        <w:t>元。</w:t>
      </w:r>
    </w:p>
    <w:p w:rsidR="00DC4ACB" w:rsidRDefault="000A5DEB" w:rsidP="00965AF0">
      <w:pPr>
        <w:numPr>
          <w:ilvl w:val="0"/>
          <w:numId w:val="49"/>
        </w:numPr>
        <w:tabs>
          <w:tab w:val="left" w:pos="1134"/>
        </w:tabs>
        <w:spacing w:beforeLines="50" w:before="120" w:afterLines="50" w:after="120" w:line="360" w:lineRule="auto"/>
        <w:jc w:val="both"/>
        <w:rPr>
          <w:rFonts w:eastAsia="標楷體"/>
          <w:sz w:val="26"/>
          <w:szCs w:val="26"/>
        </w:rPr>
      </w:pPr>
      <w:r w:rsidRPr="00376B34">
        <w:rPr>
          <w:rFonts w:eastAsia="標楷體" w:hint="eastAsia"/>
          <w:sz w:val="26"/>
          <w:szCs w:val="26"/>
        </w:rPr>
        <w:t>太克科技與</w:t>
      </w:r>
      <w:r>
        <w:rPr>
          <w:rFonts w:eastAsia="標楷體" w:hint="eastAsia"/>
          <w:sz w:val="26"/>
          <w:szCs w:val="26"/>
        </w:rPr>
        <w:t>關係企業</w:t>
      </w:r>
      <w:r w:rsidRPr="00376B34">
        <w:rPr>
          <w:rFonts w:eastAsia="標楷體" w:hint="eastAsia"/>
          <w:sz w:val="26"/>
          <w:szCs w:val="26"/>
        </w:rPr>
        <w:t>受控交易流程如下</w:t>
      </w:r>
      <w:r w:rsidRPr="00EA272E">
        <w:rPr>
          <w:rFonts w:eastAsia="標楷體" w:hint="eastAsia"/>
          <w:sz w:val="26"/>
          <w:szCs w:val="26"/>
        </w:rPr>
        <w:t>圖所示</w:t>
      </w:r>
      <w:r w:rsidR="00FC1E0C" w:rsidRPr="00EA272E">
        <w:rPr>
          <w:rFonts w:eastAsia="標楷體" w:hint="eastAsia"/>
          <w:sz w:val="26"/>
          <w:szCs w:val="26"/>
        </w:rPr>
        <w:t>：</w:t>
      </w:r>
    </w:p>
    <w:p w:rsidR="00DC4ACB" w:rsidRDefault="00965AF0" w:rsidP="00965AF0">
      <w:pPr>
        <w:tabs>
          <w:tab w:val="left" w:pos="1134"/>
        </w:tabs>
        <w:spacing w:beforeLines="50" w:before="120" w:afterLines="50" w:after="120" w:line="360" w:lineRule="auto"/>
        <w:ind w:leftChars="400" w:left="960" w:firstLineChars="2" w:firstLine="5"/>
        <w:jc w:val="both"/>
        <w:rPr>
          <w:rFonts w:eastAsia="標楷體"/>
          <w:color w:val="0070C0"/>
          <w:sz w:val="26"/>
          <w:szCs w:val="26"/>
        </w:rPr>
      </w:pPr>
      <w:r>
        <w:rPr>
          <w:rFonts w:eastAsia="標楷體"/>
          <w:noProof/>
          <w:color w:val="0070C0"/>
          <w:sz w:val="26"/>
          <w:szCs w:val="26"/>
        </w:rPr>
        <mc:AlternateContent>
          <mc:Choice Requires="wpc">
            <w:drawing>
              <wp:inline distT="0" distB="0" distL="0" distR="0">
                <wp:extent cx="4257675" cy="2790825"/>
                <wp:effectExtent l="0" t="0" r="0" b="9525"/>
                <wp:docPr id="215" name="畫布 2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 name="Rectangle 217"/>
                        <wps:cNvSpPr>
                          <a:spLocks noChangeArrowheads="1"/>
                        </wps:cNvSpPr>
                        <wps:spPr bwMode="auto">
                          <a:xfrm>
                            <a:off x="2000250" y="41910"/>
                            <a:ext cx="608965" cy="1882775"/>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4864D6" w:rsidRDefault="004864D6" w:rsidP="002E4325"/>
                          </w:txbxContent>
                        </wps:txbx>
                        <wps:bodyPr rot="0" vert="horz" wrap="square" lIns="91440" tIns="45720" rIns="91440" bIns="45720" anchor="t" anchorCtr="0" upright="1">
                          <a:noAutofit/>
                        </wps:bodyPr>
                      </wps:wsp>
                      <wps:wsp>
                        <wps:cNvPr id="16" name="Text Box 218"/>
                        <wps:cNvSpPr txBox="1">
                          <a:spLocks noChangeArrowheads="1"/>
                        </wps:cNvSpPr>
                        <wps:spPr bwMode="auto">
                          <a:xfrm>
                            <a:off x="2077085" y="483870"/>
                            <a:ext cx="456565" cy="814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4D6" w:rsidRPr="006D645B" w:rsidRDefault="004864D6" w:rsidP="002E4325">
                              <w:pPr>
                                <w:rPr>
                                  <w:rFonts w:eastAsia="標楷體"/>
                                  <w:sz w:val="28"/>
                                  <w:szCs w:val="40"/>
                                </w:rPr>
                              </w:pPr>
                              <w:r w:rsidRPr="00DC4ACB">
                                <w:rPr>
                                  <w:rFonts w:eastAsia="標楷體" w:hint="eastAsia"/>
                                  <w:sz w:val="28"/>
                                  <w:szCs w:val="40"/>
                                </w:rPr>
                                <w:t>太克科技</w:t>
                              </w:r>
                            </w:p>
                          </w:txbxContent>
                        </wps:txbx>
                        <wps:bodyPr rot="0" vert="eaVert" wrap="square" lIns="91440" tIns="45720" rIns="91440" bIns="45720" anchor="t" anchorCtr="0" upright="1">
                          <a:noAutofit/>
                        </wps:bodyPr>
                      </wps:wsp>
                      <wps:wsp>
                        <wps:cNvPr id="17" name="Rectangle 219"/>
                        <wps:cNvSpPr>
                          <a:spLocks noChangeArrowheads="1"/>
                        </wps:cNvSpPr>
                        <wps:spPr bwMode="auto">
                          <a:xfrm>
                            <a:off x="476885" y="41910"/>
                            <a:ext cx="1066800" cy="34226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8" name="Rectangle 220"/>
                        <wps:cNvSpPr>
                          <a:spLocks noChangeArrowheads="1"/>
                        </wps:cNvSpPr>
                        <wps:spPr bwMode="auto">
                          <a:xfrm>
                            <a:off x="476885" y="594360"/>
                            <a:ext cx="1066800" cy="34290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0" name="Text Box 225"/>
                        <wps:cNvSpPr txBox="1">
                          <a:spLocks noChangeArrowheads="1"/>
                        </wps:cNvSpPr>
                        <wps:spPr bwMode="auto">
                          <a:xfrm>
                            <a:off x="544195" y="640715"/>
                            <a:ext cx="839470"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4D6" w:rsidRDefault="004864D6" w:rsidP="002E4325">
                              <w:pPr>
                                <w:jc w:val="center"/>
                              </w:pPr>
                              <w:r>
                                <w:rPr>
                                  <w:rFonts w:hint="eastAsia"/>
                                </w:rPr>
                                <w:t xml:space="preserve"> TIS</w:t>
                              </w:r>
                            </w:p>
                          </w:txbxContent>
                        </wps:txbx>
                        <wps:bodyPr rot="0" vert="horz" wrap="square" lIns="91440" tIns="45720" rIns="91440" bIns="45720" anchor="t" anchorCtr="0" upright="1">
                          <a:noAutofit/>
                        </wps:bodyPr>
                      </wps:wsp>
                      <wps:wsp>
                        <wps:cNvPr id="21" name="Text Box 228"/>
                        <wps:cNvSpPr txBox="1">
                          <a:spLocks noChangeArrowheads="1"/>
                        </wps:cNvSpPr>
                        <wps:spPr bwMode="auto">
                          <a:xfrm>
                            <a:off x="682625" y="67945"/>
                            <a:ext cx="66992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4D6" w:rsidRPr="006E048A" w:rsidRDefault="004864D6" w:rsidP="002E4325">
                              <w:pPr>
                                <w:rPr>
                                  <w:rFonts w:ascii="標楷體" w:eastAsia="標楷體" w:hAnsi="標楷體"/>
                                </w:rPr>
                              </w:pPr>
                              <w:r w:rsidRPr="00AD7EE2">
                                <w:rPr>
                                  <w:rFonts w:ascii="標楷體" w:eastAsia="標楷體" w:hAnsi="標楷體" w:hint="eastAsia"/>
                                </w:rPr>
                                <w:t>母公司</w:t>
                              </w:r>
                            </w:p>
                          </w:txbxContent>
                        </wps:txbx>
                        <wps:bodyPr rot="0" vert="horz" wrap="square" lIns="91440" tIns="45720" rIns="91440" bIns="45720" anchor="t" anchorCtr="0" upright="1">
                          <a:noAutofit/>
                        </wps:bodyPr>
                      </wps:wsp>
                      <wps:wsp>
                        <wps:cNvPr id="23" name="Line 235"/>
                        <wps:cNvCnPr/>
                        <wps:spPr bwMode="auto">
                          <a:xfrm>
                            <a:off x="1003300" y="2339975"/>
                            <a:ext cx="687070"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24" name="Text Box 236"/>
                        <wps:cNvSpPr txBox="1">
                          <a:spLocks noChangeArrowheads="1"/>
                        </wps:cNvSpPr>
                        <wps:spPr bwMode="auto">
                          <a:xfrm>
                            <a:off x="899795" y="2444750"/>
                            <a:ext cx="838835"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4D6" w:rsidRDefault="004864D6" w:rsidP="002E4325">
                              <w:pPr>
                                <w:jc w:val="center"/>
                                <w:rPr>
                                  <w:rFonts w:ascii="標楷體" w:eastAsia="標楷體" w:hAnsi="標楷體"/>
                                </w:rPr>
                              </w:pPr>
                              <w:r w:rsidRPr="00AD7EE2">
                                <w:rPr>
                                  <w:rFonts w:ascii="標楷體" w:eastAsia="標楷體" w:hAnsi="標楷體" w:hint="eastAsia"/>
                                </w:rPr>
                                <w:t>提供服務</w:t>
                              </w:r>
                            </w:p>
                          </w:txbxContent>
                        </wps:txbx>
                        <wps:bodyPr rot="0" vert="horz" wrap="square" lIns="91440" tIns="45720" rIns="91440" bIns="45720" anchor="t" anchorCtr="0" upright="1">
                          <a:noAutofit/>
                        </wps:bodyPr>
                      </wps:wsp>
                      <wps:wsp>
                        <wps:cNvPr id="25" name="Line 237"/>
                        <wps:cNvCnPr/>
                        <wps:spPr bwMode="auto">
                          <a:xfrm>
                            <a:off x="2463165" y="2348865"/>
                            <a:ext cx="685165" cy="635"/>
                          </a:xfrm>
                          <a:prstGeom prst="line">
                            <a:avLst/>
                          </a:prstGeom>
                          <a:noFill/>
                          <a:ln w="2540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6" name="Text Box 238"/>
                        <wps:cNvSpPr txBox="1">
                          <a:spLocks noChangeArrowheads="1"/>
                        </wps:cNvSpPr>
                        <wps:spPr bwMode="auto">
                          <a:xfrm>
                            <a:off x="2310130" y="2448560"/>
                            <a:ext cx="838200"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4D6" w:rsidRDefault="004864D6" w:rsidP="002E4325">
                              <w:pPr>
                                <w:jc w:val="center"/>
                                <w:rPr>
                                  <w:rFonts w:ascii="標楷體" w:eastAsia="標楷體" w:hAnsi="標楷體"/>
                                </w:rPr>
                              </w:pPr>
                              <w:r w:rsidRPr="00AD7EE2">
                                <w:rPr>
                                  <w:rFonts w:ascii="標楷體" w:eastAsia="標楷體" w:hAnsi="標楷體" w:hint="eastAsia"/>
                                </w:rPr>
                                <w:t>產品調度</w:t>
                              </w:r>
                            </w:p>
                          </w:txbxContent>
                        </wps:txbx>
                        <wps:bodyPr rot="0" vert="horz" wrap="square" lIns="91440" tIns="45720" rIns="91440" bIns="45720" anchor="t" anchorCtr="0" upright="1">
                          <a:noAutofit/>
                        </wps:bodyPr>
                      </wps:wsp>
                      <wps:wsp>
                        <wps:cNvPr id="29" name="Line 263"/>
                        <wps:cNvCnPr/>
                        <wps:spPr bwMode="auto">
                          <a:xfrm flipH="1">
                            <a:off x="1546860" y="208915"/>
                            <a:ext cx="450215" cy="63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0" name="Line 265"/>
                        <wps:cNvCnPr/>
                        <wps:spPr bwMode="auto">
                          <a:xfrm flipH="1">
                            <a:off x="1529715" y="774065"/>
                            <a:ext cx="455295" cy="635"/>
                          </a:xfrm>
                          <a:prstGeom prst="line">
                            <a:avLst/>
                          </a:prstGeom>
                          <a:noFill/>
                          <a:ln w="2540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33" name="Rectangle 436"/>
                        <wps:cNvSpPr>
                          <a:spLocks noChangeArrowheads="1"/>
                        </wps:cNvSpPr>
                        <wps:spPr bwMode="auto">
                          <a:xfrm>
                            <a:off x="3082925" y="67945"/>
                            <a:ext cx="1066800" cy="34099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4D6" w:rsidRDefault="004864D6" w:rsidP="00965AF0">
                              <w:pPr>
                                <w:spacing w:beforeLines="25" w:before="60"/>
                                <w:jc w:val="center"/>
                              </w:pPr>
                              <w:r>
                                <w:rPr>
                                  <w:rFonts w:hint="eastAsia"/>
                                </w:rPr>
                                <w:t>Sonix</w:t>
                              </w:r>
                            </w:p>
                          </w:txbxContent>
                        </wps:txbx>
                        <wps:bodyPr rot="0" vert="horz" wrap="square" lIns="91440" tIns="45720" rIns="91440" bIns="45720" anchor="t" anchorCtr="0" upright="1">
                          <a:noAutofit/>
                        </wps:bodyPr>
                      </wps:wsp>
                      <wps:wsp>
                        <wps:cNvPr id="34" name="Rectangle 437"/>
                        <wps:cNvSpPr>
                          <a:spLocks noChangeArrowheads="1"/>
                        </wps:cNvSpPr>
                        <wps:spPr bwMode="auto">
                          <a:xfrm>
                            <a:off x="480060" y="1114425"/>
                            <a:ext cx="1066800" cy="34226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4D6" w:rsidRDefault="004864D6" w:rsidP="00B3144C">
                              <w:pPr>
                                <w:spacing w:beforeLines="25" w:before="60"/>
                                <w:jc w:val="center"/>
                              </w:pPr>
                              <w:r>
                                <w:rPr>
                                  <w:rFonts w:hint="eastAsia"/>
                                </w:rPr>
                                <w:t>MDS</w:t>
                              </w:r>
                            </w:p>
                          </w:txbxContent>
                        </wps:txbx>
                        <wps:bodyPr rot="0" vert="horz" wrap="square" lIns="91440" tIns="45720" rIns="91440" bIns="45720" anchor="t" anchorCtr="0" upright="1">
                          <a:noAutofit/>
                        </wps:bodyPr>
                      </wps:wsp>
                      <wps:wsp>
                        <wps:cNvPr id="36" name="Rectangle 441"/>
                        <wps:cNvSpPr>
                          <a:spLocks noChangeArrowheads="1"/>
                        </wps:cNvSpPr>
                        <wps:spPr bwMode="auto">
                          <a:xfrm>
                            <a:off x="3082925" y="640715"/>
                            <a:ext cx="1066800" cy="34226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4D6" w:rsidRDefault="004864D6" w:rsidP="002E4325">
                              <w:pPr>
                                <w:jc w:val="center"/>
                              </w:pPr>
                              <w:r>
                                <w:rPr>
                                  <w:rFonts w:hint="eastAsia"/>
                                </w:rPr>
                                <w:t>Lecia</w:t>
                              </w:r>
                            </w:p>
                          </w:txbxContent>
                        </wps:txbx>
                        <wps:bodyPr rot="0" vert="horz" wrap="square" lIns="91440" tIns="45720" rIns="91440" bIns="45720" anchor="t" anchorCtr="0" upright="1">
                          <a:noAutofit/>
                        </wps:bodyPr>
                      </wps:wsp>
                      <wps:wsp>
                        <wps:cNvPr id="37" name="Rectangle 442"/>
                        <wps:cNvSpPr>
                          <a:spLocks noChangeArrowheads="1"/>
                        </wps:cNvSpPr>
                        <wps:spPr bwMode="auto">
                          <a:xfrm>
                            <a:off x="3082925" y="1144905"/>
                            <a:ext cx="1066800" cy="34226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4D6" w:rsidRDefault="004864D6" w:rsidP="002E4325">
                              <w:pPr>
                                <w:jc w:val="center"/>
                              </w:pPr>
                              <w:r>
                                <w:rPr>
                                  <w:rFonts w:hint="eastAsia"/>
                                </w:rPr>
                                <w:t>Matco</w:t>
                              </w:r>
                            </w:p>
                          </w:txbxContent>
                        </wps:txbx>
                        <wps:bodyPr rot="0" vert="horz" wrap="square" lIns="91440" tIns="45720" rIns="91440" bIns="45720" anchor="t" anchorCtr="0" upright="1">
                          <a:noAutofit/>
                        </wps:bodyPr>
                      </wps:wsp>
                      <wps:wsp>
                        <wps:cNvPr id="38" name="Rectangle 443"/>
                        <wps:cNvSpPr>
                          <a:spLocks noChangeArrowheads="1"/>
                        </wps:cNvSpPr>
                        <wps:spPr bwMode="auto">
                          <a:xfrm>
                            <a:off x="3082925" y="1622425"/>
                            <a:ext cx="1066800" cy="34226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4D6" w:rsidRDefault="004864D6" w:rsidP="002E4325">
                              <w:pPr>
                                <w:jc w:val="center"/>
                              </w:pPr>
                              <w:r>
                                <w:rPr>
                                  <w:rFonts w:hint="eastAsia"/>
                                </w:rPr>
                                <w:t>Danaher</w:t>
                              </w:r>
                            </w:p>
                          </w:txbxContent>
                        </wps:txbx>
                        <wps:bodyPr rot="0" vert="horz" wrap="square" lIns="91440" tIns="45720" rIns="91440" bIns="45720" anchor="t" anchorCtr="0" upright="1">
                          <a:noAutofit/>
                        </wps:bodyPr>
                      </wps:wsp>
                      <wps:wsp>
                        <wps:cNvPr id="39" name="Rectangle 444"/>
                        <wps:cNvSpPr>
                          <a:spLocks noChangeArrowheads="1"/>
                        </wps:cNvSpPr>
                        <wps:spPr bwMode="auto">
                          <a:xfrm>
                            <a:off x="462915" y="1582420"/>
                            <a:ext cx="1066800" cy="34226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4D6" w:rsidRDefault="004864D6" w:rsidP="002E4325">
                              <w:pPr>
                                <w:jc w:val="center"/>
                              </w:pPr>
                              <w:r>
                                <w:rPr>
                                  <w:rFonts w:hint="eastAsia"/>
                                </w:rPr>
                                <w:t>Aquafine</w:t>
                              </w:r>
                            </w:p>
                          </w:txbxContent>
                        </wps:txbx>
                        <wps:bodyPr rot="0" vert="horz" wrap="square" lIns="91440" tIns="45720" rIns="91440" bIns="45720" anchor="t" anchorCtr="0" upright="1">
                          <a:noAutofit/>
                        </wps:bodyPr>
                      </wps:wsp>
                      <wps:wsp>
                        <wps:cNvPr id="40" name="Line 581"/>
                        <wps:cNvCnPr/>
                        <wps:spPr bwMode="auto">
                          <a:xfrm flipH="1">
                            <a:off x="1548130" y="1297305"/>
                            <a:ext cx="455295" cy="635"/>
                          </a:xfrm>
                          <a:prstGeom prst="line">
                            <a:avLst/>
                          </a:prstGeom>
                          <a:noFill/>
                          <a:ln w="2540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41" name="Line 582"/>
                        <wps:cNvCnPr/>
                        <wps:spPr bwMode="auto">
                          <a:xfrm flipH="1">
                            <a:off x="1539240" y="1761490"/>
                            <a:ext cx="455295" cy="635"/>
                          </a:xfrm>
                          <a:prstGeom prst="line">
                            <a:avLst/>
                          </a:prstGeom>
                          <a:noFill/>
                          <a:ln w="25400">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44" name="Line 630"/>
                        <wps:cNvCnPr/>
                        <wps:spPr bwMode="auto">
                          <a:xfrm flipH="1">
                            <a:off x="2625725" y="209550"/>
                            <a:ext cx="455295" cy="635"/>
                          </a:xfrm>
                          <a:prstGeom prst="line">
                            <a:avLst/>
                          </a:prstGeom>
                          <a:noFill/>
                          <a:ln w="25400">
                            <a:solidFill>
                              <a:srgbClr val="000000"/>
                            </a:solidFill>
                            <a:prstDash val="lgDash"/>
                            <a:round/>
                            <a:headEnd type="triangle" w="med" len="med"/>
                            <a:tailEnd/>
                          </a:ln>
                          <a:extLst>
                            <a:ext uri="{909E8E84-426E-40DD-AFC4-6F175D3DCCD1}">
                              <a14:hiddenFill xmlns:a14="http://schemas.microsoft.com/office/drawing/2010/main">
                                <a:noFill/>
                              </a14:hiddenFill>
                            </a:ext>
                          </a:extLst>
                        </wps:spPr>
                        <wps:bodyPr/>
                      </wps:wsp>
                      <wps:wsp>
                        <wps:cNvPr id="45" name="Line 631"/>
                        <wps:cNvCnPr/>
                        <wps:spPr bwMode="auto">
                          <a:xfrm flipH="1">
                            <a:off x="2609215" y="773430"/>
                            <a:ext cx="455295" cy="635"/>
                          </a:xfrm>
                          <a:prstGeom prst="line">
                            <a:avLst/>
                          </a:prstGeom>
                          <a:noFill/>
                          <a:ln w="25400">
                            <a:solidFill>
                              <a:srgbClr val="000000"/>
                            </a:solidFill>
                            <a:prstDash val="lgDash"/>
                            <a:round/>
                            <a:headEnd type="triangle" w="med" len="med"/>
                            <a:tailEnd/>
                          </a:ln>
                          <a:extLst>
                            <a:ext uri="{909E8E84-426E-40DD-AFC4-6F175D3DCCD1}">
                              <a14:hiddenFill xmlns:a14="http://schemas.microsoft.com/office/drawing/2010/main">
                                <a:noFill/>
                              </a14:hiddenFill>
                            </a:ext>
                          </a:extLst>
                        </wps:spPr>
                        <wps:bodyPr/>
                      </wps:wsp>
                      <wps:wsp>
                        <wps:cNvPr id="46" name="Line 632"/>
                        <wps:cNvCnPr/>
                        <wps:spPr bwMode="auto">
                          <a:xfrm flipH="1">
                            <a:off x="2609215" y="1297940"/>
                            <a:ext cx="455295" cy="635"/>
                          </a:xfrm>
                          <a:prstGeom prst="line">
                            <a:avLst/>
                          </a:prstGeom>
                          <a:noFill/>
                          <a:ln w="25400">
                            <a:solidFill>
                              <a:srgbClr val="000000"/>
                            </a:solidFill>
                            <a:prstDash val="lgDash"/>
                            <a:round/>
                            <a:headEnd type="triangle" w="med" len="med"/>
                            <a:tailEnd/>
                          </a:ln>
                          <a:extLst>
                            <a:ext uri="{909E8E84-426E-40DD-AFC4-6F175D3DCCD1}">
                              <a14:hiddenFill xmlns:a14="http://schemas.microsoft.com/office/drawing/2010/main">
                                <a:noFill/>
                              </a14:hiddenFill>
                            </a:ext>
                          </a:extLst>
                        </wps:spPr>
                        <wps:bodyPr/>
                      </wps:wsp>
                      <wps:wsp>
                        <wps:cNvPr id="47" name="Line 633"/>
                        <wps:cNvCnPr/>
                        <wps:spPr bwMode="auto">
                          <a:xfrm flipH="1">
                            <a:off x="2627630" y="1760855"/>
                            <a:ext cx="455295" cy="635"/>
                          </a:xfrm>
                          <a:prstGeom prst="line">
                            <a:avLst/>
                          </a:prstGeom>
                          <a:noFill/>
                          <a:ln w="25400">
                            <a:solidFill>
                              <a:srgbClr val="000000"/>
                            </a:solidFill>
                            <a:prstDash val="lgDash"/>
                            <a:round/>
                            <a:headEnd type="triangle" w="med" len="med"/>
                            <a:tailEnd/>
                          </a:ln>
                          <a:extLst>
                            <a:ext uri="{909E8E84-426E-40DD-AFC4-6F175D3DCCD1}">
                              <a14:hiddenFill xmlns:a14="http://schemas.microsoft.com/office/drawing/2010/main">
                                <a:noFill/>
                              </a14:hiddenFill>
                            </a:ext>
                          </a:extLst>
                        </wps:spPr>
                        <wps:bodyPr/>
                      </wps:wsp>
                    </wpc:wpc>
                  </a:graphicData>
                </a:graphic>
              </wp:inline>
            </w:drawing>
          </mc:Choice>
          <mc:Fallback>
            <w:pict>
              <v:group id="畫布 215" o:spid="_x0000_s1100" editas="canvas" style="width:335.25pt;height:219.75pt;mso-position-horizontal-relative:char;mso-position-vertical-relative:line" coordsize="42576,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1" type="#_x0000_t75" style="position:absolute;width:42576;height:27908;visibility:visible;mso-wrap-style:square">
                  <v:fill o:detectmouseclick="t"/>
                  <v:path o:connecttype="none"/>
                </v:shape>
                <v:rect id="Rectangle 217" o:spid="_x0000_s1102" style="position:absolute;left:20002;top:419;width:6090;height:18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Vetb8A&#10;AADbAAAADwAAAGRycy9kb3ducmV2LnhtbERPy6rCMBDdC/5DGMGNXFMFRXqNIoKg7nze7dxmbIvN&#10;pDax1r83guBuDuc503ljClFT5XLLCgb9CARxYnXOqYLjYfUzAeE8ssbCMil4koP5rN2aYqztg3dU&#10;730qQgi7GBVk3pexlC7JyKDr25I4cBdbGfQBVqnUFT5CuCnkMIrG0mDOoSHDkpYZJdf93SjY1H9F&#10;cjv2TgNtnyubTs7b5t8o1e00i18Qnhr/FX/cax3mj+D9SzhAz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9V61vwAAANsAAAAPAAAAAAAAAAAAAAAAAJgCAABkcnMvZG93bnJl&#10;di54bWxQSwUGAAAAAAQABAD1AAAAhAMAAAAA&#10;">
                  <v:shadow on="t" opacity=".5" offset="6pt,6pt"/>
                  <v:textbox>
                    <w:txbxContent>
                      <w:p w:rsidR="004864D6" w:rsidRDefault="004864D6" w:rsidP="002E4325"/>
                    </w:txbxContent>
                  </v:textbox>
                </v:rect>
                <v:shapetype id="_x0000_t202" coordsize="21600,21600" o:spt="202" path="m,l,21600r21600,l21600,xe">
                  <v:stroke joinstyle="miter"/>
                  <v:path gradientshapeok="t" o:connecttype="rect"/>
                </v:shapetype>
                <v:shape id="Text Box 218" o:spid="_x0000_s1103" type="#_x0000_t202" style="position:absolute;left:20770;top:4838;width:4566;height:8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D8sMA&#10;AADbAAAADwAAAGRycy9kb3ducmV2LnhtbERPTWvCQBC9C/0PyxS81U1FQpu6SloQxEOgtgePk+yY&#10;BLOz6e5Go7++Wyh4m8f7nOV6NJ04k/OtZQXPswQEcWV1y7WC76/N0wsIH5A1dpZJwZU8rFcPkyVm&#10;2l74k877UIsYwj5DBU0IfSalrxoy6Ge2J47c0TqDIUJXS+3wEsNNJ+dJkkqDLceGBnv6aKg67Qej&#10;YJsfhp/BFYvX2+GWF2W5K97LVKnp45i/gQg0hrv4373VcX4Kf7/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D8sMAAADbAAAADwAAAAAAAAAAAAAAAACYAgAAZHJzL2Rv&#10;d25yZXYueG1sUEsFBgAAAAAEAAQA9QAAAIgDAAAAAA==&#10;" filled="f" stroked="f">
                  <v:textbox style="layout-flow:vertical-ideographic">
                    <w:txbxContent>
                      <w:p w:rsidR="004864D6" w:rsidRPr="006D645B" w:rsidRDefault="004864D6" w:rsidP="002E4325">
                        <w:pPr>
                          <w:rPr>
                            <w:rFonts w:eastAsia="標楷體"/>
                            <w:sz w:val="28"/>
                            <w:szCs w:val="40"/>
                          </w:rPr>
                        </w:pPr>
                        <w:r w:rsidRPr="00DC4ACB">
                          <w:rPr>
                            <w:rFonts w:eastAsia="標楷體" w:hint="eastAsia"/>
                            <w:sz w:val="28"/>
                            <w:szCs w:val="40"/>
                          </w:rPr>
                          <w:t>太克科技</w:t>
                        </w:r>
                      </w:p>
                    </w:txbxContent>
                  </v:textbox>
                </v:shape>
                <v:rect id="Rectangle 219" o:spid="_x0000_s1104" style="position:absolute;left:4768;top:419;width:10668;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G0W8EA&#10;AADbAAAADwAAAGRycy9kb3ducmV2LnhtbERPS2vCQBC+C/0PyxR6001FtKSuYguCSC8+6HmaHbPB&#10;7GyaHZP033eFQm/z8T1nuR58rTpqYxXYwPMkA0VcBFtxaeB82o5fQEVBtlgHJgM/FGG9ehgtMbeh&#10;5wN1RylVCuGYowEn0uRax8KRxzgJDXHiLqH1KAm2pbYt9inc13qaZXPtseLU4LChd0fF9XjzBj7r&#10;xUwkfhx82X/fXLe/vu2/zsY8PQ6bV1BCg/yL/9w7m+Yv4P5LOkC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BtFvBAAAA2wAAAA8AAAAAAAAAAAAAAAAAmAIAAGRycy9kb3du&#10;cmV2LnhtbFBLBQYAAAAABAAEAPUAAACGAwAAAAA=&#10;" fillcolor="white [3201]" strokecolor="#4bacc6 [3208]" strokeweight="2.5pt">
                  <v:shadow color="#868686"/>
                </v:rect>
                <v:rect id="Rectangle 220" o:spid="_x0000_s1105" style="position:absolute;left:4768;top:5943;width:1066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gKcMA&#10;AADbAAAADwAAAGRycy9kb3ducmV2LnhtbESPT0vDQBDF70K/wzIFb3ZTEZXYbbGCIMVL/+B5zI7Z&#10;0OxszE6T+O2dg+Bthvfmvd+sNlNszUB9bhI7WC4KMMRV8g3XDk7H15tHMFmQPbaJycEPZdisZ1cr&#10;LH0aeU/DQWqjIZxLdBBEutLaXAWKmBepI1btK/URRde+tr7HUcNja2+L4t5GbFgbAnb0Eqg6Hy7R&#10;wUf7cCeS3/exHr8vYdidt7vPk3PX8+n5CYzQJP/mv+s3r/gKq7/oA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4gKcMAAADbAAAADwAAAAAAAAAAAAAAAACYAgAAZHJzL2Rv&#10;d25yZXYueG1sUEsFBgAAAAAEAAQA9QAAAIgDAAAAAA==&#10;" fillcolor="white [3201]" strokecolor="#4bacc6 [3208]" strokeweight="2.5pt">
                  <v:shadow color="#868686"/>
                </v:rect>
                <v:shape id="Text Box 225" o:spid="_x0000_s1106" type="#_x0000_t202" style="position:absolute;left:5441;top:6407;width:8395;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4864D6" w:rsidRDefault="004864D6" w:rsidP="002E4325">
                        <w:pPr>
                          <w:jc w:val="center"/>
                        </w:pPr>
                        <w:r>
                          <w:rPr>
                            <w:rFonts w:hint="eastAsia"/>
                          </w:rPr>
                          <w:t xml:space="preserve"> TIS</w:t>
                        </w:r>
                      </w:p>
                    </w:txbxContent>
                  </v:textbox>
                </v:shape>
                <v:shape id="Text Box 228" o:spid="_x0000_s1107" type="#_x0000_t202" style="position:absolute;left:6826;top:679;width:6699;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4864D6" w:rsidRPr="006E048A" w:rsidRDefault="004864D6" w:rsidP="002E4325">
                        <w:pPr>
                          <w:rPr>
                            <w:rFonts w:ascii="標楷體" w:eastAsia="標楷體" w:hAnsi="標楷體"/>
                          </w:rPr>
                        </w:pPr>
                        <w:r w:rsidRPr="00AD7EE2">
                          <w:rPr>
                            <w:rFonts w:ascii="標楷體" w:eastAsia="標楷體" w:hAnsi="標楷體" w:hint="eastAsia"/>
                          </w:rPr>
                          <w:t>母公司</w:t>
                        </w:r>
                      </w:p>
                    </w:txbxContent>
                  </v:textbox>
                </v:shape>
                <v:line id="Line 235" o:spid="_x0000_s1108" style="position:absolute;visibility:visible;mso-wrap-style:square" from="10033,23399" to="16903,23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QJpcUAAADbAAAADwAAAGRycy9kb3ducmV2LnhtbESPQWvCQBSE7wX/w/KE3sxGhWpTV9FC&#10;ISX1YBp6fmRfk9Ds25BdTeqvdwtCj8PMfMNsdqNpxYV611hWMI9iEMSl1Q1XCorPt9kahPPIGlvL&#10;pOCXHOy2k4cNJtoOfKJL7isRIOwSVFB73yVSurImgy6yHXHwvm1v0AfZV1L3OAS4aeUijp+kwYbD&#10;Qo0dvdZU/uRnoyA7++uq+Frix/xQvZfZc4rHVarU43Tcv4DwNPr/8L2dagWLJfx9CT9Ab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QJpcUAAADbAAAADwAAAAAAAAAA&#10;AAAAAAChAgAAZHJzL2Rvd25yZXYueG1sUEsFBgAAAAAEAAQA+QAAAJMDAAAAAA==&#10;">
                  <v:stroke dashstyle="dash" endarrow="block"/>
                </v:line>
                <v:shape id="Text Box 236" o:spid="_x0000_s1109" type="#_x0000_t202" style="position:absolute;left:8997;top:24447;width:8389;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4864D6" w:rsidRDefault="004864D6" w:rsidP="002E4325">
                        <w:pPr>
                          <w:jc w:val="center"/>
                          <w:rPr>
                            <w:rFonts w:ascii="標楷體" w:eastAsia="標楷體" w:hAnsi="標楷體"/>
                          </w:rPr>
                        </w:pPr>
                        <w:r w:rsidRPr="00AD7EE2">
                          <w:rPr>
                            <w:rFonts w:ascii="標楷體" w:eastAsia="標楷體" w:hAnsi="標楷體" w:hint="eastAsia"/>
                          </w:rPr>
                          <w:t>提供服務</w:t>
                        </w:r>
                      </w:p>
                    </w:txbxContent>
                  </v:textbox>
                </v:shape>
                <v:line id="Line 237" o:spid="_x0000_s1110" style="position:absolute;visibility:visible;mso-wrap-style:square" from="24631,23488" to="31483,23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Nhi8MAAADbAAAADwAAAGRycy9kb3ducmV2LnhtbESPQYvCMBSE7wv+h/CEva2pgq5Uo4hY&#10;cD0Iq+L52TzbYvNSm9jWf28WFjwOM/MNM192phQN1a6wrGA4iEAQp1YXnCk4HZOvKQjnkTWWlknB&#10;kxwsF72POcbatvxLzcFnIkDYxagg976KpXRpTgbdwFbEwbva2qAPss6krrENcFPKURRNpMGCw0KO&#10;Fa1zSm+Hh1Fw998meVbJzq5/mv25nUbdJd0o9dnvVjMQnjr/Dv+3t1rBaAx/X8IP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TYYvDAAAA2wAAAA8AAAAAAAAAAAAA&#10;AAAAoQIAAGRycy9kb3ducmV2LnhtbFBLBQYAAAAABAAEAPkAAACRAwAAAAA=&#10;" strokeweight="2pt">
                  <v:stroke dashstyle="longDash" endarrow="block"/>
                </v:line>
                <v:shape id="Text Box 238" o:spid="_x0000_s1111" type="#_x0000_t202" style="position:absolute;left:23101;top:24485;width:8382;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4864D6" w:rsidRDefault="004864D6" w:rsidP="002E4325">
                        <w:pPr>
                          <w:jc w:val="center"/>
                          <w:rPr>
                            <w:rFonts w:ascii="標楷體" w:eastAsia="標楷體" w:hAnsi="標楷體"/>
                          </w:rPr>
                        </w:pPr>
                        <w:r w:rsidRPr="00AD7EE2">
                          <w:rPr>
                            <w:rFonts w:ascii="標楷體" w:eastAsia="標楷體" w:hAnsi="標楷體" w:hint="eastAsia"/>
                          </w:rPr>
                          <w:t>產品調度</w:t>
                        </w:r>
                      </w:p>
                    </w:txbxContent>
                  </v:textbox>
                </v:shape>
                <v:line id="Line 263" o:spid="_x0000_s1112" style="position:absolute;flip:x;visibility:visible;mso-wrap-style:square" from="15468,2089" to="1997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pNgcMAAADbAAAADwAAAGRycy9kb3ducmV2LnhtbESPQYvCMBCF7wv+hzCCtzW14KLVKCII&#10;e1h2sXrwODRjW20mpUk1/vuNIHh8vHnfm7dcB9OIG3WutqxgMk5AEBdW11wqOB52nzMQziNrbCyT&#10;ggc5WK8GH0vMtL3znm65L0WEsMtQQeV9m0npiooMurFtiaN3tp1BH2VXSt3hPcJNI9Mk+ZIGa44N&#10;Fba0rai45r2Jb0z75hAm/U+Kp1Du7W9+/rs8lBoNw2YBwlPw7+NX+lsrSOfw3BIB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6TYHDAAAA2wAAAA8AAAAAAAAAAAAA&#10;AAAAoQIAAGRycy9kb3ducmV2LnhtbFBLBQYAAAAABAAEAPkAAACRAwAAAAA=&#10;">
                  <v:stroke dashstyle="dash" endarrow="block"/>
                </v:line>
                <v:line id="Line 265" o:spid="_x0000_s1113" style="position:absolute;flip:x;visibility:visible;mso-wrap-style:square" from="15297,7740" to="19850,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zql8MAAADbAAAADwAAAGRycy9kb3ducmV2LnhtbERPz2vCMBS+D/wfwhvstqZzY0g1LeoY&#10;7uJBp+huj+bZlDUvpUm1+tebw2DHj+/3rBhsI87U+dqxgpckBUFcOl1zpWD3/fk8AeEDssbGMSm4&#10;kociHz3MMNPuwhs6b0MlYgj7DBWYENpMSl8asugT1xJH7uQ6iyHCrpK6w0sMt40cp+m7tFhzbDDY&#10;0tJQ+bvtrYK9bH4+ejz27Xy9WoXTbXN4Wxilnh6H+RREoCH8i//cX1rBa1wfv8QfI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s6pfDAAAA2wAAAA8AAAAAAAAAAAAA&#10;AAAAoQIAAGRycy9kb3ducmV2LnhtbFBLBQYAAAAABAAEAPkAAACRAwAAAAA=&#10;" strokeweight="2pt">
                  <v:stroke dashstyle="longDash" endarrow="block"/>
                </v:line>
                <v:rect id="Rectangle 436" o:spid="_x0000_s1114" style="position:absolute;left:30829;top:679;width:10668;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OMQA&#10;AADbAAAADwAAAGRycy9kb3ducmV2LnhtbESPQUvDQBSE7wX/w/IEb+1GKyppt8UKQileWoPnZ/Y1&#10;G5p9m2Zfk/Tfu4LgcZiZb5jlevSN6qmLdWAD97MMFHEZbM2VgeLzffoCKgqyxSYwGbhShPXqZrLE&#10;3IaB99QfpFIJwjFHA06kzbWOpSOPcRZa4uQdQ+dRkuwqbTscEtw3+iHLnrTHmtOCw5beHJWnw8Ub&#10;+GqeH0Xix95Xw/ni+t1ps/sujLm7HV8XoIRG+Q//tbfWwHwOv1/SD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P7jjEAAAA2wAAAA8AAAAAAAAAAAAAAAAAmAIAAGRycy9k&#10;b3ducmV2LnhtbFBLBQYAAAAABAAEAPUAAACJAwAAAAA=&#10;" fillcolor="white [3201]" strokecolor="#4bacc6 [3208]" strokeweight="2.5pt">
                  <v:shadow color="#868686"/>
                  <v:textbox>
                    <w:txbxContent>
                      <w:p w:rsidR="004864D6" w:rsidRDefault="004864D6" w:rsidP="00965AF0">
                        <w:pPr>
                          <w:spacing w:beforeLines="25" w:before="60"/>
                          <w:jc w:val="center"/>
                        </w:pPr>
                        <w:r>
                          <w:rPr>
                            <w:rFonts w:hint="eastAsia"/>
                          </w:rPr>
                          <w:t>Sonix</w:t>
                        </w:r>
                      </w:p>
                    </w:txbxContent>
                  </v:textbox>
                </v:rect>
                <v:rect id="Rectangle 437" o:spid="_x0000_s1115" style="position:absolute;left:4800;top:11144;width:10668;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Z2TMQA&#10;AADbAAAADwAAAGRycy9kb3ducmV2LnhtbESPzWrDMBCE74W+g9hCbo3cNjTBiRLaQiGEXvJDzhtr&#10;Y5lYK9fa2O7bV4VCjsPMfMMsVoOvVUdtrAIbeBpnoIiLYCsuDRz2n48zUFGQLdaBycAPRVgt7+8W&#10;mNvQ85a6nZQqQTjmaMCJNLnWsXDkMY5DQ5y8c2g9SpJtqW2LfYL7Wj9n2av2WHFacNjQh6Pisrt6&#10;A8d6OhGJX1tf9t9X120u75vTwZjRw/A2ByU0yC38315bAy8T+PuSfoB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mdkzEAAAA2wAAAA8AAAAAAAAAAAAAAAAAmAIAAGRycy9k&#10;b3ducmV2LnhtbFBLBQYAAAAABAAEAPUAAACJAwAAAAA=&#10;" fillcolor="white [3201]" strokecolor="#4bacc6 [3208]" strokeweight="2.5pt">
                  <v:shadow color="#868686"/>
                  <v:textbox>
                    <w:txbxContent>
                      <w:p w:rsidR="004864D6" w:rsidRDefault="004864D6" w:rsidP="00B3144C">
                        <w:pPr>
                          <w:spacing w:beforeLines="25" w:before="60"/>
                          <w:jc w:val="center"/>
                        </w:pPr>
                        <w:r>
                          <w:rPr>
                            <w:rFonts w:hint="eastAsia"/>
                          </w:rPr>
                          <w:t>MDS</w:t>
                        </w:r>
                      </w:p>
                    </w:txbxContent>
                  </v:textbox>
                </v:rect>
                <v:rect id="Rectangle 441" o:spid="_x0000_s1116" style="position:absolute;left:30829;top:6407;width:10668;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hNoMQA&#10;AADbAAAADwAAAGRycy9kb3ducmV2LnhtbESPQWvCQBSE74X+h+UVvNVNW1GJrtIWCiK9aMXzM/vM&#10;BrNv0+wzif++Wyj0OMzMN8xyPfhaddTGKrCBp3EGirgItuLSwOHr43EOKgqyxTowGbhRhPXq/m6J&#10;uQ0976jbS6kShGOOBpxIk2sdC0ce4zg0xMk7h9ajJNmW2rbYJ7iv9XOWTbXHitOCw4beHRWX/dUb&#10;ONaziUj83Pmy/766bnt5254OxowehtcFKKFB/sN/7Y018DKF3y/pB+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4TaDEAAAA2wAAAA8AAAAAAAAAAAAAAAAAmAIAAGRycy9k&#10;b3ducmV2LnhtbFBLBQYAAAAABAAEAPUAAACJAwAAAAA=&#10;" fillcolor="white [3201]" strokecolor="#4bacc6 [3208]" strokeweight="2.5pt">
                  <v:shadow color="#868686"/>
                  <v:textbox>
                    <w:txbxContent>
                      <w:p w:rsidR="004864D6" w:rsidRDefault="004864D6" w:rsidP="002E4325">
                        <w:pPr>
                          <w:jc w:val="center"/>
                        </w:pPr>
                        <w:r>
                          <w:rPr>
                            <w:rFonts w:hint="eastAsia"/>
                          </w:rPr>
                          <w:t>Lecia</w:t>
                        </w:r>
                      </w:p>
                    </w:txbxContent>
                  </v:textbox>
                </v:rect>
                <v:rect id="Rectangle 442" o:spid="_x0000_s1117" style="position:absolute;left:30829;top:11449;width:10668;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oO8QA&#10;AADbAAAADwAAAGRycy9kb3ducmV2LnhtbESPQWvCQBSE7wX/w/KE3uqmttQSXUULhSJetNLzM/ua&#10;DWbfxuwzSf99Vyj0OMzMN8xiNfhaddTGKrCBx0kGirgItuLSwPHz/eEVVBRki3VgMvBDEVbL0d0C&#10;cxt63lN3kFIlCMccDTiRJtc6Fo48xkloiJP3HVqPkmRbattin+C+1tMse9EeK04LDht6c1ScD1dv&#10;4KuePYvE3d6X/eXquu15sz0djbkfD+s5KKFB/sN/7Q9r4GkGty/pB+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06DvEAAAA2wAAAA8AAAAAAAAAAAAAAAAAmAIAAGRycy9k&#10;b3ducmV2LnhtbFBLBQYAAAAABAAEAPUAAACJAwAAAAA=&#10;" fillcolor="white [3201]" strokecolor="#4bacc6 [3208]" strokeweight="2.5pt">
                  <v:shadow color="#868686"/>
                  <v:textbox>
                    <w:txbxContent>
                      <w:p w:rsidR="004864D6" w:rsidRDefault="004864D6" w:rsidP="002E4325">
                        <w:pPr>
                          <w:jc w:val="center"/>
                        </w:pPr>
                        <w:r>
                          <w:rPr>
                            <w:rFonts w:hint="eastAsia"/>
                          </w:rPr>
                          <w:t>Matco</w:t>
                        </w:r>
                      </w:p>
                    </w:txbxContent>
                  </v:textbox>
                </v:rect>
                <v:rect id="Rectangle 443" o:spid="_x0000_s1118" style="position:absolute;left:30829;top:16224;width:10668;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t8ScAA&#10;AADbAAAADwAAAGRycy9kb3ducmV2LnhtbERPTWvCQBC9F/wPywi91U1taSV1FRWEIl604nmanWaD&#10;2dmYHZP033cPQo+P9z1fDr5WHbWxCmzgeZKBIi6Crbg0cPraPs1ARUG2WAcmA78UYbkYPcwxt6Hn&#10;A3VHKVUK4ZijASfS5FrHwpHHOAkNceJ+QutREmxLbVvsU7iv9TTL3rTHilODw4Y2jorL8eYNnOv3&#10;V5G4P/iyv95ct7usd98nYx7Hw+oDlNAg/+K7+9MaeElj05f0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6t8ScAAAADbAAAADwAAAAAAAAAAAAAAAACYAgAAZHJzL2Rvd25y&#10;ZXYueG1sUEsFBgAAAAAEAAQA9QAAAIUDAAAAAA==&#10;" fillcolor="white [3201]" strokecolor="#4bacc6 [3208]" strokeweight="2.5pt">
                  <v:shadow color="#868686"/>
                  <v:textbox>
                    <w:txbxContent>
                      <w:p w:rsidR="004864D6" w:rsidRDefault="004864D6" w:rsidP="002E4325">
                        <w:pPr>
                          <w:jc w:val="center"/>
                        </w:pPr>
                        <w:r>
                          <w:rPr>
                            <w:rFonts w:hint="eastAsia"/>
                          </w:rPr>
                          <w:t>Danaher</w:t>
                        </w:r>
                      </w:p>
                    </w:txbxContent>
                  </v:textbox>
                </v:rect>
                <v:rect id="Rectangle 444" o:spid="_x0000_s1119" style="position:absolute;left:4629;top:15824;width:10668;height:3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fZ0sQA&#10;AADbAAAADwAAAGRycy9kb3ducmV2LnhtbESPQUvDQBSE7wX/w/IEb+1GK2rTbostCFK8tJaeX7PP&#10;bGj2bZp9TeK/dwXB4zAz3zCL1eBr1VEbq8AG7icZKOIi2IpLA4fPt/ELqCjIFuvAZOCbIqyWN6MF&#10;5jb0vKNuL6VKEI45GnAiTa51LBx5jJPQECfvK7QeJcm21LbFPsF9rR+y7El7rDgtOGxo46g476/e&#10;wLF+fhSJHztf9per67bn9fZ0MObudnidgxIa5D/81363BqYz+P2SfoB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n2dLEAAAA2wAAAA8AAAAAAAAAAAAAAAAAmAIAAGRycy9k&#10;b3ducmV2LnhtbFBLBQYAAAAABAAEAPUAAACJAwAAAAA=&#10;" fillcolor="white [3201]" strokecolor="#4bacc6 [3208]" strokeweight="2.5pt">
                  <v:shadow color="#868686"/>
                  <v:textbox>
                    <w:txbxContent>
                      <w:p w:rsidR="004864D6" w:rsidRDefault="004864D6" w:rsidP="002E4325">
                        <w:pPr>
                          <w:jc w:val="center"/>
                        </w:pPr>
                        <w:r>
                          <w:rPr>
                            <w:rFonts w:hint="eastAsia"/>
                          </w:rPr>
                          <w:t>Aquafine</w:t>
                        </w:r>
                      </w:p>
                    </w:txbxContent>
                  </v:textbox>
                </v:rect>
                <v:line id="Line 581" o:spid="_x0000_s1120" style="position:absolute;flip:x;visibility:visible;mso-wrap-style:square" from="15481,12973" to="20034,12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qZ6sIAAADbAAAADwAAAGRycy9kb3ducmV2LnhtbERPy2rCQBTdC/7DcIXudNISikRHsUpJ&#10;N11oW6q7S+aaCWbuhMzk0X59Z1FweTjv9Xa0teip9ZVjBY+LBARx4XTFpYLPj9f5EoQPyBprx6Tg&#10;hzxsN9PJGjPtBj5SfwqliCHsM1RgQmgyKX1hyKJfuIY4clfXWgwRtqXULQ4x3NbyKUmepcWKY4PB&#10;hvaGitupswq+ZH05dHjumt17nofr7/E7fTFKPczG3QpEoDHcxf/uN60gjevjl/gD5O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qZ6sIAAADbAAAADwAAAAAAAAAAAAAA&#10;AAChAgAAZHJzL2Rvd25yZXYueG1sUEsFBgAAAAAEAAQA+QAAAJADAAAAAA==&#10;" strokeweight="2pt">
                  <v:stroke dashstyle="longDash" endarrow="block"/>
                </v:line>
                <v:line id="Line 582" o:spid="_x0000_s1121" style="position:absolute;flip:x;visibility:visible;mso-wrap-style:square" from="15392,17614" to="19945,17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8ccUAAADbAAAADwAAAGRycy9kb3ducmV2LnhtbESPQWvCQBSE7wX/w/IKvZmNIqVE12CV&#10;Yi89aCva2yP7kg3Nvg3Zjab+ercg9DjMzDfMIh9sI87U+dqxgkmSgiAunK65UvD1+TZ+AeEDssbG&#10;MSn4JQ/5cvSwwEy7C+/ovA+ViBD2GSowIbSZlL4wZNEnriWOXuk6iyHKrpK6w0uE20ZO0/RZWqw5&#10;LhhsaW2o+Nn3VsFBNt+bHk99u/rYbkN53R1nr0app8dhNQcRaAj/4Xv7XSuYTeDvS/wBc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Y8ccUAAADbAAAADwAAAAAAAAAA&#10;AAAAAAChAgAAZHJzL2Rvd25yZXYueG1sUEsFBgAAAAAEAAQA+QAAAJMDAAAAAA==&#10;" strokeweight="2pt">
                  <v:stroke dashstyle="longDash" endarrow="block"/>
                </v:line>
                <v:line id="Line 630" o:spid="_x0000_s1122" style="position:absolute;flip:x;visibility:visible;mso-wrap-style:square" from="26257,2095" to="30810,2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wCIsUAAADbAAAADwAAAGRycy9kb3ducmV2LnhtbESPT2vCQBTE7wW/w/KEXopuEqSV6Cpa&#10;mtLejBW8PrLPJJh9G7KbP/323UKhx2FmfsNs95NpxECdqy0riJcRCOLC6ppLBZevbLEG4TyyxsYy&#10;KfgmB/vd7GGLqbYj5zScfSkChF2KCirv21RKV1Rk0C1tSxy8m+0M+iC7UuoOxwA3jUyi6FkarDks&#10;VNjSa0XF/dwbBZjn15e3KPms4/dj3z4V8ekyZEo9zqfDBoSnyf+H/9ofWsFqBb9fw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wCIsUAAADbAAAADwAAAAAAAAAA&#10;AAAAAAChAgAAZHJzL2Rvd25yZXYueG1sUEsFBgAAAAAEAAQA+QAAAJMDAAAAAA==&#10;" strokeweight="2pt">
                  <v:stroke dashstyle="longDash" startarrow="block"/>
                </v:line>
                <v:line id="Line 631" o:spid="_x0000_s1123" style="position:absolute;flip:x;visibility:visible;mso-wrap-style:square" from="26092,7734" to="30645,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CnucQAAADbAAAADwAAAGRycy9kb3ducmV2LnhtbESPT2vCQBTE74V+h+UVvIhuIvUP0VVU&#10;atGbUcHrI/uahGbfhuwa47d3C0KPw8z8hlmsOlOJlhpXWlYQDyMQxJnVJecKLufdYAbCeWSNlWVS&#10;8CAHq+X72wITbe+cUnvyuQgQdgkqKLyvEyldVpBBN7Q1cfB+bGPQB9nkUjd4D3BTyVEUTaTBksNC&#10;gTVtC8p+TzejANP0Ov2KRocy/t7c6n4WHy/tTqneR7eeg/DU+f/wq73XCj7H8Pcl/AC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UKe5xAAAANsAAAAPAAAAAAAAAAAA&#10;AAAAAKECAABkcnMvZG93bnJldi54bWxQSwUGAAAAAAQABAD5AAAAkgMAAAAA&#10;" strokeweight="2pt">
                  <v:stroke dashstyle="longDash" startarrow="block"/>
                </v:line>
                <v:line id="Line 632" o:spid="_x0000_s1124" style="position:absolute;flip:x;visibility:visible;mso-wrap-style:square" from="26092,12979" to="30645,12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I5zsMAAADbAAAADwAAAGRycy9kb3ducmV2LnhtbESPQYvCMBSE78L+h/AWvMiaVkSXapRd&#10;UdGbVcHro3nblm1eShNr/fdGEDwOM/MNM192phItNa60rCAeRiCIM6tLzhWcT5uvbxDOI2usLJOC&#10;OzlYLj56c0y0vXFK7dHnIkDYJaig8L5OpHRZQQbd0NbEwfuzjUEfZJNL3eAtwE0lR1E0kQZLDgsF&#10;1rQqKPs/Xo0CTNPLdB2N9mW8/b3Wgyw+nNuNUv3P7mcGwlPn3+FXe6cVjCf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COc7DAAAA2wAAAA8AAAAAAAAAAAAA&#10;AAAAoQIAAGRycy9kb3ducmV2LnhtbFBLBQYAAAAABAAEAPkAAACRAwAAAAA=&#10;" strokeweight="2pt">
                  <v:stroke dashstyle="longDash" startarrow="block"/>
                </v:line>
                <v:line id="Line 633" o:spid="_x0000_s1125" style="position:absolute;flip:x;visibility:visible;mso-wrap-style:square" from="26276,17608" to="30829,17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6cVcMAAADbAAAADwAAAGRycy9kb3ducmV2LnhtbESPQYvCMBSE78L+h/AWvMiaVkSXapRd&#10;UdGbVcHro3nblm1eShNr/fdGEDwOM/MNM192phItNa60rCAeRiCIM6tLzhWcT5uvbxDOI2usLJOC&#10;OzlYLj56c0y0vXFK7dHnIkDYJaig8L5OpHRZQQbd0NbEwfuzjUEfZJNL3eAtwE0lR1E0kQZLDgsF&#10;1rQqKPs/Xo0CTNPLdB2N9mW8/b3Wgyw+nNuNUv3P7mcGwlPn3+FXe6cVjKf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OnFXDAAAA2wAAAA8AAAAAAAAAAAAA&#10;AAAAoQIAAGRycy9kb3ducmV2LnhtbFBLBQYAAAAABAAEAPkAAACRAwAAAAA=&#10;" strokeweight="2pt">
                  <v:stroke dashstyle="longDash" startarrow="block"/>
                </v:line>
                <w10:anchorlock/>
              </v:group>
            </w:pict>
          </mc:Fallback>
        </mc:AlternateContent>
      </w:r>
    </w:p>
    <w:p w:rsidR="00DC4ACB" w:rsidRDefault="00567251" w:rsidP="00965AF0">
      <w:pPr>
        <w:pStyle w:val="2"/>
        <w:numPr>
          <w:ilvl w:val="1"/>
          <w:numId w:val="11"/>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契約條款及憑證</w:t>
      </w:r>
    </w:p>
    <w:p w:rsidR="00DC4ACB" w:rsidRDefault="00B45820" w:rsidP="00965AF0">
      <w:pPr>
        <w:spacing w:beforeLines="50" w:before="120" w:afterLines="50" w:after="120" w:line="360" w:lineRule="auto"/>
        <w:ind w:firstLineChars="200" w:firstLine="520"/>
        <w:jc w:val="both"/>
        <w:rPr>
          <w:rFonts w:eastAsia="標楷體"/>
          <w:sz w:val="26"/>
          <w:szCs w:val="26"/>
        </w:rPr>
      </w:pPr>
      <w:r w:rsidRPr="009E190E">
        <w:rPr>
          <w:rFonts w:eastAsia="標楷體" w:hint="eastAsia"/>
          <w:sz w:val="26"/>
          <w:szCs w:val="26"/>
        </w:rPr>
        <w:t>太克科技與母公司簽訂之服務契約。</w:t>
      </w:r>
    </w:p>
    <w:p w:rsidR="00DC4ACB" w:rsidRDefault="002C1CD5" w:rsidP="00965AF0">
      <w:pPr>
        <w:pStyle w:val="2"/>
        <w:numPr>
          <w:ilvl w:val="1"/>
          <w:numId w:val="11"/>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收</w:t>
      </w:r>
      <w:r w:rsidR="00CB2FA0" w:rsidRPr="00EA272E">
        <w:rPr>
          <w:rFonts w:ascii="Times New Roman" w:eastAsia="標楷體" w:hAnsi="Times New Roman"/>
          <w:sz w:val="36"/>
          <w:szCs w:val="40"/>
        </w:rPr>
        <w:t>付款</w:t>
      </w:r>
      <w:r w:rsidR="00E06761" w:rsidRPr="00EA272E">
        <w:rPr>
          <w:rFonts w:ascii="Times New Roman" w:eastAsia="標楷體" w:hAnsi="Times New Roman" w:hint="eastAsia"/>
          <w:sz w:val="36"/>
          <w:szCs w:val="40"/>
        </w:rPr>
        <w:t>條件</w:t>
      </w:r>
    </w:p>
    <w:p w:rsidR="00DC4ACB" w:rsidRDefault="00B45820" w:rsidP="00965AF0">
      <w:pPr>
        <w:spacing w:beforeLines="50" w:before="120" w:afterLines="50" w:after="120" w:line="360" w:lineRule="auto"/>
        <w:ind w:firstLineChars="200" w:firstLine="520"/>
        <w:jc w:val="both"/>
        <w:rPr>
          <w:rFonts w:eastAsia="標楷體"/>
        </w:rPr>
      </w:pPr>
      <w:r w:rsidRPr="009E190E">
        <w:rPr>
          <w:rFonts w:eastAsia="標楷體" w:hint="eastAsia"/>
          <w:sz w:val="26"/>
          <w:szCs w:val="26"/>
        </w:rPr>
        <w:t>太克科技提供關係企業服務及支付關係企業貨款之付款條件為</w:t>
      </w:r>
      <w:r w:rsidRPr="009E190E">
        <w:rPr>
          <w:rFonts w:eastAsia="標楷體" w:hint="eastAsia"/>
          <w:sz w:val="26"/>
          <w:szCs w:val="26"/>
        </w:rPr>
        <w:t>30</w:t>
      </w:r>
      <w:r w:rsidRPr="009E190E">
        <w:rPr>
          <w:rFonts w:eastAsia="標楷體" w:hint="eastAsia"/>
          <w:sz w:val="26"/>
          <w:szCs w:val="26"/>
        </w:rPr>
        <w:t>天</w:t>
      </w:r>
      <w:r w:rsidR="00E06761" w:rsidRPr="009E190E">
        <w:rPr>
          <w:rFonts w:eastAsia="標楷體" w:hint="eastAsia"/>
          <w:sz w:val="26"/>
          <w:szCs w:val="26"/>
        </w:rPr>
        <w:t>。</w:t>
      </w:r>
    </w:p>
    <w:p w:rsidR="00DC4ACB" w:rsidRDefault="0072762B" w:rsidP="00965AF0">
      <w:pPr>
        <w:pStyle w:val="2"/>
        <w:numPr>
          <w:ilvl w:val="1"/>
          <w:numId w:val="11"/>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lastRenderedPageBreak/>
        <w:t>未於</w:t>
      </w:r>
      <w:r w:rsidR="00567251" w:rsidRPr="00EA272E">
        <w:rPr>
          <w:rFonts w:ascii="Times New Roman" w:eastAsia="標楷體" w:hAnsi="Times New Roman"/>
          <w:sz w:val="36"/>
          <w:szCs w:val="40"/>
        </w:rPr>
        <w:t>本報告</w:t>
      </w:r>
      <w:r w:rsidRPr="00EA272E">
        <w:rPr>
          <w:rFonts w:ascii="Times New Roman" w:eastAsia="標楷體" w:hAnsi="Times New Roman" w:hint="eastAsia"/>
          <w:sz w:val="36"/>
          <w:szCs w:val="40"/>
        </w:rPr>
        <w:t>進行</w:t>
      </w:r>
      <w:r w:rsidR="008E0EB4" w:rsidRPr="00EA272E">
        <w:rPr>
          <w:rFonts w:ascii="Times New Roman" w:eastAsia="標楷體" w:hAnsi="Times New Roman" w:hint="eastAsia"/>
          <w:sz w:val="36"/>
          <w:szCs w:val="40"/>
        </w:rPr>
        <w:t>個別</w:t>
      </w:r>
      <w:r w:rsidR="00567251" w:rsidRPr="00EA272E">
        <w:rPr>
          <w:rFonts w:ascii="Times New Roman" w:eastAsia="標楷體" w:hAnsi="Times New Roman"/>
          <w:sz w:val="36"/>
          <w:szCs w:val="40"/>
        </w:rPr>
        <w:t>分析之</w:t>
      </w:r>
      <w:r w:rsidR="008E0EB4" w:rsidRPr="00EA272E">
        <w:rPr>
          <w:rFonts w:ascii="Times New Roman" w:eastAsia="標楷體" w:hAnsi="Times New Roman" w:hint="eastAsia"/>
          <w:sz w:val="36"/>
          <w:szCs w:val="40"/>
        </w:rPr>
        <w:t>受控</w:t>
      </w:r>
      <w:r w:rsidR="00567251" w:rsidRPr="00EA272E">
        <w:rPr>
          <w:rFonts w:ascii="Times New Roman" w:eastAsia="標楷體" w:hAnsi="Times New Roman"/>
          <w:sz w:val="36"/>
          <w:szCs w:val="40"/>
        </w:rPr>
        <w:t>交易</w:t>
      </w:r>
    </w:p>
    <w:p w:rsidR="00803D2F" w:rsidRDefault="00803D2F" w:rsidP="00BC13CF">
      <w:pPr>
        <w:pStyle w:val="3"/>
        <w:numPr>
          <w:ilvl w:val="0"/>
          <w:numId w:val="69"/>
        </w:numPr>
        <w:spacing w:beforeLines="50" w:before="120" w:afterLines="50" w:after="120" w:line="360" w:lineRule="auto"/>
        <w:jc w:val="both"/>
        <w:rPr>
          <w:rFonts w:ascii="標楷體" w:eastAsia="標楷體" w:hAnsi="標楷體"/>
          <w:sz w:val="32"/>
          <w:szCs w:val="32"/>
        </w:rPr>
      </w:pPr>
      <w:r>
        <w:rPr>
          <w:rFonts w:ascii="標楷體" w:eastAsia="標楷體" w:hAnsi="標楷體" w:hint="eastAsia"/>
          <w:sz w:val="32"/>
          <w:szCs w:val="32"/>
        </w:rPr>
        <w:t>服務之提供</w:t>
      </w:r>
      <w:r w:rsidRPr="002154E4">
        <w:rPr>
          <w:rFonts w:ascii="標楷體" w:eastAsia="標楷體" w:hAnsi="標楷體" w:hint="eastAsia"/>
          <w:sz w:val="32"/>
          <w:szCs w:val="32"/>
        </w:rPr>
        <w:t>－</w:t>
      </w:r>
      <w:r w:rsidRPr="00803D2F">
        <w:rPr>
          <w:rFonts w:ascii="標楷體" w:eastAsia="標楷體" w:hAnsi="標楷體" w:hint="eastAsia"/>
          <w:sz w:val="32"/>
          <w:szCs w:val="32"/>
        </w:rPr>
        <w:t>產品調度、代收付服務</w:t>
      </w:r>
    </w:p>
    <w:p w:rsidR="00803D2F" w:rsidRDefault="00803D2F" w:rsidP="00965AF0">
      <w:pPr>
        <w:spacing w:beforeLines="50" w:before="120" w:afterLines="50" w:after="120" w:line="360" w:lineRule="auto"/>
        <w:ind w:leftChars="200" w:left="480" w:firstLineChars="200" w:firstLine="520"/>
        <w:jc w:val="both"/>
        <w:rPr>
          <w:rFonts w:eastAsia="標楷體"/>
          <w:sz w:val="26"/>
          <w:szCs w:val="26"/>
        </w:rPr>
      </w:pPr>
      <w:r w:rsidRPr="00615653">
        <w:rPr>
          <w:rFonts w:eastAsia="標楷體" w:hint="eastAsia"/>
          <w:sz w:val="26"/>
          <w:szCs w:val="26"/>
        </w:rPr>
        <w:t>太克科技因集團企業</w:t>
      </w:r>
      <w:r>
        <w:rPr>
          <w:rFonts w:eastAsia="標楷體" w:hint="eastAsia"/>
          <w:sz w:val="26"/>
          <w:szCs w:val="26"/>
        </w:rPr>
        <w:t>臨時性需求</w:t>
      </w:r>
      <w:r w:rsidRPr="00615653">
        <w:rPr>
          <w:rFonts w:eastAsia="標楷體" w:hint="eastAsia"/>
          <w:sz w:val="26"/>
          <w:szCs w:val="26"/>
        </w:rPr>
        <w:t>而</w:t>
      </w:r>
      <w:r>
        <w:rPr>
          <w:rFonts w:eastAsia="標楷體" w:hint="eastAsia"/>
          <w:sz w:val="26"/>
          <w:szCs w:val="26"/>
        </w:rPr>
        <w:t>將其現有</w:t>
      </w:r>
      <w:r w:rsidRPr="00615653">
        <w:rPr>
          <w:rFonts w:eastAsia="標楷體" w:hint="eastAsia"/>
          <w:sz w:val="26"/>
          <w:szCs w:val="26"/>
        </w:rPr>
        <w:t>儀器及零件調度予</w:t>
      </w:r>
      <w:r>
        <w:rPr>
          <w:rFonts w:eastAsia="標楷體" w:hint="eastAsia"/>
          <w:sz w:val="26"/>
          <w:szCs w:val="26"/>
        </w:rPr>
        <w:t>關係企業，由於該交易為非經常性活動，且金額相對微小，故不於本報告中個別分析。</w:t>
      </w:r>
    </w:p>
    <w:p w:rsidR="00DC4ACB" w:rsidRDefault="00673F67" w:rsidP="00965AF0">
      <w:pPr>
        <w:spacing w:beforeLines="50" w:before="120" w:afterLines="50" w:after="120" w:line="360" w:lineRule="auto"/>
        <w:jc w:val="both"/>
        <w:rPr>
          <w:rFonts w:eastAsia="標楷體"/>
          <w:sz w:val="26"/>
          <w:szCs w:val="26"/>
        </w:rPr>
      </w:pPr>
      <w:bookmarkStart w:id="43" w:name="_Toc136775348"/>
      <w:r>
        <w:rPr>
          <w:rFonts w:eastAsia="標楷體"/>
          <w:sz w:val="26"/>
          <w:szCs w:val="26"/>
        </w:rPr>
        <w:br w:type="page"/>
      </w:r>
    </w:p>
    <w:p w:rsidR="00B12D41" w:rsidRPr="00EA272E" w:rsidRDefault="00B12D41" w:rsidP="00ED670D">
      <w:pPr>
        <w:pStyle w:val="1"/>
        <w:spacing w:before="0" w:after="0" w:line="360" w:lineRule="auto"/>
        <w:ind w:left="0" w:firstLine="0"/>
        <w:jc w:val="center"/>
        <w:rPr>
          <w:rFonts w:ascii="Times New Roman" w:eastAsia="標楷體" w:hAnsi="Times New Roman"/>
          <w:sz w:val="48"/>
          <w:szCs w:val="48"/>
        </w:rPr>
        <w:sectPr w:rsidR="00B12D41" w:rsidRPr="00EA272E" w:rsidSect="00DD5AB2">
          <w:type w:val="oddPage"/>
          <w:pgSz w:w="11906" w:h="16838" w:code="9"/>
          <w:pgMar w:top="2160" w:right="1440" w:bottom="1814" w:left="1440" w:header="851" w:footer="567" w:gutter="567"/>
          <w:cols w:space="425"/>
          <w:docGrid w:linePitch="360"/>
        </w:sectPr>
      </w:pPr>
    </w:p>
    <w:bookmarkStart w:id="44" w:name="_Toc253154511"/>
    <w:bookmarkStart w:id="45" w:name="_Toc253154579"/>
    <w:bookmarkStart w:id="46" w:name="_Toc272326010"/>
    <w:bookmarkStart w:id="47" w:name="_Toc272326638"/>
    <w:bookmarkStart w:id="48" w:name="_Toc272326817"/>
    <w:bookmarkStart w:id="49" w:name="_Toc275960650"/>
    <w:bookmarkStart w:id="50" w:name="_Toc389223540"/>
    <w:p w:rsidR="007821E9" w:rsidRPr="00EA272E" w:rsidRDefault="00965AF0"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4656" behindDoc="0" locked="0" layoutInCell="1" allowOverlap="1">
                <wp:simplePos x="0" y="0"/>
                <wp:positionH relativeFrom="column">
                  <wp:posOffset>4671060</wp:posOffset>
                </wp:positionH>
                <wp:positionV relativeFrom="paragraph">
                  <wp:posOffset>0</wp:posOffset>
                </wp:positionV>
                <wp:extent cx="720090" cy="720090"/>
                <wp:effectExtent l="13335" t="9525" r="9525" b="13335"/>
                <wp:wrapNone/>
                <wp:docPr id="14"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4864D6" w:rsidRPr="001F43DB" w:rsidRDefault="004864D6"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4" o:spid="_x0000_s1126" type="#_x0000_t202" style="position:absolute;left:0;text-align:left;margin-left:367.8pt;margin-top:0;width:56.7pt;height:56.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">
                <v:textbox>
                  <w:txbxContent>
                    <w:p w:rsidR="004864D6" w:rsidRPr="001F43DB" w:rsidRDefault="004864D6" w:rsidP="001F43DB">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4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IV</w:t>
                      </w:r>
                      <w:r>
                        <w:rPr>
                          <w:rFonts w:ascii="微軟正黑體" w:eastAsia="微軟正黑體" w:hAnsi="微軟正黑體"/>
                          <w:b/>
                          <w:sz w:val="56"/>
                          <w:szCs w:val="52"/>
                        </w:rPr>
                        <w:fldChar w:fldCharType="end"/>
                      </w:r>
                    </w:p>
                  </w:txbxContent>
                </v:textbox>
              </v:shape>
            </w:pict>
          </mc:Fallback>
        </mc:AlternateContent>
      </w:r>
      <w:bookmarkEnd w:id="44"/>
      <w:bookmarkEnd w:id="45"/>
      <w:bookmarkEnd w:id="46"/>
      <w:bookmarkEnd w:id="47"/>
      <w:bookmarkEnd w:id="48"/>
      <w:bookmarkEnd w:id="49"/>
      <w:bookmarkEnd w:id="50"/>
    </w:p>
    <w:p w:rsidR="007821E9" w:rsidRPr="00EA272E" w:rsidRDefault="007821E9" w:rsidP="008E0EB4">
      <w:pPr>
        <w:pStyle w:val="1"/>
        <w:numPr>
          <w:ilvl w:val="0"/>
          <w:numId w:val="0"/>
        </w:numPr>
        <w:spacing w:before="0" w:after="0" w:line="240" w:lineRule="auto"/>
        <w:jc w:val="right"/>
        <w:rPr>
          <w:rFonts w:ascii="Times New Roman" w:eastAsia="標楷體" w:hAnsi="Times New Roman"/>
          <w:noProof/>
          <w:sz w:val="48"/>
          <w:szCs w:val="48"/>
        </w:rPr>
      </w:pPr>
    </w:p>
    <w:p w:rsidR="00567251" w:rsidRPr="00EA272E" w:rsidRDefault="00567251" w:rsidP="007821E9">
      <w:pPr>
        <w:pStyle w:val="1"/>
        <w:spacing w:before="100" w:beforeAutospacing="1" w:after="100" w:afterAutospacing="1" w:line="360" w:lineRule="auto"/>
        <w:ind w:left="0" w:firstLine="0"/>
        <w:jc w:val="right"/>
        <w:rPr>
          <w:rFonts w:ascii="Times New Roman" w:eastAsia="標楷體" w:hAnsi="Times New Roman"/>
          <w:sz w:val="56"/>
          <w:szCs w:val="56"/>
        </w:rPr>
      </w:pPr>
      <w:bookmarkStart w:id="51" w:name="_Toc389223541"/>
      <w:r w:rsidRPr="00EA272E">
        <w:rPr>
          <w:rFonts w:ascii="Times New Roman" w:eastAsia="標楷體" w:hAnsi="Times New Roman"/>
          <w:sz w:val="56"/>
          <w:szCs w:val="56"/>
        </w:rPr>
        <w:t>功能及風險分析</w:t>
      </w:r>
      <w:bookmarkEnd w:id="43"/>
      <w:bookmarkEnd w:id="51"/>
    </w:p>
    <w:p w:rsidR="00DC4ACB" w:rsidRDefault="00767895" w:rsidP="00965AF0">
      <w:pPr>
        <w:spacing w:beforeLines="50" w:before="120" w:afterLines="50" w:after="120" w:line="360" w:lineRule="auto"/>
        <w:ind w:firstLineChars="200" w:firstLine="520"/>
        <w:jc w:val="both"/>
        <w:rPr>
          <w:rFonts w:eastAsia="標楷體"/>
          <w:sz w:val="26"/>
          <w:szCs w:val="26"/>
        </w:rPr>
      </w:pPr>
      <w:r w:rsidRPr="00EA272E">
        <w:rPr>
          <w:rFonts w:eastAsia="標楷體" w:hint="eastAsia"/>
          <w:sz w:val="26"/>
          <w:szCs w:val="26"/>
        </w:rPr>
        <w:t>根據</w:t>
      </w:r>
      <w:r w:rsidR="00567251" w:rsidRPr="00EA272E">
        <w:rPr>
          <w:rFonts w:eastAsia="標楷體"/>
          <w:sz w:val="26"/>
          <w:szCs w:val="26"/>
        </w:rPr>
        <w:t>移轉訂價查核準則第</w:t>
      </w:r>
      <w:r w:rsidR="00567251" w:rsidRPr="00EA272E">
        <w:rPr>
          <w:rFonts w:eastAsia="標楷體"/>
          <w:sz w:val="26"/>
          <w:szCs w:val="26"/>
        </w:rPr>
        <w:t>8</w:t>
      </w:r>
      <w:r w:rsidR="00567251" w:rsidRPr="00EA272E">
        <w:rPr>
          <w:rFonts w:eastAsia="標楷體"/>
          <w:sz w:val="26"/>
          <w:szCs w:val="26"/>
        </w:rPr>
        <w:t>條</w:t>
      </w:r>
      <w:r w:rsidRPr="00EA272E">
        <w:rPr>
          <w:rFonts w:eastAsia="標楷體" w:hint="eastAsia"/>
          <w:sz w:val="26"/>
          <w:szCs w:val="26"/>
        </w:rPr>
        <w:t>第</w:t>
      </w:r>
      <w:r w:rsidRPr="00EA272E">
        <w:rPr>
          <w:rFonts w:eastAsia="標楷體" w:hint="eastAsia"/>
          <w:sz w:val="26"/>
          <w:szCs w:val="26"/>
        </w:rPr>
        <w:t>1</w:t>
      </w:r>
      <w:r w:rsidRPr="00EA272E">
        <w:rPr>
          <w:rFonts w:eastAsia="標楷體" w:hint="eastAsia"/>
          <w:sz w:val="26"/>
          <w:szCs w:val="26"/>
        </w:rPr>
        <w:t>項</w:t>
      </w:r>
      <w:r w:rsidR="00567251" w:rsidRPr="00EA272E">
        <w:rPr>
          <w:rFonts w:eastAsia="標楷體"/>
          <w:sz w:val="26"/>
          <w:szCs w:val="26"/>
        </w:rPr>
        <w:t>規定</w:t>
      </w:r>
      <w:r w:rsidR="00EC2F3B" w:rsidRPr="00EA272E">
        <w:rPr>
          <w:rFonts w:eastAsia="標楷體" w:hint="eastAsia"/>
          <w:sz w:val="26"/>
          <w:szCs w:val="26"/>
        </w:rPr>
        <w:t>，</w:t>
      </w:r>
      <w:r w:rsidR="0097223D" w:rsidRPr="00EA272E">
        <w:rPr>
          <w:rFonts w:eastAsia="標楷體"/>
          <w:sz w:val="26"/>
          <w:szCs w:val="26"/>
        </w:rPr>
        <w:t>決定營利事業與非關係人之情況，或其所從事之受控交易與未受控交易是否相同或類似及其可比較程度時，應考量影響價格或利潤之因素</w:t>
      </w:r>
      <w:r w:rsidR="0097322A" w:rsidRPr="00EA272E">
        <w:rPr>
          <w:rFonts w:eastAsia="標楷體" w:hint="eastAsia"/>
          <w:sz w:val="26"/>
          <w:szCs w:val="26"/>
        </w:rPr>
        <w:t>，</w:t>
      </w:r>
      <w:r w:rsidR="00567251" w:rsidRPr="00EA272E">
        <w:rPr>
          <w:rFonts w:eastAsia="標楷體"/>
          <w:sz w:val="26"/>
          <w:szCs w:val="26"/>
        </w:rPr>
        <w:t>其中第</w:t>
      </w:r>
      <w:r w:rsidR="00567251" w:rsidRPr="00EA272E">
        <w:rPr>
          <w:rFonts w:eastAsia="標楷體"/>
          <w:sz w:val="26"/>
          <w:szCs w:val="26"/>
        </w:rPr>
        <w:t>2</w:t>
      </w:r>
      <w:r w:rsidR="00567251" w:rsidRPr="00EA272E">
        <w:rPr>
          <w:rFonts w:eastAsia="標楷體"/>
          <w:sz w:val="26"/>
          <w:szCs w:val="26"/>
        </w:rPr>
        <w:t>款為執行之功能，第</w:t>
      </w:r>
      <w:r w:rsidR="00567251" w:rsidRPr="00EA272E">
        <w:rPr>
          <w:rFonts w:eastAsia="標楷體"/>
          <w:sz w:val="26"/>
          <w:szCs w:val="26"/>
        </w:rPr>
        <w:t>4</w:t>
      </w:r>
      <w:r w:rsidR="00567251" w:rsidRPr="00EA272E">
        <w:rPr>
          <w:rFonts w:eastAsia="標楷體"/>
          <w:sz w:val="26"/>
          <w:szCs w:val="26"/>
        </w:rPr>
        <w:t>款則為承擔之風險。</w:t>
      </w:r>
      <w:r w:rsidR="00700737" w:rsidRPr="00EA272E">
        <w:rPr>
          <w:rFonts w:eastAsia="標楷體" w:hint="eastAsia"/>
          <w:sz w:val="26"/>
          <w:szCs w:val="26"/>
        </w:rPr>
        <w:t>另</w:t>
      </w:r>
      <w:r w:rsidR="00700737" w:rsidRPr="00EA272E">
        <w:rPr>
          <w:rFonts w:eastAsia="標楷體"/>
          <w:sz w:val="26"/>
          <w:szCs w:val="26"/>
        </w:rPr>
        <w:t>根據國際經濟合作暨發展組織指導準則（以下簡稱『</w:t>
      </w:r>
      <w:r w:rsidR="00700737" w:rsidRPr="00EA272E">
        <w:rPr>
          <w:rFonts w:eastAsia="標楷體"/>
          <w:sz w:val="26"/>
          <w:szCs w:val="26"/>
        </w:rPr>
        <w:t>OECD</w:t>
      </w:r>
      <w:r w:rsidR="00700737" w:rsidRPr="00EA272E">
        <w:rPr>
          <w:rFonts w:eastAsia="標楷體"/>
          <w:sz w:val="26"/>
          <w:szCs w:val="26"/>
        </w:rPr>
        <w:t>指導準則』），受控及未受控交易惟有在「經濟上相關的特性」為可比較時，才可運用未受控交易之結果為基準來調整受控交易之結果。因</w:t>
      </w:r>
      <w:r w:rsidR="0097322A" w:rsidRPr="00EA272E">
        <w:rPr>
          <w:rFonts w:eastAsia="標楷體" w:hint="eastAsia"/>
          <w:sz w:val="26"/>
          <w:szCs w:val="26"/>
        </w:rPr>
        <w:t>此</w:t>
      </w:r>
      <w:r w:rsidR="00700737" w:rsidRPr="00EA272E">
        <w:rPr>
          <w:rFonts w:eastAsia="標楷體"/>
          <w:sz w:val="26"/>
          <w:szCs w:val="26"/>
        </w:rPr>
        <w:t>於決定受控及未受控交易或個體間可互相比較前，需先行比較個體間各自執行之功能及所承擔之風險。</w:t>
      </w:r>
    </w:p>
    <w:p w:rsidR="00DC4ACB" w:rsidRDefault="0097322A"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一般而言，</w:t>
      </w:r>
      <w:r w:rsidR="00700737" w:rsidRPr="00EA272E">
        <w:rPr>
          <w:rFonts w:eastAsia="標楷體" w:hint="eastAsia"/>
          <w:sz w:val="26"/>
          <w:szCs w:val="26"/>
        </w:rPr>
        <w:t>企業執行之功能</w:t>
      </w:r>
      <w:r w:rsidR="00813320" w:rsidRPr="00EA272E">
        <w:rPr>
          <w:rFonts w:eastAsia="標楷體" w:hint="eastAsia"/>
          <w:sz w:val="26"/>
          <w:szCs w:val="26"/>
        </w:rPr>
        <w:t>複雜性</w:t>
      </w:r>
      <w:r w:rsidR="00700737" w:rsidRPr="00EA272E">
        <w:rPr>
          <w:rFonts w:eastAsia="標楷體" w:hint="eastAsia"/>
          <w:sz w:val="26"/>
          <w:szCs w:val="26"/>
        </w:rPr>
        <w:t>應與其承受之風險及所使用之資產相關</w:t>
      </w:r>
      <w:r w:rsidR="00746E5D" w:rsidRPr="00EA272E">
        <w:rPr>
          <w:rFonts w:eastAsia="標楷體" w:hint="eastAsia"/>
          <w:sz w:val="26"/>
          <w:szCs w:val="26"/>
        </w:rPr>
        <w:t>，且影響企業</w:t>
      </w:r>
      <w:r w:rsidR="00700737" w:rsidRPr="00EA272E">
        <w:rPr>
          <w:rFonts w:eastAsia="標楷體" w:hint="eastAsia"/>
          <w:sz w:val="26"/>
          <w:szCs w:val="26"/>
        </w:rPr>
        <w:t>獲利</w:t>
      </w:r>
      <w:r w:rsidR="006A5515" w:rsidRPr="00EA272E">
        <w:rPr>
          <w:rFonts w:eastAsia="標楷體" w:hint="eastAsia"/>
          <w:sz w:val="26"/>
          <w:szCs w:val="26"/>
        </w:rPr>
        <w:t>，亦即</w:t>
      </w:r>
      <w:r w:rsidR="00746E5D" w:rsidRPr="00EA272E">
        <w:rPr>
          <w:rFonts w:eastAsia="標楷體" w:hint="eastAsia"/>
          <w:sz w:val="26"/>
          <w:szCs w:val="26"/>
        </w:rPr>
        <w:t>企業</w:t>
      </w:r>
      <w:r w:rsidR="00567251" w:rsidRPr="00EA272E">
        <w:rPr>
          <w:rFonts w:eastAsia="標楷體"/>
          <w:sz w:val="26"/>
          <w:szCs w:val="26"/>
        </w:rPr>
        <w:t>執行越高難度</w:t>
      </w:r>
      <w:r w:rsidR="00746E5D" w:rsidRPr="00EA272E">
        <w:rPr>
          <w:rFonts w:eastAsia="標楷體" w:hint="eastAsia"/>
          <w:sz w:val="26"/>
          <w:szCs w:val="26"/>
        </w:rPr>
        <w:t>之</w:t>
      </w:r>
      <w:r w:rsidR="00567251" w:rsidRPr="00EA272E">
        <w:rPr>
          <w:rFonts w:eastAsia="標楷體"/>
          <w:sz w:val="26"/>
          <w:szCs w:val="26"/>
        </w:rPr>
        <w:t>功能</w:t>
      </w:r>
      <w:r w:rsidRPr="00EA272E">
        <w:rPr>
          <w:rFonts w:eastAsia="標楷體" w:hint="eastAsia"/>
          <w:sz w:val="26"/>
          <w:szCs w:val="26"/>
        </w:rPr>
        <w:t>，其</w:t>
      </w:r>
      <w:r w:rsidR="00746E5D" w:rsidRPr="00EA272E">
        <w:rPr>
          <w:rFonts w:eastAsia="標楷體" w:hint="eastAsia"/>
          <w:sz w:val="26"/>
          <w:szCs w:val="26"/>
        </w:rPr>
        <w:t>所</w:t>
      </w:r>
      <w:r w:rsidR="00567251" w:rsidRPr="00EA272E">
        <w:rPr>
          <w:rFonts w:eastAsia="標楷體"/>
          <w:sz w:val="26"/>
          <w:szCs w:val="26"/>
        </w:rPr>
        <w:t>承受</w:t>
      </w:r>
      <w:r w:rsidRPr="00EA272E">
        <w:rPr>
          <w:rFonts w:eastAsia="標楷體" w:hint="eastAsia"/>
          <w:sz w:val="26"/>
          <w:szCs w:val="26"/>
        </w:rPr>
        <w:t>之</w:t>
      </w:r>
      <w:r w:rsidR="00567251" w:rsidRPr="00EA272E">
        <w:rPr>
          <w:rFonts w:eastAsia="標楷體"/>
          <w:sz w:val="26"/>
          <w:szCs w:val="26"/>
        </w:rPr>
        <w:t>風險</w:t>
      </w:r>
      <w:r w:rsidRPr="00EA272E">
        <w:rPr>
          <w:rFonts w:eastAsia="標楷體" w:hint="eastAsia"/>
          <w:sz w:val="26"/>
          <w:szCs w:val="26"/>
        </w:rPr>
        <w:t>愈高</w:t>
      </w:r>
      <w:r w:rsidR="00567251" w:rsidRPr="00EA272E">
        <w:rPr>
          <w:rFonts w:eastAsia="標楷體"/>
          <w:sz w:val="26"/>
          <w:szCs w:val="26"/>
        </w:rPr>
        <w:t>，所取得之報酬</w:t>
      </w:r>
      <w:r w:rsidRPr="00EA272E">
        <w:rPr>
          <w:rFonts w:eastAsia="標楷體" w:hint="eastAsia"/>
          <w:sz w:val="26"/>
          <w:szCs w:val="26"/>
        </w:rPr>
        <w:t>亦</w:t>
      </w:r>
      <w:r w:rsidR="00567251" w:rsidRPr="00EA272E">
        <w:rPr>
          <w:rFonts w:eastAsia="標楷體"/>
          <w:sz w:val="26"/>
          <w:szCs w:val="26"/>
        </w:rPr>
        <w:t>應相對為高。</w:t>
      </w:r>
      <w:r w:rsidRPr="00EA272E">
        <w:rPr>
          <w:rFonts w:eastAsia="標楷體"/>
          <w:sz w:val="26"/>
          <w:szCs w:val="26"/>
        </w:rPr>
        <w:t>藉由企業</w:t>
      </w:r>
      <w:r w:rsidRPr="00EA272E">
        <w:rPr>
          <w:rFonts w:eastAsia="標楷體" w:hint="eastAsia"/>
          <w:sz w:val="26"/>
          <w:szCs w:val="26"/>
        </w:rPr>
        <w:t>個</w:t>
      </w:r>
      <w:r w:rsidRPr="00EA272E">
        <w:rPr>
          <w:rFonts w:eastAsia="標楷體"/>
          <w:sz w:val="26"/>
          <w:szCs w:val="26"/>
        </w:rPr>
        <w:t>體間各自存在之特定功能、風險及</w:t>
      </w:r>
      <w:r w:rsidRPr="00EA272E">
        <w:rPr>
          <w:rFonts w:eastAsia="標楷體" w:hint="eastAsia"/>
          <w:sz w:val="26"/>
          <w:szCs w:val="26"/>
        </w:rPr>
        <w:t>所持有之</w:t>
      </w:r>
      <w:r w:rsidRPr="00EA272E">
        <w:rPr>
          <w:rFonts w:eastAsia="標楷體"/>
          <w:sz w:val="26"/>
          <w:szCs w:val="26"/>
        </w:rPr>
        <w:t>無形資產</w:t>
      </w:r>
      <w:r w:rsidRPr="00EA272E">
        <w:rPr>
          <w:rFonts w:eastAsia="標楷體" w:hint="eastAsia"/>
          <w:sz w:val="26"/>
          <w:szCs w:val="26"/>
        </w:rPr>
        <w:t>等</w:t>
      </w:r>
      <w:r w:rsidRPr="00EA272E">
        <w:rPr>
          <w:rFonts w:eastAsia="標楷體"/>
          <w:sz w:val="26"/>
          <w:szCs w:val="26"/>
        </w:rPr>
        <w:t>特徵可得窺公司之樣貌，據此便能：</w:t>
      </w:r>
    </w:p>
    <w:p w:rsidR="0097322A" w:rsidRPr="00EA272E"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A272E">
        <w:rPr>
          <w:rFonts w:eastAsia="標楷體"/>
          <w:sz w:val="26"/>
          <w:szCs w:val="26"/>
        </w:rPr>
        <w:t>找出與關係企業在功能</w:t>
      </w:r>
      <w:r w:rsidRPr="00EA272E">
        <w:rPr>
          <w:rFonts w:eastAsia="標楷體" w:hint="eastAsia"/>
          <w:sz w:val="26"/>
          <w:szCs w:val="26"/>
        </w:rPr>
        <w:t>、</w:t>
      </w:r>
      <w:r w:rsidRPr="00EA272E">
        <w:rPr>
          <w:rFonts w:eastAsia="標楷體"/>
          <w:sz w:val="26"/>
          <w:szCs w:val="26"/>
        </w:rPr>
        <w:t>風險及</w:t>
      </w:r>
      <w:r w:rsidRPr="00EA272E">
        <w:rPr>
          <w:rFonts w:eastAsia="標楷體" w:hint="eastAsia"/>
          <w:sz w:val="26"/>
          <w:szCs w:val="26"/>
        </w:rPr>
        <w:t>所</w:t>
      </w:r>
      <w:r w:rsidRPr="00EA272E">
        <w:rPr>
          <w:rFonts w:eastAsia="標楷體"/>
          <w:sz w:val="26"/>
          <w:szCs w:val="26"/>
        </w:rPr>
        <w:t>持有無形資產上非常相似之非關係企業或交易；</w:t>
      </w:r>
    </w:p>
    <w:p w:rsidR="0097322A" w:rsidRPr="00EA272E"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A272E">
        <w:rPr>
          <w:rFonts w:eastAsia="標楷體"/>
          <w:sz w:val="26"/>
          <w:szCs w:val="26"/>
        </w:rPr>
        <w:t>分辨何為評估</w:t>
      </w:r>
      <w:r w:rsidRPr="00EA272E">
        <w:rPr>
          <w:rFonts w:eastAsia="標楷體" w:hint="eastAsia"/>
          <w:sz w:val="26"/>
          <w:szCs w:val="26"/>
        </w:rPr>
        <w:t>受控</w:t>
      </w:r>
      <w:r w:rsidRPr="00EA272E">
        <w:rPr>
          <w:rFonts w:eastAsia="標楷體"/>
          <w:sz w:val="26"/>
          <w:szCs w:val="26"/>
        </w:rPr>
        <w:t>交易是否屬常規</w:t>
      </w:r>
      <w:r w:rsidRPr="00EA272E">
        <w:rPr>
          <w:rFonts w:eastAsia="標楷體" w:hint="eastAsia"/>
          <w:sz w:val="26"/>
          <w:szCs w:val="26"/>
        </w:rPr>
        <w:t>交易</w:t>
      </w:r>
      <w:r w:rsidRPr="00EA272E">
        <w:rPr>
          <w:rFonts w:eastAsia="標楷體"/>
          <w:sz w:val="26"/>
          <w:szCs w:val="26"/>
        </w:rPr>
        <w:t>之最</w:t>
      </w:r>
      <w:r w:rsidRPr="00EA272E">
        <w:rPr>
          <w:rFonts w:eastAsia="標楷體" w:hint="eastAsia"/>
          <w:sz w:val="26"/>
          <w:szCs w:val="26"/>
        </w:rPr>
        <w:t>適</w:t>
      </w:r>
      <w:r w:rsidRPr="00EA272E">
        <w:rPr>
          <w:rFonts w:eastAsia="標楷體"/>
          <w:sz w:val="26"/>
          <w:szCs w:val="26"/>
        </w:rPr>
        <w:t>方法；</w:t>
      </w:r>
    </w:p>
    <w:p w:rsidR="0097322A" w:rsidRPr="00EA272E" w:rsidRDefault="0097322A" w:rsidP="00FC1E0C">
      <w:pPr>
        <w:numPr>
          <w:ilvl w:val="0"/>
          <w:numId w:val="3"/>
        </w:numPr>
        <w:tabs>
          <w:tab w:val="clear" w:pos="840"/>
        </w:tabs>
        <w:spacing w:before="50" w:after="50" w:line="360" w:lineRule="auto"/>
        <w:ind w:leftChars="217" w:left="854" w:hangingChars="128" w:hanging="333"/>
        <w:jc w:val="both"/>
        <w:rPr>
          <w:rFonts w:eastAsia="標楷體"/>
          <w:sz w:val="26"/>
          <w:szCs w:val="26"/>
        </w:rPr>
      </w:pPr>
      <w:r w:rsidRPr="00EA272E">
        <w:rPr>
          <w:rFonts w:eastAsia="標楷體"/>
          <w:sz w:val="26"/>
          <w:szCs w:val="26"/>
        </w:rPr>
        <w:t>決定符合常規交易之移轉訂價為何。</w:t>
      </w:r>
    </w:p>
    <w:p w:rsidR="00DC4ACB" w:rsidRDefault="001A58BF" w:rsidP="00965AF0">
      <w:pPr>
        <w:spacing w:beforeLines="50" w:before="120" w:afterLines="50" w:after="120" w:line="360" w:lineRule="auto"/>
        <w:ind w:firstLineChars="200" w:firstLine="520"/>
        <w:jc w:val="both"/>
        <w:rPr>
          <w:rFonts w:eastAsia="標楷體"/>
          <w:sz w:val="26"/>
          <w:szCs w:val="26"/>
        </w:rPr>
      </w:pPr>
      <w:r w:rsidRPr="009E190E">
        <w:rPr>
          <w:rFonts w:eastAsia="標楷體"/>
          <w:sz w:val="26"/>
          <w:szCs w:val="26"/>
        </w:rPr>
        <w:t>本</w:t>
      </w:r>
      <w:r w:rsidRPr="009E190E">
        <w:rPr>
          <w:rFonts w:eastAsia="標楷體" w:hint="eastAsia"/>
          <w:sz w:val="26"/>
          <w:szCs w:val="26"/>
        </w:rPr>
        <w:t>章</w:t>
      </w:r>
      <w:r w:rsidRPr="009E190E">
        <w:rPr>
          <w:rFonts w:eastAsia="標楷體"/>
          <w:sz w:val="26"/>
          <w:szCs w:val="26"/>
        </w:rPr>
        <w:t>將</w:t>
      </w:r>
      <w:r w:rsidRPr="009E190E">
        <w:rPr>
          <w:rFonts w:eastAsia="標楷體" w:hint="eastAsia"/>
          <w:sz w:val="26"/>
          <w:szCs w:val="26"/>
        </w:rPr>
        <w:t>針對本報告中所涵蓋之受控交易，</w:t>
      </w:r>
      <w:r w:rsidRPr="009E190E">
        <w:rPr>
          <w:rFonts w:eastAsia="標楷體"/>
          <w:sz w:val="26"/>
          <w:szCs w:val="26"/>
        </w:rPr>
        <w:t>對</w:t>
      </w:r>
      <w:r w:rsidR="00BA7C8C" w:rsidRPr="009E190E">
        <w:rPr>
          <w:rFonts w:eastAsia="標楷體" w:hint="eastAsia"/>
          <w:sz w:val="26"/>
          <w:szCs w:val="26"/>
        </w:rPr>
        <w:t>太克科技</w:t>
      </w:r>
      <w:r w:rsidRPr="009E190E">
        <w:rPr>
          <w:rFonts w:eastAsia="標楷體" w:hint="eastAsia"/>
          <w:sz w:val="26"/>
          <w:szCs w:val="26"/>
        </w:rPr>
        <w:t>與其他受控交易參</w:t>
      </w:r>
      <w:r w:rsidRPr="00EA272E">
        <w:rPr>
          <w:rFonts w:eastAsia="標楷體" w:hint="eastAsia"/>
          <w:sz w:val="26"/>
          <w:szCs w:val="26"/>
        </w:rPr>
        <w:t>與人</w:t>
      </w:r>
      <w:r w:rsidRPr="00EA272E">
        <w:rPr>
          <w:rFonts w:eastAsia="標楷體"/>
          <w:sz w:val="26"/>
          <w:szCs w:val="26"/>
        </w:rPr>
        <w:t>執行之功能</w:t>
      </w:r>
      <w:r w:rsidRPr="00EA272E">
        <w:rPr>
          <w:rFonts w:eastAsia="標楷體" w:hint="eastAsia"/>
          <w:sz w:val="26"/>
          <w:szCs w:val="26"/>
        </w:rPr>
        <w:t>及</w:t>
      </w:r>
      <w:r w:rsidRPr="00EA272E">
        <w:rPr>
          <w:rFonts w:eastAsia="標楷體"/>
          <w:sz w:val="26"/>
          <w:szCs w:val="26"/>
        </w:rPr>
        <w:t>承擔之風險作詳細說明。</w:t>
      </w:r>
    </w:p>
    <w:p w:rsidR="00DC4ACB" w:rsidRDefault="00567251" w:rsidP="00965AF0">
      <w:pPr>
        <w:pStyle w:val="2"/>
        <w:numPr>
          <w:ilvl w:val="1"/>
          <w:numId w:val="18"/>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lastRenderedPageBreak/>
        <w:t>功能分析</w:t>
      </w:r>
    </w:p>
    <w:p w:rsidR="00DC4ACB" w:rsidRDefault="00567251" w:rsidP="00965AF0">
      <w:pPr>
        <w:pStyle w:val="3"/>
        <w:numPr>
          <w:ilvl w:val="0"/>
          <w:numId w:val="19"/>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功能定義及說明</w:t>
      </w:r>
    </w:p>
    <w:p w:rsidR="00DC4ACB" w:rsidRDefault="0056725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bCs/>
          <w:iCs/>
          <w:sz w:val="26"/>
          <w:szCs w:val="26"/>
        </w:rPr>
        <w:t>根據</w:t>
      </w: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2</w:t>
      </w:r>
      <w:r w:rsidRPr="00EA272E">
        <w:rPr>
          <w:rFonts w:eastAsia="標楷體"/>
          <w:sz w:val="26"/>
          <w:szCs w:val="26"/>
        </w:rPr>
        <w:t>款規定，所謂執行之功</w:t>
      </w:r>
      <w:r w:rsidRPr="009E190E">
        <w:rPr>
          <w:rFonts w:eastAsia="標楷體"/>
          <w:sz w:val="26"/>
          <w:szCs w:val="26"/>
        </w:rPr>
        <w:t>能，包括七項。以下按該條款對所執行功能之定義、本所訪談紀錄及</w:t>
      </w:r>
      <w:r w:rsidR="00BA7C8C" w:rsidRPr="009E190E">
        <w:rPr>
          <w:rFonts w:eastAsia="標楷體" w:hint="eastAsia"/>
          <w:sz w:val="26"/>
          <w:szCs w:val="26"/>
        </w:rPr>
        <w:t>太克科技</w:t>
      </w:r>
      <w:r w:rsidRPr="009E190E">
        <w:rPr>
          <w:rFonts w:eastAsia="標楷體"/>
          <w:sz w:val="26"/>
          <w:szCs w:val="26"/>
        </w:rPr>
        <w:t>所提供之文據，對</w:t>
      </w:r>
      <w:r w:rsidR="00BA7C8C" w:rsidRPr="009E190E">
        <w:rPr>
          <w:rFonts w:eastAsia="標楷體" w:hint="eastAsia"/>
          <w:sz w:val="26"/>
          <w:szCs w:val="26"/>
        </w:rPr>
        <w:t>太克科技</w:t>
      </w:r>
      <w:r w:rsidRPr="009E190E">
        <w:rPr>
          <w:rFonts w:eastAsia="標楷體"/>
          <w:sz w:val="26"/>
          <w:szCs w:val="26"/>
        </w:rPr>
        <w:t>與</w:t>
      </w:r>
      <w:r w:rsidR="00D04639" w:rsidRPr="009E190E">
        <w:rPr>
          <w:rFonts w:eastAsia="標楷體" w:hint="eastAsia"/>
          <w:sz w:val="26"/>
          <w:szCs w:val="26"/>
        </w:rPr>
        <w:t>其</w:t>
      </w:r>
      <w:r w:rsidR="00830C07" w:rsidRPr="009E190E">
        <w:rPr>
          <w:rFonts w:eastAsia="標楷體"/>
          <w:sz w:val="26"/>
          <w:szCs w:val="26"/>
        </w:rPr>
        <w:t>受控交易參與人</w:t>
      </w:r>
      <w:r w:rsidRPr="009E190E">
        <w:rPr>
          <w:rFonts w:eastAsia="標楷體"/>
          <w:sz w:val="26"/>
          <w:szCs w:val="26"/>
        </w:rPr>
        <w:t>執行之功能進行</w:t>
      </w:r>
      <w:r w:rsidRPr="00EA272E">
        <w:rPr>
          <w:rFonts w:eastAsia="標楷體"/>
          <w:sz w:val="26"/>
          <w:szCs w:val="26"/>
        </w:rPr>
        <w:t>分析。</w:t>
      </w:r>
    </w:p>
    <w:p w:rsidR="00DC4ACB" w:rsidRDefault="00567251" w:rsidP="00965AF0">
      <w:pPr>
        <w:pStyle w:val="3"/>
        <w:numPr>
          <w:ilvl w:val="0"/>
          <w:numId w:val="19"/>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受</w:t>
      </w:r>
      <w:r w:rsidR="00F20EDA">
        <w:rPr>
          <w:rFonts w:ascii="Times New Roman" w:eastAsia="標楷體" w:hAnsi="Times New Roman" w:hint="eastAsia"/>
          <w:sz w:val="32"/>
        </w:rPr>
        <w:t>控交易參與人執行之功能</w:t>
      </w:r>
    </w:p>
    <w:p w:rsidR="00DC4ACB" w:rsidRDefault="00F20EDA" w:rsidP="00965AF0">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研究與發展</w:t>
      </w:r>
    </w:p>
    <w:p w:rsidR="00DC4ACB"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如企業組織設有研發單位或實際上有針對可預期獲得高價值之產品，投入大量人力物力資源，以進行產品創新或製程發展之行為。</w:t>
      </w:r>
    </w:p>
    <w:tbl>
      <w:tblPr>
        <w:tblW w:w="7979"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0"/>
        <w:gridCol w:w="5829"/>
      </w:tblGrid>
      <w:tr w:rsidR="00ED04CE" w:rsidRPr="006D645B" w:rsidTr="00ED04CE">
        <w:trPr>
          <w:tblHeader/>
        </w:trPr>
        <w:tc>
          <w:tcPr>
            <w:tcW w:w="2150" w:type="dxa"/>
            <w:tcBorders>
              <w:bottom w:val="single" w:sz="4" w:space="0" w:color="000000"/>
            </w:tcBorders>
            <w:shd w:val="clear" w:color="auto" w:fill="4F81BD"/>
            <w:vAlign w:val="center"/>
          </w:tcPr>
          <w:p w:rsidR="00DC4ACB"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受控交易參與人</w:t>
            </w:r>
          </w:p>
        </w:tc>
        <w:tc>
          <w:tcPr>
            <w:tcW w:w="5829" w:type="dxa"/>
            <w:tcBorders>
              <w:bottom w:val="single" w:sz="4" w:space="0" w:color="000000"/>
            </w:tcBorders>
            <w:shd w:val="clear" w:color="auto" w:fill="4F81BD"/>
            <w:vAlign w:val="center"/>
          </w:tcPr>
          <w:p w:rsidR="00DC4ACB"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研究與發展功能</w:t>
            </w:r>
          </w:p>
        </w:tc>
      </w:tr>
      <w:tr w:rsidR="00ED04CE"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cs="Times New Roman" w:hint="eastAsia"/>
                <w:sz w:val="26"/>
                <w:szCs w:val="26"/>
              </w:rPr>
              <w:t>太克科技</w:t>
            </w:r>
          </w:p>
        </w:tc>
        <w:tc>
          <w:tcPr>
            <w:tcW w:w="5829" w:type="dxa"/>
            <w:vMerge w:val="restart"/>
            <w:tcBorders>
              <w:top w:val="single" w:sz="4" w:space="0" w:color="auto"/>
            </w:tcBorders>
            <w:vAlign w:val="center"/>
          </w:tcPr>
          <w:p w:rsidR="00ED04CE" w:rsidRPr="006D645B" w:rsidRDefault="00DC4ACB" w:rsidP="00965AF0">
            <w:pPr>
              <w:pStyle w:val="cjk"/>
              <w:widowControl w:val="0"/>
              <w:spacing w:beforeLines="25" w:before="60" w:afterLines="25" w:after="60"/>
              <w:jc w:val="both"/>
              <w:rPr>
                <w:rFonts w:ascii="Times New Roman" w:hAnsi="Times New Roman" w:cs="Times New Roman"/>
                <w:color w:val="auto"/>
                <w:sz w:val="26"/>
                <w:szCs w:val="26"/>
              </w:rPr>
            </w:pPr>
            <w:r w:rsidRPr="00DC4ACB">
              <w:rPr>
                <w:rFonts w:ascii="Times New Roman" w:cs="Times New Roman" w:hint="eastAsia"/>
                <w:sz w:val="26"/>
                <w:szCs w:val="26"/>
              </w:rPr>
              <w:t>從事電子量測儀器買賣，並無執行產品研究與發展功能。</w:t>
            </w:r>
          </w:p>
        </w:tc>
      </w:tr>
      <w:tr w:rsidR="00ED04CE"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TIS</w:t>
            </w:r>
          </w:p>
        </w:tc>
        <w:tc>
          <w:tcPr>
            <w:tcW w:w="5829" w:type="dxa"/>
            <w:vMerge/>
            <w:vAlign w:val="center"/>
          </w:tcPr>
          <w:p w:rsidR="00DC4ACB" w:rsidRPr="00DC4ACB" w:rsidRDefault="00DC4ACB" w:rsidP="00965AF0">
            <w:pPr>
              <w:pStyle w:val="cjk"/>
              <w:widowControl w:val="0"/>
              <w:spacing w:beforeLines="25" w:before="60" w:afterLines="25" w:after="60"/>
              <w:jc w:val="both"/>
              <w:rPr>
                <w:rFonts w:ascii="Times New Roman" w:hAnsi="Times New Roman" w:cs="Times New Roman"/>
                <w:sz w:val="26"/>
                <w:szCs w:val="26"/>
              </w:rPr>
            </w:pPr>
          </w:p>
        </w:tc>
      </w:tr>
      <w:tr w:rsidR="00ED04CE"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hAnsi="Times New Roman" w:cs="Times New Roman"/>
                <w:sz w:val="26"/>
                <w:szCs w:val="26"/>
              </w:rPr>
              <w:t>TCT</w:t>
            </w:r>
          </w:p>
        </w:tc>
        <w:tc>
          <w:tcPr>
            <w:tcW w:w="5829" w:type="dxa"/>
            <w:vMerge/>
            <w:vAlign w:val="center"/>
          </w:tcPr>
          <w:p w:rsidR="00DC4ACB" w:rsidRDefault="00DC4ACB" w:rsidP="00965AF0">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ED04CE" w:rsidRPr="006D645B" w:rsidTr="000A7150">
        <w:trPr>
          <w:trHeight w:val="458"/>
        </w:trPr>
        <w:tc>
          <w:tcPr>
            <w:tcW w:w="2150" w:type="dxa"/>
            <w:vAlign w:val="center"/>
          </w:tcPr>
          <w:p w:rsidR="00DC4ACB" w:rsidRDefault="004864D6" w:rsidP="004864D6">
            <w:pPr>
              <w:spacing w:line="0" w:lineRule="atLeast"/>
              <w:jc w:val="center"/>
              <w:rPr>
                <w:sz w:val="26"/>
                <w:szCs w:val="26"/>
              </w:rPr>
            </w:pPr>
            <w:r>
              <w:rPr>
                <w:rFonts w:eastAsia="標楷體"/>
                <w:bCs/>
                <w:kern w:val="0"/>
                <w:sz w:val="26"/>
                <w:szCs w:val="26"/>
              </w:rPr>
              <w:t>Fluke SEA</w:t>
            </w:r>
          </w:p>
        </w:tc>
        <w:tc>
          <w:tcPr>
            <w:tcW w:w="5829" w:type="dxa"/>
            <w:vMerge/>
            <w:vAlign w:val="center"/>
          </w:tcPr>
          <w:p w:rsidR="00DC4ACB" w:rsidRPr="00DC4ACB"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D04CE"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bCs/>
                <w:kern w:val="0"/>
                <w:sz w:val="26"/>
                <w:szCs w:val="26"/>
              </w:rPr>
              <w:t>SEA</w:t>
            </w:r>
          </w:p>
        </w:tc>
        <w:tc>
          <w:tcPr>
            <w:tcW w:w="5829" w:type="dxa"/>
            <w:vMerge/>
            <w:vAlign w:val="center"/>
          </w:tcPr>
          <w:p w:rsidR="00DC4ACB" w:rsidRPr="00DC4ACB"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D04CE"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sz w:val="26"/>
                <w:szCs w:val="26"/>
              </w:rPr>
              <w:t>TII</w:t>
            </w:r>
          </w:p>
        </w:tc>
        <w:tc>
          <w:tcPr>
            <w:tcW w:w="5829" w:type="dxa"/>
            <w:vMerge/>
            <w:vAlign w:val="center"/>
          </w:tcPr>
          <w:p w:rsidR="00DC4ACB" w:rsidRPr="00DC4ACB"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D04CE" w:rsidRPr="006D645B" w:rsidTr="00ED04CE">
        <w:trPr>
          <w:trHeight w:val="562"/>
        </w:trPr>
        <w:tc>
          <w:tcPr>
            <w:tcW w:w="2150" w:type="dxa"/>
            <w:vAlign w:val="center"/>
          </w:tcPr>
          <w:p w:rsidR="00ED04CE" w:rsidRPr="006D645B" w:rsidRDefault="00F20EDA" w:rsidP="00ED04CE">
            <w:pPr>
              <w:spacing w:before="60" w:after="60" w:line="0" w:lineRule="atLeast"/>
              <w:jc w:val="center"/>
              <w:rPr>
                <w:sz w:val="26"/>
                <w:szCs w:val="26"/>
              </w:rPr>
            </w:pPr>
            <w:r>
              <w:rPr>
                <w:rFonts w:eastAsia="標楷體" w:hint="eastAsia"/>
                <w:sz w:val="26"/>
                <w:szCs w:val="26"/>
              </w:rPr>
              <w:t>母公司</w:t>
            </w:r>
          </w:p>
        </w:tc>
        <w:tc>
          <w:tcPr>
            <w:tcW w:w="5829" w:type="dxa"/>
            <w:vAlign w:val="center"/>
          </w:tcPr>
          <w:p w:rsidR="00ED04CE" w:rsidRPr="006D645B"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r w:rsidRPr="00DC4ACB">
              <w:rPr>
                <w:rFonts w:ascii="Times New Roman" w:cs="Times New Roman" w:hint="eastAsia"/>
                <w:sz w:val="26"/>
                <w:szCs w:val="26"/>
              </w:rPr>
              <w:t>主導及負責策劃與執行電子量測儀器產品研發，所有研發成果由母公司擁有，並負擔相關研發費用，故母公司執行研究與發展功能。</w:t>
            </w:r>
          </w:p>
        </w:tc>
      </w:tr>
    </w:tbl>
    <w:p w:rsidR="00DC4ACB" w:rsidRDefault="00F20EDA" w:rsidP="00965AF0">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產品設計</w:t>
      </w:r>
    </w:p>
    <w:p w:rsidR="00DC4ACB"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如產品透過設計改良及加強現有產品之性能、便利性或美觀度等行為。</w:t>
      </w:r>
    </w:p>
    <w:tbl>
      <w:tblPr>
        <w:tblW w:w="7979"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0"/>
        <w:gridCol w:w="5829"/>
      </w:tblGrid>
      <w:tr w:rsidR="00ED04CE" w:rsidRPr="006D645B" w:rsidTr="00ED04CE">
        <w:trPr>
          <w:tblHeader/>
        </w:trPr>
        <w:tc>
          <w:tcPr>
            <w:tcW w:w="2150" w:type="dxa"/>
            <w:tcBorders>
              <w:bottom w:val="single" w:sz="4" w:space="0" w:color="000000"/>
            </w:tcBorders>
            <w:shd w:val="clear" w:color="auto" w:fill="4F81BD"/>
            <w:vAlign w:val="center"/>
          </w:tcPr>
          <w:p w:rsidR="00DC4ACB"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lastRenderedPageBreak/>
              <w:t>受控交易參與人</w:t>
            </w:r>
          </w:p>
        </w:tc>
        <w:tc>
          <w:tcPr>
            <w:tcW w:w="5829" w:type="dxa"/>
            <w:tcBorders>
              <w:bottom w:val="single" w:sz="4" w:space="0" w:color="000000"/>
            </w:tcBorders>
            <w:shd w:val="clear" w:color="auto" w:fill="4F81BD"/>
            <w:vAlign w:val="center"/>
          </w:tcPr>
          <w:p w:rsidR="00DC4ACB"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產品設計功能</w:t>
            </w:r>
          </w:p>
        </w:tc>
      </w:tr>
      <w:tr w:rsidR="00ED04CE"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cs="Times New Roman" w:hint="eastAsia"/>
                <w:sz w:val="26"/>
                <w:szCs w:val="26"/>
              </w:rPr>
              <w:t>太克科技</w:t>
            </w:r>
          </w:p>
        </w:tc>
        <w:tc>
          <w:tcPr>
            <w:tcW w:w="5829" w:type="dxa"/>
            <w:vMerge w:val="restart"/>
            <w:tcBorders>
              <w:top w:val="single" w:sz="4" w:space="0" w:color="auto"/>
            </w:tcBorders>
            <w:vAlign w:val="center"/>
          </w:tcPr>
          <w:p w:rsidR="00DC4ACB" w:rsidRDefault="00F20EDA" w:rsidP="00965AF0">
            <w:pPr>
              <w:pStyle w:val="cjk"/>
              <w:widowControl w:val="0"/>
              <w:spacing w:beforeLines="25" w:before="60" w:afterLines="25" w:after="60"/>
              <w:jc w:val="both"/>
              <w:rPr>
                <w:rFonts w:ascii="Times New Roman" w:hAnsi="Times New Roman" w:cs="Times New Roman"/>
                <w:color w:val="auto"/>
                <w:sz w:val="26"/>
                <w:szCs w:val="26"/>
              </w:rPr>
            </w:pPr>
            <w:r>
              <w:rPr>
                <w:rFonts w:ascii="Times New Roman" w:hAnsi="Times New Roman" w:cs="Times New Roman" w:hint="eastAsia"/>
                <w:color w:val="auto"/>
                <w:sz w:val="26"/>
                <w:szCs w:val="26"/>
              </w:rPr>
              <w:t>從事電子量測儀器買賣，並無執行產品設計之功能。</w:t>
            </w:r>
          </w:p>
        </w:tc>
      </w:tr>
      <w:tr w:rsidR="00ED04CE"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TIS</w:t>
            </w:r>
          </w:p>
        </w:tc>
        <w:tc>
          <w:tcPr>
            <w:tcW w:w="5829" w:type="dxa"/>
            <w:vMerge/>
            <w:vAlign w:val="center"/>
          </w:tcPr>
          <w:p w:rsidR="00DC4ACB" w:rsidRPr="00DC4ACB" w:rsidRDefault="00DC4ACB" w:rsidP="00965AF0">
            <w:pPr>
              <w:pStyle w:val="cjk"/>
              <w:widowControl w:val="0"/>
              <w:spacing w:beforeLines="25" w:before="60" w:afterLines="25" w:after="60"/>
              <w:jc w:val="both"/>
              <w:rPr>
                <w:rFonts w:ascii="Times New Roman" w:hAnsi="Times New Roman" w:cs="Times New Roman"/>
                <w:sz w:val="26"/>
                <w:szCs w:val="26"/>
              </w:rPr>
            </w:pPr>
          </w:p>
        </w:tc>
      </w:tr>
      <w:tr w:rsidR="00ED04CE"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hAnsi="Times New Roman" w:cs="Times New Roman"/>
                <w:sz w:val="26"/>
                <w:szCs w:val="26"/>
              </w:rPr>
              <w:t>TCT</w:t>
            </w:r>
          </w:p>
        </w:tc>
        <w:tc>
          <w:tcPr>
            <w:tcW w:w="5829" w:type="dxa"/>
            <w:vMerge/>
            <w:vAlign w:val="center"/>
          </w:tcPr>
          <w:p w:rsidR="00DC4ACB" w:rsidRDefault="00DC4ACB" w:rsidP="00965AF0">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ED04CE" w:rsidRPr="006D645B" w:rsidTr="000A7150">
        <w:trPr>
          <w:trHeight w:val="458"/>
        </w:trPr>
        <w:tc>
          <w:tcPr>
            <w:tcW w:w="2150" w:type="dxa"/>
            <w:vAlign w:val="center"/>
          </w:tcPr>
          <w:p w:rsidR="00DC4ACB" w:rsidRDefault="004864D6" w:rsidP="00DC4ACB">
            <w:pPr>
              <w:spacing w:line="0" w:lineRule="atLeast"/>
              <w:jc w:val="center"/>
              <w:rPr>
                <w:sz w:val="26"/>
                <w:szCs w:val="26"/>
              </w:rPr>
            </w:pPr>
            <w:r>
              <w:rPr>
                <w:rFonts w:eastAsia="標楷體"/>
                <w:bCs/>
                <w:kern w:val="0"/>
                <w:sz w:val="26"/>
                <w:szCs w:val="26"/>
              </w:rPr>
              <w:t>Fluke SEA</w:t>
            </w:r>
          </w:p>
        </w:tc>
        <w:tc>
          <w:tcPr>
            <w:tcW w:w="5829" w:type="dxa"/>
            <w:vMerge/>
            <w:vAlign w:val="center"/>
          </w:tcPr>
          <w:p w:rsidR="00DC4ACB" w:rsidRPr="00DC4ACB"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D04CE"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bCs/>
                <w:kern w:val="0"/>
                <w:sz w:val="26"/>
                <w:szCs w:val="26"/>
              </w:rPr>
              <w:t>SEA</w:t>
            </w:r>
          </w:p>
        </w:tc>
        <w:tc>
          <w:tcPr>
            <w:tcW w:w="5829" w:type="dxa"/>
            <w:vMerge/>
            <w:vAlign w:val="center"/>
          </w:tcPr>
          <w:p w:rsidR="00DC4ACB" w:rsidRPr="00DC4ACB"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D04CE"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sz w:val="26"/>
                <w:szCs w:val="26"/>
              </w:rPr>
              <w:t>TII</w:t>
            </w:r>
          </w:p>
        </w:tc>
        <w:tc>
          <w:tcPr>
            <w:tcW w:w="5829" w:type="dxa"/>
            <w:vMerge/>
            <w:vAlign w:val="center"/>
          </w:tcPr>
          <w:p w:rsidR="00DC4ACB" w:rsidRPr="00DC4ACB"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D04CE" w:rsidRPr="006D645B" w:rsidTr="00ED04CE">
        <w:trPr>
          <w:trHeight w:val="562"/>
        </w:trPr>
        <w:tc>
          <w:tcPr>
            <w:tcW w:w="2150" w:type="dxa"/>
            <w:vAlign w:val="center"/>
          </w:tcPr>
          <w:p w:rsidR="00ED04CE" w:rsidRPr="006D645B" w:rsidRDefault="00F20EDA" w:rsidP="00ED04CE">
            <w:pPr>
              <w:spacing w:before="60" w:after="60" w:line="0" w:lineRule="atLeast"/>
              <w:jc w:val="center"/>
              <w:rPr>
                <w:sz w:val="26"/>
                <w:szCs w:val="26"/>
              </w:rPr>
            </w:pPr>
            <w:r>
              <w:rPr>
                <w:rFonts w:eastAsia="標楷體" w:hint="eastAsia"/>
                <w:sz w:val="26"/>
                <w:szCs w:val="26"/>
              </w:rPr>
              <w:t>母公司</w:t>
            </w:r>
          </w:p>
        </w:tc>
        <w:tc>
          <w:tcPr>
            <w:tcW w:w="5829" w:type="dxa"/>
            <w:vAlign w:val="center"/>
          </w:tcPr>
          <w:p w:rsidR="00DC4ACB" w:rsidRPr="00DC4ACB"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r w:rsidRPr="00DC4ACB">
              <w:rPr>
                <w:rFonts w:ascii="Times New Roman" w:cs="Times New Roman" w:hint="eastAsia"/>
                <w:sz w:val="26"/>
                <w:szCs w:val="26"/>
              </w:rPr>
              <w:t>面對高科技產業不斷進步，需設計出符合需求之量測儀器，故執行產品設計功能。</w:t>
            </w:r>
          </w:p>
        </w:tc>
      </w:tr>
    </w:tbl>
    <w:p w:rsidR="00DC4ACB" w:rsidRDefault="00F20EDA" w:rsidP="00965AF0">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採購及原物料管理</w:t>
      </w:r>
    </w:p>
    <w:p w:rsidR="00DC4ACB"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如企業本身執行購買商品或原物料之行為，並置有倉庫存放及管理等情形。</w:t>
      </w:r>
    </w:p>
    <w:tbl>
      <w:tblPr>
        <w:tblW w:w="7979"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0"/>
        <w:gridCol w:w="5829"/>
      </w:tblGrid>
      <w:tr w:rsidR="00ED04CE" w:rsidRPr="006D645B" w:rsidTr="001A132B">
        <w:trPr>
          <w:tblHeader/>
        </w:trPr>
        <w:tc>
          <w:tcPr>
            <w:tcW w:w="2150" w:type="dxa"/>
            <w:tcBorders>
              <w:bottom w:val="single" w:sz="4" w:space="0" w:color="000000"/>
            </w:tcBorders>
            <w:shd w:val="clear" w:color="auto" w:fill="4F81BD"/>
            <w:vAlign w:val="center"/>
          </w:tcPr>
          <w:p w:rsidR="00DC4ACB"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受控交易參與人</w:t>
            </w:r>
          </w:p>
        </w:tc>
        <w:tc>
          <w:tcPr>
            <w:tcW w:w="5829" w:type="dxa"/>
            <w:tcBorders>
              <w:bottom w:val="single" w:sz="4" w:space="0" w:color="000000"/>
            </w:tcBorders>
            <w:shd w:val="clear" w:color="auto" w:fill="4F81BD"/>
            <w:vAlign w:val="center"/>
          </w:tcPr>
          <w:p w:rsidR="00DC4ACB"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採購及原物料管理功能</w:t>
            </w:r>
          </w:p>
        </w:tc>
      </w:tr>
      <w:tr w:rsidR="00ED04CE"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cs="Times New Roman" w:hint="eastAsia"/>
                <w:sz w:val="26"/>
                <w:szCs w:val="26"/>
              </w:rPr>
              <w:t>太克科技</w:t>
            </w:r>
          </w:p>
        </w:tc>
        <w:tc>
          <w:tcPr>
            <w:tcW w:w="5829" w:type="dxa"/>
            <w:vMerge w:val="restart"/>
            <w:tcBorders>
              <w:top w:val="single" w:sz="4" w:space="0" w:color="auto"/>
            </w:tcBorders>
            <w:vAlign w:val="center"/>
          </w:tcPr>
          <w:p w:rsidR="00ED04CE" w:rsidRPr="006D645B" w:rsidRDefault="00DC4ACB" w:rsidP="00965AF0">
            <w:pPr>
              <w:pStyle w:val="cjk"/>
              <w:widowControl w:val="0"/>
              <w:spacing w:beforeLines="25" w:before="60" w:afterLines="25" w:after="60"/>
              <w:jc w:val="both"/>
              <w:rPr>
                <w:rFonts w:ascii="Times New Roman" w:hAnsi="Times New Roman" w:cs="Times New Roman"/>
                <w:color w:val="auto"/>
                <w:sz w:val="26"/>
                <w:szCs w:val="26"/>
              </w:rPr>
            </w:pPr>
            <w:r w:rsidRPr="00DC4ACB">
              <w:rPr>
                <w:rFonts w:ascii="Times New Roman" w:cs="Times New Roman" w:hint="eastAsia"/>
                <w:sz w:val="26"/>
                <w:szCs w:val="26"/>
              </w:rPr>
              <w:t>從事電子量測儀器買賣，雖不需購買原物料，但需購買商品並對其執行管理工作，故執行採購及商品管理功能。</w:t>
            </w:r>
          </w:p>
        </w:tc>
      </w:tr>
      <w:tr w:rsidR="00ED04CE"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TIS</w:t>
            </w:r>
          </w:p>
        </w:tc>
        <w:tc>
          <w:tcPr>
            <w:tcW w:w="5829" w:type="dxa"/>
            <w:vMerge/>
            <w:vAlign w:val="center"/>
          </w:tcPr>
          <w:p w:rsidR="00DC4ACB" w:rsidRPr="00DC4ACB" w:rsidRDefault="00DC4ACB" w:rsidP="00965AF0">
            <w:pPr>
              <w:pStyle w:val="cjk"/>
              <w:widowControl w:val="0"/>
              <w:spacing w:beforeLines="25" w:before="60" w:afterLines="25" w:after="60"/>
              <w:jc w:val="both"/>
              <w:rPr>
                <w:rFonts w:ascii="Times New Roman" w:hAnsi="Times New Roman" w:cs="Times New Roman"/>
                <w:sz w:val="26"/>
                <w:szCs w:val="26"/>
              </w:rPr>
            </w:pPr>
          </w:p>
        </w:tc>
      </w:tr>
      <w:tr w:rsidR="00ED04CE"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hAnsi="Times New Roman" w:cs="Times New Roman"/>
                <w:sz w:val="26"/>
                <w:szCs w:val="26"/>
              </w:rPr>
              <w:t>TCT</w:t>
            </w:r>
          </w:p>
        </w:tc>
        <w:tc>
          <w:tcPr>
            <w:tcW w:w="5829" w:type="dxa"/>
            <w:vMerge/>
            <w:vAlign w:val="center"/>
          </w:tcPr>
          <w:p w:rsidR="00DC4ACB" w:rsidRDefault="00DC4ACB" w:rsidP="00965AF0">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ED04CE" w:rsidRPr="006D645B" w:rsidTr="000A7150">
        <w:trPr>
          <w:trHeight w:val="458"/>
        </w:trPr>
        <w:tc>
          <w:tcPr>
            <w:tcW w:w="2150" w:type="dxa"/>
            <w:vAlign w:val="center"/>
          </w:tcPr>
          <w:p w:rsidR="00DC4ACB" w:rsidRDefault="004864D6" w:rsidP="00DC4ACB">
            <w:pPr>
              <w:spacing w:line="0" w:lineRule="atLeast"/>
              <w:jc w:val="center"/>
              <w:rPr>
                <w:sz w:val="26"/>
                <w:szCs w:val="26"/>
              </w:rPr>
            </w:pPr>
            <w:r>
              <w:rPr>
                <w:rFonts w:eastAsia="標楷體"/>
                <w:bCs/>
                <w:kern w:val="0"/>
                <w:sz w:val="26"/>
                <w:szCs w:val="26"/>
              </w:rPr>
              <w:t>Fluke SEA</w:t>
            </w:r>
          </w:p>
        </w:tc>
        <w:tc>
          <w:tcPr>
            <w:tcW w:w="5829" w:type="dxa"/>
            <w:vMerge/>
            <w:vAlign w:val="center"/>
          </w:tcPr>
          <w:p w:rsidR="00DC4ACB" w:rsidRPr="00DC4ACB"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D04CE"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bCs/>
                <w:kern w:val="0"/>
                <w:sz w:val="26"/>
                <w:szCs w:val="26"/>
              </w:rPr>
              <w:t>SEA</w:t>
            </w:r>
          </w:p>
        </w:tc>
        <w:tc>
          <w:tcPr>
            <w:tcW w:w="5829" w:type="dxa"/>
            <w:vMerge/>
            <w:vAlign w:val="center"/>
          </w:tcPr>
          <w:p w:rsidR="00DC4ACB" w:rsidRPr="00DC4ACB"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D04CE"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sz w:val="26"/>
                <w:szCs w:val="26"/>
              </w:rPr>
              <w:t>TII</w:t>
            </w:r>
          </w:p>
        </w:tc>
        <w:tc>
          <w:tcPr>
            <w:tcW w:w="5829" w:type="dxa"/>
            <w:vMerge/>
            <w:vAlign w:val="center"/>
          </w:tcPr>
          <w:p w:rsidR="00DC4ACB" w:rsidRPr="00DC4ACB"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D04CE" w:rsidRPr="006D645B" w:rsidTr="001A132B">
        <w:trPr>
          <w:trHeight w:val="562"/>
        </w:trPr>
        <w:tc>
          <w:tcPr>
            <w:tcW w:w="2150" w:type="dxa"/>
            <w:vAlign w:val="center"/>
          </w:tcPr>
          <w:p w:rsidR="00ED04CE" w:rsidRPr="006D645B" w:rsidRDefault="00F20EDA" w:rsidP="001A132B">
            <w:pPr>
              <w:spacing w:before="60" w:after="60" w:line="0" w:lineRule="atLeast"/>
              <w:jc w:val="center"/>
              <w:rPr>
                <w:sz w:val="26"/>
                <w:szCs w:val="26"/>
              </w:rPr>
            </w:pPr>
            <w:r>
              <w:rPr>
                <w:rFonts w:eastAsia="標楷體" w:hint="eastAsia"/>
                <w:sz w:val="26"/>
                <w:szCs w:val="26"/>
              </w:rPr>
              <w:t>母公司</w:t>
            </w:r>
          </w:p>
        </w:tc>
        <w:tc>
          <w:tcPr>
            <w:tcW w:w="5829" w:type="dxa"/>
            <w:vAlign w:val="center"/>
          </w:tcPr>
          <w:p w:rsidR="00DC4ACB" w:rsidRPr="00DC4ACB"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r w:rsidRPr="00DC4ACB">
              <w:rPr>
                <w:rFonts w:ascii="Times New Roman" w:cs="Times New Roman" w:hint="eastAsia"/>
                <w:sz w:val="26"/>
                <w:szCs w:val="26"/>
              </w:rPr>
              <w:t>母公司在美國奧勒岡州設有工廠，從事製造生產工作，需購買原料及進行管理，故執行採購及原物料管理功能。</w:t>
            </w:r>
          </w:p>
        </w:tc>
      </w:tr>
    </w:tbl>
    <w:p w:rsidR="00DC4ACB" w:rsidRDefault="00F20EDA" w:rsidP="00965AF0">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製造、加工、裝配及測試</w:t>
      </w:r>
    </w:p>
    <w:p w:rsidR="00DC4ACB"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如企業購入原物料後，透過物理及化學之方式，以製造及加工得出產品，或組裝、配置及測試產品是否已處於可使用狀態之行為。</w:t>
      </w:r>
    </w:p>
    <w:p w:rsidR="000A7150" w:rsidRDefault="000A7150" w:rsidP="00965AF0">
      <w:pPr>
        <w:spacing w:beforeLines="50" w:before="120" w:afterLines="50" w:after="120" w:line="360" w:lineRule="auto"/>
        <w:ind w:leftChars="200" w:left="480" w:firstLineChars="200" w:firstLine="520"/>
        <w:jc w:val="both"/>
        <w:rPr>
          <w:rFonts w:eastAsia="標楷體"/>
          <w:sz w:val="26"/>
          <w:szCs w:val="26"/>
        </w:rPr>
      </w:pPr>
    </w:p>
    <w:tbl>
      <w:tblPr>
        <w:tblW w:w="7979"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0"/>
        <w:gridCol w:w="5829"/>
      </w:tblGrid>
      <w:tr w:rsidR="00681AF4" w:rsidRPr="006D645B" w:rsidTr="001A132B">
        <w:trPr>
          <w:tblHeader/>
        </w:trPr>
        <w:tc>
          <w:tcPr>
            <w:tcW w:w="2150" w:type="dxa"/>
            <w:tcBorders>
              <w:bottom w:val="single" w:sz="4" w:space="0" w:color="000000"/>
            </w:tcBorders>
            <w:shd w:val="clear" w:color="auto" w:fill="4F81BD"/>
            <w:vAlign w:val="center"/>
          </w:tcPr>
          <w:p w:rsidR="00DC4ACB"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lastRenderedPageBreak/>
              <w:t>受控交易參與人</w:t>
            </w:r>
          </w:p>
        </w:tc>
        <w:tc>
          <w:tcPr>
            <w:tcW w:w="5829" w:type="dxa"/>
            <w:tcBorders>
              <w:bottom w:val="single" w:sz="4" w:space="0" w:color="000000"/>
            </w:tcBorders>
            <w:shd w:val="clear" w:color="auto" w:fill="4F81BD"/>
            <w:vAlign w:val="center"/>
          </w:tcPr>
          <w:p w:rsidR="00DC4ACB"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製造、加工、裝配及測試功能</w:t>
            </w:r>
          </w:p>
        </w:tc>
      </w:tr>
      <w:tr w:rsidR="00681AF4"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cs="Times New Roman" w:hint="eastAsia"/>
                <w:sz w:val="26"/>
                <w:szCs w:val="26"/>
              </w:rPr>
              <w:t>太克科技</w:t>
            </w:r>
          </w:p>
        </w:tc>
        <w:tc>
          <w:tcPr>
            <w:tcW w:w="5829" w:type="dxa"/>
            <w:vMerge w:val="restart"/>
            <w:tcBorders>
              <w:top w:val="single" w:sz="4" w:space="0" w:color="auto"/>
            </w:tcBorders>
            <w:vAlign w:val="center"/>
          </w:tcPr>
          <w:p w:rsidR="00681AF4" w:rsidRPr="006D645B" w:rsidRDefault="00DC4ACB" w:rsidP="00965AF0">
            <w:pPr>
              <w:pStyle w:val="cjk"/>
              <w:widowControl w:val="0"/>
              <w:spacing w:beforeLines="25" w:before="60" w:afterLines="25" w:after="60"/>
              <w:jc w:val="both"/>
              <w:rPr>
                <w:rFonts w:ascii="Times New Roman" w:hAnsi="Times New Roman" w:cs="Times New Roman"/>
                <w:color w:val="auto"/>
                <w:sz w:val="26"/>
                <w:szCs w:val="26"/>
              </w:rPr>
            </w:pPr>
            <w:r w:rsidRPr="00DC4ACB">
              <w:rPr>
                <w:rFonts w:ascii="Times New Roman" w:cs="Times New Roman" w:hint="eastAsia"/>
                <w:sz w:val="26"/>
                <w:szCs w:val="26"/>
              </w:rPr>
              <w:t>僅從事商品銷售之工作，不負責製造及加工裝配業務，產品之生產及包裝由母公司負責處理，故不執行製造、加工、裝配及測試功能。</w:t>
            </w:r>
          </w:p>
        </w:tc>
      </w:tr>
      <w:tr w:rsidR="00681AF4"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TIS</w:t>
            </w:r>
          </w:p>
        </w:tc>
        <w:tc>
          <w:tcPr>
            <w:tcW w:w="5829" w:type="dxa"/>
            <w:vMerge/>
            <w:vAlign w:val="center"/>
          </w:tcPr>
          <w:p w:rsidR="00DC4ACB" w:rsidRPr="00DC4ACB" w:rsidRDefault="00DC4ACB" w:rsidP="00965AF0">
            <w:pPr>
              <w:pStyle w:val="cjk"/>
              <w:widowControl w:val="0"/>
              <w:spacing w:beforeLines="25" w:before="60" w:afterLines="25" w:after="60"/>
              <w:jc w:val="both"/>
              <w:rPr>
                <w:rFonts w:ascii="Times New Roman" w:hAnsi="Times New Roman" w:cs="Times New Roman"/>
                <w:sz w:val="26"/>
                <w:szCs w:val="26"/>
              </w:rPr>
            </w:pPr>
          </w:p>
        </w:tc>
      </w:tr>
      <w:tr w:rsidR="00681AF4"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TCT</w:t>
            </w:r>
          </w:p>
        </w:tc>
        <w:tc>
          <w:tcPr>
            <w:tcW w:w="5829" w:type="dxa"/>
            <w:vMerge/>
            <w:vAlign w:val="center"/>
          </w:tcPr>
          <w:p w:rsidR="00DC4ACB" w:rsidRDefault="00DC4ACB" w:rsidP="00965AF0">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681AF4" w:rsidRPr="006D645B" w:rsidTr="000A7150">
        <w:trPr>
          <w:trHeight w:val="458"/>
        </w:trPr>
        <w:tc>
          <w:tcPr>
            <w:tcW w:w="2150" w:type="dxa"/>
            <w:vAlign w:val="center"/>
          </w:tcPr>
          <w:p w:rsidR="00DC4ACB" w:rsidRDefault="004864D6" w:rsidP="00DC4ACB">
            <w:pPr>
              <w:pStyle w:val="cjk"/>
              <w:widowControl w:val="0"/>
              <w:spacing w:before="0" w:beforeAutospacing="0"/>
              <w:ind w:leftChars="-33" w:left="-79" w:rightChars="-45" w:right="-108"/>
              <w:jc w:val="center"/>
              <w:rPr>
                <w:sz w:val="26"/>
                <w:szCs w:val="26"/>
              </w:rPr>
            </w:pPr>
            <w:r>
              <w:rPr>
                <w:rFonts w:ascii="Times New Roman" w:hAnsi="Times New Roman" w:cs="Times New Roman"/>
                <w:sz w:val="26"/>
                <w:szCs w:val="26"/>
              </w:rPr>
              <w:t>Fluke SEA</w:t>
            </w:r>
          </w:p>
        </w:tc>
        <w:tc>
          <w:tcPr>
            <w:tcW w:w="5829" w:type="dxa"/>
            <w:vMerge/>
            <w:vAlign w:val="center"/>
          </w:tcPr>
          <w:p w:rsidR="00DC4ACB" w:rsidRPr="00DC4ACB"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681AF4" w:rsidRPr="006D645B" w:rsidTr="000A7150">
        <w:trPr>
          <w:trHeight w:val="458"/>
        </w:trPr>
        <w:tc>
          <w:tcPr>
            <w:tcW w:w="2150" w:type="dxa"/>
            <w:vAlign w:val="center"/>
          </w:tcPr>
          <w:p w:rsidR="00DC4ACB" w:rsidRDefault="00DC4ACB" w:rsidP="00DC4ACB">
            <w:pPr>
              <w:pStyle w:val="cjk"/>
              <w:widowControl w:val="0"/>
              <w:spacing w:before="0" w:beforeAutospacing="0"/>
              <w:ind w:leftChars="-33" w:left="-79" w:rightChars="-45" w:right="-108"/>
              <w:jc w:val="center"/>
              <w:rPr>
                <w:sz w:val="26"/>
                <w:szCs w:val="26"/>
              </w:rPr>
            </w:pPr>
            <w:r w:rsidRPr="00DC4ACB">
              <w:rPr>
                <w:rFonts w:ascii="Times New Roman" w:hAnsi="Times New Roman" w:cs="Times New Roman"/>
                <w:sz w:val="26"/>
                <w:szCs w:val="26"/>
              </w:rPr>
              <w:t>SEA</w:t>
            </w:r>
          </w:p>
        </w:tc>
        <w:tc>
          <w:tcPr>
            <w:tcW w:w="5829" w:type="dxa"/>
            <w:vMerge/>
            <w:vAlign w:val="center"/>
          </w:tcPr>
          <w:p w:rsidR="00DC4ACB" w:rsidRPr="00DC4ACB"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681AF4" w:rsidRPr="006D645B" w:rsidTr="000A7150">
        <w:trPr>
          <w:trHeight w:val="458"/>
        </w:trPr>
        <w:tc>
          <w:tcPr>
            <w:tcW w:w="2150" w:type="dxa"/>
            <w:vAlign w:val="center"/>
          </w:tcPr>
          <w:p w:rsidR="00DC4ACB" w:rsidRDefault="00DC4ACB" w:rsidP="00DC4ACB">
            <w:pPr>
              <w:pStyle w:val="cjk"/>
              <w:widowControl w:val="0"/>
              <w:spacing w:before="0" w:beforeAutospacing="0"/>
              <w:ind w:leftChars="-33" w:left="-79" w:rightChars="-45" w:right="-108"/>
              <w:jc w:val="center"/>
              <w:rPr>
                <w:sz w:val="26"/>
                <w:szCs w:val="26"/>
              </w:rPr>
            </w:pPr>
            <w:r w:rsidRPr="00DC4ACB">
              <w:rPr>
                <w:rFonts w:ascii="Times New Roman" w:hAnsi="Times New Roman" w:cs="Times New Roman"/>
                <w:sz w:val="26"/>
                <w:szCs w:val="26"/>
              </w:rPr>
              <w:t>TII</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681AF4" w:rsidRPr="006D645B" w:rsidTr="001A132B">
        <w:trPr>
          <w:trHeight w:val="562"/>
        </w:trPr>
        <w:tc>
          <w:tcPr>
            <w:tcW w:w="2150" w:type="dxa"/>
            <w:vAlign w:val="center"/>
          </w:tcPr>
          <w:p w:rsidR="00681AF4" w:rsidRPr="006D645B" w:rsidRDefault="00F20EDA" w:rsidP="001A132B">
            <w:pPr>
              <w:spacing w:before="60" w:after="60" w:line="0" w:lineRule="atLeast"/>
              <w:jc w:val="center"/>
              <w:rPr>
                <w:sz w:val="26"/>
                <w:szCs w:val="26"/>
              </w:rPr>
            </w:pPr>
            <w:r>
              <w:rPr>
                <w:rFonts w:eastAsia="標楷體" w:hint="eastAsia"/>
                <w:sz w:val="26"/>
                <w:szCs w:val="26"/>
              </w:rPr>
              <w:t>母公司</w:t>
            </w:r>
          </w:p>
        </w:tc>
        <w:tc>
          <w:tcPr>
            <w:tcW w:w="5829" w:type="dxa"/>
            <w:vAlign w:val="center"/>
          </w:tcPr>
          <w:p w:rsidR="0032590C"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r w:rsidRPr="00DC4ACB">
              <w:rPr>
                <w:rFonts w:ascii="Times New Roman" w:cs="Times New Roman" w:hint="eastAsia"/>
                <w:sz w:val="26"/>
                <w:szCs w:val="26"/>
              </w:rPr>
              <w:t>母公司設置工廠於美國奧瑞岡州，從事製造工作，執行製造、加工、配裝及測試之功能。</w:t>
            </w:r>
          </w:p>
        </w:tc>
      </w:tr>
    </w:tbl>
    <w:p w:rsidR="0032590C" w:rsidRDefault="00F20EDA" w:rsidP="00965AF0">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品質管制</w:t>
      </w:r>
    </w:p>
    <w:p w:rsidR="0032590C"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如企業本身之產品或購入之商品，透過一定程序檢驗是否達指定標準之行為。</w:t>
      </w:r>
    </w:p>
    <w:tbl>
      <w:tblPr>
        <w:tblW w:w="7979"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0"/>
        <w:gridCol w:w="5829"/>
      </w:tblGrid>
      <w:tr w:rsidR="00681AF4" w:rsidRPr="006D645B" w:rsidTr="00E25E6C">
        <w:trPr>
          <w:trHeight w:val="20"/>
          <w:tblHeader/>
        </w:trPr>
        <w:tc>
          <w:tcPr>
            <w:tcW w:w="2150"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受控交易參與人</w:t>
            </w:r>
          </w:p>
        </w:tc>
        <w:tc>
          <w:tcPr>
            <w:tcW w:w="5829"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製造、加工、裝配及測試功能</w:t>
            </w:r>
          </w:p>
        </w:tc>
      </w:tr>
      <w:tr w:rsidR="00681AF4"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cs="Times New Roman" w:hint="eastAsia"/>
                <w:sz w:val="26"/>
                <w:szCs w:val="26"/>
              </w:rPr>
              <w:t>太克科技</w:t>
            </w:r>
          </w:p>
        </w:tc>
        <w:tc>
          <w:tcPr>
            <w:tcW w:w="5829" w:type="dxa"/>
            <w:vMerge w:val="restart"/>
            <w:tcBorders>
              <w:top w:val="single" w:sz="4" w:space="0" w:color="auto"/>
            </w:tcBorders>
            <w:vAlign w:val="center"/>
          </w:tcPr>
          <w:p w:rsidR="0032590C" w:rsidRDefault="00DC4ACB" w:rsidP="00965AF0">
            <w:pPr>
              <w:pStyle w:val="cjk"/>
              <w:widowControl w:val="0"/>
              <w:spacing w:beforeLines="25" w:before="60" w:afterLines="25" w:after="60"/>
              <w:jc w:val="both"/>
              <w:rPr>
                <w:rFonts w:ascii="Times New Roman" w:hAnsi="Times New Roman" w:cs="Times New Roman"/>
                <w:color w:val="auto"/>
                <w:sz w:val="26"/>
                <w:szCs w:val="26"/>
              </w:rPr>
            </w:pPr>
            <w:r w:rsidRPr="00DC4ACB">
              <w:rPr>
                <w:rFonts w:ascii="Times New Roman" w:cs="Times New Roman" w:hint="eastAsia"/>
                <w:sz w:val="26"/>
                <w:szCs w:val="26"/>
              </w:rPr>
              <w:t>僅執行銷售工作，產品若有瑕疵會轉與製造商負責，所以本身並不執行品質管制之功能。</w:t>
            </w:r>
          </w:p>
        </w:tc>
      </w:tr>
      <w:tr w:rsidR="00681AF4"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TIS</w:t>
            </w:r>
          </w:p>
        </w:tc>
        <w:tc>
          <w:tcPr>
            <w:tcW w:w="5829" w:type="dxa"/>
            <w:vMerge/>
            <w:vAlign w:val="center"/>
          </w:tcPr>
          <w:p w:rsidR="0032590C" w:rsidRDefault="0032590C" w:rsidP="00965AF0">
            <w:pPr>
              <w:pStyle w:val="cjk"/>
              <w:widowControl w:val="0"/>
              <w:spacing w:beforeLines="25" w:before="60" w:afterLines="25" w:after="60"/>
              <w:jc w:val="both"/>
              <w:rPr>
                <w:rFonts w:ascii="Times New Roman" w:hAnsi="Times New Roman" w:cs="Times New Roman"/>
                <w:sz w:val="26"/>
                <w:szCs w:val="26"/>
              </w:rPr>
            </w:pPr>
          </w:p>
        </w:tc>
      </w:tr>
      <w:tr w:rsidR="00681AF4"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TCT</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681AF4" w:rsidRPr="006D645B" w:rsidTr="000A7150">
        <w:trPr>
          <w:trHeight w:val="458"/>
        </w:trPr>
        <w:tc>
          <w:tcPr>
            <w:tcW w:w="2150" w:type="dxa"/>
            <w:vAlign w:val="center"/>
          </w:tcPr>
          <w:p w:rsidR="00DC4ACB" w:rsidRDefault="004864D6" w:rsidP="00DC4ACB">
            <w:pPr>
              <w:pStyle w:val="cjk"/>
              <w:widowControl w:val="0"/>
              <w:spacing w:before="0" w:beforeAutospacing="0"/>
              <w:ind w:leftChars="-33" w:left="-79" w:rightChars="-45" w:right="-108"/>
              <w:jc w:val="center"/>
              <w:rPr>
                <w:sz w:val="26"/>
                <w:szCs w:val="26"/>
              </w:rPr>
            </w:pPr>
            <w:r>
              <w:rPr>
                <w:rFonts w:ascii="Times New Roman" w:hAnsi="Times New Roman" w:cs="Times New Roman"/>
                <w:sz w:val="26"/>
                <w:szCs w:val="26"/>
              </w:rPr>
              <w:t>Fluke 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681AF4" w:rsidRPr="006D645B" w:rsidTr="000A7150">
        <w:trPr>
          <w:trHeight w:val="458"/>
        </w:trPr>
        <w:tc>
          <w:tcPr>
            <w:tcW w:w="2150" w:type="dxa"/>
            <w:vAlign w:val="center"/>
          </w:tcPr>
          <w:p w:rsidR="00DC4ACB" w:rsidRDefault="00DC4ACB" w:rsidP="00DC4ACB">
            <w:pPr>
              <w:pStyle w:val="cjk"/>
              <w:widowControl w:val="0"/>
              <w:spacing w:before="0" w:beforeAutospacing="0"/>
              <w:ind w:leftChars="-33" w:left="-79" w:rightChars="-45" w:right="-108"/>
              <w:jc w:val="center"/>
              <w:rPr>
                <w:sz w:val="26"/>
                <w:szCs w:val="26"/>
              </w:rPr>
            </w:pPr>
            <w:r w:rsidRPr="00DC4ACB">
              <w:rPr>
                <w:rFonts w:ascii="Times New Roman" w:hAnsi="Times New Roman" w:cs="Times New Roman"/>
                <w:sz w:val="26"/>
                <w:szCs w:val="26"/>
              </w:rPr>
              <w:t>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681AF4" w:rsidRPr="006D645B" w:rsidTr="000A7150">
        <w:trPr>
          <w:trHeight w:val="458"/>
        </w:trPr>
        <w:tc>
          <w:tcPr>
            <w:tcW w:w="2150" w:type="dxa"/>
            <w:vAlign w:val="center"/>
          </w:tcPr>
          <w:p w:rsidR="00DC4ACB" w:rsidRDefault="00DC4ACB" w:rsidP="00DC4ACB">
            <w:pPr>
              <w:pStyle w:val="cjk"/>
              <w:widowControl w:val="0"/>
              <w:spacing w:before="0" w:beforeAutospacing="0"/>
              <w:ind w:leftChars="-33" w:left="-79" w:rightChars="-45" w:right="-108"/>
              <w:jc w:val="center"/>
              <w:rPr>
                <w:sz w:val="26"/>
                <w:szCs w:val="26"/>
              </w:rPr>
            </w:pPr>
            <w:r w:rsidRPr="00DC4ACB">
              <w:rPr>
                <w:rFonts w:ascii="Times New Roman" w:hAnsi="Times New Roman" w:cs="Times New Roman"/>
                <w:sz w:val="26"/>
                <w:szCs w:val="26"/>
              </w:rPr>
              <w:t>TII</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681AF4" w:rsidRPr="006D645B" w:rsidTr="001A132B">
        <w:trPr>
          <w:trHeight w:val="562"/>
        </w:trPr>
        <w:tc>
          <w:tcPr>
            <w:tcW w:w="2150" w:type="dxa"/>
            <w:vAlign w:val="center"/>
          </w:tcPr>
          <w:p w:rsidR="00681AF4" w:rsidRPr="006D645B" w:rsidRDefault="00F20EDA" w:rsidP="001A132B">
            <w:pPr>
              <w:spacing w:before="60" w:after="60" w:line="0" w:lineRule="atLeast"/>
              <w:jc w:val="center"/>
              <w:rPr>
                <w:sz w:val="26"/>
                <w:szCs w:val="26"/>
              </w:rPr>
            </w:pPr>
            <w:r>
              <w:rPr>
                <w:rFonts w:eastAsia="標楷體" w:hint="eastAsia"/>
                <w:sz w:val="26"/>
                <w:szCs w:val="26"/>
              </w:rPr>
              <w:t>母公司</w:t>
            </w:r>
          </w:p>
        </w:tc>
        <w:tc>
          <w:tcPr>
            <w:tcW w:w="5829" w:type="dxa"/>
            <w:vAlign w:val="center"/>
          </w:tcPr>
          <w:p w:rsidR="0032590C"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r w:rsidRPr="00DC4ACB">
              <w:rPr>
                <w:rFonts w:ascii="Times New Roman" w:cs="Times New Roman" w:hint="eastAsia"/>
                <w:sz w:val="26"/>
                <w:szCs w:val="26"/>
              </w:rPr>
              <w:t>品質檢驗標準由母公司制定，各製造廠均自行依該標準從事品質管制作業，執行品質管制功能。</w:t>
            </w:r>
          </w:p>
        </w:tc>
      </w:tr>
    </w:tbl>
    <w:p w:rsidR="0032590C" w:rsidRDefault="00F20EDA" w:rsidP="00965AF0">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行銷、配銷及廣告</w:t>
      </w:r>
    </w:p>
    <w:p w:rsidR="0032590C"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如企業本身針對產品或商品訂有銷售策略，並透過各式媒介通路宣傳及推廣，使客戶得知產品或商品資訊，進而購買之行為。</w:t>
      </w:r>
    </w:p>
    <w:p w:rsidR="00D0519B" w:rsidRDefault="00D0519B" w:rsidP="00965AF0">
      <w:pPr>
        <w:spacing w:beforeLines="50" w:before="120" w:afterLines="50" w:after="120" w:line="360" w:lineRule="auto"/>
        <w:ind w:leftChars="200" w:left="480" w:firstLineChars="200" w:firstLine="520"/>
        <w:jc w:val="both"/>
        <w:rPr>
          <w:rFonts w:eastAsia="標楷體"/>
          <w:sz w:val="26"/>
          <w:szCs w:val="26"/>
        </w:rPr>
      </w:pPr>
    </w:p>
    <w:tbl>
      <w:tblPr>
        <w:tblW w:w="7979"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0"/>
        <w:gridCol w:w="5829"/>
      </w:tblGrid>
      <w:tr w:rsidR="00681AF4" w:rsidRPr="006D645B" w:rsidTr="001A132B">
        <w:trPr>
          <w:tblHeader/>
        </w:trPr>
        <w:tc>
          <w:tcPr>
            <w:tcW w:w="2150"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lastRenderedPageBreak/>
              <w:t>受控交易參與人</w:t>
            </w:r>
          </w:p>
        </w:tc>
        <w:tc>
          <w:tcPr>
            <w:tcW w:w="5829"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製造、加工、裝配及測試功能</w:t>
            </w:r>
          </w:p>
        </w:tc>
      </w:tr>
      <w:tr w:rsidR="00E25E6C"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cs="Times New Roman" w:hint="eastAsia"/>
                <w:sz w:val="26"/>
                <w:szCs w:val="26"/>
              </w:rPr>
              <w:t>太克科技</w:t>
            </w:r>
          </w:p>
        </w:tc>
        <w:tc>
          <w:tcPr>
            <w:tcW w:w="5829" w:type="dxa"/>
            <w:vMerge w:val="restart"/>
            <w:tcBorders>
              <w:top w:val="single" w:sz="4" w:space="0" w:color="auto"/>
            </w:tcBorders>
            <w:vAlign w:val="center"/>
          </w:tcPr>
          <w:p w:rsidR="0032590C" w:rsidRDefault="00DC4ACB" w:rsidP="00965AF0">
            <w:pPr>
              <w:pStyle w:val="cjk"/>
              <w:widowControl w:val="0"/>
              <w:spacing w:beforeLines="25" w:before="60" w:afterLines="25" w:after="60"/>
              <w:jc w:val="both"/>
              <w:rPr>
                <w:rFonts w:ascii="Times New Roman" w:hAnsi="Times New Roman" w:cs="Times New Roman"/>
                <w:color w:val="auto"/>
                <w:sz w:val="26"/>
                <w:szCs w:val="26"/>
              </w:rPr>
            </w:pPr>
            <w:r w:rsidRPr="00DC4ACB">
              <w:rPr>
                <w:rFonts w:ascii="Times New Roman" w:cs="Times New Roman" w:hint="eastAsia"/>
                <w:sz w:val="26"/>
                <w:szCs w:val="26"/>
              </w:rPr>
              <w:t>遵循其母公司行銷策略執行銷售工作，透過刊登平面廣告、參展方式提高品牌知名度，執行部分行銷、配銷及廣告功能。</w:t>
            </w:r>
          </w:p>
        </w:tc>
      </w:tr>
      <w:tr w:rsidR="00E25E6C"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TIS</w:t>
            </w:r>
          </w:p>
        </w:tc>
        <w:tc>
          <w:tcPr>
            <w:tcW w:w="5829" w:type="dxa"/>
            <w:vMerge/>
            <w:vAlign w:val="center"/>
          </w:tcPr>
          <w:p w:rsidR="0032590C" w:rsidRDefault="0032590C" w:rsidP="00965AF0">
            <w:pPr>
              <w:pStyle w:val="cjk"/>
              <w:widowControl w:val="0"/>
              <w:spacing w:beforeLines="25" w:before="60" w:afterLines="25" w:after="60"/>
              <w:jc w:val="both"/>
              <w:rPr>
                <w:rFonts w:ascii="Times New Roman" w:hAnsi="Times New Roman" w:cs="Times New Roman"/>
                <w:sz w:val="26"/>
                <w:szCs w:val="26"/>
              </w:rPr>
            </w:pPr>
          </w:p>
        </w:tc>
      </w:tr>
      <w:tr w:rsidR="00E25E6C"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TCT</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E25E6C" w:rsidRPr="006D645B" w:rsidTr="000A7150">
        <w:trPr>
          <w:trHeight w:val="458"/>
        </w:trPr>
        <w:tc>
          <w:tcPr>
            <w:tcW w:w="2150" w:type="dxa"/>
            <w:vAlign w:val="center"/>
          </w:tcPr>
          <w:p w:rsidR="00DC4ACB" w:rsidRDefault="004864D6" w:rsidP="00DC4ACB">
            <w:pPr>
              <w:pStyle w:val="cjk"/>
              <w:widowControl w:val="0"/>
              <w:spacing w:before="0" w:beforeAutospacing="0"/>
              <w:ind w:leftChars="-33" w:left="-79" w:rightChars="-45" w:right="-108"/>
              <w:jc w:val="center"/>
              <w:rPr>
                <w:sz w:val="26"/>
                <w:szCs w:val="26"/>
              </w:rPr>
            </w:pPr>
            <w:r>
              <w:rPr>
                <w:rFonts w:ascii="Times New Roman" w:hAnsi="Times New Roman" w:cs="Times New Roman"/>
                <w:sz w:val="26"/>
                <w:szCs w:val="26"/>
              </w:rPr>
              <w:t>Fluke 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458"/>
        </w:trPr>
        <w:tc>
          <w:tcPr>
            <w:tcW w:w="2150" w:type="dxa"/>
            <w:vAlign w:val="center"/>
          </w:tcPr>
          <w:p w:rsidR="00DC4ACB" w:rsidRDefault="00DC4ACB" w:rsidP="00DC4ACB">
            <w:pPr>
              <w:pStyle w:val="cjk"/>
              <w:widowControl w:val="0"/>
              <w:spacing w:before="0" w:beforeAutospacing="0"/>
              <w:ind w:leftChars="-33" w:left="-79" w:rightChars="-45" w:right="-108"/>
              <w:jc w:val="center"/>
              <w:rPr>
                <w:sz w:val="26"/>
                <w:szCs w:val="26"/>
              </w:rPr>
            </w:pPr>
            <w:r w:rsidRPr="00DC4ACB">
              <w:rPr>
                <w:rFonts w:ascii="Times New Roman" w:hAnsi="Times New Roman" w:cs="Times New Roman"/>
                <w:sz w:val="26"/>
                <w:szCs w:val="26"/>
              </w:rPr>
              <w:t>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458"/>
        </w:trPr>
        <w:tc>
          <w:tcPr>
            <w:tcW w:w="2150" w:type="dxa"/>
            <w:vAlign w:val="center"/>
          </w:tcPr>
          <w:p w:rsidR="00DC4ACB" w:rsidRDefault="00DC4ACB" w:rsidP="00DC4ACB">
            <w:pPr>
              <w:pStyle w:val="cjk"/>
              <w:widowControl w:val="0"/>
              <w:spacing w:before="0" w:beforeAutospacing="0"/>
              <w:ind w:leftChars="-33" w:left="-79" w:rightChars="-45" w:right="-108"/>
              <w:jc w:val="center"/>
              <w:rPr>
                <w:sz w:val="26"/>
                <w:szCs w:val="26"/>
              </w:rPr>
            </w:pPr>
            <w:r w:rsidRPr="00DC4ACB">
              <w:rPr>
                <w:rFonts w:ascii="Times New Roman" w:hAnsi="Times New Roman" w:cs="Times New Roman"/>
                <w:sz w:val="26"/>
                <w:szCs w:val="26"/>
              </w:rPr>
              <w:t>TII</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681AF4" w:rsidRPr="006D645B" w:rsidTr="001A132B">
        <w:trPr>
          <w:trHeight w:val="562"/>
        </w:trPr>
        <w:tc>
          <w:tcPr>
            <w:tcW w:w="2150" w:type="dxa"/>
            <w:vAlign w:val="center"/>
          </w:tcPr>
          <w:p w:rsidR="00DC4ACB" w:rsidRDefault="00DC4ACB" w:rsidP="00DC4ACB">
            <w:pPr>
              <w:pStyle w:val="cjk"/>
              <w:widowControl w:val="0"/>
              <w:spacing w:before="0" w:beforeAutospacing="0"/>
              <w:ind w:leftChars="-33" w:left="-79" w:rightChars="-45" w:right="-108"/>
              <w:jc w:val="center"/>
              <w:rPr>
                <w:sz w:val="26"/>
                <w:szCs w:val="26"/>
              </w:rPr>
            </w:pPr>
            <w:r w:rsidRPr="00DC4ACB">
              <w:rPr>
                <w:rFonts w:ascii="Times New Roman" w:cs="Times New Roman" w:hint="eastAsia"/>
                <w:sz w:val="26"/>
                <w:szCs w:val="26"/>
              </w:rPr>
              <w:t>母公司</w:t>
            </w:r>
          </w:p>
        </w:tc>
        <w:tc>
          <w:tcPr>
            <w:tcW w:w="5829" w:type="dxa"/>
            <w:vAlign w:val="center"/>
          </w:tcPr>
          <w:p w:rsidR="0032590C"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r w:rsidRPr="00DC4ACB">
              <w:rPr>
                <w:rFonts w:ascii="Times New Roman" w:cs="Times New Roman" w:hint="eastAsia"/>
                <w:sz w:val="26"/>
                <w:szCs w:val="26"/>
              </w:rPr>
              <w:t>母公司除刊登廣告、參加產業展覽外，亦以舉辦國際性巡迴研討會方式，提升產品知名度及拓展海外市場，執行集團整體行銷策略，且因其尚兼銷售電子測量儀器，故執行行銷、配銷及廣告功能。</w:t>
            </w:r>
          </w:p>
        </w:tc>
      </w:tr>
    </w:tbl>
    <w:p w:rsidR="0032590C" w:rsidRDefault="00F20EDA" w:rsidP="00965AF0">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運送、倉儲及存貨管理</w:t>
      </w:r>
    </w:p>
    <w:p w:rsidR="0032590C"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如企業本身是否置有倉庫存放原料或產品（商品），並將其運送至客戶處或銷售據點等行為。</w:t>
      </w:r>
    </w:p>
    <w:tbl>
      <w:tblPr>
        <w:tblW w:w="7979"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0"/>
        <w:gridCol w:w="5829"/>
      </w:tblGrid>
      <w:tr w:rsidR="00E25E6C" w:rsidRPr="006D645B" w:rsidTr="001A132B">
        <w:trPr>
          <w:tblHeader/>
        </w:trPr>
        <w:tc>
          <w:tcPr>
            <w:tcW w:w="2150"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受控交易參與人</w:t>
            </w:r>
          </w:p>
        </w:tc>
        <w:tc>
          <w:tcPr>
            <w:tcW w:w="5829"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運送、倉儲及存貨管理功能</w:t>
            </w: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cs="Times New Roman" w:hint="eastAsia"/>
                <w:sz w:val="26"/>
                <w:szCs w:val="26"/>
              </w:rPr>
              <w:t>太克科技</w:t>
            </w:r>
          </w:p>
        </w:tc>
        <w:tc>
          <w:tcPr>
            <w:tcW w:w="5829" w:type="dxa"/>
            <w:vMerge w:val="restart"/>
            <w:tcBorders>
              <w:top w:val="single" w:sz="4" w:space="0" w:color="auto"/>
            </w:tcBorders>
            <w:vAlign w:val="center"/>
          </w:tcPr>
          <w:p w:rsidR="0032590C" w:rsidRDefault="00DC4ACB" w:rsidP="00BC13CF">
            <w:pPr>
              <w:pStyle w:val="cjk"/>
              <w:widowControl w:val="0"/>
              <w:spacing w:beforeLines="25" w:before="60" w:afterLines="25" w:after="60"/>
              <w:jc w:val="both"/>
              <w:rPr>
                <w:rFonts w:ascii="Times New Roman" w:hAnsi="Times New Roman" w:cs="Times New Roman"/>
                <w:color w:val="auto"/>
                <w:sz w:val="26"/>
                <w:szCs w:val="26"/>
              </w:rPr>
            </w:pPr>
            <w:r w:rsidRPr="00DC4ACB">
              <w:rPr>
                <w:rFonts w:ascii="Times New Roman" w:cs="Times New Roman" w:hint="eastAsia"/>
                <w:sz w:val="26"/>
                <w:szCs w:val="26"/>
              </w:rPr>
              <w:t>太克科技、</w:t>
            </w:r>
            <w:r w:rsidRPr="00DC4ACB">
              <w:rPr>
                <w:rFonts w:ascii="Times New Roman" w:hAnsi="Times New Roman" w:cs="Times New Roman"/>
                <w:sz w:val="26"/>
                <w:szCs w:val="26"/>
              </w:rPr>
              <w:t>TIS</w:t>
            </w:r>
            <w:r w:rsidRPr="00DC4ACB">
              <w:rPr>
                <w:rFonts w:ascii="Times New Roman" w:cs="Times New Roman" w:hint="eastAsia"/>
                <w:sz w:val="26"/>
                <w:szCs w:val="26"/>
              </w:rPr>
              <w:t>、</w:t>
            </w:r>
            <w:r w:rsidRPr="00DC4ACB">
              <w:rPr>
                <w:rFonts w:ascii="Times New Roman" w:hAnsi="Times New Roman" w:cs="Times New Roman"/>
                <w:sz w:val="26"/>
                <w:szCs w:val="26"/>
              </w:rPr>
              <w:t>TCT</w:t>
            </w:r>
            <w:r w:rsidRPr="00DC4ACB">
              <w:rPr>
                <w:rFonts w:ascii="Times New Roman" w:cs="Times New Roman" w:hint="eastAsia"/>
                <w:sz w:val="26"/>
                <w:szCs w:val="26"/>
              </w:rPr>
              <w:t>、</w:t>
            </w:r>
            <w:r w:rsidR="004864D6">
              <w:rPr>
                <w:rFonts w:ascii="Times New Roman" w:hAnsi="Times New Roman" w:cs="Times New Roman"/>
                <w:bCs/>
                <w:sz w:val="26"/>
                <w:szCs w:val="26"/>
              </w:rPr>
              <w:t xml:space="preserve">Fluke </w:t>
            </w:r>
            <w:r w:rsidRPr="00DC4ACB">
              <w:rPr>
                <w:rFonts w:ascii="Times New Roman" w:hAnsi="Times New Roman" w:cs="Times New Roman"/>
                <w:bCs/>
                <w:sz w:val="26"/>
                <w:szCs w:val="26"/>
              </w:rPr>
              <w:t>SEA</w:t>
            </w:r>
            <w:r w:rsidRPr="00DC4ACB">
              <w:rPr>
                <w:rFonts w:ascii="Times New Roman" w:cs="Times New Roman" w:hint="eastAsia"/>
                <w:sz w:val="26"/>
                <w:szCs w:val="26"/>
              </w:rPr>
              <w:t>、</w:t>
            </w:r>
            <w:r w:rsidRPr="00DC4ACB">
              <w:rPr>
                <w:rFonts w:ascii="Times New Roman" w:hAnsi="Times New Roman" w:cs="Times New Roman"/>
                <w:sz w:val="26"/>
                <w:szCs w:val="26"/>
              </w:rPr>
              <w:t>TII</w:t>
            </w:r>
            <w:r w:rsidRPr="00DC4ACB">
              <w:rPr>
                <w:rFonts w:ascii="Times New Roman" w:cs="Times New Roman" w:hint="eastAsia"/>
                <w:sz w:val="26"/>
                <w:szCs w:val="26"/>
              </w:rPr>
              <w:t>及母公司皆設有倉庫以存放商品存貨，嚴格控管存貨水準，並為其投保相關商業保險。產品出售則託物流業者進行產品之運送，執行運送、倉儲及存貨管理功能。</w:t>
            </w: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TIS</w:t>
            </w:r>
          </w:p>
        </w:tc>
        <w:tc>
          <w:tcPr>
            <w:tcW w:w="5829" w:type="dxa"/>
            <w:vMerge/>
            <w:vAlign w:val="center"/>
          </w:tcPr>
          <w:p w:rsidR="0032590C" w:rsidRDefault="0032590C" w:rsidP="00965AF0">
            <w:pPr>
              <w:pStyle w:val="cjk"/>
              <w:widowControl w:val="0"/>
              <w:spacing w:beforeLines="25" w:before="60" w:afterLines="25" w:after="60"/>
              <w:jc w:val="both"/>
              <w:rPr>
                <w:rFonts w:ascii="Times New Roman" w:hAnsi="Times New Roman" w:cs="Times New Roman"/>
                <w:sz w:val="26"/>
                <w:szCs w:val="26"/>
              </w:rPr>
            </w:pP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TCT</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E25E6C" w:rsidRPr="006D645B" w:rsidTr="000A7150">
        <w:trPr>
          <w:trHeight w:val="338"/>
        </w:trPr>
        <w:tc>
          <w:tcPr>
            <w:tcW w:w="2150" w:type="dxa"/>
            <w:vAlign w:val="center"/>
          </w:tcPr>
          <w:p w:rsidR="00E25E6C" w:rsidRPr="006D645B" w:rsidRDefault="004864D6" w:rsidP="001A132B">
            <w:pPr>
              <w:pStyle w:val="cjk"/>
              <w:widowControl w:val="0"/>
              <w:spacing w:before="0" w:beforeAutospacing="0"/>
              <w:ind w:leftChars="-33" w:left="-79" w:rightChars="-45" w:right="-108"/>
              <w:jc w:val="center"/>
              <w:rPr>
                <w:rFonts w:ascii="Times New Roman" w:hAnsi="Times New Roman" w:cs="Times New Roman"/>
                <w:sz w:val="26"/>
                <w:szCs w:val="26"/>
              </w:rPr>
            </w:pPr>
            <w:r>
              <w:rPr>
                <w:rFonts w:ascii="Times New Roman" w:hAnsi="Times New Roman" w:cs="Times New Roman"/>
                <w:sz w:val="26"/>
                <w:szCs w:val="26"/>
              </w:rPr>
              <w:t>Fluke 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TII</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cs="Times New Roman" w:hint="eastAsia"/>
                <w:sz w:val="26"/>
                <w:szCs w:val="26"/>
              </w:rPr>
              <w:t>母公司</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bl>
    <w:p w:rsidR="0032590C" w:rsidRDefault="00F20EDA" w:rsidP="00965AF0">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產品售後服務</w:t>
      </w:r>
    </w:p>
    <w:p w:rsidR="0032590C"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如企業出售產品及商品後，提供客戶使用上之諮詢、維修、退換貨等服務。</w:t>
      </w:r>
    </w:p>
    <w:tbl>
      <w:tblPr>
        <w:tblW w:w="7979"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0"/>
        <w:gridCol w:w="5829"/>
      </w:tblGrid>
      <w:tr w:rsidR="00E25E6C" w:rsidRPr="006D645B" w:rsidTr="001A132B">
        <w:trPr>
          <w:tblHeader/>
        </w:trPr>
        <w:tc>
          <w:tcPr>
            <w:tcW w:w="2150"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受控交易參與人</w:t>
            </w:r>
          </w:p>
        </w:tc>
        <w:tc>
          <w:tcPr>
            <w:tcW w:w="5829"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產品售後服務功能</w:t>
            </w: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cs="Times New Roman" w:hint="eastAsia"/>
                <w:sz w:val="26"/>
                <w:szCs w:val="26"/>
              </w:rPr>
              <w:t>太克科技</w:t>
            </w:r>
          </w:p>
        </w:tc>
        <w:tc>
          <w:tcPr>
            <w:tcW w:w="5829" w:type="dxa"/>
            <w:vMerge w:val="restart"/>
            <w:tcBorders>
              <w:top w:val="single" w:sz="4" w:space="0" w:color="auto"/>
            </w:tcBorders>
            <w:vAlign w:val="center"/>
          </w:tcPr>
          <w:p w:rsidR="00DC4ACB" w:rsidRDefault="00DC4ACB" w:rsidP="00BC13CF">
            <w:pPr>
              <w:pStyle w:val="cjk"/>
              <w:widowControl w:val="0"/>
              <w:spacing w:beforeLines="25" w:before="60" w:afterLines="25" w:after="60"/>
              <w:jc w:val="both"/>
              <w:rPr>
                <w:rFonts w:ascii="Times New Roman" w:hAnsi="Times New Roman" w:cs="Times New Roman"/>
                <w:color w:val="auto"/>
                <w:sz w:val="26"/>
                <w:szCs w:val="26"/>
              </w:rPr>
            </w:pPr>
            <w:r w:rsidRPr="00DC4ACB">
              <w:rPr>
                <w:rFonts w:ascii="Times New Roman" w:cs="Times New Roman" w:hint="eastAsia"/>
                <w:sz w:val="26"/>
                <w:szCs w:val="26"/>
              </w:rPr>
              <w:t>太克科技、</w:t>
            </w:r>
            <w:r w:rsidRPr="00DC4ACB">
              <w:rPr>
                <w:rFonts w:ascii="Times New Roman" w:hAnsi="Times New Roman" w:cs="Times New Roman"/>
                <w:sz w:val="26"/>
                <w:szCs w:val="26"/>
              </w:rPr>
              <w:t>TIS</w:t>
            </w:r>
            <w:r w:rsidRPr="00DC4ACB">
              <w:rPr>
                <w:rFonts w:ascii="Times New Roman" w:cs="Times New Roman" w:hint="eastAsia"/>
                <w:sz w:val="26"/>
                <w:szCs w:val="26"/>
              </w:rPr>
              <w:t>、</w:t>
            </w:r>
            <w:r w:rsidRPr="00DC4ACB">
              <w:rPr>
                <w:rFonts w:ascii="Times New Roman" w:hAnsi="Times New Roman" w:cs="Times New Roman"/>
                <w:sz w:val="26"/>
                <w:szCs w:val="26"/>
              </w:rPr>
              <w:t>TCT</w:t>
            </w:r>
            <w:r w:rsidRPr="00DC4ACB">
              <w:rPr>
                <w:rFonts w:ascii="Times New Roman" w:cs="Times New Roman" w:hint="eastAsia"/>
                <w:sz w:val="26"/>
                <w:szCs w:val="26"/>
              </w:rPr>
              <w:t>、</w:t>
            </w:r>
            <w:r w:rsidR="004864D6">
              <w:rPr>
                <w:rFonts w:ascii="Times New Roman" w:hAnsi="Times New Roman" w:cs="Times New Roman"/>
                <w:bCs/>
                <w:sz w:val="26"/>
                <w:szCs w:val="26"/>
              </w:rPr>
              <w:t xml:space="preserve">Fluke </w:t>
            </w:r>
            <w:r w:rsidRPr="00DC4ACB">
              <w:rPr>
                <w:rFonts w:ascii="Times New Roman" w:hAnsi="Times New Roman" w:cs="Times New Roman"/>
                <w:bCs/>
                <w:sz w:val="26"/>
                <w:szCs w:val="26"/>
              </w:rPr>
              <w:t>SEA</w:t>
            </w:r>
            <w:r w:rsidRPr="00DC4ACB">
              <w:rPr>
                <w:rFonts w:ascii="Times New Roman" w:cs="Times New Roman" w:hint="eastAsia"/>
                <w:sz w:val="26"/>
                <w:szCs w:val="26"/>
              </w:rPr>
              <w:t>、</w:t>
            </w:r>
            <w:r w:rsidRPr="00DC4ACB">
              <w:rPr>
                <w:rFonts w:ascii="Times New Roman" w:hAnsi="Times New Roman" w:cs="Times New Roman"/>
                <w:sz w:val="26"/>
                <w:szCs w:val="26"/>
              </w:rPr>
              <w:t>TII</w:t>
            </w:r>
            <w:r w:rsidRPr="00DC4ACB">
              <w:rPr>
                <w:rFonts w:ascii="Times New Roman" w:cs="Times New Roman" w:hint="eastAsia"/>
                <w:sz w:val="26"/>
                <w:szCs w:val="26"/>
              </w:rPr>
              <w:t>及母公司皆對於產品之維修、維護、校正、校驗、各類產品</w:t>
            </w:r>
            <w:r w:rsidRPr="00DC4ACB">
              <w:rPr>
                <w:rFonts w:ascii="Times New Roman" w:cs="Times New Roman" w:hint="eastAsia"/>
                <w:sz w:val="26"/>
                <w:szCs w:val="26"/>
              </w:rPr>
              <w:lastRenderedPageBreak/>
              <w:t>使用諮詢負責，故執行產品售後服務之功能。</w:t>
            </w: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TIS</w:t>
            </w:r>
          </w:p>
        </w:tc>
        <w:tc>
          <w:tcPr>
            <w:tcW w:w="5829" w:type="dxa"/>
            <w:vMerge/>
            <w:vAlign w:val="center"/>
          </w:tcPr>
          <w:p w:rsidR="0032590C" w:rsidRDefault="0032590C" w:rsidP="00965AF0">
            <w:pPr>
              <w:pStyle w:val="cjk"/>
              <w:widowControl w:val="0"/>
              <w:spacing w:beforeLines="25" w:before="60" w:afterLines="25" w:after="60"/>
              <w:jc w:val="both"/>
              <w:rPr>
                <w:rFonts w:ascii="Times New Roman" w:hAnsi="Times New Roman" w:cs="Times New Roman"/>
                <w:sz w:val="26"/>
                <w:szCs w:val="26"/>
              </w:rPr>
            </w:pP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lastRenderedPageBreak/>
              <w:t>TCT</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E25E6C" w:rsidRPr="006D645B" w:rsidTr="000A7150">
        <w:trPr>
          <w:trHeight w:val="338"/>
        </w:trPr>
        <w:tc>
          <w:tcPr>
            <w:tcW w:w="2150" w:type="dxa"/>
            <w:vAlign w:val="center"/>
          </w:tcPr>
          <w:p w:rsidR="00E25E6C" w:rsidRPr="006D645B" w:rsidRDefault="004864D6" w:rsidP="001A132B">
            <w:pPr>
              <w:pStyle w:val="cjk"/>
              <w:widowControl w:val="0"/>
              <w:spacing w:before="0" w:beforeAutospacing="0"/>
              <w:ind w:leftChars="-33" w:left="-79" w:rightChars="-45" w:right="-108"/>
              <w:jc w:val="center"/>
              <w:rPr>
                <w:rFonts w:ascii="Times New Roman" w:hAnsi="Times New Roman" w:cs="Times New Roman"/>
                <w:sz w:val="26"/>
                <w:szCs w:val="26"/>
              </w:rPr>
            </w:pPr>
            <w:r>
              <w:rPr>
                <w:rFonts w:ascii="Times New Roman" w:hAnsi="Times New Roman" w:cs="Times New Roman"/>
                <w:sz w:val="26"/>
                <w:szCs w:val="26"/>
              </w:rPr>
              <w:lastRenderedPageBreak/>
              <w:t>Fluke 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TII</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cs="Times New Roman" w:hint="eastAsia"/>
                <w:sz w:val="26"/>
                <w:szCs w:val="26"/>
              </w:rPr>
              <w:t>母公司</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bl>
    <w:p w:rsidR="0032590C" w:rsidRDefault="00F20EDA" w:rsidP="00965AF0">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信用及收款</w:t>
      </w:r>
    </w:p>
    <w:p w:rsidR="0032590C"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如企業本身給予客戶非立即付訖之付款條件，並就陌生之客戶進行徵信，或請求提示信用狀等行為。</w:t>
      </w:r>
    </w:p>
    <w:tbl>
      <w:tblPr>
        <w:tblW w:w="7979"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0"/>
        <w:gridCol w:w="5829"/>
      </w:tblGrid>
      <w:tr w:rsidR="00E25E6C" w:rsidRPr="006D645B" w:rsidTr="001A132B">
        <w:trPr>
          <w:tblHeader/>
        </w:trPr>
        <w:tc>
          <w:tcPr>
            <w:tcW w:w="2150"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受控交易參與人</w:t>
            </w:r>
          </w:p>
        </w:tc>
        <w:tc>
          <w:tcPr>
            <w:tcW w:w="5829"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信用及收款功能</w:t>
            </w: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cs="Times New Roman" w:hint="eastAsia"/>
                <w:sz w:val="26"/>
                <w:szCs w:val="26"/>
              </w:rPr>
              <w:t>太克科技</w:t>
            </w:r>
          </w:p>
        </w:tc>
        <w:tc>
          <w:tcPr>
            <w:tcW w:w="5829" w:type="dxa"/>
            <w:vMerge w:val="restart"/>
            <w:tcBorders>
              <w:top w:val="single" w:sz="4" w:space="0" w:color="auto"/>
            </w:tcBorders>
            <w:vAlign w:val="center"/>
          </w:tcPr>
          <w:p w:rsidR="0032590C" w:rsidRDefault="00DC4ACB" w:rsidP="00965AF0">
            <w:pPr>
              <w:pStyle w:val="cjk"/>
              <w:widowControl w:val="0"/>
              <w:spacing w:beforeLines="25" w:before="60" w:afterLines="25" w:after="60"/>
              <w:jc w:val="both"/>
              <w:rPr>
                <w:rFonts w:ascii="Times New Roman" w:hAnsi="Times New Roman" w:cs="Times New Roman"/>
                <w:color w:val="auto"/>
                <w:sz w:val="26"/>
                <w:szCs w:val="26"/>
              </w:rPr>
            </w:pPr>
            <w:r w:rsidRPr="00DC4ACB">
              <w:rPr>
                <w:rFonts w:ascii="Times New Roman" w:cs="Times New Roman" w:hint="eastAsia"/>
                <w:sz w:val="26"/>
                <w:szCs w:val="26"/>
              </w:rPr>
              <w:t>太克科技、</w:t>
            </w:r>
            <w:r w:rsidRPr="00DC4ACB">
              <w:rPr>
                <w:rFonts w:ascii="Times New Roman" w:hAnsi="Times New Roman" w:cs="Times New Roman"/>
                <w:sz w:val="26"/>
                <w:szCs w:val="26"/>
              </w:rPr>
              <w:t>TIS</w:t>
            </w:r>
            <w:r w:rsidRPr="00DC4ACB">
              <w:rPr>
                <w:rFonts w:ascii="Times New Roman" w:cs="Times New Roman" w:hint="eastAsia"/>
                <w:sz w:val="26"/>
                <w:szCs w:val="26"/>
              </w:rPr>
              <w:t>、</w:t>
            </w:r>
            <w:r w:rsidRPr="00DC4ACB">
              <w:rPr>
                <w:rFonts w:ascii="Times New Roman" w:hAnsi="Times New Roman" w:cs="Times New Roman"/>
                <w:sz w:val="26"/>
                <w:szCs w:val="26"/>
              </w:rPr>
              <w:t>TCT</w:t>
            </w:r>
            <w:r w:rsidRPr="00DC4ACB">
              <w:rPr>
                <w:rFonts w:ascii="Times New Roman" w:cs="Times New Roman" w:hint="eastAsia"/>
                <w:sz w:val="26"/>
                <w:szCs w:val="26"/>
              </w:rPr>
              <w:t>、</w:t>
            </w:r>
            <w:r w:rsidRPr="00DC4ACB">
              <w:rPr>
                <w:rFonts w:ascii="Times New Roman" w:hAnsi="Times New Roman" w:cs="Times New Roman"/>
                <w:bCs/>
                <w:sz w:val="26"/>
                <w:szCs w:val="26"/>
              </w:rPr>
              <w:t>Fluke SEA</w:t>
            </w:r>
            <w:r w:rsidRPr="00DC4ACB">
              <w:rPr>
                <w:rFonts w:ascii="Times New Roman" w:cs="Times New Roman" w:hint="eastAsia"/>
                <w:sz w:val="26"/>
                <w:szCs w:val="26"/>
              </w:rPr>
              <w:t>、</w:t>
            </w:r>
            <w:r w:rsidRPr="00DC4ACB">
              <w:rPr>
                <w:rFonts w:ascii="Times New Roman" w:hAnsi="Times New Roman" w:cs="Times New Roman"/>
                <w:sz w:val="26"/>
                <w:szCs w:val="26"/>
              </w:rPr>
              <w:t>TII</w:t>
            </w:r>
            <w:r w:rsidRPr="00DC4ACB">
              <w:rPr>
                <w:rFonts w:ascii="Times New Roman" w:cs="Times New Roman" w:hint="eastAsia"/>
                <w:sz w:val="26"/>
                <w:szCs w:val="26"/>
              </w:rPr>
              <w:t>及母公司皆自行負責各自客戶之信用調查評估，並依結果給予客戶不同之付款條件，並負責貨款之收受，執行信用及收款功能。</w:t>
            </w: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TIS</w:t>
            </w:r>
          </w:p>
        </w:tc>
        <w:tc>
          <w:tcPr>
            <w:tcW w:w="5829" w:type="dxa"/>
            <w:vMerge/>
            <w:vAlign w:val="center"/>
          </w:tcPr>
          <w:p w:rsidR="0032590C" w:rsidRDefault="0032590C" w:rsidP="00965AF0">
            <w:pPr>
              <w:pStyle w:val="cjk"/>
              <w:widowControl w:val="0"/>
              <w:spacing w:beforeLines="25" w:before="60" w:afterLines="25" w:after="60"/>
              <w:jc w:val="both"/>
              <w:rPr>
                <w:rFonts w:ascii="Times New Roman" w:hAnsi="Times New Roman" w:cs="Times New Roman"/>
                <w:sz w:val="26"/>
                <w:szCs w:val="26"/>
              </w:rPr>
            </w:pP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TCT</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E25E6C" w:rsidRPr="006D645B" w:rsidTr="000A7150">
        <w:trPr>
          <w:trHeight w:val="338"/>
        </w:trPr>
        <w:tc>
          <w:tcPr>
            <w:tcW w:w="2150" w:type="dxa"/>
            <w:vAlign w:val="center"/>
          </w:tcPr>
          <w:p w:rsidR="00E25E6C" w:rsidRPr="006D645B" w:rsidRDefault="004864D6" w:rsidP="001A132B">
            <w:pPr>
              <w:pStyle w:val="cjk"/>
              <w:widowControl w:val="0"/>
              <w:spacing w:before="0" w:beforeAutospacing="0"/>
              <w:ind w:leftChars="-33" w:left="-79" w:rightChars="-45" w:right="-108"/>
              <w:jc w:val="center"/>
              <w:rPr>
                <w:rFonts w:ascii="Times New Roman" w:hAnsi="Times New Roman" w:cs="Times New Roman"/>
                <w:sz w:val="26"/>
                <w:szCs w:val="26"/>
              </w:rPr>
            </w:pPr>
            <w:r>
              <w:rPr>
                <w:rFonts w:ascii="Times New Roman" w:hAnsi="Times New Roman" w:cs="Times New Roman"/>
                <w:sz w:val="26"/>
                <w:szCs w:val="26"/>
              </w:rPr>
              <w:t>Fluke 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TII</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cs="Times New Roman" w:hint="eastAsia"/>
                <w:sz w:val="26"/>
                <w:szCs w:val="26"/>
              </w:rPr>
              <w:t>母公司</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bl>
    <w:p w:rsidR="0032590C" w:rsidRDefault="00F20EDA" w:rsidP="00965AF0">
      <w:pPr>
        <w:numPr>
          <w:ilvl w:val="0"/>
          <w:numId w:val="17"/>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經營管理、會計、財務及法律</w:t>
      </w:r>
    </w:p>
    <w:p w:rsidR="0032590C"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如企業本身具有獨立決策，可自行管理企業經營業務，執行會計、財務及法律上等行為。</w:t>
      </w:r>
    </w:p>
    <w:tbl>
      <w:tblPr>
        <w:tblW w:w="7979"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0"/>
        <w:gridCol w:w="5829"/>
      </w:tblGrid>
      <w:tr w:rsidR="006D645B" w:rsidRPr="006D645B" w:rsidTr="001A132B">
        <w:trPr>
          <w:tblHeader/>
        </w:trPr>
        <w:tc>
          <w:tcPr>
            <w:tcW w:w="2150"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受控交易參與人</w:t>
            </w:r>
          </w:p>
        </w:tc>
        <w:tc>
          <w:tcPr>
            <w:tcW w:w="5829"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經營管理、會計、財務及法律功能</w:t>
            </w: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cs="Times New Roman" w:hint="eastAsia"/>
                <w:sz w:val="26"/>
                <w:szCs w:val="26"/>
              </w:rPr>
              <w:t>太克科技</w:t>
            </w:r>
          </w:p>
        </w:tc>
        <w:tc>
          <w:tcPr>
            <w:tcW w:w="5829" w:type="dxa"/>
            <w:vMerge w:val="restart"/>
            <w:tcBorders>
              <w:top w:val="single" w:sz="4" w:space="0" w:color="auto"/>
            </w:tcBorders>
            <w:vAlign w:val="center"/>
          </w:tcPr>
          <w:p w:rsidR="00E25E6C" w:rsidRPr="006D645B" w:rsidRDefault="00DC4ACB" w:rsidP="00965AF0">
            <w:pPr>
              <w:pStyle w:val="cjk"/>
              <w:widowControl w:val="0"/>
              <w:spacing w:beforeLines="25" w:before="60" w:afterLines="25" w:after="60"/>
              <w:jc w:val="both"/>
              <w:rPr>
                <w:rFonts w:ascii="Times New Roman" w:hAnsi="Times New Roman" w:cs="Times New Roman"/>
                <w:color w:val="auto"/>
                <w:sz w:val="26"/>
                <w:szCs w:val="26"/>
              </w:rPr>
            </w:pPr>
            <w:r w:rsidRPr="00DC4ACB">
              <w:rPr>
                <w:rFonts w:ascii="Times New Roman" w:cs="Times New Roman" w:hint="eastAsia"/>
                <w:sz w:val="26"/>
                <w:szCs w:val="26"/>
              </w:rPr>
              <w:t>太克科技、</w:t>
            </w:r>
            <w:r w:rsidRPr="00DC4ACB">
              <w:rPr>
                <w:rFonts w:ascii="Times New Roman" w:hAnsi="Times New Roman" w:cs="Times New Roman"/>
                <w:sz w:val="26"/>
                <w:szCs w:val="26"/>
              </w:rPr>
              <w:t>TIS</w:t>
            </w:r>
            <w:r w:rsidRPr="00DC4ACB">
              <w:rPr>
                <w:rFonts w:ascii="Times New Roman" w:cs="Times New Roman" w:hint="eastAsia"/>
                <w:sz w:val="26"/>
                <w:szCs w:val="26"/>
              </w:rPr>
              <w:t>、</w:t>
            </w:r>
            <w:r w:rsidRPr="00DC4ACB">
              <w:rPr>
                <w:rFonts w:ascii="Times New Roman" w:hAnsi="Times New Roman" w:cs="Times New Roman"/>
                <w:sz w:val="26"/>
                <w:szCs w:val="26"/>
              </w:rPr>
              <w:t>TCT</w:t>
            </w:r>
            <w:r w:rsidRPr="00DC4ACB">
              <w:rPr>
                <w:rFonts w:ascii="Times New Roman" w:cs="Times New Roman" w:hint="eastAsia"/>
                <w:sz w:val="26"/>
                <w:szCs w:val="26"/>
              </w:rPr>
              <w:t>、</w:t>
            </w:r>
            <w:r w:rsidR="004864D6">
              <w:rPr>
                <w:rFonts w:ascii="Times New Roman" w:hAnsi="Times New Roman" w:cs="Times New Roman"/>
                <w:bCs/>
                <w:sz w:val="26"/>
                <w:szCs w:val="26"/>
              </w:rPr>
              <w:t>Fluke SEA</w:t>
            </w:r>
            <w:r w:rsidRPr="00DC4ACB">
              <w:rPr>
                <w:rFonts w:ascii="Times New Roman" w:hAnsi="Times New Roman" w:cs="Times New Roman"/>
                <w:bCs/>
                <w:sz w:val="26"/>
                <w:szCs w:val="26"/>
              </w:rPr>
              <w:t xml:space="preserve"> SEA</w:t>
            </w:r>
            <w:r w:rsidRPr="00DC4ACB">
              <w:rPr>
                <w:rFonts w:ascii="Times New Roman" w:cs="Times New Roman" w:hint="eastAsia"/>
                <w:sz w:val="26"/>
                <w:szCs w:val="26"/>
              </w:rPr>
              <w:t>、</w:t>
            </w:r>
            <w:r w:rsidRPr="00DC4ACB">
              <w:rPr>
                <w:rFonts w:ascii="Times New Roman" w:hAnsi="Times New Roman" w:cs="Times New Roman"/>
                <w:sz w:val="26"/>
                <w:szCs w:val="26"/>
              </w:rPr>
              <w:t>TII</w:t>
            </w:r>
            <w:r w:rsidRPr="00DC4ACB">
              <w:rPr>
                <w:rFonts w:ascii="Times New Roman" w:cs="Times New Roman" w:hint="eastAsia"/>
                <w:sz w:val="26"/>
                <w:szCs w:val="26"/>
              </w:rPr>
              <w:t>及母公司皆負責內部會計、財務、資訊、法律、人員管理等事宜，</w:t>
            </w:r>
            <w:proofErr w:type="gramStart"/>
            <w:r w:rsidRPr="00DC4ACB">
              <w:rPr>
                <w:rFonts w:ascii="Times New Roman" w:cs="Times New Roman" w:hint="eastAsia"/>
                <w:sz w:val="26"/>
                <w:szCs w:val="26"/>
              </w:rPr>
              <w:t>並聘編相關</w:t>
            </w:r>
            <w:proofErr w:type="gramEnd"/>
            <w:r w:rsidRPr="00DC4ACB">
              <w:rPr>
                <w:rFonts w:ascii="Times New Roman" w:cs="Times New Roman" w:hint="eastAsia"/>
                <w:sz w:val="26"/>
                <w:szCs w:val="26"/>
              </w:rPr>
              <w:t>作業人員，執行經營管理、會計、財務及法律等功能。</w:t>
            </w: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TIS</w:t>
            </w:r>
          </w:p>
        </w:tc>
        <w:tc>
          <w:tcPr>
            <w:tcW w:w="5829" w:type="dxa"/>
            <w:vMerge/>
            <w:vAlign w:val="center"/>
          </w:tcPr>
          <w:p w:rsidR="0032590C" w:rsidRDefault="0032590C" w:rsidP="00965AF0">
            <w:pPr>
              <w:pStyle w:val="cjk"/>
              <w:widowControl w:val="0"/>
              <w:spacing w:beforeLines="25" w:before="60" w:afterLines="25" w:after="60"/>
              <w:jc w:val="both"/>
              <w:rPr>
                <w:rFonts w:ascii="Times New Roman" w:hAnsi="Times New Roman" w:cs="Times New Roman"/>
                <w:sz w:val="26"/>
                <w:szCs w:val="26"/>
              </w:rPr>
            </w:pP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TCT</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E25E6C" w:rsidRPr="006D645B" w:rsidTr="000A7150">
        <w:trPr>
          <w:trHeight w:val="338"/>
        </w:trPr>
        <w:tc>
          <w:tcPr>
            <w:tcW w:w="2150" w:type="dxa"/>
            <w:vAlign w:val="center"/>
          </w:tcPr>
          <w:p w:rsidR="00E25E6C" w:rsidRPr="006D645B" w:rsidRDefault="004864D6" w:rsidP="001A132B">
            <w:pPr>
              <w:pStyle w:val="cjk"/>
              <w:widowControl w:val="0"/>
              <w:spacing w:before="0" w:beforeAutospacing="0"/>
              <w:ind w:leftChars="-33" w:left="-79" w:rightChars="-45" w:right="-108"/>
              <w:jc w:val="center"/>
              <w:rPr>
                <w:rFonts w:ascii="Times New Roman" w:hAnsi="Times New Roman" w:cs="Times New Roman"/>
                <w:sz w:val="26"/>
                <w:szCs w:val="26"/>
              </w:rPr>
            </w:pPr>
            <w:r>
              <w:rPr>
                <w:rFonts w:ascii="Times New Roman" w:hAnsi="Times New Roman" w:cs="Times New Roman"/>
                <w:sz w:val="26"/>
                <w:szCs w:val="26"/>
              </w:rPr>
              <w:t>Fluke 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TII</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338"/>
        </w:trPr>
        <w:tc>
          <w:tcPr>
            <w:tcW w:w="2150" w:type="dxa"/>
            <w:vAlign w:val="center"/>
          </w:tcPr>
          <w:p w:rsidR="00E25E6C" w:rsidRPr="006D645B" w:rsidRDefault="00DC4ACB" w:rsidP="001A132B">
            <w:pPr>
              <w:pStyle w:val="cjk"/>
              <w:widowControl w:val="0"/>
              <w:spacing w:before="0" w:beforeAutospacing="0"/>
              <w:ind w:leftChars="-33" w:left="-79" w:rightChars="-45" w:right="-108"/>
              <w:jc w:val="center"/>
              <w:rPr>
                <w:rFonts w:ascii="Times New Roman" w:hAnsi="Times New Roman" w:cs="Times New Roman"/>
                <w:sz w:val="26"/>
                <w:szCs w:val="26"/>
              </w:rPr>
            </w:pPr>
            <w:r w:rsidRPr="00DC4ACB">
              <w:rPr>
                <w:rFonts w:ascii="Times New Roman" w:cs="Times New Roman" w:hint="eastAsia"/>
                <w:sz w:val="26"/>
                <w:szCs w:val="26"/>
              </w:rPr>
              <w:t>母公司</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bl>
    <w:p w:rsidR="00E04D4D" w:rsidRDefault="00E04D4D" w:rsidP="00965AF0">
      <w:pPr>
        <w:spacing w:beforeLines="50" w:before="120" w:afterLines="50" w:after="120" w:line="360" w:lineRule="auto"/>
        <w:ind w:left="1000"/>
        <w:jc w:val="both"/>
        <w:rPr>
          <w:rFonts w:eastAsia="標楷體"/>
          <w:sz w:val="26"/>
          <w:szCs w:val="26"/>
        </w:rPr>
      </w:pPr>
    </w:p>
    <w:p w:rsidR="0032590C" w:rsidRDefault="00F20EDA" w:rsidP="00965AF0">
      <w:pPr>
        <w:numPr>
          <w:ilvl w:val="0"/>
          <w:numId w:val="20"/>
        </w:numPr>
        <w:spacing w:beforeLines="50" w:before="120" w:afterLines="50" w:after="120" w:line="360" w:lineRule="auto"/>
        <w:jc w:val="both"/>
        <w:rPr>
          <w:rFonts w:eastAsia="標楷體"/>
          <w:sz w:val="26"/>
          <w:szCs w:val="26"/>
        </w:rPr>
      </w:pPr>
      <w:r>
        <w:rPr>
          <w:rFonts w:eastAsia="標楷體" w:hint="eastAsia"/>
          <w:sz w:val="26"/>
          <w:szCs w:val="26"/>
        </w:rPr>
        <w:lastRenderedPageBreak/>
        <w:t>茲將各受控交易參與人之功能分析彙總如下：</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477"/>
        <w:gridCol w:w="2950"/>
        <w:gridCol w:w="874"/>
        <w:gridCol w:w="874"/>
        <w:gridCol w:w="874"/>
        <w:gridCol w:w="874"/>
        <w:gridCol w:w="874"/>
        <w:gridCol w:w="878"/>
      </w:tblGrid>
      <w:tr w:rsidR="004A330B" w:rsidRPr="006D645B" w:rsidTr="004A330B">
        <w:trPr>
          <w:cantSplit/>
          <w:trHeight w:val="397"/>
          <w:tblHeader/>
        </w:trPr>
        <w:tc>
          <w:tcPr>
            <w:tcW w:w="274" w:type="pct"/>
            <w:vMerge w:val="restart"/>
            <w:shd w:val="clear" w:color="auto" w:fill="4F81BD"/>
            <w:vAlign w:val="center"/>
          </w:tcPr>
          <w:p w:rsidR="004A330B" w:rsidRPr="006D645B" w:rsidRDefault="00F20EDA" w:rsidP="00CA4803">
            <w:pPr>
              <w:autoSpaceDE w:val="0"/>
              <w:autoSpaceDN w:val="0"/>
              <w:adjustRightInd w:val="0"/>
              <w:jc w:val="center"/>
              <w:rPr>
                <w:rFonts w:eastAsia="標楷體"/>
                <w:color w:val="FFFFFF"/>
                <w:sz w:val="26"/>
                <w:szCs w:val="26"/>
              </w:rPr>
            </w:pPr>
            <w:r>
              <w:rPr>
                <w:rFonts w:eastAsia="標楷體" w:hint="eastAsia"/>
                <w:color w:val="FFFFFF"/>
                <w:sz w:val="26"/>
                <w:szCs w:val="26"/>
              </w:rPr>
              <w:t>編號</w:t>
            </w:r>
          </w:p>
        </w:tc>
        <w:tc>
          <w:tcPr>
            <w:tcW w:w="1700" w:type="pct"/>
            <w:vMerge w:val="restart"/>
            <w:shd w:val="clear" w:color="auto" w:fill="4F81BD"/>
            <w:vAlign w:val="center"/>
          </w:tcPr>
          <w:p w:rsidR="004A330B" w:rsidRPr="006D645B" w:rsidRDefault="00F20EDA" w:rsidP="00CA4803">
            <w:pPr>
              <w:autoSpaceDE w:val="0"/>
              <w:autoSpaceDN w:val="0"/>
              <w:adjustRightInd w:val="0"/>
              <w:jc w:val="center"/>
              <w:rPr>
                <w:rFonts w:eastAsia="標楷體"/>
                <w:color w:val="FFFFFF"/>
                <w:sz w:val="26"/>
                <w:szCs w:val="26"/>
              </w:rPr>
            </w:pPr>
            <w:r>
              <w:rPr>
                <w:rFonts w:eastAsia="標楷體" w:hint="eastAsia"/>
                <w:color w:val="FFFFFF"/>
                <w:sz w:val="26"/>
                <w:szCs w:val="26"/>
              </w:rPr>
              <w:t>執行功能</w:t>
            </w:r>
          </w:p>
        </w:tc>
        <w:tc>
          <w:tcPr>
            <w:tcW w:w="3026" w:type="pct"/>
            <w:gridSpan w:val="6"/>
            <w:shd w:val="clear" w:color="auto" w:fill="4F81BD"/>
          </w:tcPr>
          <w:p w:rsidR="004A330B" w:rsidRPr="006D645B" w:rsidRDefault="00F20EDA" w:rsidP="00CA4803">
            <w:pPr>
              <w:autoSpaceDE w:val="0"/>
              <w:autoSpaceDN w:val="0"/>
              <w:adjustRightInd w:val="0"/>
              <w:jc w:val="center"/>
              <w:rPr>
                <w:rFonts w:eastAsia="標楷體"/>
                <w:color w:val="FFFFFF"/>
                <w:sz w:val="26"/>
                <w:szCs w:val="26"/>
              </w:rPr>
            </w:pPr>
            <w:r>
              <w:rPr>
                <w:rFonts w:eastAsia="標楷體" w:hint="eastAsia"/>
                <w:color w:val="FFFFFF"/>
                <w:sz w:val="26"/>
                <w:szCs w:val="26"/>
              </w:rPr>
              <w:t>受控交易之各參與人執行功能情形</w:t>
            </w:r>
          </w:p>
        </w:tc>
      </w:tr>
      <w:tr w:rsidR="002B281B" w:rsidRPr="006D645B" w:rsidTr="002B281B">
        <w:trPr>
          <w:cantSplit/>
          <w:trHeight w:val="1134"/>
          <w:tblHeader/>
        </w:trPr>
        <w:tc>
          <w:tcPr>
            <w:tcW w:w="274" w:type="pct"/>
            <w:vMerge/>
            <w:shd w:val="clear" w:color="auto" w:fill="4F81BD"/>
            <w:vAlign w:val="center"/>
          </w:tcPr>
          <w:p w:rsidR="002B281B" w:rsidRPr="006D645B" w:rsidRDefault="002B281B" w:rsidP="00CA4803">
            <w:pPr>
              <w:autoSpaceDE w:val="0"/>
              <w:autoSpaceDN w:val="0"/>
              <w:adjustRightInd w:val="0"/>
              <w:spacing w:line="0" w:lineRule="atLeast"/>
              <w:ind w:leftChars="-45" w:left="-108" w:rightChars="-43" w:right="-103"/>
              <w:jc w:val="center"/>
              <w:rPr>
                <w:rFonts w:eastAsia="標楷體"/>
                <w:color w:val="FFFFFF"/>
                <w:sz w:val="26"/>
                <w:szCs w:val="26"/>
              </w:rPr>
            </w:pPr>
          </w:p>
        </w:tc>
        <w:tc>
          <w:tcPr>
            <w:tcW w:w="1700" w:type="pct"/>
            <w:vMerge/>
            <w:shd w:val="clear" w:color="auto" w:fill="4F81BD"/>
            <w:vAlign w:val="center"/>
          </w:tcPr>
          <w:p w:rsidR="002B281B" w:rsidRPr="006D645B" w:rsidRDefault="002B281B" w:rsidP="00CA4803">
            <w:pPr>
              <w:autoSpaceDE w:val="0"/>
              <w:autoSpaceDN w:val="0"/>
              <w:adjustRightInd w:val="0"/>
              <w:spacing w:line="0" w:lineRule="atLeast"/>
              <w:ind w:leftChars="-45" w:left="-108" w:rightChars="-43" w:right="-103"/>
              <w:jc w:val="center"/>
              <w:rPr>
                <w:rFonts w:eastAsia="標楷體"/>
                <w:color w:val="FFFFFF"/>
                <w:sz w:val="26"/>
                <w:szCs w:val="26"/>
              </w:rPr>
            </w:pPr>
          </w:p>
        </w:tc>
        <w:tc>
          <w:tcPr>
            <w:tcW w:w="504" w:type="pct"/>
            <w:shd w:val="clear" w:color="auto" w:fill="4F81BD"/>
            <w:vAlign w:val="center"/>
          </w:tcPr>
          <w:p w:rsidR="002B281B" w:rsidRPr="006D645B" w:rsidRDefault="00F20EDA" w:rsidP="00CA4803">
            <w:pPr>
              <w:autoSpaceDE w:val="0"/>
              <w:autoSpaceDN w:val="0"/>
              <w:adjustRightInd w:val="0"/>
              <w:spacing w:line="0" w:lineRule="atLeast"/>
              <w:ind w:leftChars="-45" w:left="-108" w:rightChars="-43" w:right="-103"/>
              <w:jc w:val="center"/>
              <w:rPr>
                <w:rFonts w:eastAsia="標楷體"/>
                <w:color w:val="FFFFFF"/>
                <w:w w:val="90"/>
                <w:sz w:val="26"/>
                <w:szCs w:val="26"/>
              </w:rPr>
            </w:pPr>
            <w:r>
              <w:rPr>
                <w:rFonts w:eastAsia="標楷體" w:hint="eastAsia"/>
                <w:color w:val="FFFFFF"/>
                <w:w w:val="90"/>
                <w:sz w:val="26"/>
                <w:szCs w:val="26"/>
              </w:rPr>
              <w:t>太克</w:t>
            </w:r>
            <w:r>
              <w:rPr>
                <w:rFonts w:eastAsia="標楷體"/>
                <w:color w:val="FFFFFF"/>
                <w:w w:val="90"/>
                <w:sz w:val="26"/>
                <w:szCs w:val="26"/>
              </w:rPr>
              <w:br/>
            </w:r>
            <w:r>
              <w:rPr>
                <w:rFonts w:eastAsia="標楷體" w:hint="eastAsia"/>
                <w:color w:val="FFFFFF"/>
                <w:w w:val="90"/>
                <w:sz w:val="26"/>
                <w:szCs w:val="26"/>
              </w:rPr>
              <w:t>科技</w:t>
            </w:r>
          </w:p>
        </w:tc>
        <w:tc>
          <w:tcPr>
            <w:tcW w:w="504" w:type="pct"/>
            <w:shd w:val="clear" w:color="auto" w:fill="4F81BD"/>
            <w:vAlign w:val="center"/>
          </w:tcPr>
          <w:p w:rsidR="002B281B" w:rsidRPr="006D645B" w:rsidRDefault="00F20EDA" w:rsidP="00CA4803">
            <w:pPr>
              <w:autoSpaceDE w:val="0"/>
              <w:autoSpaceDN w:val="0"/>
              <w:adjustRightInd w:val="0"/>
              <w:spacing w:line="0" w:lineRule="atLeast"/>
              <w:ind w:leftChars="-45" w:left="-108" w:rightChars="-43" w:right="-103"/>
              <w:jc w:val="center"/>
              <w:rPr>
                <w:rFonts w:eastAsia="標楷體"/>
                <w:color w:val="FFFFFF"/>
                <w:sz w:val="26"/>
                <w:szCs w:val="26"/>
              </w:rPr>
            </w:pPr>
            <w:r>
              <w:rPr>
                <w:rFonts w:eastAsia="標楷體" w:hint="eastAsia"/>
                <w:color w:val="FFFFFF"/>
                <w:sz w:val="26"/>
                <w:szCs w:val="26"/>
              </w:rPr>
              <w:t>母公司</w:t>
            </w:r>
          </w:p>
        </w:tc>
        <w:tc>
          <w:tcPr>
            <w:tcW w:w="504" w:type="pct"/>
            <w:shd w:val="clear" w:color="auto" w:fill="4F81BD"/>
            <w:textDirection w:val="tbRl"/>
            <w:vAlign w:val="center"/>
          </w:tcPr>
          <w:p w:rsidR="002B281B" w:rsidRPr="006D645B" w:rsidRDefault="00F20EDA" w:rsidP="00CA4803">
            <w:pPr>
              <w:autoSpaceDE w:val="0"/>
              <w:autoSpaceDN w:val="0"/>
              <w:adjustRightInd w:val="0"/>
              <w:spacing w:line="0" w:lineRule="atLeast"/>
              <w:ind w:leftChars="-45" w:left="-108" w:rightChars="-43" w:right="-103"/>
              <w:jc w:val="center"/>
              <w:rPr>
                <w:rFonts w:eastAsia="標楷體"/>
                <w:color w:val="FFFFFF"/>
                <w:sz w:val="26"/>
                <w:szCs w:val="26"/>
              </w:rPr>
            </w:pPr>
            <w:r>
              <w:rPr>
                <w:rFonts w:eastAsia="標楷體"/>
                <w:color w:val="FFFFFF"/>
                <w:sz w:val="26"/>
                <w:szCs w:val="26"/>
              </w:rPr>
              <w:t>TIS</w:t>
            </w:r>
          </w:p>
        </w:tc>
        <w:tc>
          <w:tcPr>
            <w:tcW w:w="504" w:type="pct"/>
            <w:shd w:val="clear" w:color="auto" w:fill="4F81BD"/>
            <w:textDirection w:val="tbRlV"/>
            <w:vAlign w:val="center"/>
          </w:tcPr>
          <w:p w:rsidR="002B281B" w:rsidRPr="006D645B" w:rsidRDefault="00F20EDA" w:rsidP="00CA4803">
            <w:pPr>
              <w:autoSpaceDE w:val="0"/>
              <w:autoSpaceDN w:val="0"/>
              <w:adjustRightInd w:val="0"/>
              <w:spacing w:line="0" w:lineRule="atLeast"/>
              <w:ind w:leftChars="-45" w:left="-108" w:rightChars="-43" w:right="-103"/>
              <w:jc w:val="center"/>
              <w:rPr>
                <w:rFonts w:eastAsia="標楷體"/>
                <w:color w:val="FFFFFF"/>
                <w:sz w:val="26"/>
                <w:szCs w:val="26"/>
              </w:rPr>
            </w:pPr>
            <w:r>
              <w:rPr>
                <w:rFonts w:eastAsia="標楷體"/>
                <w:color w:val="FFFFFF"/>
                <w:sz w:val="26"/>
                <w:szCs w:val="26"/>
              </w:rPr>
              <w:t>TCT</w:t>
            </w:r>
          </w:p>
        </w:tc>
        <w:tc>
          <w:tcPr>
            <w:tcW w:w="504" w:type="pct"/>
            <w:shd w:val="clear" w:color="auto" w:fill="4F81BD"/>
            <w:textDirection w:val="tbRlV"/>
            <w:vAlign w:val="center"/>
          </w:tcPr>
          <w:p w:rsidR="002B281B" w:rsidRPr="006D645B" w:rsidRDefault="00F20EDA" w:rsidP="00977D67">
            <w:pPr>
              <w:autoSpaceDE w:val="0"/>
              <w:autoSpaceDN w:val="0"/>
              <w:adjustRightInd w:val="0"/>
              <w:spacing w:line="0" w:lineRule="atLeast"/>
              <w:ind w:leftChars="-45" w:left="-108" w:rightChars="-43" w:right="-103"/>
              <w:jc w:val="center"/>
              <w:rPr>
                <w:rFonts w:eastAsia="標楷體"/>
                <w:color w:val="FFFFFF"/>
                <w:sz w:val="26"/>
                <w:szCs w:val="26"/>
              </w:rPr>
            </w:pPr>
            <w:r>
              <w:rPr>
                <w:rFonts w:eastAsia="標楷體"/>
                <w:color w:val="FFFFFF"/>
                <w:sz w:val="26"/>
                <w:szCs w:val="26"/>
              </w:rPr>
              <w:t>Fluke SEA</w:t>
            </w:r>
          </w:p>
        </w:tc>
        <w:tc>
          <w:tcPr>
            <w:tcW w:w="504" w:type="pct"/>
            <w:shd w:val="clear" w:color="auto" w:fill="4F81BD"/>
            <w:textDirection w:val="tbRlV"/>
            <w:vAlign w:val="center"/>
          </w:tcPr>
          <w:p w:rsidR="002B281B" w:rsidRPr="006D645B" w:rsidRDefault="00F20EDA" w:rsidP="00CA4803">
            <w:pPr>
              <w:autoSpaceDE w:val="0"/>
              <w:autoSpaceDN w:val="0"/>
              <w:adjustRightInd w:val="0"/>
              <w:spacing w:line="0" w:lineRule="atLeast"/>
              <w:ind w:leftChars="-45" w:left="-108" w:rightChars="-43" w:right="-103"/>
              <w:jc w:val="center"/>
              <w:rPr>
                <w:rFonts w:eastAsia="標楷體"/>
                <w:color w:val="FFFFFF"/>
                <w:sz w:val="26"/>
                <w:szCs w:val="26"/>
              </w:rPr>
            </w:pPr>
            <w:r>
              <w:rPr>
                <w:rFonts w:eastAsia="標楷體"/>
                <w:color w:val="FFFFFF"/>
                <w:sz w:val="26"/>
                <w:szCs w:val="26"/>
              </w:rPr>
              <w:t>TII</w:t>
            </w:r>
          </w:p>
        </w:tc>
      </w:tr>
      <w:tr w:rsidR="002B281B" w:rsidRPr="006D645B" w:rsidTr="002B281B">
        <w:trPr>
          <w:trHeight w:hRule="exact" w:val="568"/>
        </w:trPr>
        <w:tc>
          <w:tcPr>
            <w:tcW w:w="274" w:type="pct"/>
            <w:tcBorders>
              <w:top w:val="double" w:sz="4" w:space="0" w:color="000000"/>
            </w:tcBorders>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1</w:t>
            </w:r>
          </w:p>
        </w:tc>
        <w:tc>
          <w:tcPr>
            <w:tcW w:w="1700" w:type="pct"/>
            <w:tcBorders>
              <w:top w:val="double" w:sz="4" w:space="0" w:color="000000"/>
            </w:tcBorders>
            <w:vAlign w:val="center"/>
          </w:tcPr>
          <w:p w:rsidR="002B281B" w:rsidRPr="006D645B" w:rsidRDefault="00F20EDA" w:rsidP="00CA4803">
            <w:pPr>
              <w:autoSpaceDE w:val="0"/>
              <w:autoSpaceDN w:val="0"/>
              <w:adjustRightInd w:val="0"/>
              <w:jc w:val="both"/>
              <w:rPr>
                <w:rFonts w:eastAsia="標楷體"/>
                <w:sz w:val="26"/>
                <w:szCs w:val="26"/>
              </w:rPr>
            </w:pPr>
            <w:r>
              <w:rPr>
                <w:rFonts w:eastAsia="標楷體" w:hint="eastAsia"/>
                <w:sz w:val="26"/>
                <w:szCs w:val="26"/>
              </w:rPr>
              <w:t>研究與發展功能</w:t>
            </w:r>
          </w:p>
        </w:tc>
        <w:tc>
          <w:tcPr>
            <w:tcW w:w="504" w:type="pct"/>
            <w:tcBorders>
              <w:top w:val="double" w:sz="4" w:space="0" w:color="000000"/>
            </w:tcBorders>
            <w:vAlign w:val="center"/>
          </w:tcPr>
          <w:p w:rsidR="002B281B" w:rsidRPr="006D645B" w:rsidRDefault="00F20EDA" w:rsidP="00CA4803">
            <w:pPr>
              <w:autoSpaceDE w:val="0"/>
              <w:autoSpaceDN w:val="0"/>
              <w:adjustRightInd w:val="0"/>
              <w:jc w:val="center"/>
              <w:rPr>
                <w:rFonts w:eastAsia="標楷體"/>
                <w:i/>
                <w:sz w:val="26"/>
                <w:szCs w:val="26"/>
              </w:rPr>
            </w:pPr>
            <w:r>
              <w:rPr>
                <w:rFonts w:eastAsia="標楷體"/>
                <w:sz w:val="26"/>
                <w:szCs w:val="26"/>
              </w:rPr>
              <w:t>X</w:t>
            </w:r>
          </w:p>
        </w:tc>
        <w:tc>
          <w:tcPr>
            <w:tcW w:w="504" w:type="pct"/>
            <w:tcBorders>
              <w:top w:val="double" w:sz="4" w:space="0" w:color="000000"/>
            </w:tcBorders>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tcBorders>
              <w:top w:val="double" w:sz="4" w:space="0" w:color="000000"/>
            </w:tcBorders>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X</w:t>
            </w:r>
          </w:p>
        </w:tc>
        <w:tc>
          <w:tcPr>
            <w:tcW w:w="504" w:type="pct"/>
            <w:tcBorders>
              <w:top w:val="double" w:sz="4" w:space="0" w:color="000000"/>
            </w:tcBorders>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X</w:t>
            </w:r>
          </w:p>
        </w:tc>
        <w:tc>
          <w:tcPr>
            <w:tcW w:w="504" w:type="pct"/>
            <w:tcBorders>
              <w:top w:val="double" w:sz="4" w:space="0" w:color="000000"/>
            </w:tcBorders>
            <w:vAlign w:val="center"/>
          </w:tcPr>
          <w:p w:rsidR="002B281B" w:rsidRPr="006D645B" w:rsidRDefault="00F20EDA" w:rsidP="00977D67">
            <w:pPr>
              <w:autoSpaceDE w:val="0"/>
              <w:autoSpaceDN w:val="0"/>
              <w:adjustRightInd w:val="0"/>
              <w:jc w:val="center"/>
              <w:rPr>
                <w:rFonts w:eastAsia="標楷體"/>
                <w:sz w:val="26"/>
                <w:szCs w:val="26"/>
              </w:rPr>
            </w:pPr>
            <w:r>
              <w:rPr>
                <w:rFonts w:eastAsia="標楷體"/>
                <w:sz w:val="26"/>
                <w:szCs w:val="26"/>
              </w:rPr>
              <w:t>X</w:t>
            </w:r>
          </w:p>
        </w:tc>
        <w:tc>
          <w:tcPr>
            <w:tcW w:w="504" w:type="pct"/>
            <w:tcBorders>
              <w:top w:val="double" w:sz="4" w:space="0" w:color="000000"/>
            </w:tcBorders>
            <w:vAlign w:val="center"/>
          </w:tcPr>
          <w:p w:rsidR="002B281B" w:rsidRPr="006D645B" w:rsidRDefault="00F20EDA" w:rsidP="009E5AE8">
            <w:pPr>
              <w:autoSpaceDE w:val="0"/>
              <w:autoSpaceDN w:val="0"/>
              <w:adjustRightInd w:val="0"/>
              <w:jc w:val="center"/>
              <w:rPr>
                <w:rFonts w:eastAsia="標楷體"/>
                <w:sz w:val="26"/>
                <w:szCs w:val="26"/>
              </w:rPr>
            </w:pPr>
            <w:r>
              <w:rPr>
                <w:rFonts w:eastAsia="標楷體"/>
                <w:sz w:val="26"/>
                <w:szCs w:val="26"/>
              </w:rPr>
              <w:t>X</w:t>
            </w:r>
          </w:p>
        </w:tc>
      </w:tr>
      <w:tr w:rsidR="002B281B" w:rsidRPr="006D645B" w:rsidTr="002B281B">
        <w:trPr>
          <w:trHeight w:hRule="exact" w:val="568"/>
        </w:trPr>
        <w:tc>
          <w:tcPr>
            <w:tcW w:w="27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2</w:t>
            </w:r>
          </w:p>
        </w:tc>
        <w:tc>
          <w:tcPr>
            <w:tcW w:w="1700" w:type="pct"/>
            <w:vAlign w:val="center"/>
          </w:tcPr>
          <w:p w:rsidR="002B281B" w:rsidRPr="006D645B" w:rsidRDefault="00F20EDA" w:rsidP="00CA4803">
            <w:pPr>
              <w:autoSpaceDE w:val="0"/>
              <w:autoSpaceDN w:val="0"/>
              <w:adjustRightInd w:val="0"/>
              <w:jc w:val="both"/>
              <w:rPr>
                <w:rFonts w:eastAsia="標楷體"/>
                <w:sz w:val="26"/>
                <w:szCs w:val="26"/>
              </w:rPr>
            </w:pPr>
            <w:r>
              <w:rPr>
                <w:rFonts w:eastAsia="標楷體" w:hint="eastAsia"/>
                <w:sz w:val="26"/>
                <w:szCs w:val="26"/>
              </w:rPr>
              <w:t>產品設計功能</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X</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X</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X</w:t>
            </w:r>
          </w:p>
        </w:tc>
        <w:tc>
          <w:tcPr>
            <w:tcW w:w="504" w:type="pct"/>
            <w:vAlign w:val="center"/>
          </w:tcPr>
          <w:p w:rsidR="002B281B" w:rsidRPr="006D645B" w:rsidRDefault="00F20EDA" w:rsidP="00977D67">
            <w:pPr>
              <w:autoSpaceDE w:val="0"/>
              <w:autoSpaceDN w:val="0"/>
              <w:adjustRightInd w:val="0"/>
              <w:jc w:val="center"/>
              <w:rPr>
                <w:rFonts w:eastAsia="標楷體"/>
                <w:sz w:val="26"/>
                <w:szCs w:val="26"/>
              </w:rPr>
            </w:pPr>
            <w:r>
              <w:rPr>
                <w:rFonts w:eastAsia="標楷體"/>
                <w:sz w:val="26"/>
                <w:szCs w:val="26"/>
              </w:rPr>
              <w:t>X</w:t>
            </w:r>
          </w:p>
        </w:tc>
        <w:tc>
          <w:tcPr>
            <w:tcW w:w="504" w:type="pct"/>
            <w:vAlign w:val="center"/>
          </w:tcPr>
          <w:p w:rsidR="002B281B" w:rsidRPr="006D645B" w:rsidRDefault="00F20EDA" w:rsidP="009E5AE8">
            <w:pPr>
              <w:autoSpaceDE w:val="0"/>
              <w:autoSpaceDN w:val="0"/>
              <w:adjustRightInd w:val="0"/>
              <w:jc w:val="center"/>
              <w:rPr>
                <w:rFonts w:eastAsia="標楷體"/>
                <w:sz w:val="26"/>
                <w:szCs w:val="26"/>
              </w:rPr>
            </w:pPr>
            <w:r>
              <w:rPr>
                <w:rFonts w:eastAsia="標楷體"/>
                <w:sz w:val="26"/>
                <w:szCs w:val="26"/>
              </w:rPr>
              <w:t>X</w:t>
            </w:r>
          </w:p>
        </w:tc>
      </w:tr>
      <w:tr w:rsidR="002B281B" w:rsidRPr="006D645B" w:rsidTr="002B281B">
        <w:trPr>
          <w:trHeight w:hRule="exact" w:val="795"/>
        </w:trPr>
        <w:tc>
          <w:tcPr>
            <w:tcW w:w="274" w:type="pct"/>
            <w:vAlign w:val="center"/>
          </w:tcPr>
          <w:p w:rsidR="002B281B" w:rsidRPr="006D645B" w:rsidRDefault="00F20EDA" w:rsidP="00CA4803">
            <w:pPr>
              <w:autoSpaceDE w:val="0"/>
              <w:autoSpaceDN w:val="0"/>
              <w:adjustRightInd w:val="0"/>
              <w:spacing w:line="0" w:lineRule="atLeast"/>
              <w:ind w:leftChars="-15" w:left="-36"/>
              <w:jc w:val="center"/>
              <w:rPr>
                <w:rFonts w:eastAsia="標楷體"/>
                <w:sz w:val="26"/>
                <w:szCs w:val="26"/>
              </w:rPr>
            </w:pPr>
            <w:r>
              <w:rPr>
                <w:rFonts w:eastAsia="標楷體"/>
                <w:sz w:val="26"/>
                <w:szCs w:val="26"/>
              </w:rPr>
              <w:t>3</w:t>
            </w:r>
          </w:p>
        </w:tc>
        <w:tc>
          <w:tcPr>
            <w:tcW w:w="1700" w:type="pct"/>
            <w:vAlign w:val="center"/>
          </w:tcPr>
          <w:p w:rsidR="002B281B" w:rsidRPr="006D645B" w:rsidRDefault="00F20EDA" w:rsidP="00CA4803">
            <w:pPr>
              <w:autoSpaceDE w:val="0"/>
              <w:autoSpaceDN w:val="0"/>
              <w:adjustRightInd w:val="0"/>
              <w:jc w:val="both"/>
              <w:rPr>
                <w:rFonts w:eastAsia="標楷體"/>
                <w:sz w:val="26"/>
                <w:szCs w:val="26"/>
              </w:rPr>
            </w:pPr>
            <w:r>
              <w:rPr>
                <w:rFonts w:eastAsia="標楷體" w:hint="eastAsia"/>
                <w:sz w:val="26"/>
                <w:szCs w:val="26"/>
              </w:rPr>
              <w:t>採購及原物料管理功能</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977D67">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9E5AE8">
            <w:pPr>
              <w:autoSpaceDE w:val="0"/>
              <w:autoSpaceDN w:val="0"/>
              <w:adjustRightInd w:val="0"/>
              <w:jc w:val="center"/>
              <w:rPr>
                <w:rFonts w:eastAsia="標楷體"/>
                <w:sz w:val="26"/>
                <w:szCs w:val="26"/>
              </w:rPr>
            </w:pPr>
            <w:r>
              <w:rPr>
                <w:rFonts w:eastAsia="標楷體" w:hint="eastAsia"/>
                <w:sz w:val="26"/>
                <w:szCs w:val="26"/>
              </w:rPr>
              <w:t>○</w:t>
            </w:r>
          </w:p>
        </w:tc>
      </w:tr>
      <w:tr w:rsidR="002B281B" w:rsidRPr="006D645B" w:rsidTr="002B281B">
        <w:trPr>
          <w:trHeight w:hRule="exact" w:val="724"/>
        </w:trPr>
        <w:tc>
          <w:tcPr>
            <w:tcW w:w="27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4</w:t>
            </w:r>
          </w:p>
        </w:tc>
        <w:tc>
          <w:tcPr>
            <w:tcW w:w="1700" w:type="pct"/>
            <w:vAlign w:val="center"/>
          </w:tcPr>
          <w:p w:rsidR="002B281B" w:rsidRPr="006D645B" w:rsidRDefault="00F20EDA" w:rsidP="00CA4803">
            <w:pPr>
              <w:autoSpaceDE w:val="0"/>
              <w:autoSpaceDN w:val="0"/>
              <w:adjustRightInd w:val="0"/>
              <w:jc w:val="both"/>
              <w:rPr>
                <w:rFonts w:eastAsia="標楷體"/>
                <w:sz w:val="26"/>
                <w:szCs w:val="26"/>
              </w:rPr>
            </w:pPr>
            <w:r>
              <w:rPr>
                <w:rFonts w:eastAsia="標楷體" w:hint="eastAsia"/>
                <w:sz w:val="26"/>
                <w:szCs w:val="26"/>
              </w:rPr>
              <w:t>製造、加工、裝配及測試功能</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X</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X</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X</w:t>
            </w:r>
          </w:p>
        </w:tc>
        <w:tc>
          <w:tcPr>
            <w:tcW w:w="504" w:type="pct"/>
            <w:vAlign w:val="center"/>
          </w:tcPr>
          <w:p w:rsidR="002B281B" w:rsidRPr="006D645B" w:rsidRDefault="00F20EDA" w:rsidP="00977D67">
            <w:pPr>
              <w:autoSpaceDE w:val="0"/>
              <w:autoSpaceDN w:val="0"/>
              <w:adjustRightInd w:val="0"/>
              <w:jc w:val="center"/>
              <w:rPr>
                <w:rFonts w:eastAsia="標楷體"/>
                <w:sz w:val="26"/>
                <w:szCs w:val="26"/>
              </w:rPr>
            </w:pPr>
            <w:r>
              <w:rPr>
                <w:rFonts w:eastAsia="標楷體"/>
                <w:sz w:val="26"/>
                <w:szCs w:val="26"/>
              </w:rPr>
              <w:t>X</w:t>
            </w:r>
          </w:p>
        </w:tc>
        <w:tc>
          <w:tcPr>
            <w:tcW w:w="504" w:type="pct"/>
            <w:vAlign w:val="center"/>
          </w:tcPr>
          <w:p w:rsidR="002B281B" w:rsidRPr="006D645B" w:rsidRDefault="00F20EDA" w:rsidP="009E5AE8">
            <w:pPr>
              <w:autoSpaceDE w:val="0"/>
              <w:autoSpaceDN w:val="0"/>
              <w:adjustRightInd w:val="0"/>
              <w:jc w:val="center"/>
              <w:rPr>
                <w:rFonts w:eastAsia="標楷體"/>
                <w:sz w:val="26"/>
                <w:szCs w:val="26"/>
              </w:rPr>
            </w:pPr>
            <w:r>
              <w:rPr>
                <w:rFonts w:eastAsia="標楷體"/>
                <w:sz w:val="26"/>
                <w:szCs w:val="26"/>
              </w:rPr>
              <w:t>X</w:t>
            </w:r>
          </w:p>
        </w:tc>
      </w:tr>
      <w:tr w:rsidR="002B281B" w:rsidRPr="006D645B" w:rsidTr="002B281B">
        <w:trPr>
          <w:trHeight w:hRule="exact" w:val="510"/>
        </w:trPr>
        <w:tc>
          <w:tcPr>
            <w:tcW w:w="27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5</w:t>
            </w:r>
          </w:p>
        </w:tc>
        <w:tc>
          <w:tcPr>
            <w:tcW w:w="1700" w:type="pct"/>
            <w:vAlign w:val="center"/>
          </w:tcPr>
          <w:p w:rsidR="002B281B" w:rsidRPr="006D645B" w:rsidRDefault="00F20EDA" w:rsidP="00CA4803">
            <w:pPr>
              <w:autoSpaceDE w:val="0"/>
              <w:autoSpaceDN w:val="0"/>
              <w:adjustRightInd w:val="0"/>
              <w:jc w:val="both"/>
              <w:rPr>
                <w:rFonts w:eastAsia="標楷體"/>
                <w:sz w:val="26"/>
                <w:szCs w:val="26"/>
              </w:rPr>
            </w:pPr>
            <w:r>
              <w:rPr>
                <w:rFonts w:eastAsia="標楷體" w:hint="eastAsia"/>
                <w:sz w:val="26"/>
                <w:szCs w:val="26"/>
              </w:rPr>
              <w:t>品質管制功能</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X</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X</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X</w:t>
            </w:r>
          </w:p>
        </w:tc>
        <w:tc>
          <w:tcPr>
            <w:tcW w:w="504" w:type="pct"/>
            <w:vAlign w:val="center"/>
          </w:tcPr>
          <w:p w:rsidR="002B281B" w:rsidRPr="006D645B" w:rsidRDefault="00F20EDA" w:rsidP="00977D67">
            <w:pPr>
              <w:autoSpaceDE w:val="0"/>
              <w:autoSpaceDN w:val="0"/>
              <w:adjustRightInd w:val="0"/>
              <w:jc w:val="center"/>
              <w:rPr>
                <w:rFonts w:eastAsia="標楷體"/>
                <w:sz w:val="26"/>
                <w:szCs w:val="26"/>
              </w:rPr>
            </w:pPr>
            <w:r>
              <w:rPr>
                <w:rFonts w:eastAsia="標楷體"/>
                <w:sz w:val="26"/>
                <w:szCs w:val="26"/>
              </w:rPr>
              <w:t>X</w:t>
            </w:r>
          </w:p>
        </w:tc>
        <w:tc>
          <w:tcPr>
            <w:tcW w:w="504" w:type="pct"/>
            <w:vAlign w:val="center"/>
          </w:tcPr>
          <w:p w:rsidR="002B281B" w:rsidRPr="006D645B" w:rsidRDefault="00F20EDA" w:rsidP="009E5AE8">
            <w:pPr>
              <w:autoSpaceDE w:val="0"/>
              <w:autoSpaceDN w:val="0"/>
              <w:adjustRightInd w:val="0"/>
              <w:jc w:val="center"/>
              <w:rPr>
                <w:rFonts w:eastAsia="標楷體"/>
                <w:sz w:val="26"/>
                <w:szCs w:val="26"/>
              </w:rPr>
            </w:pPr>
            <w:r>
              <w:rPr>
                <w:rFonts w:eastAsia="標楷體"/>
                <w:sz w:val="26"/>
                <w:szCs w:val="26"/>
              </w:rPr>
              <w:t>X</w:t>
            </w:r>
          </w:p>
        </w:tc>
      </w:tr>
      <w:tr w:rsidR="002B281B" w:rsidRPr="006D645B" w:rsidTr="002B281B">
        <w:trPr>
          <w:trHeight w:val="555"/>
        </w:trPr>
        <w:tc>
          <w:tcPr>
            <w:tcW w:w="27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6</w:t>
            </w:r>
          </w:p>
        </w:tc>
        <w:tc>
          <w:tcPr>
            <w:tcW w:w="1700" w:type="pct"/>
            <w:vAlign w:val="center"/>
          </w:tcPr>
          <w:p w:rsidR="002B281B" w:rsidRPr="006D645B" w:rsidRDefault="00F20EDA" w:rsidP="00CA4803">
            <w:pPr>
              <w:autoSpaceDE w:val="0"/>
              <w:autoSpaceDN w:val="0"/>
              <w:adjustRightInd w:val="0"/>
              <w:jc w:val="both"/>
              <w:rPr>
                <w:rFonts w:eastAsia="標楷體"/>
                <w:sz w:val="26"/>
                <w:szCs w:val="26"/>
              </w:rPr>
            </w:pPr>
            <w:r>
              <w:rPr>
                <w:rFonts w:eastAsia="標楷體" w:hint="eastAsia"/>
                <w:sz w:val="26"/>
                <w:szCs w:val="26"/>
              </w:rPr>
              <w:t>行銷、配銷及廣告功能</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977D67">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9E5AE8">
            <w:pPr>
              <w:autoSpaceDE w:val="0"/>
              <w:autoSpaceDN w:val="0"/>
              <w:adjustRightInd w:val="0"/>
              <w:jc w:val="center"/>
              <w:rPr>
                <w:rFonts w:eastAsia="標楷體"/>
                <w:sz w:val="26"/>
                <w:szCs w:val="26"/>
              </w:rPr>
            </w:pPr>
            <w:r>
              <w:rPr>
                <w:rFonts w:eastAsia="標楷體" w:hint="eastAsia"/>
                <w:sz w:val="26"/>
                <w:szCs w:val="26"/>
              </w:rPr>
              <w:t>△</w:t>
            </w:r>
          </w:p>
        </w:tc>
      </w:tr>
      <w:tr w:rsidR="002B281B" w:rsidRPr="006D645B" w:rsidTr="002B281B">
        <w:trPr>
          <w:trHeight w:hRule="exact" w:val="847"/>
        </w:trPr>
        <w:tc>
          <w:tcPr>
            <w:tcW w:w="27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7</w:t>
            </w:r>
          </w:p>
        </w:tc>
        <w:tc>
          <w:tcPr>
            <w:tcW w:w="1700" w:type="pct"/>
            <w:vAlign w:val="center"/>
          </w:tcPr>
          <w:p w:rsidR="002B281B" w:rsidRPr="006D645B" w:rsidRDefault="00F20EDA" w:rsidP="00CA4803">
            <w:pPr>
              <w:autoSpaceDE w:val="0"/>
              <w:autoSpaceDN w:val="0"/>
              <w:adjustRightInd w:val="0"/>
              <w:jc w:val="both"/>
              <w:rPr>
                <w:rFonts w:eastAsia="標楷體"/>
                <w:sz w:val="26"/>
                <w:szCs w:val="26"/>
              </w:rPr>
            </w:pPr>
            <w:r>
              <w:rPr>
                <w:rFonts w:eastAsia="標楷體" w:hint="eastAsia"/>
                <w:sz w:val="26"/>
                <w:szCs w:val="26"/>
              </w:rPr>
              <w:t>運送、倉儲及存貨管理功能</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977D67">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9E5AE8">
            <w:pPr>
              <w:autoSpaceDE w:val="0"/>
              <w:autoSpaceDN w:val="0"/>
              <w:adjustRightInd w:val="0"/>
              <w:jc w:val="center"/>
              <w:rPr>
                <w:rFonts w:eastAsia="標楷體"/>
                <w:sz w:val="26"/>
                <w:szCs w:val="26"/>
              </w:rPr>
            </w:pPr>
            <w:r>
              <w:rPr>
                <w:rFonts w:eastAsia="標楷體" w:hint="eastAsia"/>
                <w:sz w:val="26"/>
                <w:szCs w:val="26"/>
              </w:rPr>
              <w:t>○</w:t>
            </w:r>
          </w:p>
        </w:tc>
      </w:tr>
      <w:tr w:rsidR="002B281B" w:rsidRPr="006D645B" w:rsidTr="002B281B">
        <w:trPr>
          <w:trHeight w:hRule="exact" w:val="510"/>
        </w:trPr>
        <w:tc>
          <w:tcPr>
            <w:tcW w:w="27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8</w:t>
            </w:r>
          </w:p>
        </w:tc>
        <w:tc>
          <w:tcPr>
            <w:tcW w:w="1700" w:type="pct"/>
            <w:vAlign w:val="center"/>
          </w:tcPr>
          <w:p w:rsidR="002B281B" w:rsidRPr="006D645B" w:rsidRDefault="00F20EDA" w:rsidP="00CA4803">
            <w:pPr>
              <w:autoSpaceDE w:val="0"/>
              <w:autoSpaceDN w:val="0"/>
              <w:adjustRightInd w:val="0"/>
              <w:jc w:val="both"/>
              <w:rPr>
                <w:rFonts w:eastAsia="標楷體"/>
                <w:sz w:val="26"/>
                <w:szCs w:val="26"/>
              </w:rPr>
            </w:pPr>
            <w:r>
              <w:rPr>
                <w:rFonts w:eastAsia="標楷體" w:hint="eastAsia"/>
                <w:sz w:val="26"/>
                <w:szCs w:val="26"/>
              </w:rPr>
              <w:t>產品售後服務功能</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977D67">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9E5AE8">
            <w:pPr>
              <w:autoSpaceDE w:val="0"/>
              <w:autoSpaceDN w:val="0"/>
              <w:adjustRightInd w:val="0"/>
              <w:jc w:val="center"/>
              <w:rPr>
                <w:rFonts w:eastAsia="標楷體"/>
                <w:sz w:val="26"/>
                <w:szCs w:val="26"/>
              </w:rPr>
            </w:pPr>
            <w:r>
              <w:rPr>
                <w:rFonts w:eastAsia="標楷體" w:hint="eastAsia"/>
                <w:sz w:val="26"/>
                <w:szCs w:val="26"/>
              </w:rPr>
              <w:t>○</w:t>
            </w:r>
          </w:p>
        </w:tc>
      </w:tr>
      <w:tr w:rsidR="002B281B" w:rsidRPr="006D645B" w:rsidTr="002B281B">
        <w:trPr>
          <w:trHeight w:hRule="exact" w:val="510"/>
        </w:trPr>
        <w:tc>
          <w:tcPr>
            <w:tcW w:w="27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9</w:t>
            </w:r>
          </w:p>
        </w:tc>
        <w:tc>
          <w:tcPr>
            <w:tcW w:w="1700" w:type="pct"/>
            <w:vAlign w:val="center"/>
          </w:tcPr>
          <w:p w:rsidR="002B281B" w:rsidRPr="006D645B" w:rsidRDefault="00F20EDA" w:rsidP="00CA4803">
            <w:pPr>
              <w:autoSpaceDE w:val="0"/>
              <w:autoSpaceDN w:val="0"/>
              <w:adjustRightInd w:val="0"/>
              <w:jc w:val="both"/>
              <w:rPr>
                <w:rFonts w:eastAsia="標楷體"/>
                <w:sz w:val="26"/>
                <w:szCs w:val="26"/>
              </w:rPr>
            </w:pPr>
            <w:r>
              <w:rPr>
                <w:rFonts w:eastAsia="標楷體" w:hint="eastAsia"/>
                <w:sz w:val="26"/>
                <w:szCs w:val="26"/>
              </w:rPr>
              <w:t>信用及收款功能</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977D67">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9E5AE8">
            <w:pPr>
              <w:autoSpaceDE w:val="0"/>
              <w:autoSpaceDN w:val="0"/>
              <w:adjustRightInd w:val="0"/>
              <w:jc w:val="center"/>
              <w:rPr>
                <w:rFonts w:eastAsia="標楷體"/>
                <w:sz w:val="26"/>
                <w:szCs w:val="26"/>
              </w:rPr>
            </w:pPr>
            <w:r>
              <w:rPr>
                <w:rFonts w:eastAsia="標楷體" w:hint="eastAsia"/>
                <w:sz w:val="26"/>
                <w:szCs w:val="26"/>
              </w:rPr>
              <w:t>○</w:t>
            </w:r>
          </w:p>
        </w:tc>
      </w:tr>
      <w:tr w:rsidR="002B281B" w:rsidRPr="006D645B" w:rsidTr="002B281B">
        <w:trPr>
          <w:trHeight w:hRule="exact" w:val="757"/>
        </w:trPr>
        <w:tc>
          <w:tcPr>
            <w:tcW w:w="27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sz w:val="26"/>
                <w:szCs w:val="26"/>
              </w:rPr>
              <w:t>10</w:t>
            </w:r>
          </w:p>
        </w:tc>
        <w:tc>
          <w:tcPr>
            <w:tcW w:w="1700" w:type="pct"/>
            <w:vAlign w:val="center"/>
          </w:tcPr>
          <w:p w:rsidR="002B281B" w:rsidRPr="006D645B" w:rsidRDefault="00F20EDA" w:rsidP="00CA4803">
            <w:pPr>
              <w:autoSpaceDE w:val="0"/>
              <w:autoSpaceDN w:val="0"/>
              <w:adjustRightInd w:val="0"/>
              <w:jc w:val="both"/>
              <w:rPr>
                <w:rFonts w:eastAsia="標楷體"/>
                <w:sz w:val="26"/>
                <w:szCs w:val="26"/>
              </w:rPr>
            </w:pPr>
            <w:r>
              <w:rPr>
                <w:rFonts w:eastAsia="標楷體" w:hint="eastAsia"/>
                <w:sz w:val="26"/>
                <w:szCs w:val="26"/>
              </w:rPr>
              <w:t>管理、財務及法律服務功能</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CA4803">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977D67">
            <w:pPr>
              <w:autoSpaceDE w:val="0"/>
              <w:autoSpaceDN w:val="0"/>
              <w:adjustRightInd w:val="0"/>
              <w:jc w:val="center"/>
              <w:rPr>
                <w:rFonts w:eastAsia="標楷體"/>
                <w:sz w:val="26"/>
                <w:szCs w:val="26"/>
              </w:rPr>
            </w:pPr>
            <w:r>
              <w:rPr>
                <w:rFonts w:eastAsia="標楷體" w:hint="eastAsia"/>
                <w:sz w:val="26"/>
                <w:szCs w:val="26"/>
              </w:rPr>
              <w:t>○</w:t>
            </w:r>
          </w:p>
        </w:tc>
        <w:tc>
          <w:tcPr>
            <w:tcW w:w="504" w:type="pct"/>
            <w:vAlign w:val="center"/>
          </w:tcPr>
          <w:p w:rsidR="002B281B" w:rsidRPr="006D645B" w:rsidRDefault="00F20EDA" w:rsidP="009E5AE8">
            <w:pPr>
              <w:autoSpaceDE w:val="0"/>
              <w:autoSpaceDN w:val="0"/>
              <w:adjustRightInd w:val="0"/>
              <w:jc w:val="center"/>
              <w:rPr>
                <w:rFonts w:eastAsia="標楷體"/>
                <w:sz w:val="26"/>
                <w:szCs w:val="26"/>
              </w:rPr>
            </w:pPr>
            <w:r>
              <w:rPr>
                <w:rFonts w:eastAsia="標楷體" w:hint="eastAsia"/>
                <w:sz w:val="26"/>
                <w:szCs w:val="26"/>
              </w:rPr>
              <w:t>○</w:t>
            </w:r>
          </w:p>
        </w:tc>
      </w:tr>
      <w:tr w:rsidR="004502F4" w:rsidRPr="006D645B" w:rsidTr="004502F4">
        <w:trPr>
          <w:trHeight w:hRule="exact" w:val="696"/>
        </w:trPr>
        <w:tc>
          <w:tcPr>
            <w:tcW w:w="5000" w:type="pct"/>
            <w:gridSpan w:val="8"/>
            <w:vAlign w:val="center"/>
          </w:tcPr>
          <w:p w:rsidR="004502F4" w:rsidRPr="006D645B" w:rsidRDefault="00F20EDA" w:rsidP="00CA4803">
            <w:pPr>
              <w:autoSpaceDE w:val="0"/>
              <w:autoSpaceDN w:val="0"/>
              <w:adjustRightInd w:val="0"/>
              <w:jc w:val="center"/>
              <w:rPr>
                <w:rFonts w:eastAsia="標楷體"/>
                <w:color w:val="000000"/>
                <w:sz w:val="26"/>
                <w:szCs w:val="26"/>
              </w:rPr>
            </w:pPr>
            <w:r>
              <w:rPr>
                <w:rFonts w:eastAsia="標楷體" w:hint="eastAsia"/>
                <w:color w:val="000000"/>
                <w:sz w:val="26"/>
                <w:szCs w:val="26"/>
              </w:rPr>
              <w:t>註：依下列符號註記執行功能情形</w:t>
            </w:r>
            <w:r>
              <w:rPr>
                <w:rFonts w:eastAsia="標楷體"/>
                <w:color w:val="000000"/>
                <w:sz w:val="26"/>
                <w:szCs w:val="26"/>
              </w:rPr>
              <w:t xml:space="preserve"> </w:t>
            </w:r>
            <w:r>
              <w:rPr>
                <w:rFonts w:eastAsia="標楷體" w:hint="eastAsia"/>
                <w:color w:val="000000"/>
                <w:sz w:val="26"/>
                <w:szCs w:val="26"/>
              </w:rPr>
              <w:t>─</w:t>
            </w:r>
          </w:p>
          <w:p w:rsidR="004502F4" w:rsidRPr="006D645B" w:rsidRDefault="00DC4ACB" w:rsidP="00CA4803">
            <w:pPr>
              <w:autoSpaceDE w:val="0"/>
              <w:autoSpaceDN w:val="0"/>
              <w:adjustRightInd w:val="0"/>
              <w:jc w:val="center"/>
              <w:rPr>
                <w:rFonts w:eastAsia="標楷體"/>
                <w:color w:val="000000"/>
                <w:sz w:val="26"/>
                <w:szCs w:val="26"/>
              </w:rPr>
            </w:pPr>
            <w:r w:rsidRPr="00DC4ACB">
              <w:rPr>
                <w:sz w:val="26"/>
                <w:szCs w:val="26"/>
              </w:rPr>
              <w:t>○</w:t>
            </w:r>
            <w:r w:rsidR="00F20EDA">
              <w:rPr>
                <w:rFonts w:eastAsia="標楷體" w:hint="eastAsia"/>
                <w:color w:val="000000"/>
                <w:sz w:val="26"/>
                <w:szCs w:val="26"/>
              </w:rPr>
              <w:t>：執行主要功能；</w:t>
            </w:r>
            <w:r w:rsidRPr="00DC4ACB">
              <w:rPr>
                <w:rFonts w:ascii="新細明體"/>
                <w:sz w:val="26"/>
                <w:szCs w:val="26"/>
              </w:rPr>
              <w:t>△</w:t>
            </w:r>
            <w:r w:rsidR="00F20EDA">
              <w:rPr>
                <w:rFonts w:eastAsia="標楷體" w:hint="eastAsia"/>
                <w:color w:val="000000"/>
                <w:sz w:val="26"/>
                <w:szCs w:val="26"/>
              </w:rPr>
              <w:t>：執行部分功能；</w:t>
            </w:r>
            <w:r w:rsidRPr="00DC4ACB">
              <w:rPr>
                <w:sz w:val="26"/>
                <w:szCs w:val="26"/>
              </w:rPr>
              <w:t>×</w:t>
            </w:r>
            <w:r w:rsidR="00F20EDA">
              <w:rPr>
                <w:rFonts w:eastAsia="標楷體" w:hint="eastAsia"/>
                <w:color w:val="000000"/>
                <w:sz w:val="26"/>
                <w:szCs w:val="26"/>
              </w:rPr>
              <w:t>：未執行功能</w:t>
            </w:r>
          </w:p>
        </w:tc>
      </w:tr>
    </w:tbl>
    <w:p w:rsidR="0032590C" w:rsidRDefault="00F20EDA" w:rsidP="00965AF0">
      <w:pPr>
        <w:pStyle w:val="2"/>
        <w:numPr>
          <w:ilvl w:val="1"/>
          <w:numId w:val="18"/>
        </w:numPr>
        <w:tabs>
          <w:tab w:val="left" w:pos="756"/>
        </w:tabs>
        <w:spacing w:beforeLines="100" w:before="240" w:afterLines="100" w:after="240" w:line="360" w:lineRule="auto"/>
        <w:ind w:left="0" w:firstLine="0"/>
        <w:rPr>
          <w:rFonts w:ascii="Times New Roman" w:eastAsia="標楷體" w:hAnsi="Times New Roman"/>
          <w:sz w:val="36"/>
          <w:szCs w:val="40"/>
        </w:rPr>
      </w:pPr>
      <w:r>
        <w:rPr>
          <w:rFonts w:ascii="Times New Roman" w:eastAsia="標楷體" w:hAnsi="Times New Roman" w:hint="eastAsia"/>
          <w:sz w:val="36"/>
          <w:szCs w:val="40"/>
        </w:rPr>
        <w:t>風險分析</w:t>
      </w:r>
    </w:p>
    <w:p w:rsidR="0032590C" w:rsidRDefault="00F20EDA" w:rsidP="00965AF0">
      <w:pPr>
        <w:pStyle w:val="3"/>
        <w:numPr>
          <w:ilvl w:val="0"/>
          <w:numId w:val="23"/>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t>風險定義及說明</w:t>
      </w:r>
    </w:p>
    <w:p w:rsidR="0032590C"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bCs/>
          <w:iCs/>
          <w:sz w:val="26"/>
          <w:szCs w:val="26"/>
        </w:rPr>
        <w:t>根據</w:t>
      </w:r>
      <w:r>
        <w:rPr>
          <w:rFonts w:eastAsia="標楷體" w:hint="eastAsia"/>
          <w:sz w:val="26"/>
          <w:szCs w:val="26"/>
        </w:rPr>
        <w:t>移轉訂價查核準則第</w:t>
      </w:r>
      <w:r>
        <w:rPr>
          <w:rFonts w:eastAsia="標楷體"/>
          <w:sz w:val="26"/>
          <w:szCs w:val="26"/>
        </w:rPr>
        <w:t>8</w:t>
      </w:r>
      <w:r>
        <w:rPr>
          <w:rFonts w:eastAsia="標楷體" w:hint="eastAsia"/>
          <w:sz w:val="26"/>
          <w:szCs w:val="26"/>
        </w:rPr>
        <w:t>條第</w:t>
      </w:r>
      <w:r>
        <w:rPr>
          <w:rFonts w:eastAsia="標楷體"/>
          <w:sz w:val="26"/>
          <w:szCs w:val="26"/>
        </w:rPr>
        <w:t>1</w:t>
      </w:r>
      <w:r>
        <w:rPr>
          <w:rFonts w:eastAsia="標楷體" w:hint="eastAsia"/>
          <w:sz w:val="26"/>
          <w:szCs w:val="26"/>
        </w:rPr>
        <w:t>項第</w:t>
      </w:r>
      <w:r>
        <w:rPr>
          <w:rFonts w:eastAsia="標楷體"/>
          <w:sz w:val="26"/>
          <w:szCs w:val="26"/>
        </w:rPr>
        <w:t>4</w:t>
      </w:r>
      <w:r>
        <w:rPr>
          <w:rFonts w:eastAsia="標楷體" w:hint="eastAsia"/>
          <w:sz w:val="26"/>
          <w:szCs w:val="26"/>
        </w:rPr>
        <w:t>款規定，所謂承擔之風險，包括五項。以下按該條款對所承擔風險之定義、本所訪談紀錄及太克科技提供之文據，對太克科技及其受控交易參與人承擔之風險進行分析。</w:t>
      </w:r>
    </w:p>
    <w:p w:rsidR="0032590C" w:rsidRDefault="00F20EDA" w:rsidP="00965AF0">
      <w:pPr>
        <w:pStyle w:val="3"/>
        <w:numPr>
          <w:ilvl w:val="0"/>
          <w:numId w:val="23"/>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lastRenderedPageBreak/>
        <w:t>受控交易參與人承擔之風險</w:t>
      </w:r>
    </w:p>
    <w:p w:rsidR="0032590C" w:rsidRDefault="00F20EDA" w:rsidP="00965AF0">
      <w:pPr>
        <w:numPr>
          <w:ilvl w:val="0"/>
          <w:numId w:val="22"/>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研究與發展風險</w:t>
      </w:r>
    </w:p>
    <w:p w:rsidR="0032590C"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如企業投入大量資源，卻未能獲得高價值研究成果或未承擔研究失敗風險等情形。</w:t>
      </w:r>
    </w:p>
    <w:tbl>
      <w:tblPr>
        <w:tblW w:w="7979"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0"/>
        <w:gridCol w:w="5829"/>
      </w:tblGrid>
      <w:tr w:rsidR="00B86617" w:rsidRPr="006D645B" w:rsidTr="001A132B">
        <w:trPr>
          <w:tblHeader/>
        </w:trPr>
        <w:tc>
          <w:tcPr>
            <w:tcW w:w="2150"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受控交易參與人</w:t>
            </w:r>
          </w:p>
        </w:tc>
        <w:tc>
          <w:tcPr>
            <w:tcW w:w="5829"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研究與發展風險</w:t>
            </w:r>
          </w:p>
        </w:tc>
      </w:tr>
      <w:tr w:rsidR="00B86617"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hAnsi="Times New Roman" w:cs="Times New Roman" w:hint="eastAsia"/>
                <w:sz w:val="26"/>
                <w:szCs w:val="26"/>
              </w:rPr>
              <w:t>太克科技</w:t>
            </w:r>
          </w:p>
        </w:tc>
        <w:tc>
          <w:tcPr>
            <w:tcW w:w="5829" w:type="dxa"/>
            <w:vMerge w:val="restart"/>
            <w:tcBorders>
              <w:top w:val="single" w:sz="4" w:space="0" w:color="auto"/>
            </w:tcBorders>
            <w:vAlign w:val="center"/>
          </w:tcPr>
          <w:p w:rsidR="0032590C" w:rsidRDefault="00DC4ACB" w:rsidP="00965AF0">
            <w:pPr>
              <w:pStyle w:val="cjk"/>
              <w:widowControl w:val="0"/>
              <w:spacing w:beforeLines="25" w:before="60" w:afterLines="25" w:after="60"/>
              <w:jc w:val="both"/>
              <w:rPr>
                <w:rFonts w:ascii="Times New Roman" w:hAnsi="Times New Roman" w:cs="Times New Roman"/>
                <w:color w:val="auto"/>
                <w:sz w:val="26"/>
                <w:szCs w:val="26"/>
              </w:rPr>
            </w:pPr>
            <w:r w:rsidRPr="00DC4ACB">
              <w:rPr>
                <w:rFonts w:ascii="Times New Roman" w:hAnsi="Times New Roman" w:cs="Times New Roman" w:hint="eastAsia"/>
                <w:sz w:val="26"/>
                <w:szCs w:val="26"/>
              </w:rPr>
              <w:t>按客戶訂單進行商品銷售，無技術與產品研發、製程改善等費用之投入，未承擔研究與發展風險。</w:t>
            </w:r>
          </w:p>
        </w:tc>
      </w:tr>
      <w:tr w:rsidR="00B86617"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TIS</w:t>
            </w:r>
          </w:p>
        </w:tc>
        <w:tc>
          <w:tcPr>
            <w:tcW w:w="5829" w:type="dxa"/>
            <w:vMerge/>
            <w:vAlign w:val="center"/>
          </w:tcPr>
          <w:p w:rsidR="0032590C" w:rsidRDefault="0032590C" w:rsidP="00965AF0">
            <w:pPr>
              <w:pStyle w:val="cjk"/>
              <w:widowControl w:val="0"/>
              <w:spacing w:beforeLines="25" w:before="60" w:afterLines="25" w:after="60"/>
              <w:jc w:val="both"/>
              <w:rPr>
                <w:rFonts w:ascii="Times New Roman" w:hAnsi="Times New Roman" w:cs="Times New Roman"/>
                <w:sz w:val="26"/>
                <w:szCs w:val="26"/>
              </w:rPr>
            </w:pPr>
          </w:p>
        </w:tc>
      </w:tr>
      <w:tr w:rsidR="00B86617"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hAnsi="Times New Roman" w:cs="Times New Roman"/>
                <w:sz w:val="26"/>
                <w:szCs w:val="26"/>
              </w:rPr>
              <w:t>TCT</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B86617" w:rsidRPr="006D645B" w:rsidTr="000A7150">
        <w:trPr>
          <w:trHeight w:val="458"/>
        </w:trPr>
        <w:tc>
          <w:tcPr>
            <w:tcW w:w="2150" w:type="dxa"/>
            <w:vAlign w:val="center"/>
          </w:tcPr>
          <w:p w:rsidR="00DC4ACB" w:rsidRDefault="004864D6" w:rsidP="00DC4ACB">
            <w:pPr>
              <w:spacing w:line="0" w:lineRule="atLeast"/>
              <w:jc w:val="center"/>
              <w:rPr>
                <w:sz w:val="26"/>
                <w:szCs w:val="26"/>
              </w:rPr>
            </w:pPr>
            <w:r>
              <w:rPr>
                <w:rFonts w:eastAsia="標楷體"/>
                <w:bCs/>
                <w:kern w:val="0"/>
                <w:sz w:val="26"/>
                <w:szCs w:val="26"/>
              </w:rPr>
              <w:t>Fluke 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B86617"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bCs/>
                <w:kern w:val="0"/>
                <w:sz w:val="26"/>
                <w:szCs w:val="26"/>
              </w:rPr>
              <w:t>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B86617"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sz w:val="26"/>
                <w:szCs w:val="26"/>
              </w:rPr>
              <w:t>TII</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B86617" w:rsidRPr="006D645B" w:rsidTr="001A132B">
        <w:trPr>
          <w:trHeight w:val="562"/>
        </w:trPr>
        <w:tc>
          <w:tcPr>
            <w:tcW w:w="2150" w:type="dxa"/>
            <w:vAlign w:val="center"/>
          </w:tcPr>
          <w:p w:rsidR="00B86617" w:rsidRPr="006D645B" w:rsidRDefault="00F20EDA" w:rsidP="001A132B">
            <w:pPr>
              <w:spacing w:before="60" w:after="60" w:line="0" w:lineRule="atLeast"/>
              <w:jc w:val="center"/>
              <w:rPr>
                <w:sz w:val="26"/>
                <w:szCs w:val="26"/>
              </w:rPr>
            </w:pPr>
            <w:r>
              <w:rPr>
                <w:rFonts w:eastAsia="標楷體" w:hint="eastAsia"/>
                <w:sz w:val="26"/>
                <w:szCs w:val="26"/>
              </w:rPr>
              <w:t>母公司</w:t>
            </w:r>
          </w:p>
        </w:tc>
        <w:tc>
          <w:tcPr>
            <w:tcW w:w="5829" w:type="dxa"/>
            <w:vAlign w:val="center"/>
          </w:tcPr>
          <w:p w:rsidR="0032590C"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r w:rsidRPr="00DC4ACB">
              <w:rPr>
                <w:rFonts w:ascii="Times New Roman" w:hAnsi="Times New Roman" w:cs="Times New Roman" w:hint="eastAsia"/>
                <w:sz w:val="26"/>
                <w:szCs w:val="26"/>
              </w:rPr>
              <w:t>負責產品研發工作，所有相關費用由其負擔，不必然產生成效之風險亦歸於母公司，故承擔研究與發展風險。</w:t>
            </w:r>
          </w:p>
        </w:tc>
      </w:tr>
    </w:tbl>
    <w:p w:rsidR="0032590C" w:rsidRDefault="00F20EDA" w:rsidP="00965AF0">
      <w:pPr>
        <w:numPr>
          <w:ilvl w:val="0"/>
          <w:numId w:val="22"/>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市場風險</w:t>
      </w:r>
    </w:p>
    <w:p w:rsidR="0032590C"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如因進貨成本及銷售價格之波動、需求與供給面之不確定性所產生之存貨水準波動情形。</w:t>
      </w:r>
    </w:p>
    <w:tbl>
      <w:tblPr>
        <w:tblW w:w="7979"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0"/>
        <w:gridCol w:w="5829"/>
      </w:tblGrid>
      <w:tr w:rsidR="00B86617" w:rsidRPr="006D645B" w:rsidTr="001A132B">
        <w:trPr>
          <w:tblHeader/>
        </w:trPr>
        <w:tc>
          <w:tcPr>
            <w:tcW w:w="2150"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受控交易參與人</w:t>
            </w:r>
          </w:p>
        </w:tc>
        <w:tc>
          <w:tcPr>
            <w:tcW w:w="5829"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市場風險</w:t>
            </w:r>
          </w:p>
        </w:tc>
      </w:tr>
      <w:tr w:rsidR="00B86617"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hAnsi="Times New Roman" w:cs="Times New Roman" w:hint="eastAsia"/>
                <w:sz w:val="26"/>
                <w:szCs w:val="26"/>
              </w:rPr>
              <w:t>太克科技</w:t>
            </w:r>
          </w:p>
        </w:tc>
        <w:tc>
          <w:tcPr>
            <w:tcW w:w="5829" w:type="dxa"/>
            <w:vMerge w:val="restart"/>
            <w:tcBorders>
              <w:top w:val="single" w:sz="4" w:space="0" w:color="auto"/>
            </w:tcBorders>
            <w:vAlign w:val="center"/>
          </w:tcPr>
          <w:p w:rsidR="0032590C" w:rsidRDefault="00DC4ACB" w:rsidP="00BC13CF">
            <w:pPr>
              <w:pStyle w:val="cjk"/>
              <w:widowControl w:val="0"/>
              <w:spacing w:beforeLines="25" w:before="60" w:afterLines="25" w:after="60"/>
              <w:jc w:val="both"/>
              <w:rPr>
                <w:rFonts w:ascii="Times New Roman" w:hAnsi="Times New Roman" w:cs="Times New Roman"/>
                <w:color w:val="auto"/>
                <w:sz w:val="26"/>
                <w:szCs w:val="26"/>
              </w:rPr>
            </w:pPr>
            <w:r w:rsidRPr="00DC4ACB">
              <w:rPr>
                <w:rFonts w:ascii="Times New Roman" w:hAnsi="Times New Roman" w:cs="Times New Roman" w:hint="eastAsia"/>
                <w:sz w:val="26"/>
                <w:szCs w:val="26"/>
              </w:rPr>
              <w:t>太克科技、</w:t>
            </w:r>
            <w:r w:rsidRPr="00DC4ACB">
              <w:rPr>
                <w:rFonts w:ascii="Times New Roman" w:hAnsi="Times New Roman" w:cs="Times New Roman"/>
                <w:sz w:val="26"/>
                <w:szCs w:val="26"/>
              </w:rPr>
              <w:t>TIS</w:t>
            </w:r>
            <w:r w:rsidRPr="00DC4ACB">
              <w:rPr>
                <w:rFonts w:ascii="Times New Roman" w:hAnsi="Times New Roman" w:cs="Times New Roman" w:hint="eastAsia"/>
                <w:sz w:val="26"/>
                <w:szCs w:val="26"/>
              </w:rPr>
              <w:t>、</w:t>
            </w:r>
            <w:r w:rsidRPr="00DC4ACB">
              <w:rPr>
                <w:rFonts w:ascii="Times New Roman" w:hAnsi="Times New Roman" w:cs="Times New Roman"/>
                <w:sz w:val="26"/>
                <w:szCs w:val="26"/>
              </w:rPr>
              <w:t>TCT</w:t>
            </w:r>
            <w:r w:rsidRPr="00DC4ACB">
              <w:rPr>
                <w:rFonts w:ascii="Times New Roman" w:hAnsi="Times New Roman" w:cs="Times New Roman" w:hint="eastAsia"/>
                <w:sz w:val="26"/>
                <w:szCs w:val="26"/>
              </w:rPr>
              <w:t>、</w:t>
            </w:r>
            <w:r w:rsidR="004864D6">
              <w:rPr>
                <w:rFonts w:ascii="Times New Roman" w:hAnsi="Times New Roman" w:cs="Times New Roman"/>
                <w:bCs/>
                <w:sz w:val="26"/>
                <w:szCs w:val="26"/>
              </w:rPr>
              <w:t>Fluke SEA</w:t>
            </w:r>
            <w:r w:rsidRPr="00DC4ACB">
              <w:rPr>
                <w:rFonts w:ascii="Times New Roman" w:hAnsi="Times New Roman" w:cs="Times New Roman" w:hint="eastAsia"/>
                <w:sz w:val="26"/>
                <w:szCs w:val="26"/>
              </w:rPr>
              <w:t>、</w:t>
            </w:r>
            <w:r w:rsidRPr="00DC4ACB">
              <w:rPr>
                <w:rFonts w:ascii="Times New Roman" w:hAnsi="Times New Roman" w:cs="Times New Roman"/>
                <w:sz w:val="26"/>
                <w:szCs w:val="26"/>
              </w:rPr>
              <w:t>TII</w:t>
            </w:r>
            <w:r w:rsidRPr="00DC4ACB">
              <w:rPr>
                <w:rFonts w:ascii="Times New Roman" w:hAnsi="Times New Roman" w:cs="Times New Roman" w:hint="eastAsia"/>
                <w:sz w:val="26"/>
                <w:szCs w:val="26"/>
              </w:rPr>
              <w:t>及母公司所售產品之產業特性為銷售測量儀器，因需要購買生產產品之原料或製成之商品，故價格與需求易受景氣、市場波動影響，承擔市場風險。</w:t>
            </w:r>
          </w:p>
        </w:tc>
      </w:tr>
      <w:tr w:rsidR="00B86617"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TIS</w:t>
            </w:r>
          </w:p>
        </w:tc>
        <w:tc>
          <w:tcPr>
            <w:tcW w:w="5829" w:type="dxa"/>
            <w:vMerge/>
            <w:vAlign w:val="center"/>
          </w:tcPr>
          <w:p w:rsidR="0032590C" w:rsidRDefault="0032590C" w:rsidP="00965AF0">
            <w:pPr>
              <w:pStyle w:val="cjk"/>
              <w:widowControl w:val="0"/>
              <w:spacing w:beforeLines="25" w:before="60" w:afterLines="25" w:after="60"/>
              <w:jc w:val="both"/>
              <w:rPr>
                <w:rFonts w:ascii="Times New Roman" w:hAnsi="Times New Roman" w:cs="Times New Roman"/>
                <w:sz w:val="26"/>
                <w:szCs w:val="26"/>
              </w:rPr>
            </w:pPr>
          </w:p>
        </w:tc>
      </w:tr>
      <w:tr w:rsidR="00B86617"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hAnsi="Times New Roman" w:cs="Times New Roman"/>
                <w:sz w:val="26"/>
                <w:szCs w:val="26"/>
              </w:rPr>
              <w:t>TCT</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B86617" w:rsidRPr="006D645B" w:rsidTr="000A7150">
        <w:trPr>
          <w:trHeight w:val="458"/>
        </w:trPr>
        <w:tc>
          <w:tcPr>
            <w:tcW w:w="2150" w:type="dxa"/>
            <w:vAlign w:val="center"/>
          </w:tcPr>
          <w:p w:rsidR="00DC4ACB" w:rsidRDefault="004864D6" w:rsidP="00DC4ACB">
            <w:pPr>
              <w:spacing w:line="0" w:lineRule="atLeast"/>
              <w:jc w:val="center"/>
              <w:rPr>
                <w:sz w:val="26"/>
                <w:szCs w:val="26"/>
              </w:rPr>
            </w:pPr>
            <w:r>
              <w:rPr>
                <w:rFonts w:eastAsia="標楷體"/>
                <w:bCs/>
                <w:kern w:val="0"/>
                <w:sz w:val="26"/>
                <w:szCs w:val="26"/>
              </w:rPr>
              <w:t>Fluke 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B86617"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bCs/>
                <w:kern w:val="0"/>
                <w:sz w:val="26"/>
                <w:szCs w:val="26"/>
              </w:rPr>
              <w:t>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B86617"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sz w:val="26"/>
                <w:szCs w:val="26"/>
              </w:rPr>
              <w:t>TII</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B86617"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hint="eastAsia"/>
                <w:sz w:val="26"/>
                <w:szCs w:val="26"/>
              </w:rPr>
              <w:t>母公司</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bl>
    <w:p w:rsidR="0032590C" w:rsidRDefault="00F20EDA" w:rsidP="00965AF0">
      <w:pPr>
        <w:numPr>
          <w:ilvl w:val="0"/>
          <w:numId w:val="22"/>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lastRenderedPageBreak/>
        <w:t>存貨風險</w:t>
      </w:r>
    </w:p>
    <w:p w:rsidR="0032590C"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如存貨短缺、損壞、變質、過時或跌價等情形。</w:t>
      </w:r>
    </w:p>
    <w:tbl>
      <w:tblPr>
        <w:tblW w:w="7979"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0"/>
        <w:gridCol w:w="5829"/>
      </w:tblGrid>
      <w:tr w:rsidR="006D645B" w:rsidRPr="006D645B" w:rsidTr="001A132B">
        <w:trPr>
          <w:tblHeader/>
        </w:trPr>
        <w:tc>
          <w:tcPr>
            <w:tcW w:w="2150"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受控交易參與人</w:t>
            </w:r>
          </w:p>
        </w:tc>
        <w:tc>
          <w:tcPr>
            <w:tcW w:w="5829"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存貨風險</w:t>
            </w:r>
          </w:p>
        </w:tc>
      </w:tr>
      <w:tr w:rsidR="00B86617"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hAnsi="Times New Roman" w:cs="Times New Roman" w:hint="eastAsia"/>
                <w:sz w:val="26"/>
                <w:szCs w:val="26"/>
              </w:rPr>
              <w:t>太克科技</w:t>
            </w:r>
          </w:p>
        </w:tc>
        <w:tc>
          <w:tcPr>
            <w:tcW w:w="5829" w:type="dxa"/>
            <w:vMerge w:val="restart"/>
            <w:tcBorders>
              <w:top w:val="single" w:sz="4" w:space="0" w:color="auto"/>
            </w:tcBorders>
            <w:vAlign w:val="center"/>
          </w:tcPr>
          <w:p w:rsidR="0032590C" w:rsidRDefault="00DC4ACB" w:rsidP="00BC13CF">
            <w:pPr>
              <w:pStyle w:val="cjk"/>
              <w:widowControl w:val="0"/>
              <w:spacing w:beforeLines="25" w:before="60" w:afterLines="25" w:after="60"/>
              <w:jc w:val="both"/>
              <w:rPr>
                <w:rFonts w:ascii="Times New Roman" w:hAnsi="Times New Roman" w:cs="Times New Roman"/>
                <w:color w:val="auto"/>
                <w:sz w:val="26"/>
                <w:szCs w:val="26"/>
              </w:rPr>
            </w:pPr>
            <w:r w:rsidRPr="00DC4ACB">
              <w:rPr>
                <w:rFonts w:ascii="Times New Roman" w:hAnsi="Times New Roman" w:cs="Times New Roman" w:hint="eastAsia"/>
                <w:sz w:val="26"/>
                <w:szCs w:val="26"/>
              </w:rPr>
              <w:t>太克科技、</w:t>
            </w:r>
            <w:r w:rsidRPr="00DC4ACB">
              <w:rPr>
                <w:rFonts w:ascii="Times New Roman" w:hAnsi="Times New Roman" w:cs="Times New Roman"/>
                <w:sz w:val="26"/>
                <w:szCs w:val="26"/>
              </w:rPr>
              <w:t>TIS</w:t>
            </w:r>
            <w:r w:rsidRPr="00DC4ACB">
              <w:rPr>
                <w:rFonts w:ascii="Times New Roman" w:hAnsi="Times New Roman" w:cs="Times New Roman" w:hint="eastAsia"/>
                <w:sz w:val="26"/>
                <w:szCs w:val="26"/>
              </w:rPr>
              <w:t>、</w:t>
            </w:r>
            <w:r w:rsidRPr="00DC4ACB">
              <w:rPr>
                <w:rFonts w:ascii="Times New Roman" w:hAnsi="Times New Roman" w:cs="Times New Roman"/>
                <w:sz w:val="26"/>
                <w:szCs w:val="26"/>
              </w:rPr>
              <w:t>TCT</w:t>
            </w:r>
            <w:r w:rsidRPr="00DC4ACB">
              <w:rPr>
                <w:rFonts w:ascii="Times New Roman" w:hAnsi="Times New Roman" w:cs="Times New Roman" w:hint="eastAsia"/>
                <w:sz w:val="26"/>
                <w:szCs w:val="26"/>
              </w:rPr>
              <w:t>、</w:t>
            </w:r>
            <w:r w:rsidR="004864D6">
              <w:rPr>
                <w:rFonts w:ascii="Times New Roman" w:hAnsi="Times New Roman" w:cs="Times New Roman"/>
                <w:bCs/>
                <w:sz w:val="26"/>
                <w:szCs w:val="26"/>
              </w:rPr>
              <w:t>Fluke SEA</w:t>
            </w:r>
            <w:r w:rsidRPr="00DC4ACB">
              <w:rPr>
                <w:rFonts w:ascii="Times New Roman" w:hAnsi="Times New Roman" w:cs="Times New Roman" w:hint="eastAsia"/>
                <w:sz w:val="26"/>
                <w:szCs w:val="26"/>
              </w:rPr>
              <w:t>及</w:t>
            </w:r>
            <w:r w:rsidRPr="00DC4ACB">
              <w:rPr>
                <w:rFonts w:ascii="Times New Roman" w:hAnsi="Times New Roman" w:cs="Times New Roman"/>
                <w:sz w:val="26"/>
                <w:szCs w:val="26"/>
              </w:rPr>
              <w:t>TII</w:t>
            </w:r>
            <w:r w:rsidRPr="00DC4ACB">
              <w:rPr>
                <w:rFonts w:ascii="Times New Roman" w:hAnsi="Times New Roman" w:cs="Times New Roman" w:hint="eastAsia"/>
                <w:sz w:val="26"/>
                <w:szCs w:val="26"/>
              </w:rPr>
              <w:t>自</w:t>
            </w:r>
            <w:proofErr w:type="gramStart"/>
            <w:r w:rsidRPr="00DC4ACB">
              <w:rPr>
                <w:rFonts w:ascii="Times New Roman" w:hAnsi="Times New Roman" w:cs="Times New Roman" w:hint="eastAsia"/>
                <w:sz w:val="26"/>
                <w:szCs w:val="26"/>
              </w:rPr>
              <w:t>關係企業進購測量</w:t>
            </w:r>
            <w:proofErr w:type="gramEnd"/>
            <w:r w:rsidRPr="00DC4ACB">
              <w:rPr>
                <w:rFonts w:ascii="Times New Roman" w:hAnsi="Times New Roman" w:cs="Times New Roman" w:hint="eastAsia"/>
                <w:sz w:val="26"/>
                <w:szCs w:val="26"/>
              </w:rPr>
              <w:t>儀器，由於需先存放於各關係企業之倉庫後，在於短期內移轉至客戶處，故須承擔客戶臨時取消訂單或存貨變質等風險。</w:t>
            </w:r>
          </w:p>
        </w:tc>
      </w:tr>
      <w:tr w:rsidR="00B86617"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TIS</w:t>
            </w:r>
          </w:p>
        </w:tc>
        <w:tc>
          <w:tcPr>
            <w:tcW w:w="5829" w:type="dxa"/>
            <w:vMerge/>
            <w:vAlign w:val="center"/>
          </w:tcPr>
          <w:p w:rsidR="0032590C" w:rsidRDefault="0032590C" w:rsidP="00965AF0">
            <w:pPr>
              <w:pStyle w:val="cjk"/>
              <w:widowControl w:val="0"/>
              <w:spacing w:beforeLines="25" w:before="60" w:afterLines="25" w:after="60"/>
              <w:jc w:val="both"/>
              <w:rPr>
                <w:rFonts w:ascii="Times New Roman" w:hAnsi="Times New Roman" w:cs="Times New Roman"/>
                <w:sz w:val="26"/>
                <w:szCs w:val="26"/>
              </w:rPr>
            </w:pPr>
          </w:p>
        </w:tc>
      </w:tr>
      <w:tr w:rsidR="00B86617"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hAnsi="Times New Roman" w:cs="Times New Roman"/>
                <w:sz w:val="26"/>
                <w:szCs w:val="26"/>
              </w:rPr>
              <w:t>TCT</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B86617" w:rsidRPr="006D645B" w:rsidTr="000A7150">
        <w:trPr>
          <w:trHeight w:val="458"/>
        </w:trPr>
        <w:tc>
          <w:tcPr>
            <w:tcW w:w="2150" w:type="dxa"/>
            <w:vAlign w:val="center"/>
          </w:tcPr>
          <w:p w:rsidR="00DC4ACB" w:rsidRDefault="004864D6" w:rsidP="00DC4ACB">
            <w:pPr>
              <w:spacing w:line="0" w:lineRule="atLeast"/>
              <w:jc w:val="center"/>
              <w:rPr>
                <w:sz w:val="26"/>
                <w:szCs w:val="26"/>
              </w:rPr>
            </w:pPr>
            <w:r>
              <w:rPr>
                <w:rFonts w:eastAsia="標楷體"/>
                <w:bCs/>
                <w:kern w:val="0"/>
                <w:sz w:val="26"/>
                <w:szCs w:val="26"/>
              </w:rPr>
              <w:t>Fluke 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B86617"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bCs/>
                <w:kern w:val="0"/>
                <w:sz w:val="26"/>
                <w:szCs w:val="26"/>
              </w:rPr>
              <w:t>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B86617"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sz w:val="26"/>
                <w:szCs w:val="26"/>
              </w:rPr>
              <w:t>TII</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B86617" w:rsidRPr="006D645B" w:rsidTr="00E25E6C">
        <w:trPr>
          <w:trHeight w:val="20"/>
        </w:trPr>
        <w:tc>
          <w:tcPr>
            <w:tcW w:w="2150" w:type="dxa"/>
            <w:vAlign w:val="center"/>
          </w:tcPr>
          <w:p w:rsidR="00DC4ACB" w:rsidRDefault="00F20EDA" w:rsidP="00DC4ACB">
            <w:pPr>
              <w:spacing w:line="0" w:lineRule="atLeast"/>
              <w:jc w:val="center"/>
              <w:rPr>
                <w:sz w:val="26"/>
                <w:szCs w:val="26"/>
              </w:rPr>
            </w:pPr>
            <w:r>
              <w:rPr>
                <w:rFonts w:eastAsia="標楷體" w:hint="eastAsia"/>
                <w:sz w:val="26"/>
                <w:szCs w:val="26"/>
              </w:rPr>
              <w:t>母公司</w:t>
            </w:r>
          </w:p>
        </w:tc>
        <w:tc>
          <w:tcPr>
            <w:tcW w:w="5829" w:type="dxa"/>
            <w:vAlign w:val="center"/>
          </w:tcPr>
          <w:p w:rsidR="0032590C"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r w:rsidRPr="00DC4ACB">
              <w:rPr>
                <w:rFonts w:ascii="Times New Roman" w:hAnsi="Times New Roman" w:cs="Times New Roman" w:hint="eastAsia"/>
                <w:sz w:val="26"/>
                <w:szCs w:val="26"/>
              </w:rPr>
              <w:t>除負責產品之製造，須備有庫存以確保能即時交貨予客戶，因囤積所產生之過時或跌價情形將有母公司負責，故承擔存貨風險。</w:t>
            </w:r>
          </w:p>
        </w:tc>
      </w:tr>
    </w:tbl>
    <w:p w:rsidR="0032590C" w:rsidRDefault="00F20EDA" w:rsidP="00965AF0">
      <w:pPr>
        <w:numPr>
          <w:ilvl w:val="0"/>
          <w:numId w:val="22"/>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產品責任風險</w:t>
      </w:r>
    </w:p>
    <w:p w:rsidR="0032590C"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如處理客戶將瑕疵品退回維修或退、換貨等要求。</w:t>
      </w:r>
    </w:p>
    <w:tbl>
      <w:tblPr>
        <w:tblW w:w="7979"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0"/>
        <w:gridCol w:w="5829"/>
      </w:tblGrid>
      <w:tr w:rsidR="006D645B" w:rsidRPr="006D645B" w:rsidTr="001A132B">
        <w:trPr>
          <w:tblHeader/>
        </w:trPr>
        <w:tc>
          <w:tcPr>
            <w:tcW w:w="2150"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受控交易參與人</w:t>
            </w:r>
          </w:p>
        </w:tc>
        <w:tc>
          <w:tcPr>
            <w:tcW w:w="5829"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產品責任風險</w:t>
            </w:r>
          </w:p>
        </w:tc>
      </w:tr>
      <w:tr w:rsidR="00B86617"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hAnsi="Times New Roman" w:cs="Times New Roman" w:hint="eastAsia"/>
                <w:sz w:val="26"/>
                <w:szCs w:val="26"/>
              </w:rPr>
              <w:t>太克科技</w:t>
            </w:r>
          </w:p>
        </w:tc>
        <w:tc>
          <w:tcPr>
            <w:tcW w:w="5829" w:type="dxa"/>
            <w:vMerge w:val="restart"/>
            <w:tcBorders>
              <w:top w:val="single" w:sz="4" w:space="0" w:color="auto"/>
            </w:tcBorders>
            <w:vAlign w:val="center"/>
          </w:tcPr>
          <w:p w:rsidR="0032590C" w:rsidRDefault="00DC4ACB" w:rsidP="00BC13CF">
            <w:pPr>
              <w:pStyle w:val="cjk"/>
              <w:widowControl w:val="0"/>
              <w:tabs>
                <w:tab w:val="right" w:leader="dot" w:pos="8296"/>
              </w:tabs>
              <w:spacing w:beforeLines="25" w:before="60" w:afterLines="25" w:after="60" w:line="360" w:lineRule="auto"/>
              <w:jc w:val="both"/>
              <w:rPr>
                <w:rFonts w:ascii="Times New Roman" w:hAnsi="Times New Roman" w:cs="Times New Roman"/>
                <w:color w:val="auto"/>
                <w:sz w:val="26"/>
                <w:szCs w:val="26"/>
              </w:rPr>
            </w:pPr>
            <w:r w:rsidRPr="00DC4ACB">
              <w:rPr>
                <w:rFonts w:ascii="Times New Roman" w:hAnsi="Times New Roman" w:cs="Times New Roman" w:hint="eastAsia"/>
                <w:sz w:val="26"/>
                <w:szCs w:val="26"/>
              </w:rPr>
              <w:t>若客戶遇有產品瑕疵，基本上由製造商負責處理，而太克科技、</w:t>
            </w:r>
            <w:r w:rsidRPr="00DC4ACB">
              <w:rPr>
                <w:rFonts w:ascii="Times New Roman" w:hAnsi="Times New Roman" w:cs="Times New Roman"/>
                <w:sz w:val="26"/>
                <w:szCs w:val="26"/>
              </w:rPr>
              <w:t>TIS</w:t>
            </w:r>
            <w:r w:rsidRPr="00DC4ACB">
              <w:rPr>
                <w:rFonts w:ascii="Times New Roman" w:hAnsi="Times New Roman" w:cs="Times New Roman" w:hint="eastAsia"/>
                <w:sz w:val="26"/>
                <w:szCs w:val="26"/>
              </w:rPr>
              <w:t>、</w:t>
            </w:r>
            <w:r w:rsidRPr="00DC4ACB">
              <w:rPr>
                <w:rFonts w:ascii="Times New Roman" w:hAnsi="Times New Roman" w:cs="Times New Roman"/>
                <w:sz w:val="26"/>
                <w:szCs w:val="26"/>
              </w:rPr>
              <w:t>TCT</w:t>
            </w:r>
            <w:r w:rsidRPr="00DC4ACB">
              <w:rPr>
                <w:rFonts w:ascii="Times New Roman" w:hAnsi="Times New Roman" w:cs="Times New Roman" w:hint="eastAsia"/>
                <w:sz w:val="26"/>
                <w:szCs w:val="26"/>
              </w:rPr>
              <w:t>、</w:t>
            </w:r>
            <w:r w:rsidR="004864D6">
              <w:rPr>
                <w:rFonts w:ascii="Times New Roman" w:hAnsi="Times New Roman" w:cs="Times New Roman"/>
                <w:bCs/>
                <w:sz w:val="26"/>
                <w:szCs w:val="26"/>
              </w:rPr>
              <w:t>Fluke SEA</w:t>
            </w:r>
            <w:r w:rsidRPr="00DC4ACB">
              <w:rPr>
                <w:rFonts w:ascii="Times New Roman" w:hAnsi="Times New Roman" w:cs="Times New Roman" w:hint="eastAsia"/>
                <w:sz w:val="26"/>
                <w:szCs w:val="26"/>
              </w:rPr>
              <w:t>及</w:t>
            </w:r>
            <w:r w:rsidRPr="00DC4ACB">
              <w:rPr>
                <w:rFonts w:ascii="Times New Roman" w:hAnsi="Times New Roman" w:cs="Times New Roman"/>
                <w:sz w:val="26"/>
                <w:szCs w:val="26"/>
              </w:rPr>
              <w:t>TII</w:t>
            </w:r>
            <w:r w:rsidRPr="00DC4ACB">
              <w:rPr>
                <w:rFonts w:ascii="Times New Roman" w:hAnsi="Times New Roman" w:cs="Times New Roman" w:hint="eastAsia"/>
                <w:sz w:val="26"/>
                <w:szCs w:val="26"/>
              </w:rPr>
              <w:t>因僅負責居間聯絡協調，故承擔部份產品責任風險。</w:t>
            </w:r>
          </w:p>
        </w:tc>
      </w:tr>
      <w:tr w:rsidR="00B86617"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TIS</w:t>
            </w:r>
          </w:p>
        </w:tc>
        <w:tc>
          <w:tcPr>
            <w:tcW w:w="5829" w:type="dxa"/>
            <w:vMerge/>
            <w:vAlign w:val="center"/>
          </w:tcPr>
          <w:p w:rsidR="0032590C" w:rsidRDefault="0032590C" w:rsidP="00965AF0">
            <w:pPr>
              <w:pStyle w:val="cjk"/>
              <w:widowControl w:val="0"/>
              <w:spacing w:beforeLines="25" w:before="60" w:afterLines="25" w:after="60"/>
              <w:jc w:val="both"/>
              <w:rPr>
                <w:rFonts w:ascii="Times New Roman" w:hAnsi="Times New Roman" w:cs="Times New Roman"/>
                <w:sz w:val="26"/>
                <w:szCs w:val="26"/>
              </w:rPr>
            </w:pPr>
          </w:p>
        </w:tc>
      </w:tr>
      <w:tr w:rsidR="00B86617"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hAnsi="Times New Roman" w:cs="Times New Roman"/>
                <w:sz w:val="26"/>
                <w:szCs w:val="26"/>
              </w:rPr>
              <w:t>TCT</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B86617" w:rsidRPr="006D645B" w:rsidTr="000A7150">
        <w:trPr>
          <w:trHeight w:val="458"/>
        </w:trPr>
        <w:tc>
          <w:tcPr>
            <w:tcW w:w="2150" w:type="dxa"/>
            <w:vAlign w:val="center"/>
          </w:tcPr>
          <w:p w:rsidR="00DC4ACB" w:rsidRDefault="004864D6" w:rsidP="00DC4ACB">
            <w:pPr>
              <w:spacing w:line="0" w:lineRule="atLeast"/>
              <w:jc w:val="center"/>
              <w:rPr>
                <w:sz w:val="26"/>
                <w:szCs w:val="26"/>
              </w:rPr>
            </w:pPr>
            <w:r>
              <w:rPr>
                <w:rFonts w:eastAsia="標楷體"/>
                <w:bCs/>
                <w:kern w:val="0"/>
                <w:sz w:val="26"/>
                <w:szCs w:val="26"/>
              </w:rPr>
              <w:t>Fluke 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B86617"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bCs/>
                <w:kern w:val="0"/>
                <w:sz w:val="26"/>
                <w:szCs w:val="26"/>
              </w:rPr>
              <w:t>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B86617"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sz w:val="26"/>
                <w:szCs w:val="26"/>
              </w:rPr>
              <w:t>TII</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B86617" w:rsidRPr="006D645B" w:rsidTr="001A132B">
        <w:trPr>
          <w:trHeight w:val="562"/>
        </w:trPr>
        <w:tc>
          <w:tcPr>
            <w:tcW w:w="2150" w:type="dxa"/>
            <w:vAlign w:val="center"/>
          </w:tcPr>
          <w:p w:rsidR="00B86617" w:rsidRPr="006D645B" w:rsidRDefault="00F20EDA" w:rsidP="001A132B">
            <w:pPr>
              <w:spacing w:before="60" w:after="60" w:line="0" w:lineRule="atLeast"/>
              <w:jc w:val="center"/>
              <w:rPr>
                <w:sz w:val="26"/>
                <w:szCs w:val="26"/>
              </w:rPr>
            </w:pPr>
            <w:r>
              <w:rPr>
                <w:rFonts w:eastAsia="標楷體" w:hint="eastAsia"/>
                <w:sz w:val="26"/>
                <w:szCs w:val="26"/>
              </w:rPr>
              <w:t>母公司</w:t>
            </w:r>
          </w:p>
        </w:tc>
        <w:tc>
          <w:tcPr>
            <w:tcW w:w="5829" w:type="dxa"/>
            <w:vAlign w:val="center"/>
          </w:tcPr>
          <w:p w:rsidR="0032590C" w:rsidRDefault="00DC4ACB" w:rsidP="00965AF0">
            <w:pPr>
              <w:pStyle w:val="cjk"/>
              <w:widowControl w:val="0"/>
              <w:spacing w:beforeLines="25" w:before="60" w:beforeAutospacing="0" w:afterLines="25" w:after="60"/>
              <w:jc w:val="both"/>
              <w:rPr>
                <w:rFonts w:ascii="Times New Roman" w:hAnsi="Times New Roman" w:cs="Times New Roman"/>
                <w:sz w:val="26"/>
                <w:szCs w:val="26"/>
              </w:rPr>
            </w:pPr>
            <w:r w:rsidRPr="00DC4ACB">
              <w:rPr>
                <w:rFonts w:ascii="Times New Roman" w:hAnsi="Times New Roman" w:cs="Times New Roman" w:hint="eastAsia"/>
                <w:sz w:val="26"/>
                <w:szCs w:val="26"/>
              </w:rPr>
              <w:t>母公司從事電子測量儀器製造，如遇客戶退、換貨需負責處理，故承擔產品責任風險。</w:t>
            </w:r>
          </w:p>
        </w:tc>
      </w:tr>
    </w:tbl>
    <w:p w:rsidR="0032590C" w:rsidRDefault="00F20EDA" w:rsidP="00965AF0">
      <w:pPr>
        <w:numPr>
          <w:ilvl w:val="0"/>
          <w:numId w:val="22"/>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財務風險</w:t>
      </w:r>
    </w:p>
    <w:p w:rsidR="0032590C"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如外匯匯率、利率變動等情形。</w:t>
      </w:r>
    </w:p>
    <w:tbl>
      <w:tblPr>
        <w:tblW w:w="7979"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0"/>
        <w:gridCol w:w="5829"/>
      </w:tblGrid>
      <w:tr w:rsidR="00E25E6C" w:rsidRPr="006D645B" w:rsidTr="001A132B">
        <w:trPr>
          <w:tblHeader/>
        </w:trPr>
        <w:tc>
          <w:tcPr>
            <w:tcW w:w="2150"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lastRenderedPageBreak/>
              <w:t>受控交易參與人</w:t>
            </w:r>
          </w:p>
        </w:tc>
        <w:tc>
          <w:tcPr>
            <w:tcW w:w="5829"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財務風險</w:t>
            </w:r>
          </w:p>
        </w:tc>
      </w:tr>
      <w:tr w:rsidR="00E25E6C"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hAnsi="Times New Roman" w:cs="Times New Roman" w:hint="eastAsia"/>
                <w:sz w:val="26"/>
                <w:szCs w:val="26"/>
              </w:rPr>
              <w:t>太克科技</w:t>
            </w:r>
          </w:p>
        </w:tc>
        <w:tc>
          <w:tcPr>
            <w:tcW w:w="5829" w:type="dxa"/>
            <w:vMerge w:val="restart"/>
            <w:tcBorders>
              <w:top w:val="single" w:sz="4" w:space="0" w:color="auto"/>
            </w:tcBorders>
            <w:vAlign w:val="center"/>
          </w:tcPr>
          <w:p w:rsidR="0032590C" w:rsidRDefault="00DC4ACB" w:rsidP="00BC13CF">
            <w:pPr>
              <w:pStyle w:val="cjk"/>
              <w:widowControl w:val="0"/>
              <w:spacing w:beforeLines="25" w:before="60" w:afterLines="25" w:after="60"/>
              <w:jc w:val="both"/>
              <w:rPr>
                <w:rFonts w:ascii="Times New Roman" w:hAnsi="Times New Roman" w:cs="Times New Roman"/>
                <w:color w:val="auto"/>
                <w:sz w:val="26"/>
                <w:szCs w:val="26"/>
              </w:rPr>
            </w:pPr>
            <w:r w:rsidRPr="00DC4ACB">
              <w:rPr>
                <w:rFonts w:ascii="Times New Roman" w:hAnsi="Times New Roman" w:cs="Times New Roman" w:hint="eastAsia"/>
                <w:sz w:val="26"/>
                <w:szCs w:val="26"/>
              </w:rPr>
              <w:t>太克科技、</w:t>
            </w:r>
            <w:r w:rsidRPr="00DC4ACB">
              <w:rPr>
                <w:rFonts w:ascii="Times New Roman" w:hAnsi="Times New Roman" w:cs="Times New Roman"/>
                <w:sz w:val="26"/>
                <w:szCs w:val="26"/>
              </w:rPr>
              <w:t>TIS</w:t>
            </w:r>
            <w:r w:rsidRPr="00DC4ACB">
              <w:rPr>
                <w:rFonts w:ascii="Times New Roman" w:hAnsi="Times New Roman" w:cs="Times New Roman" w:hint="eastAsia"/>
                <w:sz w:val="26"/>
                <w:szCs w:val="26"/>
              </w:rPr>
              <w:t>、</w:t>
            </w:r>
            <w:r w:rsidRPr="00DC4ACB">
              <w:rPr>
                <w:rFonts w:ascii="Times New Roman" w:hAnsi="Times New Roman" w:cs="Times New Roman"/>
                <w:sz w:val="26"/>
                <w:szCs w:val="26"/>
              </w:rPr>
              <w:t>TCT</w:t>
            </w:r>
            <w:r w:rsidRPr="00DC4ACB">
              <w:rPr>
                <w:rFonts w:ascii="Times New Roman" w:hAnsi="Times New Roman" w:cs="Times New Roman" w:hint="eastAsia"/>
                <w:sz w:val="26"/>
                <w:szCs w:val="26"/>
              </w:rPr>
              <w:t>、</w:t>
            </w:r>
            <w:r w:rsidR="004864D6">
              <w:rPr>
                <w:rFonts w:ascii="Times New Roman" w:hAnsi="Times New Roman" w:cs="Times New Roman"/>
                <w:bCs/>
                <w:sz w:val="26"/>
                <w:szCs w:val="26"/>
              </w:rPr>
              <w:t>Fluke SEA</w:t>
            </w:r>
            <w:r w:rsidRPr="00DC4ACB">
              <w:rPr>
                <w:rFonts w:ascii="Times New Roman" w:hAnsi="Times New Roman" w:cs="Times New Roman" w:hint="eastAsia"/>
                <w:sz w:val="26"/>
                <w:szCs w:val="26"/>
              </w:rPr>
              <w:t>、</w:t>
            </w:r>
            <w:r w:rsidRPr="00DC4ACB">
              <w:rPr>
                <w:rFonts w:ascii="Times New Roman" w:hAnsi="Times New Roman" w:cs="Times New Roman"/>
                <w:sz w:val="26"/>
                <w:szCs w:val="26"/>
              </w:rPr>
              <w:t>TII</w:t>
            </w:r>
            <w:r w:rsidRPr="00DC4ACB">
              <w:rPr>
                <w:rFonts w:ascii="Times New Roman" w:hAnsi="Times New Roman" w:cs="Times New Roman" w:hint="eastAsia"/>
                <w:sz w:val="26"/>
                <w:szCs w:val="26"/>
              </w:rPr>
              <w:t>及母公司間之交易及與客戶收取之收入皆以外幣計價，故承擔外幣匯率波動之財務風險。</w:t>
            </w:r>
          </w:p>
        </w:tc>
      </w:tr>
      <w:tr w:rsidR="00E25E6C"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TIS</w:t>
            </w:r>
          </w:p>
        </w:tc>
        <w:tc>
          <w:tcPr>
            <w:tcW w:w="5829" w:type="dxa"/>
            <w:vMerge/>
            <w:vAlign w:val="center"/>
          </w:tcPr>
          <w:p w:rsidR="0032590C" w:rsidRDefault="0032590C" w:rsidP="00965AF0">
            <w:pPr>
              <w:pStyle w:val="cjk"/>
              <w:widowControl w:val="0"/>
              <w:spacing w:beforeLines="25" w:before="60" w:afterLines="25" w:after="60"/>
              <w:jc w:val="both"/>
              <w:rPr>
                <w:rFonts w:ascii="Times New Roman" w:hAnsi="Times New Roman" w:cs="Times New Roman"/>
                <w:sz w:val="26"/>
                <w:szCs w:val="26"/>
              </w:rPr>
            </w:pPr>
          </w:p>
        </w:tc>
      </w:tr>
      <w:tr w:rsidR="00E25E6C"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hAnsi="Times New Roman" w:cs="Times New Roman"/>
                <w:sz w:val="26"/>
                <w:szCs w:val="26"/>
              </w:rPr>
              <w:t>TCT</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E25E6C" w:rsidRPr="006D645B" w:rsidTr="000A7150">
        <w:trPr>
          <w:trHeight w:val="458"/>
        </w:trPr>
        <w:tc>
          <w:tcPr>
            <w:tcW w:w="2150" w:type="dxa"/>
            <w:vAlign w:val="center"/>
          </w:tcPr>
          <w:p w:rsidR="00DC4ACB" w:rsidRDefault="004864D6" w:rsidP="00DC4ACB">
            <w:pPr>
              <w:spacing w:line="0" w:lineRule="atLeast"/>
              <w:jc w:val="center"/>
              <w:rPr>
                <w:sz w:val="26"/>
                <w:szCs w:val="26"/>
              </w:rPr>
            </w:pPr>
            <w:r>
              <w:rPr>
                <w:rFonts w:eastAsia="標楷體"/>
                <w:bCs/>
                <w:kern w:val="0"/>
                <w:sz w:val="26"/>
                <w:szCs w:val="26"/>
              </w:rPr>
              <w:t>Fluke 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bCs/>
                <w:kern w:val="0"/>
                <w:sz w:val="26"/>
                <w:szCs w:val="26"/>
              </w:rPr>
              <w:t>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sz w:val="26"/>
                <w:szCs w:val="26"/>
              </w:rPr>
              <w:t>TII</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hint="eastAsia"/>
                <w:sz w:val="26"/>
                <w:szCs w:val="26"/>
              </w:rPr>
              <w:t>母公司</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bl>
    <w:p w:rsidR="0032590C" w:rsidRDefault="00F20EDA" w:rsidP="00965AF0">
      <w:pPr>
        <w:numPr>
          <w:ilvl w:val="0"/>
          <w:numId w:val="22"/>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信用風險</w:t>
      </w:r>
    </w:p>
    <w:p w:rsidR="00F31324"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如指承擔授信、收款等風險。</w:t>
      </w:r>
    </w:p>
    <w:tbl>
      <w:tblPr>
        <w:tblW w:w="7979" w:type="dxa"/>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0"/>
        <w:gridCol w:w="5829"/>
      </w:tblGrid>
      <w:tr w:rsidR="00E25E6C" w:rsidRPr="006D645B" w:rsidTr="001A132B">
        <w:trPr>
          <w:tblHeader/>
        </w:trPr>
        <w:tc>
          <w:tcPr>
            <w:tcW w:w="2150"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受控交易參與人</w:t>
            </w:r>
          </w:p>
        </w:tc>
        <w:tc>
          <w:tcPr>
            <w:tcW w:w="5829" w:type="dxa"/>
            <w:tcBorders>
              <w:bottom w:val="single" w:sz="4" w:space="0" w:color="000000"/>
            </w:tcBorders>
            <w:shd w:val="clear" w:color="auto" w:fill="4F81BD"/>
            <w:vAlign w:val="center"/>
          </w:tcPr>
          <w:p w:rsidR="0032590C" w:rsidRDefault="00F20EDA" w:rsidP="00965AF0">
            <w:pPr>
              <w:pStyle w:val="cjk"/>
              <w:widowControl w:val="0"/>
              <w:spacing w:beforeLines="25" w:before="60" w:beforeAutospacing="0" w:afterLines="25" w:after="60"/>
              <w:jc w:val="center"/>
              <w:rPr>
                <w:rFonts w:ascii="Times New Roman" w:hAnsi="Times New Roman" w:cs="Times New Roman"/>
                <w:color w:val="FFFFFF"/>
                <w:sz w:val="26"/>
                <w:szCs w:val="26"/>
              </w:rPr>
            </w:pPr>
            <w:r>
              <w:rPr>
                <w:rFonts w:ascii="Times New Roman" w:hAnsi="Times New Roman" w:cs="Times New Roman" w:hint="eastAsia"/>
                <w:color w:val="FFFFFF"/>
                <w:sz w:val="26"/>
                <w:szCs w:val="26"/>
              </w:rPr>
              <w:t>信用風險</w:t>
            </w:r>
          </w:p>
        </w:tc>
      </w:tr>
      <w:tr w:rsidR="00E25E6C"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hAnsi="Times New Roman" w:cs="Times New Roman" w:hint="eastAsia"/>
                <w:sz w:val="26"/>
                <w:szCs w:val="26"/>
              </w:rPr>
              <w:t>太克科技</w:t>
            </w:r>
          </w:p>
        </w:tc>
        <w:tc>
          <w:tcPr>
            <w:tcW w:w="5829" w:type="dxa"/>
            <w:vMerge w:val="restart"/>
            <w:tcBorders>
              <w:top w:val="single" w:sz="4" w:space="0" w:color="auto"/>
            </w:tcBorders>
            <w:vAlign w:val="center"/>
          </w:tcPr>
          <w:p w:rsidR="00E25E6C" w:rsidRPr="006D645B" w:rsidRDefault="00DC4ACB" w:rsidP="00BC13CF">
            <w:pPr>
              <w:pStyle w:val="cjk"/>
              <w:widowControl w:val="0"/>
              <w:spacing w:beforeLines="25" w:before="60" w:afterLines="25" w:after="60"/>
              <w:jc w:val="both"/>
              <w:rPr>
                <w:rFonts w:ascii="Times New Roman" w:hAnsi="Times New Roman" w:cs="Times New Roman"/>
                <w:color w:val="auto"/>
                <w:sz w:val="26"/>
                <w:szCs w:val="26"/>
              </w:rPr>
            </w:pPr>
            <w:r w:rsidRPr="00DC4ACB">
              <w:rPr>
                <w:rFonts w:ascii="Times New Roman" w:hAnsi="Times New Roman" w:cs="Times New Roman" w:hint="eastAsia"/>
                <w:sz w:val="26"/>
                <w:szCs w:val="26"/>
              </w:rPr>
              <w:t>太克科技、</w:t>
            </w:r>
            <w:r w:rsidRPr="00DC4ACB">
              <w:rPr>
                <w:rFonts w:ascii="Times New Roman" w:hAnsi="Times New Roman" w:cs="Times New Roman"/>
                <w:sz w:val="26"/>
                <w:szCs w:val="26"/>
              </w:rPr>
              <w:t>TIS</w:t>
            </w:r>
            <w:r w:rsidRPr="00DC4ACB">
              <w:rPr>
                <w:rFonts w:ascii="Times New Roman" w:hAnsi="Times New Roman" w:cs="Times New Roman" w:hint="eastAsia"/>
                <w:sz w:val="26"/>
                <w:szCs w:val="26"/>
              </w:rPr>
              <w:t>、</w:t>
            </w:r>
            <w:r w:rsidRPr="00DC4ACB">
              <w:rPr>
                <w:rFonts w:ascii="Times New Roman" w:hAnsi="Times New Roman" w:cs="Times New Roman"/>
                <w:sz w:val="26"/>
                <w:szCs w:val="26"/>
              </w:rPr>
              <w:t>TCT</w:t>
            </w:r>
            <w:r w:rsidRPr="00DC4ACB">
              <w:rPr>
                <w:rFonts w:ascii="Times New Roman" w:hAnsi="Times New Roman" w:cs="Times New Roman" w:hint="eastAsia"/>
                <w:sz w:val="26"/>
                <w:szCs w:val="26"/>
              </w:rPr>
              <w:t>、</w:t>
            </w:r>
            <w:r w:rsidR="004864D6">
              <w:rPr>
                <w:rFonts w:ascii="Times New Roman" w:hAnsi="Times New Roman" w:cs="Times New Roman"/>
                <w:bCs/>
                <w:sz w:val="26"/>
                <w:szCs w:val="26"/>
              </w:rPr>
              <w:t>Fluke SEA</w:t>
            </w:r>
            <w:r w:rsidRPr="00DC4ACB">
              <w:rPr>
                <w:rFonts w:ascii="Times New Roman" w:hAnsi="Times New Roman" w:cs="Times New Roman" w:hint="eastAsia"/>
                <w:sz w:val="26"/>
                <w:szCs w:val="26"/>
              </w:rPr>
              <w:t>、</w:t>
            </w:r>
            <w:r w:rsidRPr="00DC4ACB">
              <w:rPr>
                <w:rFonts w:ascii="Times New Roman" w:hAnsi="Times New Roman" w:cs="Times New Roman"/>
                <w:sz w:val="26"/>
                <w:szCs w:val="26"/>
              </w:rPr>
              <w:t>TII</w:t>
            </w:r>
            <w:r w:rsidRPr="00DC4ACB">
              <w:rPr>
                <w:rFonts w:ascii="Times New Roman" w:hAnsi="Times New Roman" w:cs="Times New Roman" w:hint="eastAsia"/>
                <w:sz w:val="26"/>
                <w:szCs w:val="26"/>
              </w:rPr>
              <w:t>及母公司皆自行負責產品銷售及客戶聯繫，貨款之回收亦由其公司全權負責。當客戶無法依合約所定條款付款或延遲付款時，太克科技、</w:t>
            </w:r>
            <w:r w:rsidRPr="00DC4ACB">
              <w:rPr>
                <w:rFonts w:ascii="Times New Roman" w:hAnsi="Times New Roman" w:cs="Times New Roman"/>
                <w:sz w:val="26"/>
                <w:szCs w:val="26"/>
              </w:rPr>
              <w:t>TIS</w:t>
            </w:r>
            <w:r w:rsidRPr="00DC4ACB">
              <w:rPr>
                <w:rFonts w:ascii="Times New Roman" w:hAnsi="Times New Roman" w:cs="Times New Roman" w:hint="eastAsia"/>
                <w:sz w:val="26"/>
                <w:szCs w:val="26"/>
              </w:rPr>
              <w:t>、</w:t>
            </w:r>
            <w:r w:rsidRPr="00DC4ACB">
              <w:rPr>
                <w:rFonts w:ascii="Times New Roman" w:hAnsi="Times New Roman" w:cs="Times New Roman"/>
                <w:sz w:val="26"/>
                <w:szCs w:val="26"/>
              </w:rPr>
              <w:t>TII</w:t>
            </w:r>
            <w:r w:rsidRPr="00DC4ACB">
              <w:rPr>
                <w:rFonts w:ascii="Times New Roman" w:hAnsi="Times New Roman" w:cs="Times New Roman" w:hint="eastAsia"/>
                <w:sz w:val="26"/>
                <w:szCs w:val="26"/>
              </w:rPr>
              <w:t>、</w:t>
            </w:r>
            <w:r w:rsidRPr="00DC4ACB">
              <w:rPr>
                <w:rFonts w:ascii="Times New Roman" w:hAnsi="Times New Roman" w:cs="Times New Roman"/>
                <w:sz w:val="26"/>
                <w:szCs w:val="26"/>
              </w:rPr>
              <w:t>TCT</w:t>
            </w:r>
            <w:r w:rsidRPr="00DC4ACB">
              <w:rPr>
                <w:rFonts w:ascii="Times New Roman" w:hAnsi="Times New Roman" w:cs="Times New Roman" w:hint="eastAsia"/>
                <w:sz w:val="26"/>
                <w:szCs w:val="26"/>
              </w:rPr>
              <w:t>及母公司自行進行催收，而當催收後應收帳款仍無法回收時，由其承擔壞帳發生之信用風險。</w:t>
            </w:r>
          </w:p>
        </w:tc>
      </w:tr>
      <w:tr w:rsidR="00E25E6C" w:rsidRPr="006D645B" w:rsidTr="000A7150">
        <w:trPr>
          <w:trHeight w:val="458"/>
        </w:trPr>
        <w:tc>
          <w:tcPr>
            <w:tcW w:w="2150" w:type="dxa"/>
            <w:vAlign w:val="center"/>
          </w:tcPr>
          <w:p w:rsidR="00DC4ACB" w:rsidRPr="00DC4ACB" w:rsidRDefault="00DC4ACB" w:rsidP="007C6F99">
            <w:pPr>
              <w:pStyle w:val="cjk"/>
              <w:widowControl w:val="0"/>
              <w:spacing w:before="60" w:beforeAutospacing="0" w:after="60"/>
              <w:ind w:leftChars="-33" w:left="-79" w:rightChars="-45" w:right="-108"/>
              <w:jc w:val="center"/>
              <w:rPr>
                <w:rFonts w:ascii="Times New Roman" w:hAnsi="Times New Roman" w:cs="Times New Roman"/>
                <w:sz w:val="26"/>
                <w:szCs w:val="26"/>
              </w:rPr>
            </w:pPr>
            <w:r w:rsidRPr="00DC4ACB">
              <w:rPr>
                <w:rFonts w:ascii="Times New Roman" w:hAnsi="Times New Roman" w:cs="Times New Roman"/>
                <w:sz w:val="26"/>
                <w:szCs w:val="26"/>
              </w:rPr>
              <w:t>TIS</w:t>
            </w:r>
          </w:p>
        </w:tc>
        <w:tc>
          <w:tcPr>
            <w:tcW w:w="5829" w:type="dxa"/>
            <w:vMerge/>
            <w:vAlign w:val="center"/>
          </w:tcPr>
          <w:p w:rsidR="0032590C" w:rsidRDefault="0032590C" w:rsidP="00965AF0">
            <w:pPr>
              <w:pStyle w:val="cjk"/>
              <w:widowControl w:val="0"/>
              <w:spacing w:beforeLines="25" w:before="60" w:afterLines="25" w:after="60"/>
              <w:jc w:val="both"/>
              <w:rPr>
                <w:rFonts w:ascii="Times New Roman" w:hAnsi="Times New Roman" w:cs="Times New Roman"/>
                <w:sz w:val="26"/>
                <w:szCs w:val="26"/>
              </w:rPr>
            </w:pPr>
          </w:p>
        </w:tc>
      </w:tr>
      <w:tr w:rsidR="00E25E6C" w:rsidRPr="006D645B" w:rsidTr="000A7150">
        <w:trPr>
          <w:trHeight w:val="458"/>
        </w:trPr>
        <w:tc>
          <w:tcPr>
            <w:tcW w:w="2150" w:type="dxa"/>
            <w:vAlign w:val="center"/>
          </w:tcPr>
          <w:p w:rsidR="00DC4ACB" w:rsidRDefault="00DC4ACB" w:rsidP="007C6F99">
            <w:pPr>
              <w:pStyle w:val="cjk"/>
              <w:widowControl w:val="0"/>
              <w:spacing w:before="60" w:beforeAutospacing="0" w:after="60"/>
              <w:ind w:leftChars="-33" w:left="-79" w:rightChars="-45" w:right="-108"/>
              <w:jc w:val="center"/>
              <w:rPr>
                <w:rFonts w:ascii="Times New Roman" w:hAnsi="Times New Roman" w:cs="Times New Roman"/>
                <w:color w:val="auto"/>
                <w:sz w:val="26"/>
                <w:szCs w:val="26"/>
              </w:rPr>
            </w:pPr>
            <w:r w:rsidRPr="00DC4ACB">
              <w:rPr>
                <w:rFonts w:ascii="Times New Roman" w:hAnsi="Times New Roman" w:cs="Times New Roman"/>
                <w:sz w:val="26"/>
                <w:szCs w:val="26"/>
              </w:rPr>
              <w:t>TCT</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color w:val="auto"/>
                <w:sz w:val="26"/>
                <w:szCs w:val="26"/>
              </w:rPr>
            </w:pPr>
          </w:p>
        </w:tc>
      </w:tr>
      <w:tr w:rsidR="00E25E6C" w:rsidRPr="006D645B" w:rsidTr="000A7150">
        <w:trPr>
          <w:trHeight w:val="458"/>
        </w:trPr>
        <w:tc>
          <w:tcPr>
            <w:tcW w:w="2150" w:type="dxa"/>
            <w:vAlign w:val="center"/>
          </w:tcPr>
          <w:p w:rsidR="00DC4ACB" w:rsidRDefault="004864D6" w:rsidP="00DC4ACB">
            <w:pPr>
              <w:spacing w:line="0" w:lineRule="atLeast"/>
              <w:jc w:val="center"/>
              <w:rPr>
                <w:sz w:val="26"/>
                <w:szCs w:val="26"/>
              </w:rPr>
            </w:pPr>
            <w:r>
              <w:rPr>
                <w:rFonts w:eastAsia="標楷體"/>
                <w:bCs/>
                <w:kern w:val="0"/>
                <w:sz w:val="26"/>
                <w:szCs w:val="26"/>
              </w:rPr>
              <w:t>Fluke 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bCs/>
                <w:kern w:val="0"/>
                <w:sz w:val="26"/>
                <w:szCs w:val="26"/>
              </w:rPr>
              <w:t>SEA</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sz w:val="26"/>
                <w:szCs w:val="26"/>
              </w:rPr>
              <w:t>TII</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r w:rsidR="00E25E6C" w:rsidRPr="006D645B" w:rsidTr="000A7150">
        <w:trPr>
          <w:trHeight w:val="458"/>
        </w:trPr>
        <w:tc>
          <w:tcPr>
            <w:tcW w:w="2150" w:type="dxa"/>
            <w:vAlign w:val="center"/>
          </w:tcPr>
          <w:p w:rsidR="00DC4ACB" w:rsidRDefault="00F20EDA" w:rsidP="00DC4ACB">
            <w:pPr>
              <w:spacing w:line="0" w:lineRule="atLeast"/>
              <w:jc w:val="center"/>
              <w:rPr>
                <w:sz w:val="26"/>
                <w:szCs w:val="26"/>
              </w:rPr>
            </w:pPr>
            <w:r>
              <w:rPr>
                <w:rFonts w:eastAsia="標楷體" w:hint="eastAsia"/>
                <w:sz w:val="26"/>
                <w:szCs w:val="26"/>
              </w:rPr>
              <w:t>母公司</w:t>
            </w:r>
          </w:p>
        </w:tc>
        <w:tc>
          <w:tcPr>
            <w:tcW w:w="5829" w:type="dxa"/>
            <w:vMerge/>
            <w:vAlign w:val="center"/>
          </w:tcPr>
          <w:p w:rsidR="0032590C" w:rsidRDefault="0032590C" w:rsidP="00965AF0">
            <w:pPr>
              <w:pStyle w:val="cjk"/>
              <w:widowControl w:val="0"/>
              <w:spacing w:beforeLines="25" w:before="60" w:beforeAutospacing="0" w:afterLines="25" w:after="60"/>
              <w:jc w:val="both"/>
              <w:rPr>
                <w:rFonts w:ascii="Times New Roman" w:hAnsi="Times New Roman" w:cs="Times New Roman"/>
                <w:sz w:val="26"/>
                <w:szCs w:val="26"/>
              </w:rPr>
            </w:pPr>
          </w:p>
        </w:tc>
      </w:tr>
    </w:tbl>
    <w:p w:rsidR="00DC4ACB" w:rsidRDefault="00F20EDA" w:rsidP="00965AF0">
      <w:pPr>
        <w:numPr>
          <w:ilvl w:val="0"/>
          <w:numId w:val="21"/>
        </w:numPr>
        <w:spacing w:beforeLines="50" w:before="120" w:afterLines="50" w:after="120" w:line="360" w:lineRule="auto"/>
        <w:jc w:val="both"/>
        <w:rPr>
          <w:rFonts w:eastAsia="標楷體"/>
          <w:sz w:val="26"/>
          <w:szCs w:val="26"/>
        </w:rPr>
      </w:pPr>
      <w:r>
        <w:rPr>
          <w:rFonts w:eastAsia="標楷體" w:hint="eastAsia"/>
          <w:sz w:val="26"/>
          <w:szCs w:val="26"/>
        </w:rPr>
        <w:t>茲將各受控交易參與人承擔風險彙總如下：</w:t>
      </w:r>
    </w:p>
    <w:tbl>
      <w:tblPr>
        <w:tblW w:w="8734" w:type="dxa"/>
        <w:tblInd w:w="5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91"/>
        <w:gridCol w:w="2218"/>
        <w:gridCol w:w="970"/>
        <w:gridCol w:w="971"/>
        <w:gridCol w:w="971"/>
        <w:gridCol w:w="971"/>
        <w:gridCol w:w="971"/>
        <w:gridCol w:w="971"/>
      </w:tblGrid>
      <w:tr w:rsidR="00D05B5A" w:rsidRPr="006D645B" w:rsidTr="00416ABB">
        <w:trPr>
          <w:cantSplit/>
          <w:trHeight w:val="397"/>
          <w:tblHeader/>
        </w:trPr>
        <w:tc>
          <w:tcPr>
            <w:tcW w:w="691" w:type="dxa"/>
            <w:vMerge w:val="restart"/>
            <w:shd w:val="clear" w:color="auto" w:fill="4F81BD"/>
            <w:vAlign w:val="center"/>
          </w:tcPr>
          <w:p w:rsidR="00D05B5A" w:rsidRPr="006D645B" w:rsidRDefault="00F20EDA" w:rsidP="00A80BF5">
            <w:pPr>
              <w:autoSpaceDE w:val="0"/>
              <w:autoSpaceDN w:val="0"/>
              <w:adjustRightInd w:val="0"/>
              <w:jc w:val="center"/>
              <w:rPr>
                <w:rFonts w:eastAsia="標楷體"/>
                <w:color w:val="FFFFFF"/>
                <w:sz w:val="26"/>
                <w:szCs w:val="26"/>
              </w:rPr>
            </w:pPr>
            <w:r>
              <w:rPr>
                <w:rFonts w:eastAsia="標楷體" w:hint="eastAsia"/>
                <w:color w:val="FFFFFF"/>
                <w:sz w:val="26"/>
                <w:szCs w:val="26"/>
              </w:rPr>
              <w:t>編號</w:t>
            </w:r>
          </w:p>
        </w:tc>
        <w:tc>
          <w:tcPr>
            <w:tcW w:w="2218" w:type="dxa"/>
            <w:vMerge w:val="restart"/>
            <w:shd w:val="clear" w:color="auto" w:fill="4F81BD"/>
            <w:vAlign w:val="center"/>
          </w:tcPr>
          <w:p w:rsidR="00D05B5A" w:rsidRPr="006D645B" w:rsidRDefault="00F20EDA" w:rsidP="00A80BF5">
            <w:pPr>
              <w:autoSpaceDE w:val="0"/>
              <w:autoSpaceDN w:val="0"/>
              <w:adjustRightInd w:val="0"/>
              <w:jc w:val="center"/>
              <w:rPr>
                <w:rFonts w:eastAsia="標楷體"/>
                <w:color w:val="FFFFFF"/>
                <w:sz w:val="26"/>
                <w:szCs w:val="26"/>
              </w:rPr>
            </w:pPr>
            <w:r>
              <w:rPr>
                <w:rFonts w:eastAsia="標楷體" w:hint="eastAsia"/>
                <w:color w:val="FFFFFF"/>
                <w:sz w:val="26"/>
                <w:szCs w:val="26"/>
              </w:rPr>
              <w:t>承擔風險</w:t>
            </w:r>
          </w:p>
        </w:tc>
        <w:tc>
          <w:tcPr>
            <w:tcW w:w="5825" w:type="dxa"/>
            <w:gridSpan w:val="6"/>
            <w:shd w:val="clear" w:color="auto" w:fill="4F81BD"/>
          </w:tcPr>
          <w:p w:rsidR="00D05B5A" w:rsidRPr="006D645B" w:rsidRDefault="00F20EDA" w:rsidP="00A80BF5">
            <w:pPr>
              <w:autoSpaceDE w:val="0"/>
              <w:autoSpaceDN w:val="0"/>
              <w:adjustRightInd w:val="0"/>
              <w:jc w:val="center"/>
              <w:rPr>
                <w:rFonts w:eastAsia="標楷體"/>
                <w:color w:val="FFFFFF"/>
                <w:sz w:val="26"/>
                <w:szCs w:val="26"/>
              </w:rPr>
            </w:pPr>
            <w:r w:rsidRPr="00F20EDA">
              <w:rPr>
                <w:rFonts w:eastAsia="標楷體" w:hint="eastAsia"/>
                <w:color w:val="FFFFFF"/>
                <w:sz w:val="26"/>
                <w:szCs w:val="26"/>
              </w:rPr>
              <w:t>受控交易之各參與人承擔風險情形</w:t>
            </w:r>
          </w:p>
        </w:tc>
      </w:tr>
      <w:tr w:rsidR="002C65E5" w:rsidRPr="006D645B" w:rsidTr="002C65E5">
        <w:trPr>
          <w:cantSplit/>
          <w:trHeight w:val="1134"/>
          <w:tblHeader/>
        </w:trPr>
        <w:tc>
          <w:tcPr>
            <w:tcW w:w="691" w:type="dxa"/>
            <w:vMerge/>
            <w:shd w:val="clear" w:color="auto" w:fill="4F81BD"/>
            <w:vAlign w:val="center"/>
          </w:tcPr>
          <w:p w:rsidR="002C65E5" w:rsidRPr="006D645B" w:rsidRDefault="002C65E5" w:rsidP="00A80BF5">
            <w:pPr>
              <w:autoSpaceDE w:val="0"/>
              <w:autoSpaceDN w:val="0"/>
              <w:adjustRightInd w:val="0"/>
              <w:spacing w:line="0" w:lineRule="atLeast"/>
              <w:ind w:leftChars="-45" w:left="-108" w:rightChars="-43" w:right="-103"/>
              <w:jc w:val="center"/>
              <w:rPr>
                <w:rFonts w:eastAsia="標楷體"/>
                <w:color w:val="FFFFFF"/>
                <w:sz w:val="26"/>
                <w:szCs w:val="26"/>
              </w:rPr>
            </w:pPr>
          </w:p>
        </w:tc>
        <w:tc>
          <w:tcPr>
            <w:tcW w:w="2218" w:type="dxa"/>
            <w:vMerge/>
            <w:shd w:val="clear" w:color="auto" w:fill="4F81BD"/>
            <w:vAlign w:val="center"/>
          </w:tcPr>
          <w:p w:rsidR="002C65E5" w:rsidRPr="006D645B" w:rsidRDefault="002C65E5" w:rsidP="00A80BF5">
            <w:pPr>
              <w:autoSpaceDE w:val="0"/>
              <w:autoSpaceDN w:val="0"/>
              <w:adjustRightInd w:val="0"/>
              <w:spacing w:line="0" w:lineRule="atLeast"/>
              <w:ind w:leftChars="-45" w:left="-108" w:rightChars="-43" w:right="-103"/>
              <w:jc w:val="center"/>
              <w:rPr>
                <w:rFonts w:eastAsia="標楷體"/>
                <w:color w:val="FFFFFF"/>
                <w:sz w:val="26"/>
                <w:szCs w:val="26"/>
              </w:rPr>
            </w:pPr>
          </w:p>
        </w:tc>
        <w:tc>
          <w:tcPr>
            <w:tcW w:w="970" w:type="dxa"/>
            <w:shd w:val="clear" w:color="auto" w:fill="4F81BD"/>
            <w:vAlign w:val="center"/>
          </w:tcPr>
          <w:p w:rsidR="002C65E5" w:rsidRPr="006D645B" w:rsidRDefault="00F20EDA" w:rsidP="00B52108">
            <w:pPr>
              <w:autoSpaceDE w:val="0"/>
              <w:autoSpaceDN w:val="0"/>
              <w:adjustRightInd w:val="0"/>
              <w:spacing w:line="0" w:lineRule="atLeast"/>
              <w:ind w:leftChars="-45" w:left="-108" w:rightChars="-43" w:right="-103"/>
              <w:jc w:val="center"/>
              <w:rPr>
                <w:rFonts w:eastAsia="標楷體"/>
                <w:color w:val="FFFFFF"/>
                <w:w w:val="90"/>
                <w:sz w:val="26"/>
                <w:szCs w:val="26"/>
              </w:rPr>
            </w:pPr>
            <w:r>
              <w:rPr>
                <w:rFonts w:eastAsia="標楷體" w:hint="eastAsia"/>
                <w:color w:val="FFFFFF"/>
                <w:sz w:val="26"/>
                <w:szCs w:val="26"/>
              </w:rPr>
              <w:t>太克</w:t>
            </w:r>
            <w:r>
              <w:rPr>
                <w:rFonts w:eastAsia="標楷體"/>
                <w:color w:val="FFFFFF"/>
                <w:sz w:val="26"/>
                <w:szCs w:val="26"/>
              </w:rPr>
              <w:br/>
            </w:r>
            <w:r>
              <w:rPr>
                <w:rFonts w:eastAsia="標楷體" w:hint="eastAsia"/>
                <w:color w:val="FFFFFF"/>
                <w:sz w:val="26"/>
                <w:szCs w:val="26"/>
              </w:rPr>
              <w:t>科技</w:t>
            </w:r>
          </w:p>
        </w:tc>
        <w:tc>
          <w:tcPr>
            <w:tcW w:w="971" w:type="dxa"/>
            <w:shd w:val="clear" w:color="auto" w:fill="4F81BD"/>
            <w:vAlign w:val="center"/>
          </w:tcPr>
          <w:p w:rsidR="002C65E5" w:rsidRPr="006D645B" w:rsidRDefault="00F20EDA" w:rsidP="00B52108">
            <w:pPr>
              <w:autoSpaceDE w:val="0"/>
              <w:autoSpaceDN w:val="0"/>
              <w:adjustRightInd w:val="0"/>
              <w:spacing w:line="0" w:lineRule="atLeast"/>
              <w:ind w:leftChars="-45" w:left="-108" w:rightChars="-43" w:right="-103"/>
              <w:jc w:val="center"/>
              <w:rPr>
                <w:rFonts w:eastAsia="標楷體"/>
                <w:color w:val="FFFFFF"/>
                <w:sz w:val="26"/>
                <w:szCs w:val="26"/>
              </w:rPr>
            </w:pPr>
            <w:r>
              <w:rPr>
                <w:rFonts w:eastAsia="標楷體" w:hint="eastAsia"/>
                <w:color w:val="FFFFFF"/>
                <w:sz w:val="26"/>
                <w:szCs w:val="26"/>
              </w:rPr>
              <w:t>母公司</w:t>
            </w:r>
          </w:p>
        </w:tc>
        <w:tc>
          <w:tcPr>
            <w:tcW w:w="971" w:type="dxa"/>
            <w:shd w:val="clear" w:color="auto" w:fill="4F81BD"/>
            <w:textDirection w:val="tbRl"/>
            <w:vAlign w:val="center"/>
          </w:tcPr>
          <w:p w:rsidR="002C65E5" w:rsidRPr="006D645B" w:rsidRDefault="00F20EDA" w:rsidP="00295C5B">
            <w:pPr>
              <w:autoSpaceDE w:val="0"/>
              <w:autoSpaceDN w:val="0"/>
              <w:adjustRightInd w:val="0"/>
              <w:spacing w:line="0" w:lineRule="atLeast"/>
              <w:ind w:leftChars="-45" w:left="-108" w:rightChars="-43" w:right="-103"/>
              <w:jc w:val="center"/>
              <w:rPr>
                <w:rFonts w:eastAsia="標楷體"/>
                <w:color w:val="FFFFFF"/>
                <w:w w:val="90"/>
                <w:sz w:val="26"/>
                <w:szCs w:val="26"/>
              </w:rPr>
            </w:pPr>
            <w:r>
              <w:rPr>
                <w:rFonts w:eastAsia="標楷體"/>
                <w:color w:val="FFFFFF"/>
                <w:sz w:val="26"/>
                <w:szCs w:val="26"/>
              </w:rPr>
              <w:t>TIS</w:t>
            </w:r>
          </w:p>
        </w:tc>
        <w:tc>
          <w:tcPr>
            <w:tcW w:w="971" w:type="dxa"/>
            <w:shd w:val="clear" w:color="auto" w:fill="4F81BD"/>
            <w:textDirection w:val="tbRlV"/>
            <w:vAlign w:val="center"/>
          </w:tcPr>
          <w:p w:rsidR="002C65E5" w:rsidRPr="006D645B" w:rsidRDefault="00F20EDA" w:rsidP="00295C5B">
            <w:pPr>
              <w:autoSpaceDE w:val="0"/>
              <w:autoSpaceDN w:val="0"/>
              <w:adjustRightInd w:val="0"/>
              <w:spacing w:line="0" w:lineRule="atLeast"/>
              <w:ind w:leftChars="-45" w:left="-108" w:rightChars="-43" w:right="-103"/>
              <w:jc w:val="center"/>
              <w:rPr>
                <w:rFonts w:eastAsia="標楷體"/>
                <w:color w:val="FFFFFF"/>
                <w:w w:val="90"/>
                <w:sz w:val="26"/>
                <w:szCs w:val="26"/>
              </w:rPr>
            </w:pPr>
            <w:r>
              <w:rPr>
                <w:rFonts w:eastAsia="標楷體"/>
                <w:color w:val="FFFFFF"/>
                <w:sz w:val="26"/>
                <w:szCs w:val="26"/>
              </w:rPr>
              <w:t>TCT</w:t>
            </w:r>
          </w:p>
        </w:tc>
        <w:tc>
          <w:tcPr>
            <w:tcW w:w="971" w:type="dxa"/>
            <w:shd w:val="clear" w:color="auto" w:fill="4F81BD"/>
            <w:textDirection w:val="tbRlV"/>
            <w:vAlign w:val="center"/>
          </w:tcPr>
          <w:p w:rsidR="002C65E5" w:rsidRPr="006D645B" w:rsidRDefault="00F20EDA" w:rsidP="001412FD">
            <w:pPr>
              <w:autoSpaceDE w:val="0"/>
              <w:autoSpaceDN w:val="0"/>
              <w:adjustRightInd w:val="0"/>
              <w:spacing w:line="0" w:lineRule="atLeast"/>
              <w:ind w:leftChars="-45" w:left="-108" w:rightChars="-43" w:right="-103"/>
              <w:jc w:val="center"/>
              <w:rPr>
                <w:rFonts w:eastAsia="標楷體"/>
                <w:color w:val="FFFFFF"/>
                <w:w w:val="90"/>
                <w:sz w:val="26"/>
                <w:szCs w:val="26"/>
              </w:rPr>
            </w:pPr>
            <w:r>
              <w:rPr>
                <w:rFonts w:eastAsia="標楷體"/>
                <w:color w:val="FFFFFF"/>
                <w:sz w:val="26"/>
                <w:szCs w:val="26"/>
              </w:rPr>
              <w:t>Fluke SEA</w:t>
            </w:r>
          </w:p>
        </w:tc>
        <w:tc>
          <w:tcPr>
            <w:tcW w:w="971" w:type="dxa"/>
            <w:shd w:val="clear" w:color="auto" w:fill="4F81BD"/>
            <w:textDirection w:val="tbRlV"/>
            <w:vAlign w:val="center"/>
          </w:tcPr>
          <w:p w:rsidR="002C65E5" w:rsidRPr="006D645B" w:rsidRDefault="00F20EDA" w:rsidP="00295C5B">
            <w:pPr>
              <w:autoSpaceDE w:val="0"/>
              <w:autoSpaceDN w:val="0"/>
              <w:adjustRightInd w:val="0"/>
              <w:spacing w:line="0" w:lineRule="atLeast"/>
              <w:ind w:leftChars="-45" w:left="-108" w:rightChars="-43" w:right="-103"/>
              <w:jc w:val="center"/>
              <w:rPr>
                <w:rFonts w:eastAsia="標楷體"/>
                <w:color w:val="FFFFFF"/>
                <w:w w:val="90"/>
                <w:sz w:val="26"/>
                <w:szCs w:val="26"/>
              </w:rPr>
            </w:pPr>
            <w:r>
              <w:rPr>
                <w:rFonts w:eastAsia="標楷體"/>
                <w:color w:val="FFFFFF"/>
                <w:sz w:val="26"/>
                <w:szCs w:val="26"/>
              </w:rPr>
              <w:t>TII</w:t>
            </w:r>
          </w:p>
        </w:tc>
      </w:tr>
      <w:tr w:rsidR="002C65E5" w:rsidRPr="006D645B" w:rsidTr="002C65E5">
        <w:trPr>
          <w:trHeight w:hRule="exact" w:val="809"/>
        </w:trPr>
        <w:tc>
          <w:tcPr>
            <w:tcW w:w="691" w:type="dxa"/>
            <w:tcBorders>
              <w:top w:val="double" w:sz="4" w:space="0" w:color="000000"/>
            </w:tcBorders>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sz w:val="26"/>
                <w:szCs w:val="26"/>
              </w:rPr>
              <w:t>1</w:t>
            </w:r>
          </w:p>
        </w:tc>
        <w:tc>
          <w:tcPr>
            <w:tcW w:w="2218" w:type="dxa"/>
            <w:tcBorders>
              <w:top w:val="double" w:sz="4" w:space="0" w:color="000000"/>
            </w:tcBorders>
            <w:vAlign w:val="center"/>
          </w:tcPr>
          <w:p w:rsidR="002C65E5" w:rsidRPr="006D645B" w:rsidRDefault="00F20EDA" w:rsidP="00A80BF5">
            <w:pPr>
              <w:autoSpaceDE w:val="0"/>
              <w:autoSpaceDN w:val="0"/>
              <w:adjustRightInd w:val="0"/>
              <w:spacing w:line="0" w:lineRule="atLeast"/>
              <w:ind w:left="1"/>
              <w:jc w:val="both"/>
              <w:rPr>
                <w:rFonts w:eastAsia="標楷體"/>
                <w:sz w:val="26"/>
                <w:szCs w:val="26"/>
              </w:rPr>
            </w:pPr>
            <w:r w:rsidRPr="00F20EDA">
              <w:rPr>
                <w:rFonts w:eastAsia="標楷體" w:hint="eastAsia"/>
                <w:sz w:val="26"/>
                <w:szCs w:val="26"/>
              </w:rPr>
              <w:t>研究與發展風險</w:t>
            </w:r>
          </w:p>
        </w:tc>
        <w:tc>
          <w:tcPr>
            <w:tcW w:w="970" w:type="dxa"/>
            <w:tcBorders>
              <w:top w:val="double" w:sz="4" w:space="0" w:color="000000"/>
            </w:tcBorders>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sz w:val="26"/>
                <w:szCs w:val="26"/>
              </w:rPr>
              <w:t>X</w:t>
            </w:r>
          </w:p>
        </w:tc>
        <w:tc>
          <w:tcPr>
            <w:tcW w:w="971" w:type="dxa"/>
            <w:tcBorders>
              <w:top w:val="double" w:sz="4" w:space="0" w:color="000000"/>
            </w:tcBorders>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tcBorders>
              <w:top w:val="double" w:sz="4" w:space="0" w:color="000000"/>
            </w:tcBorders>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sz w:val="26"/>
                <w:szCs w:val="26"/>
              </w:rPr>
              <w:t>X</w:t>
            </w:r>
          </w:p>
        </w:tc>
        <w:tc>
          <w:tcPr>
            <w:tcW w:w="971" w:type="dxa"/>
            <w:tcBorders>
              <w:top w:val="double" w:sz="4" w:space="0" w:color="000000"/>
            </w:tcBorders>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sz w:val="26"/>
                <w:szCs w:val="26"/>
              </w:rPr>
              <w:t>X</w:t>
            </w:r>
          </w:p>
        </w:tc>
        <w:tc>
          <w:tcPr>
            <w:tcW w:w="971" w:type="dxa"/>
            <w:tcBorders>
              <w:top w:val="double" w:sz="4" w:space="0" w:color="000000"/>
            </w:tcBorders>
            <w:vAlign w:val="center"/>
          </w:tcPr>
          <w:p w:rsidR="002C65E5" w:rsidRPr="006D645B" w:rsidRDefault="00F20EDA" w:rsidP="001412FD">
            <w:pPr>
              <w:autoSpaceDE w:val="0"/>
              <w:autoSpaceDN w:val="0"/>
              <w:adjustRightInd w:val="0"/>
              <w:jc w:val="center"/>
              <w:rPr>
                <w:rFonts w:eastAsia="標楷體"/>
                <w:sz w:val="26"/>
                <w:szCs w:val="26"/>
              </w:rPr>
            </w:pPr>
            <w:r>
              <w:rPr>
                <w:rFonts w:eastAsia="標楷體"/>
                <w:sz w:val="26"/>
                <w:szCs w:val="26"/>
              </w:rPr>
              <w:t>X</w:t>
            </w:r>
          </w:p>
        </w:tc>
        <w:tc>
          <w:tcPr>
            <w:tcW w:w="971" w:type="dxa"/>
            <w:tcBorders>
              <w:top w:val="double" w:sz="4" w:space="0" w:color="000000"/>
            </w:tcBorders>
            <w:vAlign w:val="center"/>
          </w:tcPr>
          <w:p w:rsidR="002C65E5" w:rsidRPr="006D645B" w:rsidRDefault="00F20EDA" w:rsidP="00295C5B">
            <w:pPr>
              <w:autoSpaceDE w:val="0"/>
              <w:autoSpaceDN w:val="0"/>
              <w:adjustRightInd w:val="0"/>
              <w:jc w:val="center"/>
              <w:rPr>
                <w:rFonts w:eastAsia="標楷體"/>
                <w:sz w:val="26"/>
                <w:szCs w:val="26"/>
              </w:rPr>
            </w:pPr>
            <w:r>
              <w:rPr>
                <w:rFonts w:eastAsia="標楷體"/>
                <w:sz w:val="26"/>
                <w:szCs w:val="26"/>
              </w:rPr>
              <w:t>X</w:t>
            </w:r>
          </w:p>
        </w:tc>
      </w:tr>
      <w:tr w:rsidR="002C65E5" w:rsidRPr="006D645B" w:rsidTr="002C65E5">
        <w:trPr>
          <w:trHeight w:hRule="exact" w:val="568"/>
        </w:trPr>
        <w:tc>
          <w:tcPr>
            <w:tcW w:w="69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sz w:val="26"/>
                <w:szCs w:val="26"/>
              </w:rPr>
              <w:t>2</w:t>
            </w:r>
          </w:p>
        </w:tc>
        <w:tc>
          <w:tcPr>
            <w:tcW w:w="2218" w:type="dxa"/>
            <w:vAlign w:val="center"/>
          </w:tcPr>
          <w:p w:rsidR="002C65E5" w:rsidRPr="006D645B" w:rsidRDefault="00F20EDA" w:rsidP="00A80BF5">
            <w:pPr>
              <w:autoSpaceDE w:val="0"/>
              <w:autoSpaceDN w:val="0"/>
              <w:adjustRightInd w:val="0"/>
              <w:spacing w:line="0" w:lineRule="atLeast"/>
              <w:ind w:left="-9"/>
              <w:jc w:val="both"/>
              <w:rPr>
                <w:rFonts w:eastAsia="標楷體"/>
                <w:sz w:val="26"/>
                <w:szCs w:val="26"/>
              </w:rPr>
            </w:pPr>
            <w:r w:rsidRPr="00F20EDA">
              <w:rPr>
                <w:rFonts w:eastAsia="標楷體" w:hint="eastAsia"/>
                <w:sz w:val="26"/>
                <w:szCs w:val="26"/>
              </w:rPr>
              <w:t>市場風險</w:t>
            </w:r>
          </w:p>
        </w:tc>
        <w:tc>
          <w:tcPr>
            <w:tcW w:w="970"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1412FD">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295C5B">
            <w:pPr>
              <w:autoSpaceDE w:val="0"/>
              <w:autoSpaceDN w:val="0"/>
              <w:adjustRightInd w:val="0"/>
              <w:jc w:val="center"/>
              <w:rPr>
                <w:rFonts w:eastAsia="標楷體"/>
                <w:sz w:val="26"/>
                <w:szCs w:val="26"/>
              </w:rPr>
            </w:pPr>
            <w:r>
              <w:rPr>
                <w:rFonts w:eastAsia="標楷體" w:hint="eastAsia"/>
                <w:sz w:val="26"/>
                <w:szCs w:val="26"/>
              </w:rPr>
              <w:t>○</w:t>
            </w:r>
          </w:p>
        </w:tc>
      </w:tr>
      <w:tr w:rsidR="002C65E5" w:rsidRPr="006D645B" w:rsidTr="002C65E5">
        <w:trPr>
          <w:trHeight w:hRule="exact" w:val="637"/>
        </w:trPr>
        <w:tc>
          <w:tcPr>
            <w:tcW w:w="691" w:type="dxa"/>
            <w:vAlign w:val="center"/>
          </w:tcPr>
          <w:p w:rsidR="002C65E5" w:rsidRPr="006D645B" w:rsidRDefault="00F20EDA" w:rsidP="00A80BF5">
            <w:pPr>
              <w:autoSpaceDE w:val="0"/>
              <w:autoSpaceDN w:val="0"/>
              <w:adjustRightInd w:val="0"/>
              <w:spacing w:line="0" w:lineRule="atLeast"/>
              <w:ind w:leftChars="-15" w:left="-36"/>
              <w:jc w:val="center"/>
              <w:rPr>
                <w:rFonts w:eastAsia="標楷體"/>
                <w:sz w:val="26"/>
                <w:szCs w:val="26"/>
              </w:rPr>
            </w:pPr>
            <w:r>
              <w:rPr>
                <w:rFonts w:eastAsia="標楷體"/>
                <w:sz w:val="26"/>
                <w:szCs w:val="26"/>
              </w:rPr>
              <w:lastRenderedPageBreak/>
              <w:t>3</w:t>
            </w:r>
          </w:p>
        </w:tc>
        <w:tc>
          <w:tcPr>
            <w:tcW w:w="2218" w:type="dxa"/>
            <w:vAlign w:val="center"/>
          </w:tcPr>
          <w:p w:rsidR="002C65E5" w:rsidRPr="006D645B" w:rsidRDefault="00F20EDA" w:rsidP="00A80BF5">
            <w:pPr>
              <w:autoSpaceDE w:val="0"/>
              <w:autoSpaceDN w:val="0"/>
              <w:adjustRightInd w:val="0"/>
              <w:spacing w:line="0" w:lineRule="atLeast"/>
              <w:ind w:left="1"/>
              <w:jc w:val="both"/>
              <w:rPr>
                <w:rFonts w:eastAsia="標楷體"/>
                <w:sz w:val="26"/>
                <w:szCs w:val="26"/>
              </w:rPr>
            </w:pPr>
            <w:r w:rsidRPr="00F20EDA">
              <w:rPr>
                <w:rFonts w:eastAsia="標楷體" w:hint="eastAsia"/>
                <w:sz w:val="26"/>
                <w:szCs w:val="26"/>
              </w:rPr>
              <w:t>存貨風險</w:t>
            </w:r>
          </w:p>
        </w:tc>
        <w:tc>
          <w:tcPr>
            <w:tcW w:w="970"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1412FD">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295C5B">
            <w:pPr>
              <w:autoSpaceDE w:val="0"/>
              <w:autoSpaceDN w:val="0"/>
              <w:adjustRightInd w:val="0"/>
              <w:jc w:val="center"/>
              <w:rPr>
                <w:rFonts w:eastAsia="標楷體"/>
                <w:sz w:val="26"/>
                <w:szCs w:val="26"/>
              </w:rPr>
            </w:pPr>
            <w:r>
              <w:rPr>
                <w:rFonts w:eastAsia="標楷體" w:hint="eastAsia"/>
                <w:sz w:val="26"/>
                <w:szCs w:val="26"/>
              </w:rPr>
              <w:t>○</w:t>
            </w:r>
          </w:p>
        </w:tc>
      </w:tr>
      <w:tr w:rsidR="002C65E5" w:rsidRPr="006D645B" w:rsidTr="002C65E5">
        <w:trPr>
          <w:trHeight w:hRule="exact" w:val="759"/>
        </w:trPr>
        <w:tc>
          <w:tcPr>
            <w:tcW w:w="69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sz w:val="26"/>
                <w:szCs w:val="26"/>
              </w:rPr>
              <w:t>4</w:t>
            </w:r>
          </w:p>
        </w:tc>
        <w:tc>
          <w:tcPr>
            <w:tcW w:w="2218" w:type="dxa"/>
            <w:vAlign w:val="center"/>
          </w:tcPr>
          <w:p w:rsidR="002C65E5" w:rsidRPr="006D645B" w:rsidRDefault="00F20EDA" w:rsidP="00A80BF5">
            <w:pPr>
              <w:autoSpaceDE w:val="0"/>
              <w:autoSpaceDN w:val="0"/>
              <w:adjustRightInd w:val="0"/>
              <w:spacing w:line="0" w:lineRule="atLeast"/>
              <w:ind w:left="1"/>
              <w:jc w:val="both"/>
              <w:rPr>
                <w:rFonts w:eastAsia="標楷體"/>
                <w:sz w:val="26"/>
                <w:szCs w:val="26"/>
              </w:rPr>
            </w:pPr>
            <w:r w:rsidRPr="00F20EDA">
              <w:rPr>
                <w:rFonts w:eastAsia="標楷體" w:hint="eastAsia"/>
                <w:sz w:val="26"/>
                <w:szCs w:val="26"/>
              </w:rPr>
              <w:t>產品責任風險</w:t>
            </w:r>
          </w:p>
        </w:tc>
        <w:tc>
          <w:tcPr>
            <w:tcW w:w="970"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1412FD">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295C5B">
            <w:pPr>
              <w:autoSpaceDE w:val="0"/>
              <w:autoSpaceDN w:val="0"/>
              <w:adjustRightInd w:val="0"/>
              <w:jc w:val="center"/>
              <w:rPr>
                <w:rFonts w:eastAsia="標楷體"/>
                <w:sz w:val="26"/>
                <w:szCs w:val="26"/>
              </w:rPr>
            </w:pPr>
            <w:r>
              <w:rPr>
                <w:rFonts w:eastAsia="標楷體" w:hint="eastAsia"/>
                <w:sz w:val="26"/>
                <w:szCs w:val="26"/>
              </w:rPr>
              <w:t>△</w:t>
            </w:r>
          </w:p>
        </w:tc>
      </w:tr>
      <w:tr w:rsidR="002C65E5" w:rsidRPr="006D645B" w:rsidTr="002C65E5">
        <w:trPr>
          <w:trHeight w:hRule="exact" w:val="510"/>
        </w:trPr>
        <w:tc>
          <w:tcPr>
            <w:tcW w:w="69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sz w:val="26"/>
                <w:szCs w:val="26"/>
              </w:rPr>
              <w:t>5</w:t>
            </w:r>
          </w:p>
        </w:tc>
        <w:tc>
          <w:tcPr>
            <w:tcW w:w="2218" w:type="dxa"/>
            <w:vAlign w:val="center"/>
          </w:tcPr>
          <w:p w:rsidR="002C65E5" w:rsidRPr="006D645B" w:rsidRDefault="00F20EDA" w:rsidP="00A80BF5">
            <w:pPr>
              <w:autoSpaceDE w:val="0"/>
              <w:autoSpaceDN w:val="0"/>
              <w:adjustRightInd w:val="0"/>
              <w:spacing w:line="0" w:lineRule="atLeast"/>
              <w:ind w:left="1"/>
              <w:jc w:val="both"/>
              <w:rPr>
                <w:rFonts w:eastAsia="標楷體"/>
                <w:sz w:val="26"/>
                <w:szCs w:val="26"/>
              </w:rPr>
            </w:pPr>
            <w:r w:rsidRPr="00F20EDA">
              <w:rPr>
                <w:rFonts w:eastAsia="標楷體" w:hint="eastAsia"/>
                <w:sz w:val="26"/>
                <w:szCs w:val="26"/>
              </w:rPr>
              <w:t>財務風險</w:t>
            </w:r>
          </w:p>
        </w:tc>
        <w:tc>
          <w:tcPr>
            <w:tcW w:w="970"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1412FD">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295C5B">
            <w:pPr>
              <w:autoSpaceDE w:val="0"/>
              <w:autoSpaceDN w:val="0"/>
              <w:adjustRightInd w:val="0"/>
              <w:jc w:val="center"/>
              <w:rPr>
                <w:rFonts w:eastAsia="標楷體"/>
                <w:sz w:val="26"/>
                <w:szCs w:val="26"/>
              </w:rPr>
            </w:pPr>
            <w:r>
              <w:rPr>
                <w:rFonts w:eastAsia="標楷體" w:hint="eastAsia"/>
                <w:sz w:val="26"/>
                <w:szCs w:val="26"/>
              </w:rPr>
              <w:t>○</w:t>
            </w:r>
          </w:p>
        </w:tc>
      </w:tr>
      <w:tr w:rsidR="002C65E5" w:rsidRPr="006D645B" w:rsidTr="002C65E5">
        <w:trPr>
          <w:trHeight w:val="555"/>
        </w:trPr>
        <w:tc>
          <w:tcPr>
            <w:tcW w:w="69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sz w:val="26"/>
                <w:szCs w:val="26"/>
              </w:rPr>
              <w:t>6</w:t>
            </w:r>
          </w:p>
        </w:tc>
        <w:tc>
          <w:tcPr>
            <w:tcW w:w="2218" w:type="dxa"/>
            <w:vAlign w:val="center"/>
          </w:tcPr>
          <w:p w:rsidR="002C65E5" w:rsidRPr="006D645B" w:rsidRDefault="00F20EDA" w:rsidP="00A80BF5">
            <w:pPr>
              <w:autoSpaceDE w:val="0"/>
              <w:autoSpaceDN w:val="0"/>
              <w:adjustRightInd w:val="0"/>
              <w:spacing w:line="0" w:lineRule="atLeast"/>
              <w:ind w:left="1"/>
              <w:jc w:val="both"/>
              <w:rPr>
                <w:rFonts w:eastAsia="標楷體"/>
                <w:sz w:val="26"/>
                <w:szCs w:val="26"/>
              </w:rPr>
            </w:pPr>
            <w:r w:rsidRPr="00F20EDA">
              <w:rPr>
                <w:rFonts w:eastAsia="標楷體" w:hint="eastAsia"/>
                <w:sz w:val="26"/>
                <w:szCs w:val="26"/>
              </w:rPr>
              <w:t>信用風險</w:t>
            </w:r>
          </w:p>
        </w:tc>
        <w:tc>
          <w:tcPr>
            <w:tcW w:w="970"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A80BF5">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1412FD">
            <w:pPr>
              <w:autoSpaceDE w:val="0"/>
              <w:autoSpaceDN w:val="0"/>
              <w:adjustRightInd w:val="0"/>
              <w:jc w:val="center"/>
              <w:rPr>
                <w:rFonts w:eastAsia="標楷體"/>
                <w:sz w:val="26"/>
                <w:szCs w:val="26"/>
              </w:rPr>
            </w:pPr>
            <w:r>
              <w:rPr>
                <w:rFonts w:eastAsia="標楷體" w:hint="eastAsia"/>
                <w:sz w:val="26"/>
                <w:szCs w:val="26"/>
              </w:rPr>
              <w:t>○</w:t>
            </w:r>
          </w:p>
        </w:tc>
        <w:tc>
          <w:tcPr>
            <w:tcW w:w="971" w:type="dxa"/>
            <w:vAlign w:val="center"/>
          </w:tcPr>
          <w:p w:rsidR="002C65E5" w:rsidRPr="006D645B" w:rsidRDefault="00F20EDA" w:rsidP="00295C5B">
            <w:pPr>
              <w:autoSpaceDE w:val="0"/>
              <w:autoSpaceDN w:val="0"/>
              <w:adjustRightInd w:val="0"/>
              <w:jc w:val="center"/>
              <w:rPr>
                <w:rFonts w:eastAsia="標楷體"/>
                <w:sz w:val="26"/>
                <w:szCs w:val="26"/>
              </w:rPr>
            </w:pPr>
            <w:r>
              <w:rPr>
                <w:rFonts w:eastAsia="標楷體" w:hint="eastAsia"/>
                <w:sz w:val="26"/>
                <w:szCs w:val="26"/>
              </w:rPr>
              <w:t>○</w:t>
            </w:r>
          </w:p>
        </w:tc>
      </w:tr>
      <w:tr w:rsidR="00B56FFB" w:rsidRPr="006D645B" w:rsidTr="00416ABB">
        <w:trPr>
          <w:trHeight w:val="555"/>
        </w:trPr>
        <w:tc>
          <w:tcPr>
            <w:tcW w:w="8734" w:type="dxa"/>
            <w:gridSpan w:val="8"/>
            <w:vAlign w:val="center"/>
          </w:tcPr>
          <w:p w:rsidR="00B56FFB" w:rsidRPr="006D645B" w:rsidRDefault="00DC4ACB" w:rsidP="00A80BF5">
            <w:pPr>
              <w:autoSpaceDE w:val="0"/>
              <w:autoSpaceDN w:val="0"/>
              <w:adjustRightInd w:val="0"/>
              <w:jc w:val="center"/>
              <w:rPr>
                <w:rFonts w:eastAsia="標楷體"/>
                <w:color w:val="000000"/>
                <w:sz w:val="26"/>
                <w:szCs w:val="26"/>
              </w:rPr>
            </w:pPr>
            <w:r w:rsidRPr="00DC4ACB">
              <w:rPr>
                <w:rFonts w:eastAsia="標楷體"/>
                <w:color w:val="000000"/>
                <w:sz w:val="26"/>
                <w:szCs w:val="26"/>
              </w:rPr>
              <w:t>註：依下列符號註記承擔風險情形</w:t>
            </w:r>
            <w:r w:rsidR="00F20EDA">
              <w:rPr>
                <w:rFonts w:eastAsia="標楷體"/>
                <w:color w:val="000000"/>
                <w:sz w:val="26"/>
                <w:szCs w:val="26"/>
              </w:rPr>
              <w:t xml:space="preserve"> </w:t>
            </w:r>
            <w:r w:rsidR="00F20EDA">
              <w:rPr>
                <w:rFonts w:eastAsia="標楷體" w:hint="eastAsia"/>
                <w:color w:val="000000"/>
                <w:sz w:val="26"/>
                <w:szCs w:val="26"/>
              </w:rPr>
              <w:t>─</w:t>
            </w:r>
          </w:p>
          <w:p w:rsidR="00B56FFB" w:rsidRPr="006D645B" w:rsidRDefault="00F20EDA" w:rsidP="00A80BF5">
            <w:pPr>
              <w:autoSpaceDE w:val="0"/>
              <w:autoSpaceDN w:val="0"/>
              <w:adjustRightInd w:val="0"/>
              <w:jc w:val="center"/>
              <w:rPr>
                <w:rFonts w:eastAsia="標楷體"/>
                <w:color w:val="000000"/>
                <w:sz w:val="26"/>
                <w:szCs w:val="26"/>
              </w:rPr>
            </w:pPr>
            <w:r w:rsidRPr="00F20EDA">
              <w:rPr>
                <w:rFonts w:eastAsia="標楷體" w:hint="eastAsia"/>
                <w:color w:val="000000"/>
                <w:sz w:val="26"/>
                <w:szCs w:val="26"/>
              </w:rPr>
              <w:t>○</w:t>
            </w:r>
            <w:r w:rsidR="00DC4ACB" w:rsidRPr="00DC4ACB">
              <w:rPr>
                <w:rFonts w:eastAsia="標楷體"/>
                <w:color w:val="000000"/>
                <w:sz w:val="26"/>
                <w:szCs w:val="26"/>
              </w:rPr>
              <w:t>：承擔主要風險；</w:t>
            </w:r>
            <w:r w:rsidR="00DC4ACB" w:rsidRPr="00DC4ACB">
              <w:rPr>
                <w:rFonts w:eastAsia="標楷體"/>
                <w:color w:val="000000"/>
                <w:sz w:val="26"/>
                <w:szCs w:val="26"/>
              </w:rPr>
              <w:t>△</w:t>
            </w:r>
            <w:r w:rsidR="00DC4ACB" w:rsidRPr="00DC4ACB">
              <w:rPr>
                <w:rFonts w:eastAsia="標楷體"/>
                <w:color w:val="000000"/>
                <w:sz w:val="26"/>
                <w:szCs w:val="26"/>
              </w:rPr>
              <w:t>：承擔部分風險；</w:t>
            </w:r>
            <w:r>
              <w:rPr>
                <w:rFonts w:eastAsia="標楷體"/>
                <w:color w:val="000000"/>
                <w:sz w:val="26"/>
                <w:szCs w:val="26"/>
              </w:rPr>
              <w:t>×</w:t>
            </w:r>
            <w:r w:rsidR="00DC4ACB" w:rsidRPr="00DC4ACB">
              <w:rPr>
                <w:rFonts w:eastAsia="標楷體"/>
                <w:color w:val="000000"/>
                <w:sz w:val="26"/>
                <w:szCs w:val="26"/>
              </w:rPr>
              <w:t>：未承擔風險</w:t>
            </w:r>
          </w:p>
        </w:tc>
      </w:tr>
    </w:tbl>
    <w:p w:rsidR="0032590C" w:rsidRDefault="00F20EDA" w:rsidP="00965AF0">
      <w:pPr>
        <w:pStyle w:val="2"/>
        <w:numPr>
          <w:ilvl w:val="1"/>
          <w:numId w:val="18"/>
        </w:numPr>
        <w:tabs>
          <w:tab w:val="left" w:pos="756"/>
        </w:tabs>
        <w:spacing w:beforeLines="100" w:before="240" w:afterLines="100" w:after="240" w:line="360" w:lineRule="auto"/>
        <w:ind w:left="0" w:firstLine="0"/>
        <w:rPr>
          <w:rFonts w:ascii="Times New Roman" w:eastAsia="標楷體" w:hAnsi="Times New Roman"/>
          <w:sz w:val="36"/>
          <w:szCs w:val="40"/>
        </w:rPr>
      </w:pPr>
      <w:r>
        <w:rPr>
          <w:rFonts w:ascii="Times New Roman" w:eastAsia="標楷體" w:hAnsi="Times New Roman" w:hint="eastAsia"/>
          <w:sz w:val="36"/>
          <w:szCs w:val="40"/>
        </w:rPr>
        <w:t>企業特色</w:t>
      </w:r>
    </w:p>
    <w:p w:rsidR="0032590C" w:rsidRDefault="00F20EDA" w:rsidP="00965AF0">
      <w:pPr>
        <w:spacing w:beforeLines="50" w:before="120" w:afterLines="50" w:after="120" w:line="360" w:lineRule="auto"/>
        <w:ind w:firstLineChars="200" w:firstLine="520"/>
        <w:jc w:val="both"/>
        <w:rPr>
          <w:rFonts w:eastAsia="標楷體"/>
          <w:bCs/>
          <w:iCs/>
          <w:sz w:val="26"/>
          <w:szCs w:val="26"/>
        </w:rPr>
      </w:pPr>
      <w:r>
        <w:rPr>
          <w:rFonts w:eastAsia="標楷體" w:hint="eastAsia"/>
          <w:bCs/>
          <w:iCs/>
          <w:sz w:val="26"/>
          <w:szCs w:val="26"/>
        </w:rPr>
        <w:t>進行移轉訂價分析時，功能性及風險性之分析可用來作為區分交易特性之基礎。雖然每個企業體都是獨一無二的，但經過時間的演進，現已存在一套有助於區分交易特性之標準分類模式，廣為大多數已開發國家稅務機關所熟悉並接受。該標準分類模式之重要性在於可協助建立比較種類，特定交易便可依標準分類模式作比較。</w:t>
      </w:r>
    </w:p>
    <w:p w:rsidR="0032590C" w:rsidRDefault="00F20EDA" w:rsidP="00965AF0">
      <w:pPr>
        <w:spacing w:beforeLines="50" w:before="120" w:afterLines="50" w:after="120" w:line="360" w:lineRule="auto"/>
        <w:ind w:firstLineChars="200" w:firstLine="520"/>
        <w:jc w:val="both"/>
        <w:rPr>
          <w:rFonts w:eastAsia="標楷體"/>
          <w:bCs/>
          <w:iCs/>
          <w:sz w:val="26"/>
          <w:szCs w:val="26"/>
        </w:rPr>
      </w:pPr>
      <w:r>
        <w:rPr>
          <w:rFonts w:eastAsia="標楷體" w:hint="eastAsia"/>
          <w:bCs/>
          <w:iCs/>
          <w:sz w:val="26"/>
          <w:szCs w:val="26"/>
        </w:rPr>
        <w:t>最常見者有如將製造商分為：</w:t>
      </w:r>
      <w:r>
        <w:rPr>
          <w:rFonts w:eastAsia="標楷體"/>
          <w:bCs/>
          <w:iCs/>
          <w:sz w:val="26"/>
          <w:szCs w:val="26"/>
        </w:rPr>
        <w:t>1</w:t>
      </w:r>
      <w:r>
        <w:rPr>
          <w:rFonts w:eastAsia="標楷體" w:hint="eastAsia"/>
          <w:bCs/>
          <w:iCs/>
          <w:sz w:val="26"/>
          <w:szCs w:val="26"/>
        </w:rPr>
        <w:t>）委託製造商（</w:t>
      </w:r>
      <w:r>
        <w:rPr>
          <w:rFonts w:eastAsia="標楷體"/>
          <w:bCs/>
          <w:iCs/>
          <w:sz w:val="26"/>
          <w:szCs w:val="26"/>
        </w:rPr>
        <w:t>contract manufacturer</w:t>
      </w:r>
      <w:r>
        <w:rPr>
          <w:rFonts w:eastAsia="標楷體" w:hint="eastAsia"/>
          <w:bCs/>
          <w:iCs/>
          <w:sz w:val="26"/>
          <w:szCs w:val="26"/>
        </w:rPr>
        <w:t>）、</w:t>
      </w:r>
      <w:r>
        <w:rPr>
          <w:rFonts w:eastAsia="標楷體"/>
          <w:bCs/>
          <w:iCs/>
          <w:sz w:val="26"/>
          <w:szCs w:val="26"/>
        </w:rPr>
        <w:t>2</w:t>
      </w:r>
      <w:r>
        <w:rPr>
          <w:rFonts w:eastAsia="標楷體" w:hint="eastAsia"/>
          <w:bCs/>
          <w:iCs/>
          <w:sz w:val="26"/>
          <w:szCs w:val="26"/>
        </w:rPr>
        <w:t>）限定範圍製造商（</w:t>
      </w:r>
      <w:r>
        <w:rPr>
          <w:rFonts w:eastAsia="標楷體"/>
          <w:bCs/>
          <w:iCs/>
          <w:sz w:val="26"/>
          <w:szCs w:val="26"/>
        </w:rPr>
        <w:t>limited manufacturer</w:t>
      </w:r>
      <w:r>
        <w:rPr>
          <w:rFonts w:eastAsia="標楷體" w:hint="eastAsia"/>
          <w:bCs/>
          <w:iCs/>
          <w:sz w:val="26"/>
          <w:szCs w:val="26"/>
        </w:rPr>
        <w:t>）及</w:t>
      </w:r>
      <w:r>
        <w:rPr>
          <w:rFonts w:eastAsia="標楷體"/>
          <w:bCs/>
          <w:iCs/>
          <w:sz w:val="26"/>
          <w:szCs w:val="26"/>
        </w:rPr>
        <w:t>3</w:t>
      </w:r>
      <w:r>
        <w:rPr>
          <w:rFonts w:eastAsia="標楷體" w:hint="eastAsia"/>
          <w:bCs/>
          <w:iCs/>
          <w:sz w:val="26"/>
          <w:szCs w:val="26"/>
        </w:rPr>
        <w:t>）全方位製造商（</w:t>
      </w:r>
      <w:r>
        <w:rPr>
          <w:rFonts w:eastAsia="標楷體"/>
          <w:bCs/>
          <w:iCs/>
          <w:sz w:val="26"/>
          <w:szCs w:val="26"/>
        </w:rPr>
        <w:t>full-fledged manufacturer</w:t>
      </w:r>
      <w:r>
        <w:rPr>
          <w:rFonts w:eastAsia="標楷體" w:hint="eastAsia"/>
          <w:bCs/>
          <w:iCs/>
          <w:sz w:val="26"/>
          <w:szCs w:val="26"/>
        </w:rPr>
        <w:t>）。</w:t>
      </w:r>
    </w:p>
    <w:p w:rsidR="0032590C" w:rsidRDefault="00F20EDA" w:rsidP="00965AF0">
      <w:pPr>
        <w:spacing w:beforeLines="50" w:before="120" w:afterLines="50" w:after="120" w:line="360" w:lineRule="auto"/>
        <w:ind w:firstLineChars="200" w:firstLine="520"/>
        <w:jc w:val="both"/>
        <w:rPr>
          <w:rFonts w:eastAsia="標楷體"/>
          <w:bCs/>
          <w:iCs/>
          <w:sz w:val="26"/>
          <w:szCs w:val="26"/>
        </w:rPr>
      </w:pPr>
      <w:r>
        <w:rPr>
          <w:rFonts w:eastAsia="標楷體" w:hint="eastAsia"/>
          <w:bCs/>
          <w:iCs/>
          <w:sz w:val="26"/>
          <w:szCs w:val="26"/>
        </w:rPr>
        <w:t>銷售商則可分為：</w:t>
      </w:r>
      <w:r>
        <w:rPr>
          <w:rFonts w:eastAsia="標楷體"/>
          <w:bCs/>
          <w:iCs/>
          <w:sz w:val="26"/>
          <w:szCs w:val="26"/>
        </w:rPr>
        <w:t>1</w:t>
      </w:r>
      <w:r>
        <w:rPr>
          <w:rFonts w:eastAsia="標楷體" w:hint="eastAsia"/>
          <w:bCs/>
          <w:iCs/>
          <w:sz w:val="26"/>
          <w:szCs w:val="26"/>
        </w:rPr>
        <w:t>）佣金代理商（</w:t>
      </w:r>
      <w:r>
        <w:rPr>
          <w:rFonts w:eastAsia="標楷體"/>
          <w:bCs/>
          <w:iCs/>
          <w:sz w:val="26"/>
          <w:szCs w:val="26"/>
        </w:rPr>
        <w:t>commission agent</w:t>
      </w:r>
      <w:r>
        <w:rPr>
          <w:rFonts w:eastAsia="標楷體" w:hint="eastAsia"/>
          <w:bCs/>
          <w:iCs/>
          <w:sz w:val="26"/>
          <w:szCs w:val="26"/>
        </w:rPr>
        <w:t>）、</w:t>
      </w:r>
      <w:r>
        <w:rPr>
          <w:rFonts w:eastAsia="標楷體"/>
          <w:bCs/>
          <w:iCs/>
          <w:sz w:val="26"/>
          <w:szCs w:val="26"/>
        </w:rPr>
        <w:t>2</w:t>
      </w:r>
      <w:r>
        <w:rPr>
          <w:rFonts w:eastAsia="標楷體" w:hint="eastAsia"/>
          <w:bCs/>
          <w:iCs/>
          <w:sz w:val="26"/>
          <w:szCs w:val="26"/>
        </w:rPr>
        <w:t>）有限功能配銷商（</w:t>
      </w:r>
      <w:r>
        <w:rPr>
          <w:rFonts w:eastAsia="標楷體"/>
          <w:bCs/>
          <w:iCs/>
          <w:sz w:val="26"/>
          <w:szCs w:val="26"/>
        </w:rPr>
        <w:t>limited distributor</w:t>
      </w:r>
      <w:r>
        <w:rPr>
          <w:rFonts w:eastAsia="標楷體" w:hint="eastAsia"/>
          <w:bCs/>
          <w:iCs/>
          <w:sz w:val="26"/>
          <w:szCs w:val="26"/>
        </w:rPr>
        <w:t>）、</w:t>
      </w:r>
      <w:r>
        <w:rPr>
          <w:rFonts w:eastAsia="標楷體"/>
          <w:bCs/>
          <w:iCs/>
          <w:sz w:val="26"/>
          <w:szCs w:val="26"/>
        </w:rPr>
        <w:t>3</w:t>
      </w:r>
      <w:r>
        <w:rPr>
          <w:rFonts w:eastAsia="標楷體" w:hint="eastAsia"/>
          <w:bCs/>
          <w:iCs/>
          <w:sz w:val="26"/>
          <w:szCs w:val="26"/>
        </w:rPr>
        <w:t>）配銷商（</w:t>
      </w:r>
      <w:r>
        <w:rPr>
          <w:rFonts w:eastAsia="標楷體"/>
          <w:bCs/>
          <w:iCs/>
          <w:sz w:val="26"/>
          <w:szCs w:val="26"/>
        </w:rPr>
        <w:t>distributor</w:t>
      </w:r>
      <w:r>
        <w:rPr>
          <w:rFonts w:eastAsia="標楷體" w:hint="eastAsia"/>
          <w:bCs/>
          <w:iCs/>
          <w:sz w:val="26"/>
          <w:szCs w:val="26"/>
        </w:rPr>
        <w:t>）與</w:t>
      </w:r>
      <w:r>
        <w:rPr>
          <w:rFonts w:eastAsia="標楷體"/>
          <w:bCs/>
          <w:iCs/>
          <w:sz w:val="26"/>
          <w:szCs w:val="26"/>
        </w:rPr>
        <w:t>4</w:t>
      </w:r>
      <w:r>
        <w:rPr>
          <w:rFonts w:eastAsia="標楷體" w:hint="eastAsia"/>
          <w:bCs/>
          <w:iCs/>
          <w:sz w:val="26"/>
          <w:szCs w:val="26"/>
        </w:rPr>
        <w:t>）行銷商兼配銷商（</w:t>
      </w:r>
      <w:r>
        <w:rPr>
          <w:rFonts w:eastAsia="標楷體"/>
          <w:bCs/>
          <w:iCs/>
          <w:sz w:val="26"/>
          <w:szCs w:val="26"/>
        </w:rPr>
        <w:t>marketer/distributor</w:t>
      </w:r>
      <w:r>
        <w:rPr>
          <w:rFonts w:eastAsia="標楷體" w:hint="eastAsia"/>
          <w:bCs/>
          <w:iCs/>
          <w:sz w:val="26"/>
          <w:szCs w:val="26"/>
        </w:rPr>
        <w:t>）。</w:t>
      </w:r>
    </w:p>
    <w:p w:rsidR="0032590C" w:rsidRDefault="00F20EDA" w:rsidP="00965AF0">
      <w:pPr>
        <w:spacing w:beforeLines="50" w:before="120" w:afterLines="50" w:after="120" w:line="360" w:lineRule="auto"/>
        <w:ind w:firstLineChars="200" w:firstLine="520"/>
        <w:jc w:val="both"/>
        <w:rPr>
          <w:rFonts w:eastAsia="標楷體"/>
          <w:bCs/>
          <w:iCs/>
          <w:sz w:val="26"/>
          <w:szCs w:val="26"/>
        </w:rPr>
      </w:pPr>
      <w:r>
        <w:rPr>
          <w:rFonts w:eastAsia="標楷體" w:hint="eastAsia"/>
          <w:bCs/>
          <w:iCs/>
          <w:sz w:val="26"/>
          <w:szCs w:val="26"/>
        </w:rPr>
        <w:t>除製造及銷售商外，由於企業之經營型態尚包括提供服務予他人以獲取利益者，故交易特性之分類模式尚包括服務之提供者。</w:t>
      </w:r>
    </w:p>
    <w:p w:rsidR="0032590C" w:rsidRDefault="00F20EDA" w:rsidP="00965AF0">
      <w:pPr>
        <w:spacing w:beforeLines="50" w:before="120" w:afterLines="50" w:after="120" w:line="360" w:lineRule="auto"/>
        <w:ind w:firstLineChars="200" w:firstLine="520"/>
        <w:jc w:val="both"/>
        <w:rPr>
          <w:rFonts w:eastAsia="標楷體"/>
          <w:bCs/>
          <w:iCs/>
          <w:sz w:val="26"/>
          <w:szCs w:val="26"/>
        </w:rPr>
      </w:pPr>
      <w:r>
        <w:rPr>
          <w:rFonts w:eastAsia="標楷體" w:hint="eastAsia"/>
          <w:bCs/>
          <w:iCs/>
          <w:sz w:val="26"/>
          <w:szCs w:val="26"/>
        </w:rPr>
        <w:lastRenderedPageBreak/>
        <w:t>營業個體之獲利能力基本上與其功能、風險及所持有之無形資產有關。由於製造商及銷售商之分類較多種，以下便針對各分類進行說明比較：</w:t>
      </w:r>
    </w:p>
    <w:p w:rsidR="0032590C" w:rsidRDefault="00F20EDA" w:rsidP="00965AF0">
      <w:pPr>
        <w:pStyle w:val="3"/>
        <w:numPr>
          <w:ilvl w:val="0"/>
          <w:numId w:val="24"/>
        </w:numPr>
        <w:spacing w:beforeLines="50" w:before="120" w:afterLines="50" w:after="120" w:line="360" w:lineRule="auto"/>
        <w:ind w:leftChars="100" w:left="720"/>
        <w:jc w:val="both"/>
        <w:rPr>
          <w:rFonts w:ascii="Times New Roman" w:eastAsia="標楷體" w:hAnsi="Times New Roman"/>
          <w:sz w:val="32"/>
        </w:rPr>
      </w:pPr>
      <w:r>
        <w:rPr>
          <w:rFonts w:ascii="Times New Roman" w:eastAsia="標楷體" w:hAnsi="Times New Roman" w:hint="eastAsia"/>
          <w:sz w:val="32"/>
        </w:rPr>
        <w:t>製造商之分類</w:t>
      </w:r>
    </w:p>
    <w:p w:rsidR="0032590C" w:rsidRDefault="00F20EDA" w:rsidP="00965AF0">
      <w:pPr>
        <w:spacing w:beforeLines="50" w:before="120" w:afterLines="50" w:after="120" w:line="360" w:lineRule="auto"/>
        <w:ind w:leftChars="200" w:left="480" w:firstLineChars="200" w:firstLine="520"/>
        <w:jc w:val="both"/>
        <w:rPr>
          <w:rFonts w:eastAsia="標楷體"/>
          <w:bCs/>
          <w:iCs/>
          <w:sz w:val="26"/>
          <w:szCs w:val="26"/>
        </w:rPr>
      </w:pPr>
      <w:r>
        <w:rPr>
          <w:rFonts w:eastAsia="標楷體" w:hint="eastAsia"/>
          <w:bCs/>
          <w:iCs/>
          <w:sz w:val="26"/>
          <w:szCs w:val="26"/>
        </w:rPr>
        <w:t>雖然細分之下定有差異，但經常為製造業所用於區分其特性之三種標準分類模式為：</w:t>
      </w:r>
      <w:r>
        <w:rPr>
          <w:rFonts w:eastAsia="標楷體"/>
          <w:bCs/>
          <w:iCs/>
          <w:sz w:val="26"/>
          <w:szCs w:val="26"/>
        </w:rPr>
        <w:t>1</w:t>
      </w:r>
      <w:r>
        <w:rPr>
          <w:rFonts w:eastAsia="標楷體" w:hint="eastAsia"/>
          <w:bCs/>
          <w:iCs/>
          <w:sz w:val="26"/>
          <w:szCs w:val="26"/>
        </w:rPr>
        <w:t>）委託製造商、</w:t>
      </w:r>
      <w:r>
        <w:rPr>
          <w:rFonts w:eastAsia="標楷體"/>
          <w:bCs/>
          <w:iCs/>
          <w:sz w:val="26"/>
          <w:szCs w:val="26"/>
        </w:rPr>
        <w:t>2</w:t>
      </w:r>
      <w:r>
        <w:rPr>
          <w:rFonts w:eastAsia="標楷體" w:hint="eastAsia"/>
          <w:bCs/>
          <w:iCs/>
          <w:sz w:val="26"/>
          <w:szCs w:val="26"/>
        </w:rPr>
        <w:t>）限定範圍製造商及</w:t>
      </w:r>
      <w:r>
        <w:rPr>
          <w:rFonts w:eastAsia="標楷體"/>
          <w:bCs/>
          <w:iCs/>
          <w:sz w:val="26"/>
          <w:szCs w:val="26"/>
        </w:rPr>
        <w:t>3</w:t>
      </w:r>
      <w:r>
        <w:rPr>
          <w:rFonts w:eastAsia="標楷體" w:hint="eastAsia"/>
          <w:bCs/>
          <w:iCs/>
          <w:sz w:val="26"/>
          <w:szCs w:val="26"/>
        </w:rPr>
        <w:t>）全方位製造商。</w:t>
      </w:r>
    </w:p>
    <w:p w:rsidR="0032590C" w:rsidRDefault="00F20EDA" w:rsidP="00965AF0">
      <w:pPr>
        <w:numPr>
          <w:ilvl w:val="0"/>
          <w:numId w:val="25"/>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委託製造商</w:t>
      </w:r>
    </w:p>
    <w:p w:rsidR="0032590C"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委託製造商又稱為合約製造商，係指依既定指示進行產品製造或組裝。所使用之生產技術、產品規格、品質控制程序及生產排程通常為客戶所提供。因處理訂單所需之製造和組裝技巧並不要求特殊技術，一般而言其賺得之利潤最少。</w:t>
      </w:r>
    </w:p>
    <w:p w:rsidR="0032590C" w:rsidRDefault="00F20EDA" w:rsidP="00965AF0">
      <w:pPr>
        <w:numPr>
          <w:ilvl w:val="0"/>
          <w:numId w:val="25"/>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限定範圍製造商</w:t>
      </w:r>
    </w:p>
    <w:p w:rsidR="0032590C" w:rsidRDefault="00F20EDA"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限定範圍製造商比委託製造商涉及更複雜及困難之生產活動，所以通常於生產過程中擁有更多自主性。但因其通常並不參與研究發展工作，所以無法執行策略性功能，賺取之利潤介於相同產業及市場中之委託製造商及全方位製造商之間。</w:t>
      </w:r>
    </w:p>
    <w:p w:rsidR="0032590C" w:rsidRDefault="00567251" w:rsidP="00965AF0">
      <w:pPr>
        <w:numPr>
          <w:ilvl w:val="0"/>
          <w:numId w:val="2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全方位製造商</w:t>
      </w:r>
    </w:p>
    <w:p w:rsidR="0032590C" w:rsidRDefault="0056725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全方位製造商於製造產品上有實際運作之情形存在，且生產之產品絕大部分為自有產品。所謂實際運作包括為完成生產所需進行之製造和組裝，以及為了維護生產設備所需之管理活動。所謂全方位製造商，必須對下述策略性功能承擔部份責任：</w:t>
      </w:r>
      <w:r w:rsidRPr="00EA272E">
        <w:rPr>
          <w:rFonts w:eastAsia="標楷體"/>
          <w:sz w:val="26"/>
          <w:szCs w:val="26"/>
        </w:rPr>
        <w:t>1</w:t>
      </w:r>
      <w:r w:rsidR="00D845CB" w:rsidRPr="00EA272E">
        <w:rPr>
          <w:rFonts w:eastAsia="標楷體" w:hint="eastAsia"/>
          <w:sz w:val="26"/>
          <w:szCs w:val="26"/>
        </w:rPr>
        <w:t>）</w:t>
      </w:r>
      <w:r w:rsidRPr="00EA272E">
        <w:rPr>
          <w:rFonts w:eastAsia="標楷體"/>
          <w:sz w:val="26"/>
          <w:szCs w:val="26"/>
        </w:rPr>
        <w:t>產品策略之決定</w:t>
      </w:r>
      <w:r w:rsidR="00D845CB" w:rsidRPr="00EA272E">
        <w:rPr>
          <w:rFonts w:eastAsia="標楷體" w:hint="eastAsia"/>
          <w:sz w:val="26"/>
          <w:szCs w:val="26"/>
        </w:rPr>
        <w:t>、</w:t>
      </w:r>
      <w:r w:rsidRPr="00EA272E">
        <w:rPr>
          <w:rFonts w:eastAsia="標楷體"/>
          <w:sz w:val="26"/>
          <w:szCs w:val="26"/>
        </w:rPr>
        <w:t>2</w:t>
      </w:r>
      <w:r w:rsidR="00D845CB" w:rsidRPr="00EA272E">
        <w:rPr>
          <w:rFonts w:eastAsia="標楷體" w:hint="eastAsia"/>
          <w:sz w:val="26"/>
          <w:szCs w:val="26"/>
        </w:rPr>
        <w:t>）</w:t>
      </w:r>
      <w:r w:rsidRPr="00EA272E">
        <w:rPr>
          <w:rFonts w:eastAsia="標楷體"/>
          <w:sz w:val="26"/>
          <w:szCs w:val="26"/>
        </w:rPr>
        <w:t>研究及發展</w:t>
      </w:r>
      <w:r w:rsidR="00D845CB" w:rsidRPr="00EA272E">
        <w:rPr>
          <w:rFonts w:eastAsia="標楷體" w:hint="eastAsia"/>
          <w:sz w:val="26"/>
          <w:szCs w:val="26"/>
        </w:rPr>
        <w:t>、</w:t>
      </w:r>
      <w:r w:rsidRPr="00EA272E">
        <w:rPr>
          <w:rFonts w:eastAsia="標楷體"/>
          <w:sz w:val="26"/>
          <w:szCs w:val="26"/>
        </w:rPr>
        <w:t>3</w:t>
      </w:r>
      <w:r w:rsidR="00D845CB" w:rsidRPr="00EA272E">
        <w:rPr>
          <w:rFonts w:eastAsia="標楷體" w:hint="eastAsia"/>
          <w:sz w:val="26"/>
          <w:szCs w:val="26"/>
        </w:rPr>
        <w:t>）</w:t>
      </w:r>
      <w:r w:rsidRPr="00EA272E">
        <w:rPr>
          <w:rFonts w:eastAsia="標楷體"/>
          <w:sz w:val="26"/>
          <w:szCs w:val="26"/>
        </w:rPr>
        <w:t>產品規格之發展</w:t>
      </w:r>
      <w:r w:rsidR="00D845CB" w:rsidRPr="00EA272E">
        <w:rPr>
          <w:rFonts w:eastAsia="標楷體" w:hint="eastAsia"/>
          <w:sz w:val="26"/>
          <w:szCs w:val="26"/>
        </w:rPr>
        <w:t>、</w:t>
      </w:r>
      <w:r w:rsidRPr="00EA272E">
        <w:rPr>
          <w:rFonts w:eastAsia="標楷體"/>
          <w:sz w:val="26"/>
          <w:szCs w:val="26"/>
        </w:rPr>
        <w:t>4</w:t>
      </w:r>
      <w:r w:rsidR="00D845CB" w:rsidRPr="00EA272E">
        <w:rPr>
          <w:rFonts w:eastAsia="標楷體" w:hint="eastAsia"/>
          <w:sz w:val="26"/>
          <w:szCs w:val="26"/>
        </w:rPr>
        <w:t>）</w:t>
      </w:r>
      <w:r w:rsidRPr="00EA272E">
        <w:rPr>
          <w:rFonts w:eastAsia="標楷體"/>
          <w:sz w:val="26"/>
          <w:szCs w:val="26"/>
        </w:rPr>
        <w:t>採購管道之建立及</w:t>
      </w:r>
      <w:r w:rsidRPr="00EA272E">
        <w:rPr>
          <w:rFonts w:eastAsia="標楷體"/>
          <w:sz w:val="26"/>
          <w:szCs w:val="26"/>
        </w:rPr>
        <w:t>5</w:t>
      </w:r>
      <w:r w:rsidR="00D845CB" w:rsidRPr="00EA272E">
        <w:rPr>
          <w:rFonts w:eastAsia="標楷體" w:hint="eastAsia"/>
          <w:sz w:val="26"/>
          <w:szCs w:val="26"/>
        </w:rPr>
        <w:t>）</w:t>
      </w:r>
      <w:r w:rsidRPr="00EA272E">
        <w:rPr>
          <w:rFonts w:eastAsia="標楷體"/>
          <w:sz w:val="26"/>
          <w:szCs w:val="26"/>
        </w:rPr>
        <w:t>存貨政策之建立。</w:t>
      </w:r>
    </w:p>
    <w:p w:rsidR="0032590C" w:rsidRDefault="00567251" w:rsidP="00965AF0">
      <w:pPr>
        <w:pStyle w:val="3"/>
        <w:numPr>
          <w:ilvl w:val="0"/>
          <w:numId w:val="24"/>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lastRenderedPageBreak/>
        <w:t>銷售商之分類</w:t>
      </w:r>
    </w:p>
    <w:p w:rsidR="0032590C" w:rsidRDefault="008E2C9E" w:rsidP="00965AF0">
      <w:pPr>
        <w:spacing w:beforeLines="50" w:before="120" w:afterLines="50" w:after="120" w:line="360" w:lineRule="auto"/>
        <w:ind w:leftChars="200" w:left="480" w:firstLineChars="200" w:firstLine="520"/>
        <w:jc w:val="both"/>
        <w:rPr>
          <w:rFonts w:eastAsia="標楷體"/>
          <w:bCs/>
          <w:iCs/>
          <w:sz w:val="26"/>
          <w:szCs w:val="26"/>
        </w:rPr>
      </w:pPr>
      <w:r w:rsidRPr="00EA272E">
        <w:rPr>
          <w:rFonts w:eastAsia="標楷體"/>
          <w:bCs/>
          <w:iCs/>
          <w:sz w:val="26"/>
          <w:szCs w:val="26"/>
        </w:rPr>
        <w:t>經常為</w:t>
      </w:r>
      <w:r w:rsidRPr="00EA272E">
        <w:rPr>
          <w:rFonts w:eastAsia="標楷體" w:hint="eastAsia"/>
          <w:bCs/>
          <w:iCs/>
          <w:sz w:val="26"/>
          <w:szCs w:val="26"/>
        </w:rPr>
        <w:t>銷售</w:t>
      </w:r>
      <w:r w:rsidRPr="00EA272E">
        <w:rPr>
          <w:rFonts w:eastAsia="標楷體"/>
          <w:bCs/>
          <w:iCs/>
          <w:sz w:val="26"/>
          <w:szCs w:val="26"/>
        </w:rPr>
        <w:t>業所用為區分其特性之</w:t>
      </w:r>
      <w:r w:rsidRPr="00EA272E">
        <w:rPr>
          <w:rFonts w:eastAsia="標楷體" w:hint="eastAsia"/>
          <w:bCs/>
          <w:iCs/>
          <w:sz w:val="26"/>
          <w:szCs w:val="26"/>
        </w:rPr>
        <w:t>四</w:t>
      </w:r>
      <w:r w:rsidRPr="00EA272E">
        <w:rPr>
          <w:rFonts w:eastAsia="標楷體"/>
          <w:bCs/>
          <w:iCs/>
          <w:sz w:val="26"/>
          <w:szCs w:val="26"/>
        </w:rPr>
        <w:t>種標準分類模式</w:t>
      </w:r>
      <w:r w:rsidRPr="00EA272E">
        <w:rPr>
          <w:rFonts w:eastAsia="標楷體" w:hint="eastAsia"/>
          <w:bCs/>
          <w:iCs/>
          <w:sz w:val="26"/>
          <w:szCs w:val="26"/>
        </w:rPr>
        <w:t>為</w:t>
      </w:r>
      <w:r w:rsidR="00567251" w:rsidRPr="00EA272E">
        <w:rPr>
          <w:rFonts w:eastAsia="標楷體"/>
          <w:bCs/>
          <w:iCs/>
          <w:sz w:val="26"/>
          <w:szCs w:val="26"/>
        </w:rPr>
        <w:t>：</w:t>
      </w:r>
      <w:r w:rsidR="00567251" w:rsidRPr="00EA272E">
        <w:rPr>
          <w:rFonts w:eastAsia="標楷體"/>
          <w:bCs/>
          <w:iCs/>
          <w:sz w:val="26"/>
          <w:szCs w:val="26"/>
        </w:rPr>
        <w:t>1</w:t>
      </w:r>
      <w:r w:rsidR="00D845CB" w:rsidRPr="00EA272E">
        <w:rPr>
          <w:rFonts w:eastAsia="標楷體" w:hint="eastAsia"/>
          <w:bCs/>
          <w:iCs/>
          <w:sz w:val="26"/>
          <w:szCs w:val="26"/>
        </w:rPr>
        <w:t>）</w:t>
      </w:r>
      <w:r w:rsidR="00567251" w:rsidRPr="00EA272E">
        <w:rPr>
          <w:rFonts w:eastAsia="標楷體"/>
          <w:bCs/>
          <w:iCs/>
          <w:sz w:val="26"/>
          <w:szCs w:val="26"/>
        </w:rPr>
        <w:t>佣金代理商</w:t>
      </w:r>
      <w:r w:rsidR="00D845CB" w:rsidRPr="00EA272E">
        <w:rPr>
          <w:rFonts w:eastAsia="標楷體" w:hint="eastAsia"/>
          <w:bCs/>
          <w:iCs/>
          <w:sz w:val="26"/>
          <w:szCs w:val="26"/>
        </w:rPr>
        <w:t>、</w:t>
      </w:r>
      <w:r w:rsidR="00567251" w:rsidRPr="00EA272E">
        <w:rPr>
          <w:rFonts w:eastAsia="標楷體"/>
          <w:bCs/>
          <w:iCs/>
          <w:sz w:val="26"/>
          <w:szCs w:val="26"/>
        </w:rPr>
        <w:t>2</w:t>
      </w:r>
      <w:r w:rsidR="00D845CB" w:rsidRPr="00EA272E">
        <w:rPr>
          <w:rFonts w:eastAsia="標楷體" w:hint="eastAsia"/>
          <w:bCs/>
          <w:iCs/>
          <w:sz w:val="26"/>
          <w:szCs w:val="26"/>
        </w:rPr>
        <w:t>）</w:t>
      </w:r>
      <w:r w:rsidR="00567251" w:rsidRPr="00EA272E">
        <w:rPr>
          <w:rFonts w:eastAsia="標楷體"/>
          <w:bCs/>
          <w:iCs/>
          <w:sz w:val="26"/>
          <w:szCs w:val="26"/>
        </w:rPr>
        <w:t>有限功能配銷商</w:t>
      </w:r>
      <w:r w:rsidR="00D845CB" w:rsidRPr="00EA272E">
        <w:rPr>
          <w:rFonts w:eastAsia="標楷體" w:hint="eastAsia"/>
          <w:bCs/>
          <w:iCs/>
          <w:sz w:val="26"/>
          <w:szCs w:val="26"/>
        </w:rPr>
        <w:t>、</w:t>
      </w:r>
      <w:r w:rsidR="00567251" w:rsidRPr="00EA272E">
        <w:rPr>
          <w:rFonts w:eastAsia="標楷體"/>
          <w:bCs/>
          <w:iCs/>
          <w:sz w:val="26"/>
          <w:szCs w:val="26"/>
        </w:rPr>
        <w:t>3</w:t>
      </w:r>
      <w:r w:rsidR="00D845CB" w:rsidRPr="00EA272E">
        <w:rPr>
          <w:rFonts w:eastAsia="標楷體" w:hint="eastAsia"/>
          <w:bCs/>
          <w:iCs/>
          <w:sz w:val="26"/>
          <w:szCs w:val="26"/>
        </w:rPr>
        <w:t>）</w:t>
      </w:r>
      <w:r w:rsidR="00D845CB" w:rsidRPr="00EA272E">
        <w:rPr>
          <w:rFonts w:eastAsia="標楷體"/>
          <w:bCs/>
          <w:iCs/>
          <w:sz w:val="26"/>
          <w:szCs w:val="26"/>
        </w:rPr>
        <w:t>配銷商</w:t>
      </w:r>
      <w:r w:rsidR="00567251" w:rsidRPr="00EA272E">
        <w:rPr>
          <w:rFonts w:eastAsia="標楷體"/>
          <w:bCs/>
          <w:iCs/>
          <w:sz w:val="26"/>
          <w:szCs w:val="26"/>
        </w:rPr>
        <w:t>與</w:t>
      </w:r>
      <w:r w:rsidR="00567251" w:rsidRPr="00EA272E">
        <w:rPr>
          <w:rFonts w:eastAsia="標楷體"/>
          <w:bCs/>
          <w:iCs/>
          <w:sz w:val="26"/>
          <w:szCs w:val="26"/>
        </w:rPr>
        <w:t>4</w:t>
      </w:r>
      <w:r w:rsidR="00567251" w:rsidRPr="00EA272E">
        <w:rPr>
          <w:rFonts w:eastAsia="標楷體"/>
          <w:bCs/>
          <w:iCs/>
          <w:sz w:val="26"/>
          <w:szCs w:val="26"/>
        </w:rPr>
        <w:t>）行銷商兼配銷商。這四種分類之獲利能力通常與其從事銷售活動之種類、所承擔之風險及所持有之無形資產有關。</w:t>
      </w:r>
    </w:p>
    <w:p w:rsidR="0032590C" w:rsidRDefault="00567251" w:rsidP="00965AF0">
      <w:pPr>
        <w:numPr>
          <w:ilvl w:val="0"/>
          <w:numId w:val="2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佣金代理商</w:t>
      </w:r>
    </w:p>
    <w:p w:rsidR="0032590C" w:rsidRDefault="0056725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佣金代理商通常即</w:t>
      </w:r>
      <w:r w:rsidR="008E2C9E" w:rsidRPr="00EA272E">
        <w:rPr>
          <w:rFonts w:eastAsia="標楷體" w:hint="eastAsia"/>
          <w:sz w:val="26"/>
          <w:szCs w:val="26"/>
        </w:rPr>
        <w:t>為</w:t>
      </w:r>
      <w:r w:rsidRPr="00EA272E">
        <w:rPr>
          <w:rFonts w:eastAsia="標楷體"/>
          <w:sz w:val="26"/>
          <w:szCs w:val="26"/>
        </w:rPr>
        <w:t>銷售代表，</w:t>
      </w:r>
      <w:r w:rsidR="008E2C9E" w:rsidRPr="00EA272E">
        <w:rPr>
          <w:rFonts w:eastAsia="標楷體" w:hint="eastAsia"/>
          <w:sz w:val="26"/>
          <w:szCs w:val="26"/>
        </w:rPr>
        <w:t>其</w:t>
      </w:r>
      <w:r w:rsidRPr="00EA272E">
        <w:rPr>
          <w:rFonts w:eastAsia="標楷體"/>
          <w:sz w:val="26"/>
          <w:szCs w:val="26"/>
        </w:rPr>
        <w:t>本身並不購買貨品轉供銷售，佣金收入是因代理製造商或是經銷商銷售產品而賺得。佣金代理商通常負責之銷售功能為找出潛在顧客、拜訪現有及潛在之顧客、推介新產品、接受訂單、維持顧客關係及提供有限之技術服務。佣金代理商不太執行操作性之功能，一般也不參與策略及行銷性之活動。</w:t>
      </w:r>
    </w:p>
    <w:p w:rsidR="0032590C" w:rsidRDefault="00567251" w:rsidP="00965AF0">
      <w:pPr>
        <w:numPr>
          <w:ilvl w:val="0"/>
          <w:numId w:val="2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有限功能配銷商</w:t>
      </w:r>
    </w:p>
    <w:p w:rsidR="0032590C" w:rsidRDefault="0056725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有限功能配銷商一般而言對所銷售之產品擁有所有權，但其所承擔之存貨、信用及行銷責任有限，一般而言均為由母公司控制行銷策略，其本身並不需承受向供應商購貨時所產生之外匯風險。</w:t>
      </w:r>
    </w:p>
    <w:p w:rsidR="0032590C" w:rsidRDefault="00567251" w:rsidP="00965AF0">
      <w:pPr>
        <w:numPr>
          <w:ilvl w:val="0"/>
          <w:numId w:val="2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配銷商</w:t>
      </w:r>
    </w:p>
    <w:p w:rsidR="0032590C" w:rsidRDefault="0056725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配銷商擁有商品所有權，需承擔信用與存貨風險，但其行銷</w:t>
      </w:r>
      <w:r w:rsidR="00D845CB" w:rsidRPr="00EA272E">
        <w:rPr>
          <w:rFonts w:eastAsia="標楷體"/>
          <w:sz w:val="26"/>
          <w:szCs w:val="26"/>
        </w:rPr>
        <w:t>責任有限，且不一定承擔外匯風險。配銷商從事之活動大部分和下述之</w:t>
      </w:r>
      <w:r w:rsidRPr="00EA272E">
        <w:rPr>
          <w:rFonts w:eastAsia="標楷體"/>
          <w:sz w:val="26"/>
          <w:szCs w:val="26"/>
        </w:rPr>
        <w:t>4</w:t>
      </w:r>
      <w:r w:rsidR="00D845CB" w:rsidRPr="00EA272E">
        <w:rPr>
          <w:rFonts w:eastAsia="標楷體" w:hint="eastAsia"/>
          <w:sz w:val="26"/>
          <w:szCs w:val="26"/>
        </w:rPr>
        <w:t>、</w:t>
      </w:r>
      <w:r w:rsidRPr="00EA272E">
        <w:rPr>
          <w:rFonts w:eastAsia="標楷體"/>
          <w:sz w:val="26"/>
          <w:szCs w:val="26"/>
        </w:rPr>
        <w:t>行銷商兼配銷商相同，兩者之分野主要在於執行策略性行銷功能時所參與程度之不同。在許多產業中，配銷商極少於行銷時承擔策略之決策責任，而只是聽命於製造商指示，分攤製造商之決策風險及產品需求波動風險。配銷商因極少承擔行銷性決策責任，是故迴避了包括市場風險在內之若干風險，不過其也不會累積任何行銷無形資產。</w:t>
      </w:r>
    </w:p>
    <w:p w:rsidR="0032590C" w:rsidRDefault="00567251" w:rsidP="00965AF0">
      <w:pPr>
        <w:numPr>
          <w:ilvl w:val="0"/>
          <w:numId w:val="2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行銷商兼配銷商</w:t>
      </w:r>
    </w:p>
    <w:p w:rsidR="0032590C" w:rsidRDefault="0056725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行銷商兼配銷商須承擔行銷決策及實際銷售之執行責任。所謂行銷功能包括：市場研究，如預測銷售額及及建立顧客檔案；製作廣告文宣</w:t>
      </w:r>
      <w:r w:rsidR="00E84B35" w:rsidRPr="00EA272E">
        <w:rPr>
          <w:rFonts w:eastAsia="標楷體" w:hint="eastAsia"/>
          <w:sz w:val="26"/>
          <w:szCs w:val="26"/>
        </w:rPr>
        <w:t>、</w:t>
      </w:r>
      <w:r w:rsidRPr="00EA272E">
        <w:rPr>
          <w:rFonts w:eastAsia="標楷體"/>
          <w:sz w:val="26"/>
          <w:szCs w:val="26"/>
        </w:rPr>
        <w:t>展開造勢活動、聘雇廣告專業人員以及發展策略性行銷計劃。因為行銷商兼配銷商於行銷</w:t>
      </w:r>
      <w:r w:rsidR="003913C8" w:rsidRPr="00EA272E">
        <w:rPr>
          <w:rFonts w:eastAsia="標楷體" w:hint="eastAsia"/>
          <w:sz w:val="26"/>
          <w:szCs w:val="26"/>
        </w:rPr>
        <w:t>、</w:t>
      </w:r>
      <w:r w:rsidRPr="00EA272E">
        <w:rPr>
          <w:rFonts w:eastAsia="標楷體"/>
          <w:sz w:val="26"/>
          <w:szCs w:val="26"/>
        </w:rPr>
        <w:t>經銷及銷售上之實務運作類似獨立企業主，所以必須承擔如信用、存貨和市場等風險。但就因其承擔該類風險，所以也發展出行銷上之無形資產，如顧客關係</w:t>
      </w:r>
      <w:r w:rsidR="00E84B35" w:rsidRPr="00EA272E">
        <w:rPr>
          <w:rFonts w:eastAsia="標楷體" w:hint="eastAsia"/>
          <w:sz w:val="26"/>
          <w:szCs w:val="26"/>
        </w:rPr>
        <w:t>、</w:t>
      </w:r>
      <w:r w:rsidRPr="00EA272E">
        <w:rPr>
          <w:rFonts w:eastAsia="標楷體"/>
          <w:sz w:val="26"/>
          <w:szCs w:val="26"/>
        </w:rPr>
        <w:t>商標</w:t>
      </w:r>
      <w:r w:rsidRPr="00EA272E">
        <w:rPr>
          <w:rFonts w:eastAsia="標楷體"/>
          <w:sz w:val="26"/>
          <w:szCs w:val="26"/>
        </w:rPr>
        <w:t>/</w:t>
      </w:r>
      <w:r w:rsidRPr="00EA272E">
        <w:rPr>
          <w:rFonts w:eastAsia="標楷體"/>
          <w:sz w:val="26"/>
          <w:szCs w:val="26"/>
        </w:rPr>
        <w:t>知名度</w:t>
      </w:r>
      <w:r w:rsidR="00E84B35" w:rsidRPr="00EA272E">
        <w:rPr>
          <w:rFonts w:eastAsia="標楷體" w:hint="eastAsia"/>
          <w:sz w:val="26"/>
          <w:szCs w:val="26"/>
        </w:rPr>
        <w:t>、</w:t>
      </w:r>
      <w:r w:rsidRPr="00EA272E">
        <w:rPr>
          <w:rFonts w:eastAsia="標楷體"/>
          <w:sz w:val="26"/>
          <w:szCs w:val="26"/>
        </w:rPr>
        <w:t>獨立之經銷網</w:t>
      </w:r>
      <w:r w:rsidR="003913C8" w:rsidRPr="00EA272E">
        <w:rPr>
          <w:rFonts w:eastAsia="標楷體" w:hint="eastAsia"/>
          <w:sz w:val="26"/>
          <w:szCs w:val="26"/>
        </w:rPr>
        <w:t>絡</w:t>
      </w:r>
      <w:r w:rsidR="00E84B35" w:rsidRPr="00EA272E">
        <w:rPr>
          <w:rFonts w:eastAsia="標楷體" w:hint="eastAsia"/>
          <w:sz w:val="26"/>
          <w:szCs w:val="26"/>
        </w:rPr>
        <w:t>、</w:t>
      </w:r>
      <w:r w:rsidRPr="00EA272E">
        <w:rPr>
          <w:rFonts w:eastAsia="標楷體"/>
          <w:sz w:val="26"/>
          <w:szCs w:val="26"/>
        </w:rPr>
        <w:t>技術或客戶服務等專業知識。</w:t>
      </w:r>
    </w:p>
    <w:p w:rsidR="0032590C" w:rsidRDefault="00372B13" w:rsidP="00965AF0">
      <w:pPr>
        <w:pStyle w:val="3"/>
        <w:numPr>
          <w:ilvl w:val="0"/>
          <w:numId w:val="24"/>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企業</w:t>
      </w:r>
      <w:r w:rsidR="00AB3B6F" w:rsidRPr="00EA272E">
        <w:rPr>
          <w:rFonts w:ascii="Times New Roman" w:eastAsia="標楷體" w:hAnsi="Times New Roman" w:hint="eastAsia"/>
          <w:sz w:val="32"/>
        </w:rPr>
        <w:t>定位</w:t>
      </w:r>
    </w:p>
    <w:p w:rsidR="0032590C" w:rsidRDefault="00882A88" w:rsidP="00965AF0">
      <w:pPr>
        <w:spacing w:beforeLines="100" w:before="240" w:afterLines="50" w:after="120" w:line="360" w:lineRule="auto"/>
        <w:ind w:leftChars="200" w:left="480" w:firstLineChars="200" w:firstLine="520"/>
        <w:jc w:val="both"/>
        <w:rPr>
          <w:rFonts w:eastAsia="標楷體"/>
          <w:sz w:val="26"/>
          <w:szCs w:val="26"/>
        </w:rPr>
      </w:pPr>
      <w:r w:rsidRPr="00D655F2">
        <w:rPr>
          <w:rFonts w:eastAsia="標楷體" w:hint="eastAsia"/>
          <w:sz w:val="26"/>
          <w:szCs w:val="26"/>
        </w:rPr>
        <w:t>依據上列</w:t>
      </w:r>
      <w:r w:rsidR="00BA7C8C" w:rsidRPr="00D655F2">
        <w:rPr>
          <w:rFonts w:eastAsia="標楷體" w:hint="eastAsia"/>
          <w:sz w:val="26"/>
          <w:szCs w:val="26"/>
        </w:rPr>
        <w:t>太克科技</w:t>
      </w:r>
      <w:r w:rsidR="00E9438C" w:rsidRPr="00D655F2">
        <w:rPr>
          <w:rFonts w:eastAsia="標楷體"/>
          <w:sz w:val="26"/>
          <w:szCs w:val="26"/>
        </w:rPr>
        <w:t>及</w:t>
      </w:r>
      <w:r w:rsidRPr="00D655F2">
        <w:rPr>
          <w:rFonts w:eastAsia="標楷體" w:hint="eastAsia"/>
          <w:sz w:val="26"/>
          <w:szCs w:val="26"/>
        </w:rPr>
        <w:t>各受控交易參與人之功能與風險分析，</w:t>
      </w:r>
      <w:r w:rsidR="00E9438C" w:rsidRPr="00D655F2">
        <w:rPr>
          <w:rFonts w:eastAsia="標楷體" w:hint="eastAsia"/>
          <w:sz w:val="26"/>
          <w:szCs w:val="26"/>
        </w:rPr>
        <w:t>茲</w:t>
      </w:r>
      <w:r w:rsidRPr="00D655F2">
        <w:rPr>
          <w:rFonts w:eastAsia="標楷體" w:hint="eastAsia"/>
          <w:sz w:val="26"/>
          <w:szCs w:val="26"/>
        </w:rPr>
        <w:t>將</w:t>
      </w:r>
      <w:r w:rsidR="00D845CB" w:rsidRPr="00D655F2">
        <w:rPr>
          <w:rFonts w:eastAsia="標楷體" w:hint="eastAsia"/>
          <w:sz w:val="26"/>
          <w:szCs w:val="26"/>
        </w:rPr>
        <w:t>該</w:t>
      </w:r>
      <w:r w:rsidR="00D845CB" w:rsidRPr="00EA272E">
        <w:rPr>
          <w:rFonts w:eastAsia="標楷體" w:hint="eastAsia"/>
          <w:sz w:val="26"/>
          <w:szCs w:val="26"/>
        </w:rPr>
        <w:t>等之</w:t>
      </w:r>
      <w:r w:rsidRPr="00EA272E">
        <w:rPr>
          <w:rFonts w:eastAsia="標楷體" w:hint="eastAsia"/>
          <w:sz w:val="26"/>
          <w:szCs w:val="26"/>
        </w:rPr>
        <w:t>企業角色定位說明如下：</w:t>
      </w:r>
    </w:p>
    <w:p w:rsidR="0032590C" w:rsidRDefault="00D655F2" w:rsidP="00965AF0">
      <w:pPr>
        <w:numPr>
          <w:ilvl w:val="0"/>
          <w:numId w:val="2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607D46">
        <w:rPr>
          <w:rFonts w:eastAsia="標楷體"/>
          <w:b/>
          <w:sz w:val="28"/>
          <w:szCs w:val="26"/>
        </w:rPr>
        <w:t>太克科技、</w:t>
      </w:r>
      <w:r w:rsidR="00FC0AA3">
        <w:rPr>
          <w:rFonts w:eastAsia="標楷體" w:hint="eastAsia"/>
          <w:b/>
          <w:sz w:val="28"/>
          <w:szCs w:val="26"/>
        </w:rPr>
        <w:t>TIS</w:t>
      </w:r>
      <w:r w:rsidR="001943E7" w:rsidRPr="001943E7">
        <w:rPr>
          <w:rFonts w:eastAsia="標楷體" w:hint="eastAsia"/>
          <w:b/>
          <w:sz w:val="28"/>
          <w:szCs w:val="26"/>
        </w:rPr>
        <w:t>、</w:t>
      </w:r>
      <w:r w:rsidR="00170E4C">
        <w:rPr>
          <w:rFonts w:eastAsia="標楷體" w:hint="eastAsia"/>
          <w:b/>
          <w:sz w:val="28"/>
          <w:szCs w:val="26"/>
        </w:rPr>
        <w:t>TCT</w:t>
      </w:r>
      <w:r w:rsidR="001943E7" w:rsidRPr="001943E7">
        <w:rPr>
          <w:rFonts w:eastAsia="標楷體" w:hint="eastAsia"/>
          <w:b/>
          <w:sz w:val="28"/>
          <w:szCs w:val="26"/>
        </w:rPr>
        <w:t>、</w:t>
      </w:r>
      <w:r w:rsidR="00675FCB">
        <w:rPr>
          <w:rFonts w:eastAsia="標楷體" w:hint="eastAsia"/>
          <w:b/>
          <w:sz w:val="28"/>
          <w:szCs w:val="26"/>
        </w:rPr>
        <w:t>Fluke SEA</w:t>
      </w:r>
      <w:r w:rsidR="001943E7" w:rsidRPr="001943E7">
        <w:rPr>
          <w:rFonts w:eastAsia="標楷體" w:hint="eastAsia"/>
          <w:b/>
          <w:sz w:val="28"/>
          <w:szCs w:val="26"/>
        </w:rPr>
        <w:t>及</w:t>
      </w:r>
      <w:r w:rsidR="001943E7" w:rsidRPr="001943E7">
        <w:rPr>
          <w:rFonts w:eastAsia="標楷體" w:hint="eastAsia"/>
          <w:b/>
          <w:sz w:val="28"/>
          <w:szCs w:val="26"/>
        </w:rPr>
        <w:t>TII</w:t>
      </w:r>
    </w:p>
    <w:p w:rsidR="0032590C" w:rsidRDefault="00D655F2"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主要營業活動為</w:t>
      </w:r>
      <w:r w:rsidRPr="00D36817">
        <w:rPr>
          <w:rFonts w:eastAsia="標楷體" w:hint="eastAsia"/>
          <w:sz w:val="26"/>
          <w:szCs w:val="26"/>
        </w:rPr>
        <w:t>量測儀器產品之銷售</w:t>
      </w:r>
      <w:r w:rsidRPr="00EA272E">
        <w:rPr>
          <w:rFonts w:eastAsia="標楷體" w:hint="eastAsia"/>
          <w:sz w:val="26"/>
          <w:szCs w:val="26"/>
        </w:rPr>
        <w:t>，</w:t>
      </w:r>
      <w:r>
        <w:rPr>
          <w:rFonts w:eastAsia="標楷體" w:hint="eastAsia"/>
          <w:sz w:val="26"/>
          <w:szCs w:val="26"/>
        </w:rPr>
        <w:t>且所受之產品皆有所有權並保有存</w:t>
      </w:r>
      <w:r w:rsidRPr="00D36817">
        <w:rPr>
          <w:rFonts w:eastAsia="標楷體" w:hint="eastAsia"/>
          <w:sz w:val="26"/>
          <w:szCs w:val="26"/>
        </w:rPr>
        <w:t>貨</w:t>
      </w:r>
      <w:r>
        <w:rPr>
          <w:rFonts w:eastAsia="標楷體" w:hint="eastAsia"/>
          <w:sz w:val="26"/>
          <w:szCs w:val="26"/>
        </w:rPr>
        <w:t>，</w:t>
      </w:r>
      <w:r w:rsidRPr="00D36817">
        <w:rPr>
          <w:rFonts w:eastAsia="標楷體" w:hint="eastAsia"/>
          <w:sz w:val="26"/>
          <w:szCs w:val="26"/>
        </w:rPr>
        <w:t>不從事研發及生產等相關活動，但因行銷計畫仍由母公司擬定</w:t>
      </w:r>
      <w:r w:rsidRPr="00EA272E">
        <w:rPr>
          <w:rFonts w:eastAsia="標楷體" w:hint="eastAsia"/>
          <w:sz w:val="26"/>
          <w:szCs w:val="26"/>
        </w:rPr>
        <w:t>，</w:t>
      </w:r>
      <w:r>
        <w:rPr>
          <w:rFonts w:eastAsia="標楷體" w:hint="eastAsia"/>
          <w:sz w:val="26"/>
          <w:szCs w:val="26"/>
        </w:rPr>
        <w:t>故其企業角色</w:t>
      </w:r>
      <w:r w:rsidRPr="00EA272E">
        <w:rPr>
          <w:rFonts w:eastAsia="標楷體" w:hint="eastAsia"/>
          <w:sz w:val="26"/>
          <w:szCs w:val="26"/>
        </w:rPr>
        <w:t>應</w:t>
      </w:r>
      <w:r>
        <w:rPr>
          <w:rFonts w:eastAsia="標楷體" w:hint="eastAsia"/>
          <w:sz w:val="26"/>
          <w:szCs w:val="26"/>
        </w:rPr>
        <w:t>為</w:t>
      </w:r>
      <w:r w:rsidRPr="00D36817">
        <w:rPr>
          <w:rFonts w:eastAsia="標楷體" w:hint="eastAsia"/>
          <w:sz w:val="26"/>
          <w:szCs w:val="26"/>
        </w:rPr>
        <w:t>有限功能配銷商</w:t>
      </w:r>
      <w:r w:rsidRPr="00EA272E">
        <w:rPr>
          <w:rFonts w:eastAsia="標楷體" w:hint="eastAsia"/>
          <w:sz w:val="26"/>
          <w:szCs w:val="26"/>
        </w:rPr>
        <w:t>。</w:t>
      </w:r>
    </w:p>
    <w:p w:rsidR="0032590C" w:rsidRDefault="00D655F2" w:rsidP="00965AF0">
      <w:pPr>
        <w:numPr>
          <w:ilvl w:val="0"/>
          <w:numId w:val="27"/>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340F76">
        <w:rPr>
          <w:rFonts w:eastAsia="標楷體" w:hint="eastAsia"/>
          <w:b/>
          <w:sz w:val="28"/>
          <w:szCs w:val="26"/>
        </w:rPr>
        <w:t>母公司</w:t>
      </w:r>
    </w:p>
    <w:p w:rsidR="0032590C" w:rsidRDefault="00D655F2" w:rsidP="00965AF0">
      <w:pPr>
        <w:spacing w:beforeLines="50" w:before="120" w:afterLines="50" w:after="120" w:line="360" w:lineRule="auto"/>
        <w:ind w:leftChars="200" w:left="480" w:firstLineChars="200" w:firstLine="520"/>
        <w:jc w:val="both"/>
        <w:rPr>
          <w:rFonts w:eastAsia="標楷體"/>
          <w:sz w:val="26"/>
          <w:szCs w:val="26"/>
        </w:rPr>
      </w:pPr>
      <w:r>
        <w:rPr>
          <w:rFonts w:eastAsia="標楷體" w:hint="eastAsia"/>
          <w:sz w:val="26"/>
          <w:szCs w:val="26"/>
        </w:rPr>
        <w:t>母公司設有研發單位</w:t>
      </w:r>
      <w:r w:rsidRPr="00EA272E">
        <w:rPr>
          <w:rFonts w:eastAsia="標楷體" w:hint="eastAsia"/>
          <w:sz w:val="26"/>
          <w:szCs w:val="26"/>
        </w:rPr>
        <w:t>，</w:t>
      </w:r>
      <w:r>
        <w:rPr>
          <w:rFonts w:eastAsia="標楷體" w:hint="eastAsia"/>
          <w:sz w:val="26"/>
          <w:szCs w:val="26"/>
        </w:rPr>
        <w:t>擁有其產品技術之專利，且從事行銷及公司發展策略之擬定，如開發產品銷售管道及參予國際性展覽以利產品之銷售等等</w:t>
      </w:r>
      <w:r w:rsidRPr="00EA272E">
        <w:rPr>
          <w:rFonts w:eastAsia="標楷體" w:hint="eastAsia"/>
          <w:sz w:val="26"/>
          <w:szCs w:val="26"/>
        </w:rPr>
        <w:t>，</w:t>
      </w:r>
      <w:r>
        <w:rPr>
          <w:rFonts w:eastAsia="標楷體" w:hint="eastAsia"/>
          <w:sz w:val="26"/>
          <w:szCs w:val="26"/>
        </w:rPr>
        <w:t>所以</w:t>
      </w:r>
      <w:r w:rsidRPr="00EA272E">
        <w:rPr>
          <w:rFonts w:eastAsia="標楷體" w:hint="eastAsia"/>
          <w:sz w:val="26"/>
          <w:szCs w:val="26"/>
        </w:rPr>
        <w:t>其企業特性定位應</w:t>
      </w:r>
      <w:r w:rsidRPr="00340F76">
        <w:rPr>
          <w:rFonts w:eastAsia="標楷體" w:hint="eastAsia"/>
          <w:sz w:val="26"/>
          <w:szCs w:val="26"/>
        </w:rPr>
        <w:t>屬於全方位製造商。</w:t>
      </w:r>
    </w:p>
    <w:p w:rsidR="00AB3D8C" w:rsidRPr="00EA272E" w:rsidRDefault="00AB3D8C" w:rsidP="00AB3D8C">
      <w:pPr>
        <w:rPr>
          <w:rFonts w:eastAsia="標楷體"/>
        </w:rPr>
      </w:pPr>
    </w:p>
    <w:p w:rsidR="00BD6F3C" w:rsidRPr="00EA272E" w:rsidRDefault="00BD6F3C" w:rsidP="00AB3D8C">
      <w:pPr>
        <w:rPr>
          <w:rFonts w:eastAsia="標楷體"/>
        </w:rPr>
      </w:pPr>
    </w:p>
    <w:p w:rsidR="0076045E" w:rsidRPr="00EA272E" w:rsidRDefault="0076045E" w:rsidP="00ED670D">
      <w:pPr>
        <w:pStyle w:val="1"/>
        <w:spacing w:before="0" w:after="0" w:line="360" w:lineRule="auto"/>
        <w:ind w:left="0" w:firstLine="0"/>
        <w:jc w:val="center"/>
        <w:rPr>
          <w:rFonts w:ascii="Times New Roman" w:eastAsia="標楷體" w:hAnsi="Times New Roman"/>
          <w:sz w:val="48"/>
          <w:szCs w:val="48"/>
        </w:rPr>
        <w:sectPr w:rsidR="0076045E" w:rsidRPr="00EA272E" w:rsidSect="00DD5AB2">
          <w:type w:val="oddPage"/>
          <w:pgSz w:w="11906" w:h="16838" w:code="9"/>
          <w:pgMar w:top="2160" w:right="1440" w:bottom="1814" w:left="1440" w:header="851" w:footer="567" w:gutter="567"/>
          <w:cols w:space="425"/>
          <w:docGrid w:linePitch="360"/>
        </w:sectPr>
      </w:pPr>
    </w:p>
    <w:bookmarkStart w:id="52" w:name="_Toc253154513"/>
    <w:bookmarkStart w:id="53" w:name="_Toc253154581"/>
    <w:bookmarkStart w:id="54" w:name="_Toc272326012"/>
    <w:bookmarkStart w:id="55" w:name="_Toc272326640"/>
    <w:bookmarkStart w:id="56" w:name="_Toc272326819"/>
    <w:bookmarkStart w:id="57" w:name="_Toc275960652"/>
    <w:bookmarkStart w:id="58" w:name="_Toc389223542"/>
    <w:p w:rsidR="00995F8B" w:rsidRPr="00EA272E" w:rsidRDefault="00965AF0" w:rsidP="00995F8B">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5680" behindDoc="0" locked="0" layoutInCell="1" allowOverlap="1">
                <wp:simplePos x="0" y="0"/>
                <wp:positionH relativeFrom="column">
                  <wp:posOffset>4662170</wp:posOffset>
                </wp:positionH>
                <wp:positionV relativeFrom="paragraph">
                  <wp:posOffset>0</wp:posOffset>
                </wp:positionV>
                <wp:extent cx="720090" cy="720090"/>
                <wp:effectExtent l="13970" t="9525" r="8890" b="13335"/>
                <wp:wrapNone/>
                <wp:docPr id="1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4864D6" w:rsidRPr="008C6F22" w:rsidRDefault="004864D6"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127" type="#_x0000_t202" style="position:absolute;left:0;text-align:left;margin-left:367.1pt;margin-top:0;width:56.7pt;height:56.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">
                <v:textbox>
                  <w:txbxContent>
                    <w:p w:rsidR="004864D6" w:rsidRPr="008C6F22" w:rsidRDefault="004864D6" w:rsidP="00AB3B6F">
                      <w:pPr>
                        <w:jc w:val="center"/>
                        <w:rPr>
                          <w:rFonts w:ascii="微軟正黑體" w:eastAsia="微軟正黑體" w:hAnsi="微軟正黑體"/>
                          <w:sz w:val="28"/>
                        </w:rPr>
                      </w:pPr>
                      <w:r w:rsidRPr="008C6F22">
                        <w:rPr>
                          <w:rFonts w:ascii="微軟正黑體" w:eastAsia="微軟正黑體" w:hAnsi="微軟正黑體" w:hint="eastAsia"/>
                          <w:b/>
                          <w:sz w:val="56"/>
                          <w:szCs w:val="52"/>
                        </w:rPr>
                        <w:t>Ⅴ</w:t>
                      </w:r>
                    </w:p>
                  </w:txbxContent>
                </v:textbox>
              </v:shape>
            </w:pict>
          </mc:Fallback>
        </mc:AlternateContent>
      </w:r>
      <w:bookmarkEnd w:id="52"/>
      <w:bookmarkEnd w:id="53"/>
      <w:bookmarkEnd w:id="54"/>
      <w:bookmarkEnd w:id="55"/>
      <w:bookmarkEnd w:id="56"/>
      <w:bookmarkEnd w:id="57"/>
      <w:bookmarkEnd w:id="58"/>
    </w:p>
    <w:p w:rsidR="00995F8B" w:rsidRPr="00EA272E" w:rsidRDefault="00995F8B" w:rsidP="00AB3B6F">
      <w:pPr>
        <w:pStyle w:val="1"/>
        <w:numPr>
          <w:ilvl w:val="0"/>
          <w:numId w:val="0"/>
        </w:numPr>
        <w:spacing w:before="0" w:after="0" w:line="240" w:lineRule="auto"/>
        <w:jc w:val="right"/>
        <w:rPr>
          <w:rFonts w:ascii="Times New Roman" w:eastAsia="標楷體" w:hAnsi="Times New Roman"/>
          <w:noProof/>
          <w:sz w:val="48"/>
          <w:szCs w:val="48"/>
        </w:rPr>
      </w:pPr>
    </w:p>
    <w:p w:rsidR="00567251" w:rsidRPr="00EA272E" w:rsidRDefault="00567251" w:rsidP="00995F8B">
      <w:pPr>
        <w:pStyle w:val="1"/>
        <w:spacing w:before="100" w:beforeAutospacing="1" w:after="100" w:afterAutospacing="1" w:line="360" w:lineRule="auto"/>
        <w:ind w:left="0" w:firstLine="0"/>
        <w:jc w:val="right"/>
        <w:rPr>
          <w:rFonts w:ascii="Times New Roman" w:eastAsia="標楷體" w:hAnsi="Times New Roman"/>
          <w:sz w:val="56"/>
          <w:szCs w:val="56"/>
        </w:rPr>
      </w:pPr>
      <w:bookmarkStart w:id="59" w:name="_Toc389223543"/>
      <w:r w:rsidRPr="00EA272E">
        <w:rPr>
          <w:rFonts w:ascii="Times New Roman" w:eastAsia="標楷體" w:hAnsi="Times New Roman"/>
          <w:sz w:val="56"/>
          <w:szCs w:val="56"/>
        </w:rPr>
        <w:t>常規交易原則辦理</w:t>
      </w:r>
      <w:r w:rsidR="00650274" w:rsidRPr="00EA272E">
        <w:rPr>
          <w:rFonts w:ascii="Times New Roman" w:eastAsia="標楷體" w:hAnsi="Times New Roman" w:hint="eastAsia"/>
          <w:sz w:val="56"/>
          <w:szCs w:val="56"/>
        </w:rPr>
        <w:t>之</w:t>
      </w:r>
      <w:r w:rsidRPr="00EA272E">
        <w:rPr>
          <w:rFonts w:ascii="Times New Roman" w:eastAsia="標楷體" w:hAnsi="Times New Roman"/>
          <w:sz w:val="56"/>
          <w:szCs w:val="56"/>
        </w:rPr>
        <w:t>情形</w:t>
      </w:r>
      <w:bookmarkEnd w:id="59"/>
    </w:p>
    <w:p w:rsidR="0032590C" w:rsidRDefault="0056725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我國財政部參考</w:t>
      </w:r>
      <w:r w:rsidRPr="00EA272E">
        <w:rPr>
          <w:rFonts w:eastAsia="標楷體"/>
          <w:sz w:val="26"/>
          <w:szCs w:val="26"/>
        </w:rPr>
        <w:t>OECD</w:t>
      </w:r>
      <w:r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則及主要國家移轉訂價法規，訂定移轉訂價查核準則，規定營利事業於辦理所得稅結算申報及稽徵機關進行不合常規移轉訂價查核時，均應依本準則規定評估受控交易之結果是否符合常規。</w:t>
      </w:r>
    </w:p>
    <w:p w:rsidR="0032590C" w:rsidRDefault="0056725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根據移轉訂價查核準則第</w:t>
      </w:r>
      <w:r w:rsidRPr="00EA272E">
        <w:rPr>
          <w:rFonts w:eastAsia="標楷體"/>
          <w:sz w:val="26"/>
          <w:szCs w:val="26"/>
        </w:rPr>
        <w:t>7</w:t>
      </w:r>
      <w:r w:rsidRPr="00EA272E">
        <w:rPr>
          <w:rFonts w:eastAsia="標楷體"/>
          <w:sz w:val="26"/>
          <w:szCs w:val="26"/>
        </w:rPr>
        <w:t>條</w:t>
      </w:r>
      <w:r w:rsidR="00C216A8" w:rsidRPr="00EA272E">
        <w:rPr>
          <w:rFonts w:eastAsia="標楷體" w:hint="eastAsia"/>
          <w:sz w:val="26"/>
          <w:szCs w:val="26"/>
        </w:rPr>
        <w:t>規定</w:t>
      </w:r>
      <w:r w:rsidRPr="00EA272E">
        <w:rPr>
          <w:rFonts w:eastAsia="標楷體"/>
          <w:sz w:val="26"/>
          <w:szCs w:val="26"/>
        </w:rPr>
        <w:t>，</w:t>
      </w:r>
      <w:r w:rsidR="00936C11" w:rsidRPr="00EA272E">
        <w:rPr>
          <w:rFonts w:eastAsia="標楷體"/>
          <w:sz w:val="26"/>
          <w:szCs w:val="26"/>
        </w:rPr>
        <w:t>營利事業與稽徵機關</w:t>
      </w:r>
      <w:r w:rsidR="000F1DF4" w:rsidRPr="00EA272E">
        <w:rPr>
          <w:rFonts w:eastAsia="標楷體"/>
          <w:sz w:val="26"/>
          <w:szCs w:val="26"/>
        </w:rPr>
        <w:t>評估受控交易之結果是否符合常規，或決定受控交易之常規交易結果時，依下列原則辦理</w:t>
      </w:r>
      <w:r w:rsidR="00AB3B6F" w:rsidRPr="00EA272E">
        <w:rPr>
          <w:rFonts w:eastAsia="標楷體" w:hint="eastAsia"/>
          <w:sz w:val="26"/>
          <w:szCs w:val="26"/>
        </w:rPr>
        <w:t>：</w:t>
      </w:r>
    </w:p>
    <w:p w:rsidR="0032590C" w:rsidRDefault="00567251" w:rsidP="00965AF0">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可比較原則</w:t>
      </w:r>
    </w:p>
    <w:p w:rsidR="0032590C" w:rsidRDefault="00313C0B"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非關係人於可比較情況下從事可比較未受控交易之結果為常規交易結</w:t>
      </w:r>
      <w:r w:rsidRPr="00253755">
        <w:rPr>
          <w:rFonts w:eastAsia="標楷體"/>
          <w:sz w:val="26"/>
          <w:szCs w:val="26"/>
        </w:rPr>
        <w:t>果，</w:t>
      </w:r>
      <w:r w:rsidR="004C5F41" w:rsidRPr="00253755">
        <w:rPr>
          <w:rFonts w:eastAsia="標楷體" w:hint="eastAsia"/>
          <w:sz w:val="26"/>
          <w:szCs w:val="26"/>
        </w:rPr>
        <w:t>並應</w:t>
      </w:r>
      <w:r w:rsidRPr="00253755">
        <w:rPr>
          <w:rFonts w:eastAsia="標楷體"/>
          <w:sz w:val="26"/>
          <w:szCs w:val="26"/>
        </w:rPr>
        <w:t>以</w:t>
      </w:r>
      <w:r w:rsidR="004C5F41" w:rsidRPr="00253755">
        <w:rPr>
          <w:rFonts w:eastAsia="標楷體" w:hint="eastAsia"/>
          <w:sz w:val="26"/>
          <w:szCs w:val="26"/>
        </w:rPr>
        <w:t>其</w:t>
      </w:r>
      <w:r w:rsidRPr="00253755">
        <w:rPr>
          <w:rFonts w:eastAsia="標楷體"/>
          <w:sz w:val="26"/>
          <w:szCs w:val="26"/>
        </w:rPr>
        <w:t>評定受控交易之結果是否符合常規。</w:t>
      </w:r>
    </w:p>
    <w:p w:rsidR="0032590C" w:rsidRDefault="004C5F41" w:rsidP="00965AF0">
      <w:pPr>
        <w:spacing w:beforeLines="50" w:before="120" w:afterLines="50" w:after="120" w:line="360" w:lineRule="auto"/>
        <w:ind w:firstLineChars="200" w:firstLine="520"/>
        <w:jc w:val="both"/>
        <w:rPr>
          <w:rFonts w:eastAsia="標楷體"/>
          <w:sz w:val="26"/>
          <w:szCs w:val="26"/>
        </w:rPr>
      </w:pPr>
      <w:r w:rsidRPr="00253755">
        <w:rPr>
          <w:rFonts w:eastAsia="標楷體" w:hint="eastAsia"/>
          <w:sz w:val="26"/>
          <w:szCs w:val="26"/>
        </w:rPr>
        <w:t>依據可比較原則，</w:t>
      </w:r>
      <w:r w:rsidRPr="00253755">
        <w:rPr>
          <w:rFonts w:eastAsia="標楷體"/>
          <w:sz w:val="26"/>
          <w:szCs w:val="26"/>
        </w:rPr>
        <w:t>為評定</w:t>
      </w:r>
      <w:r w:rsidR="00BA7C8C" w:rsidRPr="00253755">
        <w:rPr>
          <w:rFonts w:eastAsia="標楷體" w:hint="eastAsia"/>
          <w:sz w:val="26"/>
          <w:szCs w:val="26"/>
        </w:rPr>
        <w:t>太克科技</w:t>
      </w:r>
      <w:r w:rsidRPr="00253755">
        <w:rPr>
          <w:rFonts w:eastAsia="標楷體"/>
          <w:sz w:val="26"/>
          <w:szCs w:val="26"/>
        </w:rPr>
        <w:t>受控交易</w:t>
      </w:r>
      <w:r w:rsidRPr="00253755">
        <w:rPr>
          <w:rFonts w:eastAsia="標楷體" w:hint="eastAsia"/>
          <w:sz w:val="26"/>
          <w:szCs w:val="26"/>
        </w:rPr>
        <w:t>與未受控交易</w:t>
      </w:r>
      <w:r w:rsidRPr="00253755">
        <w:rPr>
          <w:rFonts w:eastAsia="標楷體"/>
          <w:sz w:val="26"/>
          <w:szCs w:val="26"/>
        </w:rPr>
        <w:t>之結果是否符合常規</w:t>
      </w:r>
      <w:r w:rsidRPr="00253755">
        <w:rPr>
          <w:rFonts w:eastAsia="標楷體" w:hint="eastAsia"/>
          <w:sz w:val="26"/>
          <w:szCs w:val="26"/>
        </w:rPr>
        <w:t>，首先須對</w:t>
      </w:r>
      <w:r w:rsidR="00BA7C8C" w:rsidRPr="00253755">
        <w:rPr>
          <w:rFonts w:eastAsia="標楷體" w:hint="eastAsia"/>
          <w:sz w:val="26"/>
          <w:szCs w:val="26"/>
        </w:rPr>
        <w:t>太克科技</w:t>
      </w:r>
      <w:r w:rsidRPr="00253755">
        <w:rPr>
          <w:rFonts w:eastAsia="標楷體"/>
          <w:sz w:val="26"/>
          <w:szCs w:val="26"/>
        </w:rPr>
        <w:t>受控交易</w:t>
      </w:r>
      <w:r w:rsidRPr="00253755">
        <w:rPr>
          <w:rFonts w:eastAsia="標楷體" w:hint="eastAsia"/>
          <w:sz w:val="26"/>
          <w:szCs w:val="26"/>
        </w:rPr>
        <w:t>之</w:t>
      </w:r>
      <w:r w:rsidRPr="00253755">
        <w:rPr>
          <w:rFonts w:eastAsia="標楷體"/>
          <w:sz w:val="26"/>
          <w:szCs w:val="26"/>
        </w:rPr>
        <w:t>型態及數量</w:t>
      </w:r>
      <w:r w:rsidRPr="00253755">
        <w:rPr>
          <w:rFonts w:eastAsia="標楷體" w:hint="eastAsia"/>
          <w:sz w:val="26"/>
          <w:szCs w:val="26"/>
        </w:rPr>
        <w:t>有所瞭解</w:t>
      </w:r>
      <w:r w:rsidRPr="00253755">
        <w:rPr>
          <w:rFonts w:eastAsia="標楷體"/>
          <w:sz w:val="26"/>
          <w:szCs w:val="26"/>
        </w:rPr>
        <w:t>，</w:t>
      </w:r>
      <w:r w:rsidRPr="00253755">
        <w:rPr>
          <w:rFonts w:eastAsia="標楷體" w:hint="eastAsia"/>
          <w:sz w:val="26"/>
          <w:szCs w:val="26"/>
        </w:rPr>
        <w:t>故</w:t>
      </w:r>
      <w:r w:rsidRPr="00253755">
        <w:rPr>
          <w:rFonts w:eastAsia="標楷體"/>
          <w:sz w:val="26"/>
          <w:szCs w:val="26"/>
        </w:rPr>
        <w:t>本所</w:t>
      </w:r>
      <w:r w:rsidRPr="00253755">
        <w:rPr>
          <w:rFonts w:eastAsia="標楷體" w:hint="eastAsia"/>
          <w:sz w:val="26"/>
          <w:szCs w:val="26"/>
        </w:rPr>
        <w:t>與</w:t>
      </w:r>
      <w:r w:rsidR="00BA7C8C" w:rsidRPr="00253755">
        <w:rPr>
          <w:rFonts w:eastAsia="標楷體" w:hint="eastAsia"/>
          <w:sz w:val="26"/>
          <w:szCs w:val="26"/>
        </w:rPr>
        <w:t>太克科技</w:t>
      </w:r>
      <w:r w:rsidRPr="00253755">
        <w:rPr>
          <w:rFonts w:eastAsia="標楷體"/>
          <w:sz w:val="26"/>
          <w:szCs w:val="26"/>
        </w:rPr>
        <w:t>人員</w:t>
      </w:r>
      <w:r w:rsidRPr="00253755">
        <w:rPr>
          <w:rFonts w:eastAsia="標楷體" w:hint="eastAsia"/>
          <w:sz w:val="26"/>
          <w:szCs w:val="26"/>
        </w:rPr>
        <w:t>進行訪談，並從下列項目</w:t>
      </w:r>
      <w:r w:rsidRPr="00253755">
        <w:rPr>
          <w:rFonts w:eastAsia="標楷體"/>
          <w:sz w:val="26"/>
          <w:szCs w:val="26"/>
        </w:rPr>
        <w:t>蒐集</w:t>
      </w:r>
      <w:r w:rsidRPr="00253755">
        <w:rPr>
          <w:rFonts w:eastAsia="標楷體" w:hint="eastAsia"/>
          <w:sz w:val="26"/>
          <w:szCs w:val="26"/>
        </w:rPr>
        <w:t>相關受控交易</w:t>
      </w:r>
      <w:r w:rsidRPr="00253755">
        <w:rPr>
          <w:rFonts w:eastAsia="標楷體"/>
          <w:sz w:val="26"/>
          <w:szCs w:val="26"/>
        </w:rPr>
        <w:t>資訊：</w:t>
      </w:r>
    </w:p>
    <w:p w:rsidR="0032590C" w:rsidRDefault="004C5F41" w:rsidP="00965AF0">
      <w:pPr>
        <w:numPr>
          <w:ilvl w:val="0"/>
          <w:numId w:val="30"/>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b/>
          <w:sz w:val="28"/>
          <w:szCs w:val="26"/>
        </w:rPr>
        <w:t>公司綜覽</w:t>
      </w:r>
    </w:p>
    <w:p w:rsidR="0032590C" w:rsidRDefault="004C5F41" w:rsidP="00965AF0">
      <w:pPr>
        <w:spacing w:beforeLines="50" w:before="120" w:afterLines="50" w:after="120" w:line="360" w:lineRule="auto"/>
        <w:ind w:leftChars="200" w:left="480" w:firstLineChars="200" w:firstLine="520"/>
        <w:jc w:val="both"/>
        <w:rPr>
          <w:rFonts w:eastAsia="標楷體"/>
          <w:sz w:val="26"/>
          <w:szCs w:val="26"/>
        </w:rPr>
      </w:pPr>
      <w:r w:rsidRPr="00253755">
        <w:rPr>
          <w:rFonts w:eastAsia="標楷體"/>
          <w:sz w:val="26"/>
          <w:szCs w:val="26"/>
        </w:rPr>
        <w:t>蒐集</w:t>
      </w:r>
      <w:r w:rsidR="00BA7C8C" w:rsidRPr="00253755">
        <w:rPr>
          <w:rFonts w:eastAsia="標楷體" w:hint="eastAsia"/>
          <w:sz w:val="26"/>
          <w:szCs w:val="26"/>
        </w:rPr>
        <w:t>太克科技</w:t>
      </w:r>
      <w:r w:rsidRPr="00253755">
        <w:rPr>
          <w:rFonts w:eastAsia="標楷體"/>
          <w:sz w:val="26"/>
          <w:szCs w:val="26"/>
        </w:rPr>
        <w:t>之營業型態、歷史沿革</w:t>
      </w:r>
      <w:r w:rsidRPr="00253755">
        <w:rPr>
          <w:rFonts w:eastAsia="標楷體" w:hint="eastAsia"/>
          <w:sz w:val="26"/>
          <w:szCs w:val="26"/>
        </w:rPr>
        <w:t>及</w:t>
      </w:r>
      <w:r w:rsidRPr="00253755">
        <w:rPr>
          <w:rFonts w:eastAsia="標楷體"/>
          <w:sz w:val="26"/>
          <w:szCs w:val="26"/>
        </w:rPr>
        <w:t>經營策略等</w:t>
      </w:r>
      <w:r w:rsidRPr="00253755">
        <w:rPr>
          <w:rFonts w:eastAsia="標楷體" w:hint="eastAsia"/>
          <w:sz w:val="26"/>
          <w:szCs w:val="26"/>
        </w:rPr>
        <w:t>相關資訊</w:t>
      </w:r>
      <w:r w:rsidRPr="00253755">
        <w:rPr>
          <w:rFonts w:eastAsia="標楷體"/>
          <w:sz w:val="26"/>
          <w:szCs w:val="26"/>
        </w:rPr>
        <w:t>。本所於蒐集資料時，除蒐集</w:t>
      </w:r>
      <w:r w:rsidR="00BA7C8C" w:rsidRPr="00253755">
        <w:rPr>
          <w:rFonts w:eastAsia="標楷體" w:hint="eastAsia"/>
          <w:sz w:val="26"/>
          <w:szCs w:val="26"/>
        </w:rPr>
        <w:t>太克科技</w:t>
      </w:r>
      <w:r w:rsidRPr="00253755">
        <w:rPr>
          <w:rFonts w:eastAsia="標楷體"/>
          <w:sz w:val="26"/>
          <w:szCs w:val="26"/>
        </w:rPr>
        <w:t>之資料，同時蒐集其關係企業之</w:t>
      </w:r>
      <w:r w:rsidRPr="00253755">
        <w:rPr>
          <w:rFonts w:eastAsia="標楷體" w:hint="eastAsia"/>
          <w:sz w:val="26"/>
          <w:szCs w:val="26"/>
        </w:rPr>
        <w:t>相關</w:t>
      </w:r>
      <w:r w:rsidRPr="00253755">
        <w:rPr>
          <w:rFonts w:eastAsia="標楷體"/>
          <w:sz w:val="26"/>
          <w:szCs w:val="26"/>
        </w:rPr>
        <w:t>資</w:t>
      </w:r>
      <w:r w:rsidRPr="00253755">
        <w:rPr>
          <w:rFonts w:eastAsia="標楷體" w:hint="eastAsia"/>
          <w:sz w:val="26"/>
          <w:szCs w:val="26"/>
        </w:rPr>
        <w:t>訊</w:t>
      </w:r>
      <w:r w:rsidRPr="00253755">
        <w:rPr>
          <w:rFonts w:eastAsia="標楷體"/>
          <w:sz w:val="26"/>
          <w:szCs w:val="26"/>
        </w:rPr>
        <w:t>，以對受控交易中各參與人執行之功能及承擔之風險進行分析。</w:t>
      </w:r>
    </w:p>
    <w:p w:rsidR="0032590C" w:rsidRDefault="0032590C" w:rsidP="00965AF0">
      <w:pPr>
        <w:spacing w:beforeLines="50" w:before="120" w:afterLines="50" w:after="120" w:line="360" w:lineRule="auto"/>
        <w:ind w:leftChars="200" w:left="480" w:firstLineChars="200" w:firstLine="520"/>
        <w:jc w:val="both"/>
        <w:rPr>
          <w:rFonts w:eastAsia="標楷體"/>
          <w:sz w:val="26"/>
          <w:szCs w:val="26"/>
        </w:rPr>
      </w:pPr>
    </w:p>
    <w:p w:rsidR="0032590C" w:rsidRDefault="004C5F41" w:rsidP="00965AF0">
      <w:pPr>
        <w:numPr>
          <w:ilvl w:val="0"/>
          <w:numId w:val="30"/>
        </w:numPr>
        <w:tabs>
          <w:tab w:val="left" w:pos="960"/>
          <w:tab w:val="left" w:pos="1134"/>
        </w:tabs>
        <w:spacing w:beforeLines="50" w:before="120" w:afterLines="50" w:after="120" w:line="360" w:lineRule="auto"/>
        <w:ind w:leftChars="200" w:left="960"/>
        <w:jc w:val="both"/>
        <w:rPr>
          <w:rFonts w:eastAsia="標楷體"/>
          <w:b/>
          <w:sz w:val="28"/>
          <w:szCs w:val="26"/>
        </w:rPr>
      </w:pPr>
      <w:r w:rsidRPr="00253755">
        <w:rPr>
          <w:rFonts w:eastAsia="標楷體"/>
          <w:b/>
          <w:sz w:val="28"/>
          <w:szCs w:val="26"/>
        </w:rPr>
        <w:lastRenderedPageBreak/>
        <w:t>財務及法務事項</w:t>
      </w:r>
    </w:p>
    <w:p w:rsidR="0032590C" w:rsidRDefault="004C5F41" w:rsidP="00965AF0">
      <w:pPr>
        <w:spacing w:beforeLines="50" w:before="120" w:afterLines="50" w:after="120" w:line="360" w:lineRule="auto"/>
        <w:ind w:leftChars="200" w:left="480" w:firstLineChars="200" w:firstLine="520"/>
        <w:jc w:val="both"/>
        <w:rPr>
          <w:rFonts w:eastAsia="標楷體"/>
          <w:sz w:val="26"/>
          <w:szCs w:val="26"/>
        </w:rPr>
      </w:pPr>
      <w:r w:rsidRPr="00253755">
        <w:rPr>
          <w:rFonts w:eastAsia="標楷體"/>
          <w:sz w:val="26"/>
          <w:szCs w:val="26"/>
        </w:rPr>
        <w:t>包括</w:t>
      </w:r>
      <w:r w:rsidR="00BA7C8C" w:rsidRPr="00253755">
        <w:rPr>
          <w:rFonts w:eastAsia="標楷體" w:hint="eastAsia"/>
          <w:sz w:val="26"/>
          <w:szCs w:val="26"/>
        </w:rPr>
        <w:t>太克科技</w:t>
      </w:r>
      <w:r w:rsidRPr="00253755">
        <w:rPr>
          <w:rFonts w:eastAsia="標楷體"/>
          <w:sz w:val="26"/>
          <w:szCs w:val="26"/>
        </w:rPr>
        <w:t>資本之來源、目前所採用移轉訂價之方式、與各關係</w:t>
      </w:r>
      <w:r w:rsidRPr="00EA272E">
        <w:rPr>
          <w:rFonts w:eastAsia="標楷體"/>
          <w:sz w:val="26"/>
          <w:szCs w:val="26"/>
        </w:rPr>
        <w:t>企業間合約之管理情形、會計制度及方法、各部門收入及費用之分攤方法、預算編列、計價及催收程序、給予關係企業及非關係企業之付款條件及與各關係企業間之資金借貸情形。</w:t>
      </w:r>
    </w:p>
    <w:p w:rsidR="0032590C" w:rsidRDefault="004C5F41" w:rsidP="00965AF0">
      <w:pPr>
        <w:numPr>
          <w:ilvl w:val="0"/>
          <w:numId w:val="30"/>
        </w:numPr>
        <w:tabs>
          <w:tab w:val="left" w:pos="960"/>
          <w:tab w:val="left" w:pos="1134"/>
        </w:tabs>
        <w:spacing w:beforeLines="50" w:before="120" w:afterLines="50" w:after="120" w:line="360" w:lineRule="auto"/>
        <w:ind w:leftChars="200" w:left="960"/>
        <w:jc w:val="both"/>
        <w:rPr>
          <w:rFonts w:eastAsia="標楷體"/>
          <w:b/>
          <w:sz w:val="28"/>
          <w:szCs w:val="26"/>
        </w:rPr>
      </w:pPr>
      <w:r w:rsidRPr="00EA272E">
        <w:rPr>
          <w:rFonts w:eastAsia="標楷體"/>
          <w:b/>
          <w:sz w:val="28"/>
          <w:szCs w:val="26"/>
        </w:rPr>
        <w:t>市場行銷</w:t>
      </w:r>
    </w:p>
    <w:p w:rsidR="0032590C" w:rsidRDefault="00BA7C8C" w:rsidP="00965AF0">
      <w:pPr>
        <w:spacing w:beforeLines="50" w:before="120" w:afterLines="50" w:after="120" w:line="360" w:lineRule="auto"/>
        <w:ind w:leftChars="200" w:left="480" w:firstLineChars="200" w:firstLine="520"/>
        <w:jc w:val="both"/>
        <w:rPr>
          <w:rFonts w:eastAsia="標楷體"/>
          <w:sz w:val="26"/>
          <w:szCs w:val="26"/>
        </w:rPr>
      </w:pPr>
      <w:r w:rsidRPr="00253755">
        <w:rPr>
          <w:rFonts w:eastAsia="標楷體" w:hint="eastAsia"/>
          <w:sz w:val="26"/>
          <w:szCs w:val="26"/>
        </w:rPr>
        <w:t>太克科技</w:t>
      </w:r>
      <w:r w:rsidR="004C5F41" w:rsidRPr="00253755">
        <w:rPr>
          <w:rFonts w:eastAsia="標楷體"/>
          <w:sz w:val="26"/>
          <w:szCs w:val="26"/>
        </w:rPr>
        <w:t>所處市場之特性、產品利基、配銷管道、產業概況、競爭者、市場佔有率、行銷策略、促銷活動、有無任何因行銷活動產生之無形資產，及若存有該類無形資產，其對</w:t>
      </w:r>
      <w:r w:rsidRPr="00253755">
        <w:rPr>
          <w:rFonts w:eastAsia="標楷體" w:hint="eastAsia"/>
          <w:sz w:val="26"/>
          <w:szCs w:val="26"/>
        </w:rPr>
        <w:t>太克科技</w:t>
      </w:r>
      <w:r w:rsidR="004C5F41" w:rsidRPr="00253755">
        <w:rPr>
          <w:rFonts w:eastAsia="標楷體"/>
          <w:sz w:val="26"/>
          <w:szCs w:val="26"/>
        </w:rPr>
        <w:t>營運之重要性。此外開發新顧客及保有舊客戶之方式也在詢問之列。</w:t>
      </w:r>
    </w:p>
    <w:p w:rsidR="0032590C" w:rsidRDefault="004C5F41" w:rsidP="00965AF0">
      <w:pPr>
        <w:numPr>
          <w:ilvl w:val="0"/>
          <w:numId w:val="30"/>
        </w:numPr>
        <w:tabs>
          <w:tab w:val="left" w:pos="960"/>
          <w:tab w:val="left" w:pos="1134"/>
        </w:tabs>
        <w:spacing w:beforeLines="50" w:before="120" w:afterLines="50" w:after="120" w:line="360" w:lineRule="auto"/>
        <w:ind w:leftChars="200" w:left="960"/>
        <w:jc w:val="both"/>
        <w:rPr>
          <w:rFonts w:eastAsia="標楷體"/>
          <w:b/>
          <w:sz w:val="28"/>
          <w:szCs w:val="26"/>
        </w:rPr>
      </w:pPr>
      <w:r w:rsidRPr="00253755">
        <w:rPr>
          <w:rFonts w:eastAsia="標楷體"/>
          <w:b/>
          <w:sz w:val="28"/>
          <w:szCs w:val="26"/>
        </w:rPr>
        <w:t>品管、專業技術及風險</w:t>
      </w:r>
    </w:p>
    <w:p w:rsidR="0032590C" w:rsidRDefault="00BA7C8C" w:rsidP="00965AF0">
      <w:pPr>
        <w:spacing w:beforeLines="50" w:before="120" w:afterLines="50" w:after="120" w:line="360" w:lineRule="auto"/>
        <w:ind w:leftChars="200" w:left="480" w:firstLineChars="200" w:firstLine="520"/>
        <w:jc w:val="both"/>
        <w:rPr>
          <w:rFonts w:eastAsia="標楷體"/>
          <w:sz w:val="26"/>
          <w:szCs w:val="26"/>
        </w:rPr>
      </w:pPr>
      <w:r w:rsidRPr="00253755">
        <w:rPr>
          <w:rFonts w:eastAsia="標楷體" w:hint="eastAsia"/>
          <w:sz w:val="26"/>
          <w:szCs w:val="26"/>
        </w:rPr>
        <w:t>太克科技</w:t>
      </w:r>
      <w:r w:rsidR="004C5F41" w:rsidRPr="00253755">
        <w:rPr>
          <w:rFonts w:eastAsia="標楷體"/>
          <w:sz w:val="26"/>
          <w:szCs w:val="26"/>
        </w:rPr>
        <w:t>有否接受來自關係企業提供之技術服務及酬勞，是否自擁或擁有來自關係企業任何技術性之無形資產，又是否本身從事任何產品研發設計，承擔產品保證責任。此外並考量</w:t>
      </w:r>
      <w:r w:rsidRPr="00253755">
        <w:rPr>
          <w:rFonts w:eastAsia="標楷體" w:hint="eastAsia"/>
          <w:sz w:val="26"/>
          <w:szCs w:val="26"/>
        </w:rPr>
        <w:t>太克科技</w:t>
      </w:r>
      <w:r w:rsidR="004C5F41" w:rsidRPr="00253755">
        <w:rPr>
          <w:rFonts w:eastAsia="標楷體"/>
          <w:sz w:val="26"/>
          <w:szCs w:val="26"/>
        </w:rPr>
        <w:t>所承擔之外匯及信用等風險。</w:t>
      </w:r>
    </w:p>
    <w:p w:rsidR="0032590C" w:rsidRDefault="00BA7C8C" w:rsidP="00965AF0">
      <w:pPr>
        <w:numPr>
          <w:ilvl w:val="0"/>
          <w:numId w:val="30"/>
        </w:numPr>
        <w:tabs>
          <w:tab w:val="left" w:pos="960"/>
          <w:tab w:val="left" w:pos="1134"/>
        </w:tabs>
        <w:spacing w:beforeLines="50" w:before="120" w:afterLines="50" w:after="120" w:line="360" w:lineRule="auto"/>
        <w:ind w:leftChars="200" w:left="960"/>
        <w:jc w:val="both"/>
        <w:rPr>
          <w:rFonts w:eastAsia="標楷體"/>
          <w:b/>
          <w:sz w:val="28"/>
          <w:szCs w:val="26"/>
        </w:rPr>
      </w:pPr>
      <w:r w:rsidRPr="00253755">
        <w:rPr>
          <w:rFonts w:eastAsia="標楷體" w:hint="eastAsia"/>
          <w:b/>
          <w:sz w:val="28"/>
          <w:szCs w:val="26"/>
        </w:rPr>
        <w:t>太克科技</w:t>
      </w:r>
      <w:r w:rsidR="004C5F41" w:rsidRPr="00253755">
        <w:rPr>
          <w:rFonts w:eastAsia="標楷體"/>
          <w:b/>
          <w:sz w:val="28"/>
          <w:szCs w:val="26"/>
        </w:rPr>
        <w:t>與各關係企業間之關係圖。</w:t>
      </w:r>
    </w:p>
    <w:p w:rsidR="0032590C" w:rsidRDefault="00BA7C8C" w:rsidP="00965AF0">
      <w:pPr>
        <w:numPr>
          <w:ilvl w:val="0"/>
          <w:numId w:val="30"/>
        </w:numPr>
        <w:tabs>
          <w:tab w:val="left" w:pos="960"/>
          <w:tab w:val="left" w:pos="1134"/>
        </w:tabs>
        <w:spacing w:beforeLines="50" w:before="120" w:afterLines="50" w:after="120" w:line="360" w:lineRule="auto"/>
        <w:ind w:leftChars="200" w:left="960"/>
        <w:jc w:val="both"/>
        <w:rPr>
          <w:rFonts w:eastAsia="標楷體"/>
          <w:b/>
          <w:sz w:val="28"/>
          <w:szCs w:val="26"/>
        </w:rPr>
      </w:pPr>
      <w:r w:rsidRPr="00253755">
        <w:rPr>
          <w:rFonts w:eastAsia="標楷體" w:hint="eastAsia"/>
          <w:b/>
          <w:sz w:val="28"/>
          <w:szCs w:val="26"/>
        </w:rPr>
        <w:t>太克科技</w:t>
      </w:r>
      <w:r w:rsidR="004C5F41" w:rsidRPr="00253755">
        <w:rPr>
          <w:rFonts w:eastAsia="標楷體"/>
          <w:b/>
          <w:sz w:val="28"/>
          <w:szCs w:val="26"/>
        </w:rPr>
        <w:t>與各關係企業間簽訂之合約。</w:t>
      </w:r>
    </w:p>
    <w:p w:rsidR="0032590C" w:rsidRDefault="00BA7C8C" w:rsidP="00965AF0">
      <w:pPr>
        <w:numPr>
          <w:ilvl w:val="0"/>
          <w:numId w:val="30"/>
        </w:numPr>
        <w:tabs>
          <w:tab w:val="left" w:pos="960"/>
          <w:tab w:val="left" w:pos="1134"/>
        </w:tabs>
        <w:spacing w:beforeLines="50" w:before="120" w:afterLines="50" w:after="120" w:line="360" w:lineRule="auto"/>
        <w:ind w:leftChars="200" w:left="960"/>
        <w:jc w:val="both"/>
        <w:rPr>
          <w:rFonts w:eastAsia="標楷體"/>
          <w:b/>
          <w:sz w:val="28"/>
          <w:szCs w:val="26"/>
        </w:rPr>
      </w:pPr>
      <w:r w:rsidRPr="00253755">
        <w:rPr>
          <w:rFonts w:eastAsia="標楷體" w:hint="eastAsia"/>
          <w:b/>
          <w:sz w:val="28"/>
          <w:szCs w:val="26"/>
        </w:rPr>
        <w:t>太克科技</w:t>
      </w:r>
      <w:r w:rsidR="000530F9">
        <w:rPr>
          <w:rFonts w:eastAsia="標楷體" w:hint="eastAsia"/>
          <w:b/>
          <w:sz w:val="28"/>
          <w:szCs w:val="26"/>
        </w:rPr>
        <w:t>10</w:t>
      </w:r>
      <w:r w:rsidR="00F425CF">
        <w:rPr>
          <w:rFonts w:eastAsia="標楷體" w:hint="eastAsia"/>
          <w:b/>
          <w:sz w:val="28"/>
          <w:szCs w:val="26"/>
        </w:rPr>
        <w:t>3</w:t>
      </w:r>
      <w:r w:rsidR="002314F0">
        <w:rPr>
          <w:rFonts w:eastAsia="標楷體" w:hint="eastAsia"/>
          <w:b/>
          <w:sz w:val="28"/>
          <w:szCs w:val="26"/>
        </w:rPr>
        <w:t>～</w:t>
      </w:r>
      <w:r w:rsidR="000530F9">
        <w:rPr>
          <w:rFonts w:eastAsia="標楷體" w:hint="eastAsia"/>
          <w:b/>
          <w:sz w:val="28"/>
          <w:szCs w:val="26"/>
        </w:rPr>
        <w:t>10</w:t>
      </w:r>
      <w:r w:rsidR="00F425CF">
        <w:rPr>
          <w:rFonts w:eastAsia="標楷體" w:hint="eastAsia"/>
          <w:b/>
          <w:sz w:val="28"/>
          <w:szCs w:val="26"/>
        </w:rPr>
        <w:t>5</w:t>
      </w:r>
      <w:r w:rsidR="004C5F41" w:rsidRPr="00253755">
        <w:rPr>
          <w:rFonts w:eastAsia="標楷體" w:hint="eastAsia"/>
          <w:b/>
          <w:sz w:val="28"/>
          <w:szCs w:val="26"/>
        </w:rPr>
        <w:t>年度</w:t>
      </w:r>
      <w:r w:rsidR="004C5F41" w:rsidRPr="00253755">
        <w:rPr>
          <w:rFonts w:eastAsia="標楷體"/>
          <w:b/>
          <w:sz w:val="28"/>
          <w:szCs w:val="26"/>
        </w:rPr>
        <w:t>之財務資料。</w:t>
      </w:r>
    </w:p>
    <w:p w:rsidR="0032590C" w:rsidRDefault="00567251" w:rsidP="00965AF0">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採用最適常規交易方法</w:t>
      </w:r>
    </w:p>
    <w:p w:rsidR="0032590C" w:rsidRDefault="0056725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按受控交易</w:t>
      </w:r>
      <w:r w:rsidR="000F1DF4" w:rsidRPr="00EA272E">
        <w:rPr>
          <w:rFonts w:eastAsia="標楷體" w:hint="eastAsia"/>
          <w:sz w:val="26"/>
          <w:szCs w:val="26"/>
        </w:rPr>
        <w:t>類</w:t>
      </w:r>
      <w:r w:rsidRPr="00EA272E">
        <w:rPr>
          <w:rFonts w:eastAsia="標楷體"/>
          <w:sz w:val="26"/>
          <w:szCs w:val="26"/>
        </w:rPr>
        <w:t>型，依移轉訂價查核準則規定，採用最適</w:t>
      </w:r>
      <w:r w:rsidR="00313C0B" w:rsidRPr="00EA272E">
        <w:rPr>
          <w:rFonts w:eastAsia="標楷體" w:hint="eastAsia"/>
          <w:sz w:val="26"/>
          <w:szCs w:val="26"/>
        </w:rPr>
        <w:t>之</w:t>
      </w:r>
      <w:r w:rsidRPr="00EA272E">
        <w:rPr>
          <w:rFonts w:eastAsia="標楷體"/>
          <w:sz w:val="26"/>
          <w:szCs w:val="26"/>
        </w:rPr>
        <w:t>常規交易方法，</w:t>
      </w:r>
      <w:r w:rsidR="00313C0B" w:rsidRPr="00EA272E">
        <w:rPr>
          <w:rFonts w:eastAsia="標楷體" w:hint="eastAsia"/>
          <w:sz w:val="26"/>
          <w:szCs w:val="26"/>
        </w:rPr>
        <w:t>以決定其</w:t>
      </w:r>
      <w:r w:rsidRPr="00EA272E">
        <w:rPr>
          <w:rFonts w:eastAsia="標楷體"/>
          <w:sz w:val="26"/>
          <w:szCs w:val="26"/>
        </w:rPr>
        <w:t>常規交易結果。</w:t>
      </w:r>
    </w:p>
    <w:p w:rsidR="0032590C" w:rsidRDefault="004C5F41" w:rsidP="00965AF0">
      <w:pPr>
        <w:spacing w:beforeLines="50" w:before="120" w:afterLines="50" w:after="120" w:line="360" w:lineRule="auto"/>
        <w:ind w:firstLineChars="200" w:firstLine="520"/>
        <w:jc w:val="both"/>
        <w:rPr>
          <w:rFonts w:eastAsia="標楷體"/>
          <w:sz w:val="26"/>
          <w:szCs w:val="26"/>
        </w:rPr>
      </w:pPr>
      <w:r w:rsidRPr="00253755">
        <w:rPr>
          <w:rFonts w:eastAsia="標楷體"/>
          <w:sz w:val="26"/>
          <w:szCs w:val="26"/>
        </w:rPr>
        <w:lastRenderedPageBreak/>
        <w:t>確認</w:t>
      </w:r>
      <w:r w:rsidR="00BA7C8C" w:rsidRPr="00253755">
        <w:rPr>
          <w:rFonts w:eastAsia="標楷體" w:hint="eastAsia"/>
          <w:sz w:val="26"/>
          <w:szCs w:val="26"/>
        </w:rPr>
        <w:t>太克科技</w:t>
      </w:r>
      <w:r w:rsidRPr="00253755">
        <w:rPr>
          <w:rFonts w:eastAsia="標楷體"/>
          <w:sz w:val="26"/>
          <w:szCs w:val="26"/>
        </w:rPr>
        <w:t>之受控交易參與人所執行之功能及承擔之風險後，始能選</w:t>
      </w:r>
      <w:r w:rsidRPr="00EA272E">
        <w:rPr>
          <w:rFonts w:eastAsia="標楷體"/>
          <w:sz w:val="26"/>
          <w:szCs w:val="26"/>
        </w:rPr>
        <w:t>出與其可資比較之對象。於選出可比較對象後，再來便須決定要適用何種方法，才能將受控交易與未受控交易加以比較，以決定受控交易之結果為符合</w:t>
      </w:r>
      <w:r w:rsidRPr="00253755">
        <w:rPr>
          <w:rFonts w:eastAsia="標楷體"/>
          <w:sz w:val="26"/>
          <w:szCs w:val="26"/>
        </w:rPr>
        <w:t>常規交易之結果。依移轉訂價查核準則第</w:t>
      </w:r>
      <w:r w:rsidRPr="00253755">
        <w:rPr>
          <w:rFonts w:eastAsia="標楷體"/>
          <w:sz w:val="26"/>
          <w:szCs w:val="26"/>
        </w:rPr>
        <w:t>7</w:t>
      </w:r>
      <w:r w:rsidRPr="00253755">
        <w:rPr>
          <w:rFonts w:eastAsia="標楷體"/>
          <w:sz w:val="26"/>
          <w:szCs w:val="26"/>
        </w:rPr>
        <w:t>條第</w:t>
      </w:r>
      <w:r w:rsidRPr="00253755">
        <w:rPr>
          <w:rFonts w:eastAsia="標楷體"/>
          <w:sz w:val="26"/>
          <w:szCs w:val="26"/>
        </w:rPr>
        <w:t>2</w:t>
      </w:r>
      <w:r w:rsidRPr="00253755">
        <w:rPr>
          <w:rFonts w:eastAsia="標楷體"/>
          <w:sz w:val="26"/>
          <w:szCs w:val="26"/>
        </w:rPr>
        <w:t>款規定，所採用之最適常規交易方法應按受控交易之類型而定。</w:t>
      </w:r>
      <w:r w:rsidR="00BA7C8C" w:rsidRPr="00253755">
        <w:rPr>
          <w:rFonts w:eastAsia="標楷體" w:hint="eastAsia"/>
          <w:sz w:val="26"/>
          <w:szCs w:val="26"/>
        </w:rPr>
        <w:t>太克科技</w:t>
      </w:r>
      <w:r w:rsidRPr="00253755">
        <w:rPr>
          <w:rFonts w:eastAsia="標楷體"/>
          <w:sz w:val="26"/>
          <w:szCs w:val="26"/>
        </w:rPr>
        <w:t>與各關係企業間之受控交易型態已於本報告第參章中做出分析。</w:t>
      </w:r>
    </w:p>
    <w:p w:rsidR="0032590C" w:rsidRDefault="004C5F41" w:rsidP="00965AF0">
      <w:pPr>
        <w:spacing w:beforeLines="50" w:before="120" w:afterLines="50" w:after="120" w:line="360" w:lineRule="auto"/>
        <w:ind w:firstLineChars="200" w:firstLine="520"/>
        <w:jc w:val="both"/>
        <w:rPr>
          <w:rFonts w:eastAsia="標楷體"/>
          <w:sz w:val="26"/>
          <w:szCs w:val="26"/>
        </w:rPr>
      </w:pPr>
      <w:r w:rsidRPr="00253755">
        <w:rPr>
          <w:rFonts w:eastAsia="標楷體"/>
          <w:sz w:val="26"/>
          <w:szCs w:val="26"/>
        </w:rPr>
        <w:t>各種型態之受控交易所應適用之常規交易方法，移轉訂價查核準則於第</w:t>
      </w:r>
      <w:r w:rsidRPr="00253755">
        <w:rPr>
          <w:rFonts w:eastAsia="標楷體"/>
          <w:sz w:val="26"/>
          <w:szCs w:val="26"/>
        </w:rPr>
        <w:t>10</w:t>
      </w:r>
      <w:r w:rsidRPr="00253755">
        <w:rPr>
          <w:rFonts w:eastAsia="標楷體"/>
          <w:sz w:val="26"/>
          <w:szCs w:val="26"/>
        </w:rPr>
        <w:t>條至第</w:t>
      </w:r>
      <w:r w:rsidRPr="00253755">
        <w:rPr>
          <w:rFonts w:eastAsia="標楷體"/>
          <w:sz w:val="26"/>
          <w:szCs w:val="26"/>
        </w:rPr>
        <w:t>13</w:t>
      </w:r>
      <w:r w:rsidRPr="00253755">
        <w:rPr>
          <w:rFonts w:eastAsia="標楷體"/>
          <w:sz w:val="26"/>
          <w:szCs w:val="26"/>
        </w:rPr>
        <w:t>條有明確規定。本所遵循規定</w:t>
      </w:r>
      <w:r w:rsidR="00BA7C8C" w:rsidRPr="00253755">
        <w:rPr>
          <w:rFonts w:eastAsia="標楷體" w:hint="eastAsia"/>
          <w:sz w:val="26"/>
          <w:szCs w:val="26"/>
        </w:rPr>
        <w:t>太克科技</w:t>
      </w:r>
      <w:r w:rsidRPr="00253755">
        <w:rPr>
          <w:rFonts w:eastAsia="標楷體"/>
          <w:sz w:val="26"/>
          <w:szCs w:val="26"/>
        </w:rPr>
        <w:t>與其關係企業間</w:t>
      </w:r>
      <w:r w:rsidRPr="00253755">
        <w:rPr>
          <w:rFonts w:eastAsia="標楷體" w:hint="eastAsia"/>
          <w:sz w:val="26"/>
          <w:szCs w:val="26"/>
        </w:rPr>
        <w:t>之</w:t>
      </w:r>
      <w:r w:rsidRPr="00253755">
        <w:rPr>
          <w:rFonts w:eastAsia="標楷體"/>
          <w:sz w:val="26"/>
          <w:szCs w:val="26"/>
        </w:rPr>
        <w:t>受控交易選擇最適常規交易方法</w:t>
      </w:r>
      <w:r w:rsidRPr="00253755">
        <w:rPr>
          <w:rFonts w:eastAsia="標楷體" w:hint="eastAsia"/>
          <w:sz w:val="26"/>
          <w:szCs w:val="26"/>
        </w:rPr>
        <w:t>，選擇</w:t>
      </w:r>
      <w:r w:rsidRPr="00253755">
        <w:rPr>
          <w:rFonts w:eastAsia="標楷體"/>
          <w:sz w:val="26"/>
          <w:szCs w:val="26"/>
        </w:rPr>
        <w:t>之過程詳述於本報告第柒章。</w:t>
      </w:r>
    </w:p>
    <w:p w:rsidR="0032590C" w:rsidRPr="005F31C1" w:rsidRDefault="00567251" w:rsidP="00965AF0">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5F31C1">
        <w:rPr>
          <w:rFonts w:ascii="Times New Roman" w:eastAsia="標楷體" w:hAnsi="Times New Roman" w:hint="eastAsia"/>
          <w:sz w:val="36"/>
          <w:szCs w:val="40"/>
        </w:rPr>
        <w:t>按個別交易評價</w:t>
      </w:r>
    </w:p>
    <w:p w:rsidR="0032590C" w:rsidRDefault="004C5F4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根據移轉訂價查核準則第</w:t>
      </w:r>
      <w:r w:rsidRPr="00EA272E">
        <w:rPr>
          <w:rFonts w:eastAsia="標楷體"/>
          <w:sz w:val="26"/>
          <w:szCs w:val="26"/>
        </w:rPr>
        <w:t>7</w:t>
      </w:r>
      <w:r w:rsidRPr="00EA272E">
        <w:rPr>
          <w:rFonts w:eastAsia="標楷體"/>
          <w:sz w:val="26"/>
          <w:szCs w:val="26"/>
        </w:rPr>
        <w:t>條第</w:t>
      </w:r>
      <w:r w:rsidRPr="00EA272E">
        <w:rPr>
          <w:rFonts w:eastAsia="標楷體"/>
          <w:sz w:val="26"/>
          <w:szCs w:val="26"/>
        </w:rPr>
        <w:t>3</w:t>
      </w:r>
      <w:r w:rsidRPr="00EA272E">
        <w:rPr>
          <w:rFonts w:eastAsia="標楷體"/>
          <w:sz w:val="26"/>
          <w:szCs w:val="26"/>
        </w:rPr>
        <w:t>款規定應按個別交易評價，以個別交易為基礎，各自適用常規交易方法。</w:t>
      </w:r>
      <w:r w:rsidR="00567251" w:rsidRPr="00EA272E">
        <w:rPr>
          <w:rFonts w:eastAsia="標楷體"/>
          <w:sz w:val="26"/>
          <w:szCs w:val="26"/>
        </w:rPr>
        <w:t>但</w:t>
      </w:r>
      <w:r w:rsidRPr="00EA272E">
        <w:rPr>
          <w:rFonts w:eastAsia="標楷體" w:hint="eastAsia"/>
          <w:sz w:val="26"/>
          <w:szCs w:val="26"/>
        </w:rPr>
        <w:t>若</w:t>
      </w:r>
      <w:r w:rsidR="00567251" w:rsidRPr="00EA272E">
        <w:rPr>
          <w:rFonts w:eastAsia="標楷體"/>
          <w:sz w:val="26"/>
          <w:szCs w:val="26"/>
        </w:rPr>
        <w:t>個別交易間有關聯性或連續性</w:t>
      </w:r>
      <w:r w:rsidR="00313C0B" w:rsidRPr="00EA272E">
        <w:rPr>
          <w:rFonts w:eastAsia="標楷體" w:hint="eastAsia"/>
          <w:sz w:val="26"/>
          <w:szCs w:val="26"/>
        </w:rPr>
        <w:t>者</w:t>
      </w:r>
      <w:r w:rsidR="00567251" w:rsidRPr="00EA272E">
        <w:rPr>
          <w:rFonts w:eastAsia="標楷體"/>
          <w:sz w:val="26"/>
          <w:szCs w:val="26"/>
        </w:rPr>
        <w:t>，</w:t>
      </w:r>
      <w:r w:rsidR="00313C0B" w:rsidRPr="00EA272E">
        <w:rPr>
          <w:rFonts w:eastAsia="標楷體" w:hint="eastAsia"/>
          <w:sz w:val="26"/>
          <w:szCs w:val="26"/>
        </w:rPr>
        <w:t>應合併</w:t>
      </w:r>
      <w:r w:rsidR="00567251" w:rsidRPr="00EA272E">
        <w:rPr>
          <w:rFonts w:eastAsia="標楷體"/>
          <w:sz w:val="26"/>
          <w:szCs w:val="26"/>
        </w:rPr>
        <w:t>相關交易適用常規交易方法，以</w:t>
      </w:r>
      <w:r w:rsidR="00313C0B" w:rsidRPr="00EA272E">
        <w:rPr>
          <w:rFonts w:eastAsia="標楷體" w:hint="eastAsia"/>
          <w:sz w:val="26"/>
          <w:szCs w:val="26"/>
        </w:rPr>
        <w:t>決</w:t>
      </w:r>
      <w:r w:rsidR="00567251" w:rsidRPr="00EA272E">
        <w:rPr>
          <w:rFonts w:eastAsia="標楷體"/>
          <w:sz w:val="26"/>
          <w:szCs w:val="26"/>
        </w:rPr>
        <w:t>定</w:t>
      </w:r>
      <w:r w:rsidR="00313C0B" w:rsidRPr="00EA272E">
        <w:rPr>
          <w:rFonts w:eastAsia="標楷體" w:hint="eastAsia"/>
          <w:sz w:val="26"/>
          <w:szCs w:val="26"/>
        </w:rPr>
        <w:t>其</w:t>
      </w:r>
      <w:r w:rsidR="00567251" w:rsidRPr="00EA272E">
        <w:rPr>
          <w:rFonts w:eastAsia="標楷體"/>
          <w:sz w:val="26"/>
          <w:szCs w:val="26"/>
        </w:rPr>
        <w:t>常規交易結果。</w:t>
      </w:r>
    </w:p>
    <w:p w:rsidR="0032590C" w:rsidRDefault="00A4418C" w:rsidP="00965AF0">
      <w:pPr>
        <w:spacing w:beforeLines="50" w:before="120" w:afterLines="50" w:after="120" w:line="360" w:lineRule="auto"/>
        <w:ind w:firstLineChars="200" w:firstLine="520"/>
        <w:jc w:val="both"/>
        <w:rPr>
          <w:rFonts w:eastAsia="標楷體"/>
          <w:sz w:val="26"/>
          <w:szCs w:val="26"/>
        </w:rPr>
      </w:pPr>
      <w:r w:rsidRPr="00A97D34">
        <w:rPr>
          <w:rFonts w:eastAsia="標楷體"/>
          <w:sz w:val="26"/>
          <w:szCs w:val="26"/>
        </w:rPr>
        <w:t>本報告中太克科技與關係企業間『有形資產之移轉－進貨』及『服務之提供－提供產品服務』受控交易，因</w:t>
      </w:r>
      <w:r>
        <w:rPr>
          <w:rFonts w:eastAsia="標楷體" w:hint="eastAsia"/>
          <w:sz w:val="26"/>
          <w:szCs w:val="26"/>
        </w:rPr>
        <w:t>兩交易</w:t>
      </w:r>
      <w:r w:rsidRPr="00A97D34">
        <w:rPr>
          <w:rFonts w:eastAsia="標楷體"/>
          <w:sz w:val="26"/>
          <w:szCs w:val="26"/>
        </w:rPr>
        <w:t>具</w:t>
      </w:r>
      <w:r>
        <w:rPr>
          <w:rFonts w:eastAsia="標楷體" w:hint="eastAsia"/>
          <w:sz w:val="26"/>
          <w:szCs w:val="26"/>
        </w:rPr>
        <w:t>有</w:t>
      </w:r>
      <w:r w:rsidRPr="00EA272E">
        <w:rPr>
          <w:rFonts w:eastAsia="標楷體"/>
          <w:sz w:val="26"/>
          <w:szCs w:val="26"/>
        </w:rPr>
        <w:t>關聯</w:t>
      </w:r>
      <w:r w:rsidRPr="00A97D34">
        <w:rPr>
          <w:rFonts w:eastAsia="標楷體"/>
          <w:sz w:val="26"/>
          <w:szCs w:val="26"/>
        </w:rPr>
        <w:t>特性，依移轉訂價查核準則第</w:t>
      </w:r>
      <w:r w:rsidRPr="00A97D34">
        <w:rPr>
          <w:rFonts w:eastAsia="標楷體"/>
          <w:sz w:val="26"/>
          <w:szCs w:val="26"/>
        </w:rPr>
        <w:t>7</w:t>
      </w:r>
      <w:r w:rsidRPr="00A97D34">
        <w:rPr>
          <w:rFonts w:eastAsia="標楷體"/>
          <w:sz w:val="26"/>
          <w:szCs w:val="26"/>
        </w:rPr>
        <w:t>條第</w:t>
      </w:r>
      <w:r w:rsidRPr="00A97D34">
        <w:rPr>
          <w:rFonts w:eastAsia="標楷體"/>
          <w:sz w:val="26"/>
          <w:szCs w:val="26"/>
        </w:rPr>
        <w:t>3</w:t>
      </w:r>
      <w:r w:rsidRPr="00A97D34">
        <w:rPr>
          <w:rFonts w:eastAsia="標楷體"/>
          <w:sz w:val="26"/>
          <w:szCs w:val="26"/>
        </w:rPr>
        <w:t>款規定將兩者合併分析。</w:t>
      </w:r>
    </w:p>
    <w:p w:rsidR="0032590C" w:rsidRDefault="00567251" w:rsidP="00965AF0">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使用</w:t>
      </w:r>
      <w:r w:rsidR="00936C11" w:rsidRPr="00EA272E">
        <w:rPr>
          <w:rFonts w:ascii="Times New Roman" w:eastAsia="標楷體" w:hAnsi="Times New Roman" w:hint="eastAsia"/>
          <w:sz w:val="36"/>
          <w:szCs w:val="40"/>
        </w:rPr>
        <w:t>交易</w:t>
      </w:r>
      <w:r w:rsidRPr="00EA272E">
        <w:rPr>
          <w:rFonts w:ascii="Times New Roman" w:eastAsia="標楷體" w:hAnsi="Times New Roman"/>
          <w:sz w:val="36"/>
          <w:szCs w:val="40"/>
        </w:rPr>
        <w:t>當年度資料</w:t>
      </w:r>
    </w:p>
    <w:p w:rsidR="0032590C" w:rsidRDefault="00936C1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決定常規交易結果時，以營利事業從事受控交易當年度之資料及同一年度非關係人從事可比較未受控交易之資料為基礎。但有下列情形之一者，得以涵蓋當年度及以前年度之連續多年度交易資料為基礎：</w:t>
      </w:r>
    </w:p>
    <w:p w:rsidR="0032590C" w:rsidRDefault="00936C11" w:rsidP="00965AF0">
      <w:pPr>
        <w:numPr>
          <w:ilvl w:val="0"/>
          <w:numId w:val="29"/>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營利事業所屬產業受商業循環影響。</w:t>
      </w:r>
    </w:p>
    <w:p w:rsidR="0032590C" w:rsidRDefault="00936C11" w:rsidP="00965AF0">
      <w:pPr>
        <w:numPr>
          <w:ilvl w:val="0"/>
          <w:numId w:val="29"/>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交易之有形資產、無形資產及服務受生命週期影響。</w:t>
      </w:r>
    </w:p>
    <w:p w:rsidR="0032590C" w:rsidRDefault="00936C11" w:rsidP="00965AF0">
      <w:pPr>
        <w:numPr>
          <w:ilvl w:val="0"/>
          <w:numId w:val="29"/>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lastRenderedPageBreak/>
        <w:t>營利事業採用市場占有率策略。</w:t>
      </w:r>
    </w:p>
    <w:p w:rsidR="0032590C" w:rsidRDefault="00936C11" w:rsidP="00965AF0">
      <w:pPr>
        <w:numPr>
          <w:ilvl w:val="0"/>
          <w:numId w:val="29"/>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採用以利潤為基礎之方法決定常規交易結果。</w:t>
      </w:r>
    </w:p>
    <w:p w:rsidR="0032590C" w:rsidRDefault="00936C11" w:rsidP="00965AF0">
      <w:pPr>
        <w:numPr>
          <w:ilvl w:val="0"/>
          <w:numId w:val="29"/>
        </w:numPr>
        <w:tabs>
          <w:tab w:val="left" w:pos="1134"/>
        </w:tabs>
        <w:spacing w:beforeLines="50" w:before="120" w:afterLines="50" w:after="120" w:line="360" w:lineRule="auto"/>
        <w:ind w:leftChars="250" w:left="1080"/>
        <w:jc w:val="both"/>
        <w:rPr>
          <w:rFonts w:eastAsia="標楷體"/>
          <w:sz w:val="26"/>
          <w:szCs w:val="26"/>
        </w:rPr>
      </w:pPr>
      <w:r w:rsidRPr="00EA272E">
        <w:rPr>
          <w:rFonts w:eastAsia="標楷體"/>
          <w:sz w:val="26"/>
          <w:szCs w:val="26"/>
        </w:rPr>
        <w:t>其他經財政部核定之情形。</w:t>
      </w:r>
    </w:p>
    <w:p w:rsidR="0032590C" w:rsidRDefault="007F099E"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如為營利事業於辦理交易當年度營利事業所得稅結算申報時未能取得之資料者，營利事業得以可比較未受控交易之連續前三年度平均數代替之；營利事業有</w:t>
      </w:r>
      <w:r w:rsidRPr="00EA272E">
        <w:rPr>
          <w:rFonts w:eastAsia="標楷體" w:hint="eastAsia"/>
          <w:sz w:val="26"/>
          <w:szCs w:val="26"/>
        </w:rPr>
        <w:t>上列</w:t>
      </w:r>
      <w:r w:rsidRPr="00EA272E">
        <w:rPr>
          <w:rFonts w:eastAsia="標楷體"/>
          <w:sz w:val="26"/>
          <w:szCs w:val="26"/>
        </w:rPr>
        <w:t>規定情形之一者，得以不涵蓋當年度資料之連續多年度可比較未受控交易資料為基礎。</w:t>
      </w:r>
    </w:p>
    <w:p w:rsidR="0032590C" w:rsidRDefault="002D7D67" w:rsidP="00965AF0">
      <w:pPr>
        <w:spacing w:beforeLines="50" w:before="120" w:afterLines="50" w:after="120" w:line="360" w:lineRule="auto"/>
        <w:ind w:firstLineChars="200" w:firstLine="520"/>
        <w:jc w:val="both"/>
        <w:rPr>
          <w:rFonts w:eastAsia="標楷體"/>
          <w:sz w:val="26"/>
          <w:szCs w:val="26"/>
        </w:rPr>
      </w:pPr>
      <w:r w:rsidRPr="00340F76">
        <w:rPr>
          <w:rFonts w:eastAsia="標楷體"/>
          <w:sz w:val="26"/>
          <w:szCs w:val="26"/>
        </w:rPr>
        <w:t>由本報告第柒章得知，評估</w:t>
      </w:r>
      <w:r w:rsidRPr="00340F76">
        <w:rPr>
          <w:rFonts w:eastAsia="標楷體" w:hint="eastAsia"/>
          <w:sz w:val="26"/>
          <w:szCs w:val="26"/>
        </w:rPr>
        <w:t>太克科技</w:t>
      </w:r>
      <w:r w:rsidRPr="00340F76">
        <w:rPr>
          <w:rFonts w:eastAsia="標楷體"/>
          <w:sz w:val="26"/>
          <w:szCs w:val="26"/>
        </w:rPr>
        <w:t>各受控交易之方法為</w:t>
      </w:r>
      <w:r w:rsidRPr="00340F76">
        <w:rPr>
          <w:rFonts w:eastAsia="標楷體" w:hint="eastAsia"/>
          <w:sz w:val="26"/>
          <w:szCs w:val="26"/>
        </w:rPr>
        <w:t>採用可比較利潤法</w:t>
      </w:r>
      <w:r w:rsidRPr="00340F76">
        <w:rPr>
          <w:rFonts w:eastAsia="標楷體"/>
          <w:sz w:val="26"/>
          <w:szCs w:val="26"/>
        </w:rPr>
        <w:t>。</w:t>
      </w:r>
      <w:r w:rsidRPr="00340F76">
        <w:rPr>
          <w:rFonts w:eastAsia="標楷體" w:hint="eastAsia"/>
          <w:sz w:val="26"/>
          <w:szCs w:val="26"/>
        </w:rPr>
        <w:t>因</w:t>
      </w:r>
      <w:r w:rsidRPr="00340F76">
        <w:rPr>
          <w:rFonts w:eastAsia="標楷體"/>
          <w:sz w:val="26"/>
          <w:szCs w:val="26"/>
        </w:rPr>
        <w:t>以</w:t>
      </w:r>
      <w:r w:rsidRPr="00340F76">
        <w:rPr>
          <w:rFonts w:eastAsia="標楷體" w:hint="eastAsia"/>
          <w:sz w:val="26"/>
          <w:szCs w:val="26"/>
        </w:rPr>
        <w:t>可比較利潤法</w:t>
      </w:r>
      <w:r w:rsidRPr="00340F76">
        <w:rPr>
          <w:rFonts w:eastAsia="標楷體"/>
          <w:sz w:val="26"/>
          <w:szCs w:val="26"/>
        </w:rPr>
        <w:t>評估時，符合</w:t>
      </w:r>
      <w:r w:rsidRPr="00340F76">
        <w:rPr>
          <w:rFonts w:eastAsia="標楷體" w:hint="eastAsia"/>
          <w:sz w:val="26"/>
          <w:szCs w:val="26"/>
        </w:rPr>
        <w:t>上列</w:t>
      </w:r>
      <w:r w:rsidRPr="00340F76">
        <w:rPr>
          <w:rFonts w:eastAsia="標楷體" w:hint="eastAsia"/>
          <w:sz w:val="26"/>
          <w:szCs w:val="26"/>
        </w:rPr>
        <w:t>4</w:t>
      </w:r>
      <w:r w:rsidRPr="00340F76">
        <w:rPr>
          <w:rFonts w:eastAsia="標楷體" w:hint="eastAsia"/>
          <w:sz w:val="26"/>
          <w:szCs w:val="26"/>
        </w:rPr>
        <w:t>）</w:t>
      </w:r>
      <w:r w:rsidRPr="00340F76">
        <w:rPr>
          <w:rFonts w:eastAsia="標楷體"/>
          <w:sz w:val="26"/>
          <w:szCs w:val="26"/>
        </w:rPr>
        <w:t>中所述『</w:t>
      </w:r>
      <w:r w:rsidRPr="00340F76">
        <w:rPr>
          <w:rFonts w:eastAsia="標楷體" w:hint="eastAsia"/>
          <w:sz w:val="26"/>
          <w:szCs w:val="26"/>
        </w:rPr>
        <w:t>採用以利潤為基礎之方法決定常規較易結果</w:t>
      </w:r>
      <w:r w:rsidRPr="00340F76">
        <w:rPr>
          <w:rFonts w:eastAsia="標楷體"/>
          <w:sz w:val="26"/>
          <w:szCs w:val="26"/>
        </w:rPr>
        <w:t>』，得以涵蓋當年度及以前年度之連續多年度交易資料為基礎情況</w:t>
      </w:r>
      <w:r w:rsidRPr="00340F76">
        <w:rPr>
          <w:rFonts w:eastAsia="標楷體" w:hint="eastAsia"/>
          <w:sz w:val="26"/>
          <w:szCs w:val="26"/>
        </w:rPr>
        <w:t>，</w:t>
      </w:r>
      <w:r w:rsidRPr="00340F76">
        <w:rPr>
          <w:rFonts w:eastAsia="標楷體"/>
          <w:sz w:val="26"/>
          <w:szCs w:val="26"/>
        </w:rPr>
        <w:t>故本所以</w:t>
      </w:r>
      <w:r w:rsidRPr="00340F76">
        <w:rPr>
          <w:rFonts w:eastAsia="標楷體" w:hint="eastAsia"/>
          <w:sz w:val="26"/>
          <w:szCs w:val="26"/>
        </w:rPr>
        <w:t>連</w:t>
      </w:r>
      <w:r w:rsidRPr="00340F76">
        <w:rPr>
          <w:rFonts w:eastAsia="標楷體"/>
          <w:sz w:val="26"/>
          <w:szCs w:val="26"/>
        </w:rPr>
        <w:t>續多年度交易資料為基礎</w:t>
      </w:r>
      <w:r w:rsidR="004C5F41" w:rsidRPr="00EA272E">
        <w:rPr>
          <w:rFonts w:eastAsia="標楷體"/>
          <w:sz w:val="26"/>
          <w:szCs w:val="26"/>
        </w:rPr>
        <w:t>。</w:t>
      </w:r>
    </w:p>
    <w:p w:rsidR="0032590C" w:rsidRDefault="00567251" w:rsidP="00965AF0">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採用常規交易範圍</w:t>
      </w:r>
    </w:p>
    <w:p w:rsidR="0032590C" w:rsidRDefault="0056725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所稱常規交易範圍，指二個或二個以上之可比較未受控交易，</w:t>
      </w:r>
      <w:r w:rsidR="00313C0B" w:rsidRPr="00EA272E">
        <w:rPr>
          <w:rFonts w:eastAsia="標楷體" w:hint="eastAsia"/>
          <w:sz w:val="26"/>
          <w:szCs w:val="26"/>
        </w:rPr>
        <w:t>適</w:t>
      </w:r>
      <w:r w:rsidRPr="00EA272E">
        <w:rPr>
          <w:rFonts w:eastAsia="標楷體"/>
          <w:sz w:val="26"/>
          <w:szCs w:val="26"/>
        </w:rPr>
        <w:t>用相同之常規交易方法所產生常規交易結果</w:t>
      </w:r>
      <w:r w:rsidR="00313C0B" w:rsidRPr="00EA272E">
        <w:rPr>
          <w:rFonts w:eastAsia="標楷體" w:hint="eastAsia"/>
          <w:sz w:val="26"/>
          <w:szCs w:val="26"/>
        </w:rPr>
        <w:t>之</w:t>
      </w:r>
      <w:r w:rsidRPr="00EA272E">
        <w:rPr>
          <w:rFonts w:eastAsia="標楷體"/>
          <w:sz w:val="26"/>
          <w:szCs w:val="26"/>
        </w:rPr>
        <w:t>範圍。可比較未受控交易</w:t>
      </w:r>
      <w:r w:rsidR="00313C0B" w:rsidRPr="00EA272E">
        <w:rPr>
          <w:rFonts w:eastAsia="標楷體" w:hint="eastAsia"/>
          <w:sz w:val="26"/>
          <w:szCs w:val="26"/>
        </w:rPr>
        <w:t>之</w:t>
      </w:r>
      <w:r w:rsidRPr="00EA272E">
        <w:rPr>
          <w:rFonts w:eastAsia="標楷體"/>
          <w:sz w:val="26"/>
          <w:szCs w:val="26"/>
        </w:rPr>
        <w:t>資料</w:t>
      </w:r>
      <w:r w:rsidR="00313C0B" w:rsidRPr="00EA272E">
        <w:rPr>
          <w:rFonts w:eastAsia="標楷體" w:hint="eastAsia"/>
          <w:sz w:val="26"/>
          <w:szCs w:val="26"/>
        </w:rPr>
        <w:t>如未臻完整</w:t>
      </w:r>
      <w:r w:rsidRPr="00EA272E">
        <w:rPr>
          <w:rFonts w:eastAsia="標楷體"/>
          <w:sz w:val="26"/>
          <w:szCs w:val="26"/>
        </w:rPr>
        <w:t>，致無法確認其與受控交易間之差異，或無法進行調整以消除該</w:t>
      </w:r>
      <w:r w:rsidR="00313C0B" w:rsidRPr="00EA272E">
        <w:rPr>
          <w:rFonts w:eastAsia="標楷體" w:hint="eastAsia"/>
          <w:sz w:val="26"/>
          <w:szCs w:val="26"/>
        </w:rPr>
        <w:t>等</w:t>
      </w:r>
      <w:r w:rsidRPr="00EA272E">
        <w:rPr>
          <w:rFonts w:eastAsia="標楷體"/>
          <w:sz w:val="26"/>
          <w:szCs w:val="26"/>
        </w:rPr>
        <w:t>差異對交易結果所產生之影響</w:t>
      </w:r>
      <w:r w:rsidR="00313C0B" w:rsidRPr="00EA272E">
        <w:rPr>
          <w:rFonts w:eastAsia="標楷體" w:hint="eastAsia"/>
          <w:sz w:val="26"/>
          <w:szCs w:val="26"/>
        </w:rPr>
        <w:t>者</w:t>
      </w:r>
      <w:r w:rsidRPr="00EA272E">
        <w:rPr>
          <w:rFonts w:eastAsia="標楷體"/>
          <w:sz w:val="26"/>
          <w:szCs w:val="26"/>
        </w:rPr>
        <w:t>，以可比較未受控交易結果之第二十五百分位數（即下四分位數）至第七十五百分位數（即上四分位數）之</w:t>
      </w:r>
      <w:r w:rsidR="00023B84" w:rsidRPr="00EA272E">
        <w:rPr>
          <w:rFonts w:eastAsia="標楷體"/>
          <w:sz w:val="26"/>
          <w:szCs w:val="26"/>
        </w:rPr>
        <w:t>範圍</w:t>
      </w:r>
      <w:r w:rsidRPr="00EA272E">
        <w:rPr>
          <w:rFonts w:eastAsia="標楷體"/>
          <w:sz w:val="26"/>
          <w:szCs w:val="26"/>
        </w:rPr>
        <w:t>為常規交易範圍。</w:t>
      </w:r>
    </w:p>
    <w:p w:rsidR="0032590C" w:rsidRDefault="00346D23" w:rsidP="00965AF0">
      <w:pPr>
        <w:spacing w:beforeLines="50" w:before="120" w:afterLines="50" w:after="120" w:line="360" w:lineRule="auto"/>
        <w:ind w:firstLineChars="200" w:firstLine="520"/>
        <w:jc w:val="both"/>
        <w:rPr>
          <w:rFonts w:eastAsia="標楷體"/>
          <w:sz w:val="26"/>
          <w:szCs w:val="26"/>
        </w:rPr>
      </w:pPr>
      <w:r w:rsidRPr="00EA272E">
        <w:rPr>
          <w:rFonts w:eastAsia="標楷體" w:hint="eastAsia"/>
          <w:sz w:val="26"/>
          <w:szCs w:val="26"/>
        </w:rPr>
        <w:t>若為依移轉訂價查核準則第</w:t>
      </w:r>
      <w:r w:rsidRPr="00EA272E">
        <w:rPr>
          <w:rFonts w:eastAsia="標楷體"/>
          <w:sz w:val="26"/>
          <w:szCs w:val="26"/>
        </w:rPr>
        <w:t>7</w:t>
      </w:r>
      <w:r w:rsidRPr="00EA272E">
        <w:rPr>
          <w:rFonts w:eastAsia="標楷體" w:hint="eastAsia"/>
          <w:sz w:val="26"/>
          <w:szCs w:val="26"/>
        </w:rPr>
        <w:t>條第</w:t>
      </w:r>
      <w:r w:rsidRPr="00EA272E">
        <w:rPr>
          <w:rFonts w:eastAsia="標楷體"/>
          <w:sz w:val="26"/>
          <w:szCs w:val="26"/>
        </w:rPr>
        <w:t>4</w:t>
      </w:r>
      <w:r w:rsidRPr="00EA272E">
        <w:rPr>
          <w:rFonts w:eastAsia="標楷體" w:hint="eastAsia"/>
          <w:sz w:val="26"/>
          <w:szCs w:val="26"/>
        </w:rPr>
        <w:t>款第</w:t>
      </w:r>
      <w:r w:rsidRPr="00EA272E">
        <w:rPr>
          <w:rFonts w:eastAsia="標楷體"/>
          <w:sz w:val="26"/>
          <w:szCs w:val="26"/>
        </w:rPr>
        <w:t>1</w:t>
      </w:r>
      <w:r w:rsidRPr="00EA272E">
        <w:rPr>
          <w:rFonts w:eastAsia="標楷體" w:hint="eastAsia"/>
          <w:sz w:val="26"/>
          <w:szCs w:val="26"/>
        </w:rPr>
        <w:t>目</w:t>
      </w:r>
      <w:r w:rsidR="00313C0B" w:rsidRPr="00EA272E">
        <w:rPr>
          <w:rFonts w:eastAsia="標楷體" w:hint="eastAsia"/>
          <w:sz w:val="26"/>
          <w:szCs w:val="26"/>
        </w:rPr>
        <w:t>但書規定</w:t>
      </w:r>
      <w:r w:rsidRPr="00EA272E">
        <w:rPr>
          <w:rFonts w:eastAsia="標楷體" w:hint="eastAsia"/>
          <w:sz w:val="26"/>
          <w:szCs w:val="26"/>
        </w:rPr>
        <w:t>使用多年度資料者，以可比較未受控交易結果之</w:t>
      </w:r>
      <w:r w:rsidR="00313C0B" w:rsidRPr="00EA272E">
        <w:rPr>
          <w:rFonts w:eastAsia="標楷體" w:hint="eastAsia"/>
          <w:sz w:val="26"/>
          <w:szCs w:val="26"/>
        </w:rPr>
        <w:t>多</w:t>
      </w:r>
      <w:r w:rsidRPr="00EA272E">
        <w:rPr>
          <w:rFonts w:eastAsia="標楷體" w:hint="eastAsia"/>
          <w:sz w:val="26"/>
          <w:szCs w:val="26"/>
        </w:rPr>
        <w:t>年度平均數產生常規交易範圍。受控交易之</w:t>
      </w:r>
      <w:r w:rsidR="00ED7CA7" w:rsidRPr="00EA272E">
        <w:rPr>
          <w:rFonts w:eastAsia="標楷體" w:hint="eastAsia"/>
          <w:sz w:val="26"/>
          <w:szCs w:val="26"/>
        </w:rPr>
        <w:t>交易</w:t>
      </w:r>
      <w:r w:rsidRPr="00EA272E">
        <w:rPr>
          <w:rFonts w:eastAsia="標楷體" w:hint="eastAsia"/>
          <w:sz w:val="26"/>
          <w:szCs w:val="26"/>
        </w:rPr>
        <w:t>結果在常規交易範圍</w:t>
      </w:r>
      <w:r w:rsidR="00313C0B" w:rsidRPr="00EA272E">
        <w:rPr>
          <w:rFonts w:eastAsia="標楷體" w:hint="eastAsia"/>
          <w:sz w:val="26"/>
          <w:szCs w:val="26"/>
        </w:rPr>
        <w:t>之</w:t>
      </w:r>
      <w:r w:rsidR="00A52E0C" w:rsidRPr="00EA272E">
        <w:rPr>
          <w:rFonts w:eastAsia="標楷體" w:hint="eastAsia"/>
          <w:sz w:val="26"/>
          <w:szCs w:val="26"/>
        </w:rPr>
        <w:t>內者，視為符合常規，無需進行調整；其在常規交易範圍之</w:t>
      </w:r>
      <w:r w:rsidRPr="00EA272E">
        <w:rPr>
          <w:rFonts w:eastAsia="標楷體" w:hint="eastAsia"/>
          <w:sz w:val="26"/>
          <w:szCs w:val="26"/>
        </w:rPr>
        <w:t>外者，</w:t>
      </w:r>
      <w:r w:rsidR="00E906AA" w:rsidRPr="00EA272E">
        <w:rPr>
          <w:rFonts w:eastAsia="標楷體" w:hint="eastAsia"/>
          <w:sz w:val="26"/>
          <w:szCs w:val="26"/>
        </w:rPr>
        <w:t>按</w:t>
      </w:r>
      <w:r w:rsidRPr="00EA272E">
        <w:rPr>
          <w:rFonts w:eastAsia="標楷體" w:hint="eastAsia"/>
          <w:sz w:val="26"/>
          <w:szCs w:val="26"/>
        </w:rPr>
        <w:t>移轉訂價查核準則第</w:t>
      </w:r>
      <w:r w:rsidRPr="00EA272E">
        <w:rPr>
          <w:rFonts w:eastAsia="標楷體"/>
          <w:sz w:val="26"/>
          <w:szCs w:val="26"/>
        </w:rPr>
        <w:t>7</w:t>
      </w:r>
      <w:r w:rsidRPr="00EA272E">
        <w:rPr>
          <w:rFonts w:eastAsia="標楷體" w:hint="eastAsia"/>
          <w:sz w:val="26"/>
          <w:szCs w:val="26"/>
        </w:rPr>
        <w:t>條第</w:t>
      </w:r>
      <w:r w:rsidRPr="00EA272E">
        <w:rPr>
          <w:rFonts w:eastAsia="標楷體"/>
          <w:sz w:val="26"/>
          <w:szCs w:val="26"/>
        </w:rPr>
        <w:t>5</w:t>
      </w:r>
      <w:r w:rsidRPr="00EA272E">
        <w:rPr>
          <w:rFonts w:eastAsia="標楷體" w:hint="eastAsia"/>
          <w:sz w:val="26"/>
          <w:szCs w:val="26"/>
        </w:rPr>
        <w:t>款</w:t>
      </w:r>
      <w:r w:rsidR="0076045E" w:rsidRPr="00EA272E">
        <w:rPr>
          <w:rFonts w:eastAsia="標楷體" w:hint="eastAsia"/>
          <w:sz w:val="26"/>
          <w:szCs w:val="26"/>
        </w:rPr>
        <w:t>第</w:t>
      </w:r>
      <w:r w:rsidR="00E906AA" w:rsidRPr="00EA272E">
        <w:rPr>
          <w:rFonts w:eastAsia="標楷體" w:hint="eastAsia"/>
          <w:sz w:val="26"/>
          <w:szCs w:val="26"/>
        </w:rPr>
        <w:t>1</w:t>
      </w:r>
      <w:r w:rsidR="0076045E" w:rsidRPr="00EA272E">
        <w:rPr>
          <w:rFonts w:eastAsia="標楷體" w:hint="eastAsia"/>
          <w:sz w:val="26"/>
          <w:szCs w:val="26"/>
        </w:rPr>
        <w:t>目</w:t>
      </w:r>
      <w:r w:rsidR="00E906AA" w:rsidRPr="00EA272E">
        <w:rPr>
          <w:rFonts w:eastAsia="標楷體" w:hint="eastAsia"/>
          <w:sz w:val="26"/>
          <w:szCs w:val="26"/>
        </w:rPr>
        <w:t>所有可比較未受控交易結果之中位數或第</w:t>
      </w:r>
      <w:r w:rsidR="00E906AA" w:rsidRPr="00EA272E">
        <w:rPr>
          <w:rFonts w:eastAsia="標楷體" w:hint="eastAsia"/>
          <w:sz w:val="26"/>
          <w:szCs w:val="26"/>
        </w:rPr>
        <w:t>2</w:t>
      </w:r>
      <w:r w:rsidR="00E906AA" w:rsidRPr="00EA272E">
        <w:rPr>
          <w:rFonts w:eastAsia="標楷體" w:hint="eastAsia"/>
          <w:sz w:val="26"/>
          <w:szCs w:val="26"/>
        </w:rPr>
        <w:t>目所有多年度平均數之中位數調整受控交易</w:t>
      </w:r>
      <w:r w:rsidR="00E906AA" w:rsidRPr="00EA272E">
        <w:rPr>
          <w:rFonts w:eastAsia="標楷體" w:hint="eastAsia"/>
          <w:sz w:val="26"/>
          <w:szCs w:val="26"/>
        </w:rPr>
        <w:lastRenderedPageBreak/>
        <w:t>之當年度交易結果</w:t>
      </w:r>
      <w:r w:rsidRPr="00EA272E">
        <w:rPr>
          <w:rFonts w:eastAsia="標楷體" w:hint="eastAsia"/>
          <w:sz w:val="26"/>
          <w:szCs w:val="26"/>
        </w:rPr>
        <w:t>。</w:t>
      </w:r>
    </w:p>
    <w:p w:rsidR="0032590C" w:rsidRDefault="004C5F4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本報告常規交易範圍產生之過程，詳述於本報告第玖章。</w:t>
      </w:r>
    </w:p>
    <w:p w:rsidR="0032590C" w:rsidRDefault="00567251" w:rsidP="00965AF0">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分析虧損原因</w:t>
      </w:r>
    </w:p>
    <w:p w:rsidR="0032590C" w:rsidRDefault="0056725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營利事業申報虧損，而其集團全球總利潤為正數</w:t>
      </w:r>
      <w:r w:rsidR="00E906AA" w:rsidRPr="00EA272E">
        <w:rPr>
          <w:rFonts w:eastAsia="標楷體" w:hint="eastAsia"/>
          <w:sz w:val="26"/>
          <w:szCs w:val="26"/>
        </w:rPr>
        <w:t>者</w:t>
      </w:r>
      <w:r w:rsidRPr="00EA272E">
        <w:rPr>
          <w:rFonts w:eastAsia="標楷體"/>
          <w:sz w:val="26"/>
          <w:szCs w:val="26"/>
        </w:rPr>
        <w:t>，應分析其虧損發生之原因</w:t>
      </w:r>
      <w:r w:rsidR="00E906AA" w:rsidRPr="00EA272E">
        <w:rPr>
          <w:rFonts w:eastAsia="標楷體" w:hint="eastAsia"/>
          <w:sz w:val="26"/>
          <w:szCs w:val="26"/>
        </w:rPr>
        <w:t>及其與關係企業相互間之</w:t>
      </w:r>
      <w:r w:rsidRPr="00EA272E">
        <w:rPr>
          <w:rFonts w:eastAsia="標楷體"/>
          <w:sz w:val="26"/>
          <w:szCs w:val="26"/>
        </w:rPr>
        <w:t>交易結果是否符合常規。</w:t>
      </w:r>
    </w:p>
    <w:p w:rsidR="0032590C" w:rsidRDefault="00BA3848" w:rsidP="00965AF0">
      <w:pPr>
        <w:spacing w:beforeLines="50" w:before="120" w:afterLines="50" w:after="120" w:line="360" w:lineRule="auto"/>
        <w:ind w:firstLineChars="200" w:firstLine="520"/>
        <w:jc w:val="both"/>
        <w:rPr>
          <w:rFonts w:eastAsia="標楷體"/>
          <w:sz w:val="26"/>
          <w:szCs w:val="26"/>
        </w:rPr>
      </w:pPr>
      <w:r>
        <w:rPr>
          <w:rFonts w:eastAsia="標楷體" w:hint="eastAsia"/>
          <w:sz w:val="26"/>
          <w:szCs w:val="26"/>
        </w:rPr>
        <w:t>太克科技</w:t>
      </w:r>
      <w:r w:rsidR="002314F0">
        <w:rPr>
          <w:rFonts w:eastAsia="標楷體" w:hint="eastAsia"/>
          <w:sz w:val="26"/>
          <w:szCs w:val="26"/>
        </w:rPr>
        <w:t>10</w:t>
      </w:r>
      <w:r w:rsidR="00F425CF">
        <w:rPr>
          <w:rFonts w:eastAsia="標楷體" w:hint="eastAsia"/>
          <w:sz w:val="26"/>
          <w:szCs w:val="26"/>
        </w:rPr>
        <w:t>5</w:t>
      </w:r>
      <w:r>
        <w:rPr>
          <w:rFonts w:eastAsia="標楷體" w:hint="eastAsia"/>
          <w:sz w:val="26"/>
          <w:szCs w:val="26"/>
        </w:rPr>
        <w:t>年度並無虧損，故毋需分析虧損原因。</w:t>
      </w:r>
    </w:p>
    <w:p w:rsidR="0032590C" w:rsidRDefault="00567251" w:rsidP="00965AF0">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收支分別評價</w:t>
      </w:r>
    </w:p>
    <w:p w:rsidR="0032590C" w:rsidRDefault="0056725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受控交易之交易人</w:t>
      </w:r>
      <w:r w:rsidR="00E906AA" w:rsidRPr="00EA272E">
        <w:rPr>
          <w:rFonts w:eastAsia="標楷體" w:hint="eastAsia"/>
          <w:sz w:val="26"/>
          <w:szCs w:val="26"/>
        </w:rPr>
        <w:t>一方</w:t>
      </w:r>
      <w:r w:rsidRPr="00EA272E">
        <w:rPr>
          <w:rFonts w:eastAsia="標楷體"/>
          <w:sz w:val="26"/>
          <w:szCs w:val="26"/>
        </w:rPr>
        <w:t>對他方應收取之價款，與他方對</w:t>
      </w:r>
      <w:r w:rsidR="00E906AA" w:rsidRPr="00EA272E">
        <w:rPr>
          <w:rFonts w:eastAsia="標楷體" w:hint="eastAsia"/>
          <w:sz w:val="26"/>
          <w:szCs w:val="26"/>
        </w:rPr>
        <w:t>一</w:t>
      </w:r>
      <w:r w:rsidRPr="00EA272E">
        <w:rPr>
          <w:rFonts w:eastAsia="標楷體"/>
          <w:sz w:val="26"/>
          <w:szCs w:val="26"/>
        </w:rPr>
        <w:t>方應收取之價款，應</w:t>
      </w:r>
      <w:r w:rsidR="00E906AA" w:rsidRPr="00EA272E">
        <w:rPr>
          <w:rFonts w:eastAsia="標楷體" w:hint="eastAsia"/>
          <w:sz w:val="26"/>
          <w:szCs w:val="26"/>
        </w:rPr>
        <w:t>按交易任一方</w:t>
      </w:r>
      <w:r w:rsidRPr="00EA272E">
        <w:rPr>
          <w:rFonts w:eastAsia="標楷體"/>
          <w:sz w:val="26"/>
          <w:szCs w:val="26"/>
        </w:rPr>
        <w:t>分別列計收入</w:t>
      </w:r>
      <w:r w:rsidR="00E906AA" w:rsidRPr="00EA272E">
        <w:rPr>
          <w:rFonts w:eastAsia="標楷體" w:hint="eastAsia"/>
          <w:sz w:val="26"/>
          <w:szCs w:val="26"/>
        </w:rPr>
        <w:t>與</w:t>
      </w:r>
      <w:r w:rsidRPr="00EA272E">
        <w:rPr>
          <w:rFonts w:eastAsia="標楷體"/>
          <w:sz w:val="26"/>
          <w:szCs w:val="26"/>
        </w:rPr>
        <w:t>支出</w:t>
      </w:r>
      <w:r w:rsidR="00E906AA" w:rsidRPr="00EA272E">
        <w:rPr>
          <w:rFonts w:eastAsia="標楷體" w:hint="eastAsia"/>
          <w:sz w:val="26"/>
          <w:szCs w:val="26"/>
        </w:rPr>
        <w:t>之交易價格</w:t>
      </w:r>
      <w:r w:rsidRPr="00EA272E">
        <w:rPr>
          <w:rFonts w:eastAsia="標楷體"/>
          <w:sz w:val="26"/>
          <w:szCs w:val="26"/>
        </w:rPr>
        <w:t>評價。</w:t>
      </w:r>
    </w:p>
    <w:p w:rsidR="0032590C" w:rsidRDefault="004C5F4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收支</w:t>
      </w:r>
      <w:r w:rsidRPr="00EA272E">
        <w:rPr>
          <w:rFonts w:eastAsia="標楷體" w:hint="eastAsia"/>
          <w:sz w:val="26"/>
          <w:szCs w:val="26"/>
        </w:rPr>
        <w:t>已</w:t>
      </w:r>
      <w:r w:rsidRPr="00EA272E">
        <w:rPr>
          <w:rFonts w:eastAsia="標楷體"/>
          <w:sz w:val="26"/>
          <w:szCs w:val="26"/>
        </w:rPr>
        <w:t>分別評價，詳述於本</w:t>
      </w:r>
      <w:r w:rsidRPr="00EA272E">
        <w:rPr>
          <w:rFonts w:eastAsia="標楷體" w:hint="eastAsia"/>
          <w:sz w:val="26"/>
          <w:szCs w:val="26"/>
        </w:rPr>
        <w:t>報告</w:t>
      </w:r>
      <w:r w:rsidRPr="00EA272E">
        <w:rPr>
          <w:rFonts w:eastAsia="標楷體"/>
          <w:sz w:val="26"/>
          <w:szCs w:val="26"/>
        </w:rPr>
        <w:t>第參章。</w:t>
      </w:r>
    </w:p>
    <w:p w:rsidR="0032590C" w:rsidRDefault="00567251" w:rsidP="00965AF0">
      <w:pPr>
        <w:pStyle w:val="2"/>
        <w:numPr>
          <w:ilvl w:val="1"/>
          <w:numId w:val="28"/>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sz w:val="36"/>
          <w:szCs w:val="40"/>
        </w:rPr>
        <w:t>其他經財政部核定之常規交易原則</w:t>
      </w:r>
    </w:p>
    <w:p w:rsidR="0032590C" w:rsidRDefault="008E57D5" w:rsidP="00965AF0">
      <w:pPr>
        <w:spacing w:beforeLines="50" w:before="120" w:afterLines="50" w:after="120" w:line="360" w:lineRule="auto"/>
        <w:ind w:firstLineChars="200" w:firstLine="520"/>
        <w:jc w:val="both"/>
        <w:rPr>
          <w:rFonts w:eastAsia="標楷體"/>
          <w:sz w:val="26"/>
          <w:szCs w:val="26"/>
        </w:rPr>
      </w:pPr>
      <w:r>
        <w:rPr>
          <w:rFonts w:eastAsia="標楷體" w:hint="eastAsia"/>
          <w:sz w:val="26"/>
          <w:szCs w:val="26"/>
        </w:rPr>
        <w:t>為因應國際間移轉訂價之發展，財政部得視需要，以行政命令方式核定增加其他常規交易原則，以供徵納雙方共同遵循。</w:t>
      </w:r>
      <w:bookmarkStart w:id="60" w:name="_Toc137897621"/>
    </w:p>
    <w:p w:rsidR="00B43040" w:rsidRDefault="00B43040" w:rsidP="00965AF0">
      <w:pPr>
        <w:spacing w:beforeLines="50" w:before="120" w:afterLines="50" w:after="120" w:line="360" w:lineRule="auto"/>
        <w:jc w:val="both"/>
        <w:rPr>
          <w:rFonts w:eastAsia="標楷體"/>
          <w:sz w:val="26"/>
          <w:szCs w:val="26"/>
        </w:rPr>
      </w:pPr>
      <w:r>
        <w:rPr>
          <w:rFonts w:eastAsia="標楷體"/>
          <w:sz w:val="26"/>
          <w:szCs w:val="26"/>
        </w:rPr>
        <w:br w:type="page"/>
      </w:r>
    </w:p>
    <w:p w:rsidR="003B5535" w:rsidRPr="00EA272E" w:rsidRDefault="003B5535" w:rsidP="00965AF0">
      <w:pPr>
        <w:spacing w:beforeLines="50" w:before="120" w:afterLines="50" w:after="120" w:line="360" w:lineRule="auto"/>
        <w:jc w:val="both"/>
        <w:rPr>
          <w:rFonts w:eastAsia="標楷體"/>
          <w:sz w:val="26"/>
          <w:szCs w:val="26"/>
        </w:rPr>
        <w:sectPr w:rsidR="003B5535" w:rsidRPr="00EA272E" w:rsidSect="00DD5AB2">
          <w:type w:val="oddPage"/>
          <w:pgSz w:w="11906" w:h="16838" w:code="9"/>
          <w:pgMar w:top="2160" w:right="1440" w:bottom="1814" w:left="1440" w:header="851" w:footer="567" w:gutter="567"/>
          <w:cols w:space="425"/>
          <w:docGrid w:linePitch="360"/>
        </w:sectPr>
      </w:pPr>
      <w:r>
        <w:rPr>
          <w:rFonts w:eastAsia="標楷體"/>
          <w:sz w:val="26"/>
          <w:szCs w:val="26"/>
        </w:rPr>
        <w:lastRenderedPageBreak/>
        <w:br w:type="page"/>
      </w:r>
    </w:p>
    <w:bookmarkStart w:id="61" w:name="_Toc253154515"/>
    <w:bookmarkStart w:id="62" w:name="_Toc253154583"/>
    <w:bookmarkStart w:id="63" w:name="_Toc272326014"/>
    <w:bookmarkStart w:id="64" w:name="_Toc272326642"/>
    <w:bookmarkStart w:id="65" w:name="_Toc272326821"/>
    <w:bookmarkStart w:id="66" w:name="_Toc275960654"/>
    <w:bookmarkStart w:id="67" w:name="_Toc389223544"/>
    <w:p w:rsidR="000314E8" w:rsidRPr="00EA272E" w:rsidRDefault="00965AF0" w:rsidP="000314E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6704" behindDoc="0" locked="0" layoutInCell="1" allowOverlap="1">
                <wp:simplePos x="0" y="0"/>
                <wp:positionH relativeFrom="column">
                  <wp:posOffset>4671060</wp:posOffset>
                </wp:positionH>
                <wp:positionV relativeFrom="paragraph">
                  <wp:posOffset>0</wp:posOffset>
                </wp:positionV>
                <wp:extent cx="720090" cy="720090"/>
                <wp:effectExtent l="13335" t="9525" r="9525" b="13335"/>
                <wp:wrapNone/>
                <wp:docPr id="12"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4864D6" w:rsidRPr="005F6F74" w:rsidRDefault="004864D6"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6" o:spid="_x0000_s1128" type="#_x0000_t202" style="position:absolute;left:0;text-align:left;margin-left:367.8pt;margin-top:0;width:56.7pt;height:56.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">
                <v:textbox>
                  <w:txbxContent>
                    <w:p w:rsidR="004864D6" w:rsidRPr="005F6F74" w:rsidRDefault="004864D6" w:rsidP="005F6F74">
                      <w:pPr>
                        <w:jc w:val="center"/>
                        <w:rPr>
                          <w:rFonts w:ascii="微軟正黑體" w:eastAsia="微軟正黑體" w:hAnsi="微軟正黑體"/>
                        </w:rPr>
                      </w:pPr>
                      <w:r w:rsidRPr="005F6F74">
                        <w:rPr>
                          <w:rFonts w:ascii="微軟正黑體" w:eastAsia="微軟正黑體" w:hAnsi="微軟正黑體" w:hint="eastAsia"/>
                          <w:b/>
                          <w:sz w:val="52"/>
                          <w:szCs w:val="52"/>
                        </w:rPr>
                        <w:t>Ⅵ</w:t>
                      </w:r>
                    </w:p>
                  </w:txbxContent>
                </v:textbox>
              </v:shape>
            </w:pict>
          </mc:Fallback>
        </mc:AlternateContent>
      </w:r>
      <w:bookmarkEnd w:id="61"/>
      <w:bookmarkEnd w:id="62"/>
      <w:bookmarkEnd w:id="63"/>
      <w:bookmarkEnd w:id="64"/>
      <w:bookmarkEnd w:id="65"/>
      <w:bookmarkEnd w:id="66"/>
      <w:bookmarkEnd w:id="67"/>
    </w:p>
    <w:p w:rsidR="000314E8" w:rsidRPr="00EA272E" w:rsidRDefault="000314E8" w:rsidP="005F6F74">
      <w:pPr>
        <w:pStyle w:val="1"/>
        <w:numPr>
          <w:ilvl w:val="0"/>
          <w:numId w:val="0"/>
        </w:numPr>
        <w:spacing w:before="0" w:after="0" w:line="240" w:lineRule="auto"/>
        <w:jc w:val="right"/>
        <w:rPr>
          <w:rFonts w:ascii="Times New Roman" w:eastAsia="標楷體" w:hAnsi="Times New Roman"/>
          <w:noProof/>
          <w:sz w:val="48"/>
          <w:szCs w:val="48"/>
        </w:rPr>
      </w:pPr>
    </w:p>
    <w:p w:rsidR="00567251" w:rsidRPr="00EA272E" w:rsidRDefault="00567251" w:rsidP="000314E8">
      <w:pPr>
        <w:pStyle w:val="1"/>
        <w:spacing w:before="100" w:beforeAutospacing="1" w:after="100" w:afterAutospacing="1" w:line="360" w:lineRule="auto"/>
        <w:ind w:left="0" w:firstLine="0"/>
        <w:jc w:val="right"/>
        <w:rPr>
          <w:rFonts w:ascii="Times New Roman" w:eastAsia="標楷體" w:hAnsi="Times New Roman"/>
          <w:sz w:val="56"/>
          <w:szCs w:val="56"/>
        </w:rPr>
      </w:pPr>
      <w:bookmarkStart w:id="68" w:name="_Toc389223545"/>
      <w:r w:rsidRPr="00EA272E">
        <w:rPr>
          <w:rFonts w:ascii="Times New Roman" w:eastAsia="標楷體" w:hAnsi="Times New Roman"/>
          <w:sz w:val="56"/>
          <w:szCs w:val="56"/>
        </w:rPr>
        <w:t>可比較對象之</w:t>
      </w:r>
      <w:r w:rsidR="0001195B">
        <w:rPr>
          <w:rFonts w:ascii="Times New Roman" w:eastAsia="標楷體" w:hAnsi="Times New Roman" w:hint="eastAsia"/>
          <w:sz w:val="56"/>
          <w:szCs w:val="56"/>
        </w:rPr>
        <w:t>選擇</w:t>
      </w:r>
      <w:r w:rsidRPr="00EA272E">
        <w:rPr>
          <w:rFonts w:ascii="Times New Roman" w:eastAsia="標楷體" w:hAnsi="Times New Roman"/>
          <w:sz w:val="56"/>
          <w:szCs w:val="56"/>
        </w:rPr>
        <w:t>要件</w:t>
      </w:r>
      <w:bookmarkEnd w:id="60"/>
      <w:bookmarkEnd w:id="68"/>
    </w:p>
    <w:p w:rsidR="00567251" w:rsidRPr="00EA272E" w:rsidRDefault="0056725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影響企業訂定交易價格之因素繁多，價格之高低與交易相對人扮演之角色（即所執行之功能）及所承擔之風險息息相</w:t>
      </w:r>
      <w:r w:rsidR="00EA6FD3" w:rsidRPr="00EA272E">
        <w:rPr>
          <w:rFonts w:eastAsia="標楷體"/>
          <w:sz w:val="26"/>
          <w:szCs w:val="26"/>
        </w:rPr>
        <w:t>關。但除功能及風險之考量外，影響價格或利潤之因素還有其他，移轉訂</w:t>
      </w:r>
      <w:r w:rsidRPr="00EA272E">
        <w:rPr>
          <w:rFonts w:eastAsia="標楷體"/>
          <w:sz w:val="26"/>
          <w:szCs w:val="26"/>
        </w:rPr>
        <w:t>價查核準則第</w:t>
      </w:r>
      <w:r w:rsidRPr="00EA272E">
        <w:rPr>
          <w:rFonts w:eastAsia="標楷體"/>
          <w:sz w:val="26"/>
          <w:szCs w:val="26"/>
        </w:rPr>
        <w:t>8</w:t>
      </w:r>
      <w:r w:rsidRPr="00EA272E">
        <w:rPr>
          <w:rFonts w:eastAsia="標楷體"/>
          <w:sz w:val="26"/>
          <w:szCs w:val="26"/>
        </w:rPr>
        <w:t>條</w:t>
      </w:r>
      <w:r w:rsidR="002E3B74" w:rsidRPr="00EA272E">
        <w:rPr>
          <w:rFonts w:eastAsia="標楷體" w:hint="eastAsia"/>
          <w:sz w:val="26"/>
          <w:szCs w:val="26"/>
        </w:rPr>
        <w:t>共</w:t>
      </w:r>
      <w:r w:rsidRPr="00EA272E">
        <w:rPr>
          <w:rFonts w:eastAsia="標楷體"/>
          <w:sz w:val="26"/>
          <w:szCs w:val="26"/>
        </w:rPr>
        <w:t>列出七項要件，規定於決定受控交易與未受控交易之可比較程度時，應基於此七項要件做比較。</w:t>
      </w:r>
    </w:p>
    <w:p w:rsidR="0032590C" w:rsidRDefault="0056725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所謂『可比較程度』，為非關係企業間交易（即『未受控交易』）與關係企業間交易（即『受控交易』）之相似程度。</w:t>
      </w:r>
    </w:p>
    <w:p w:rsidR="0032590C" w:rsidRDefault="0056725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本所遵循移轉訂價查核準則第</w:t>
      </w:r>
      <w:r w:rsidRPr="00EA272E">
        <w:rPr>
          <w:rFonts w:eastAsia="標楷體"/>
          <w:sz w:val="26"/>
          <w:szCs w:val="26"/>
        </w:rPr>
        <w:t>8</w:t>
      </w:r>
      <w:r w:rsidRPr="00EA272E">
        <w:rPr>
          <w:rFonts w:eastAsia="標楷體"/>
          <w:sz w:val="26"/>
          <w:szCs w:val="26"/>
        </w:rPr>
        <w:t>條列舉之影響價格或利潤因素，作為選擇可比較對象之依據。</w:t>
      </w:r>
    </w:p>
    <w:p w:rsidR="0032590C" w:rsidRDefault="00567251" w:rsidP="00965AF0">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一、</w:t>
      </w:r>
      <w:r w:rsidR="004E4F89" w:rsidRPr="00EA272E">
        <w:rPr>
          <w:rFonts w:ascii="Times New Roman" w:eastAsia="標楷體" w:hAnsi="Times New Roman" w:hint="eastAsia"/>
          <w:sz w:val="32"/>
          <w:szCs w:val="32"/>
        </w:rPr>
        <w:t>交易標的</w:t>
      </w:r>
      <w:r w:rsidRPr="00EA272E">
        <w:rPr>
          <w:rFonts w:ascii="Times New Roman" w:eastAsia="標楷體" w:hAnsi="Times New Roman"/>
          <w:sz w:val="32"/>
          <w:szCs w:val="32"/>
        </w:rPr>
        <w:t>資產或服務之特性</w:t>
      </w:r>
    </w:p>
    <w:p w:rsidR="0032590C" w:rsidRDefault="0056725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5</w:t>
      </w:r>
      <w:r w:rsidRPr="00EA272E">
        <w:rPr>
          <w:rFonts w:eastAsia="標楷體"/>
          <w:sz w:val="26"/>
          <w:szCs w:val="26"/>
        </w:rPr>
        <w:t>條規定受控交易應按條文列舉之七種類型加以分類</w:t>
      </w:r>
      <w:r w:rsidR="00564BF5" w:rsidRPr="00EA272E">
        <w:rPr>
          <w:rFonts w:eastAsia="標楷體" w:hint="eastAsia"/>
          <w:sz w:val="26"/>
          <w:szCs w:val="26"/>
        </w:rPr>
        <w:t>，</w:t>
      </w:r>
      <w:r w:rsidRPr="00EA272E">
        <w:rPr>
          <w:rFonts w:eastAsia="標楷體"/>
          <w:sz w:val="26"/>
          <w:szCs w:val="26"/>
        </w:rPr>
        <w:t>是故除特殊交易可向財政部申請核</w:t>
      </w:r>
      <w:r w:rsidR="002E3B74" w:rsidRPr="00EA272E">
        <w:rPr>
          <w:rFonts w:eastAsia="標楷體" w:hint="eastAsia"/>
          <w:sz w:val="26"/>
          <w:szCs w:val="26"/>
        </w:rPr>
        <w:t>定</w:t>
      </w:r>
      <w:r w:rsidRPr="00EA272E">
        <w:rPr>
          <w:rFonts w:eastAsia="標楷體"/>
          <w:sz w:val="26"/>
          <w:szCs w:val="26"/>
        </w:rPr>
        <w:t>為特殊交易類型</w:t>
      </w:r>
      <w:r w:rsidR="002E3B74" w:rsidRPr="00EA272E">
        <w:rPr>
          <w:rFonts w:eastAsia="標楷體" w:hint="eastAsia"/>
          <w:sz w:val="26"/>
          <w:szCs w:val="26"/>
        </w:rPr>
        <w:t>外</w:t>
      </w:r>
      <w:r w:rsidRPr="00EA272E">
        <w:rPr>
          <w:rFonts w:eastAsia="標楷體"/>
          <w:sz w:val="26"/>
          <w:szCs w:val="26"/>
        </w:rPr>
        <w:t>，一般性交易應依資產或服務之特性區分為有形資產之移轉、有形資產之使用、無形資產之移轉、無形資產之使用、服務之提供或資金之使用等交易類型。</w:t>
      </w:r>
    </w:p>
    <w:p w:rsidR="0032590C" w:rsidRDefault="0056725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因各種交易類型適用之常規交易方法不同，必先確認受控交易與未受控交易為同一類型，如此運用相同常規交易方法評估交易結果才有意義。移轉訂價查核準則第</w:t>
      </w:r>
      <w:r w:rsidRPr="00EA272E">
        <w:rPr>
          <w:rFonts w:eastAsia="標楷體"/>
          <w:sz w:val="26"/>
          <w:szCs w:val="26"/>
        </w:rPr>
        <w:t>9</w:t>
      </w:r>
      <w:r w:rsidRPr="00EA272E">
        <w:rPr>
          <w:rFonts w:eastAsia="標楷體"/>
          <w:sz w:val="26"/>
          <w:szCs w:val="26"/>
        </w:rPr>
        <w:t>條規定，採用最適常規交易方法時，應依受控交易之交易類型，受控交易及未受控交易間之可比較程度，以及所蒐集資料與假設之品</w:t>
      </w:r>
      <w:r w:rsidRPr="00EA272E">
        <w:rPr>
          <w:rFonts w:eastAsia="標楷體"/>
          <w:sz w:val="26"/>
          <w:szCs w:val="26"/>
        </w:rPr>
        <w:lastRenderedPageBreak/>
        <w:t>質，分別適用移轉訂價查核準則第</w:t>
      </w:r>
      <w:r w:rsidRPr="00EA272E">
        <w:rPr>
          <w:rFonts w:eastAsia="標楷體"/>
          <w:sz w:val="26"/>
          <w:szCs w:val="26"/>
        </w:rPr>
        <w:t>10</w:t>
      </w:r>
      <w:r w:rsidRPr="00EA272E">
        <w:rPr>
          <w:rFonts w:eastAsia="標楷體"/>
          <w:sz w:val="26"/>
          <w:szCs w:val="26"/>
        </w:rPr>
        <w:t>條至第</w:t>
      </w:r>
      <w:r w:rsidRPr="00EA272E">
        <w:rPr>
          <w:rFonts w:eastAsia="標楷體"/>
          <w:sz w:val="26"/>
          <w:szCs w:val="26"/>
        </w:rPr>
        <w:t>13</w:t>
      </w:r>
      <w:r w:rsidRPr="00EA272E">
        <w:rPr>
          <w:rFonts w:eastAsia="標楷體"/>
          <w:sz w:val="26"/>
          <w:szCs w:val="26"/>
        </w:rPr>
        <w:t>條規定，決定最適常規交易方法。</w:t>
      </w:r>
    </w:p>
    <w:p w:rsidR="0032590C" w:rsidRDefault="0056725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各常規交易方法對於可比較對象之可比較程度各有特別考量，各該考量因素分別列舉於移轉訂價查核準則第</w:t>
      </w:r>
      <w:r w:rsidRPr="00EA272E">
        <w:rPr>
          <w:rFonts w:eastAsia="標楷體"/>
          <w:sz w:val="26"/>
          <w:szCs w:val="26"/>
        </w:rPr>
        <w:t>14</w:t>
      </w:r>
      <w:r w:rsidRPr="00EA272E">
        <w:rPr>
          <w:rFonts w:eastAsia="標楷體"/>
          <w:sz w:val="26"/>
          <w:szCs w:val="26"/>
        </w:rPr>
        <w:t>條至</w:t>
      </w:r>
      <w:r w:rsidRPr="00EA272E">
        <w:rPr>
          <w:rFonts w:eastAsia="標楷體"/>
          <w:sz w:val="26"/>
          <w:szCs w:val="26"/>
        </w:rPr>
        <w:t>19</w:t>
      </w:r>
      <w:r w:rsidRPr="00EA272E">
        <w:rPr>
          <w:rFonts w:eastAsia="標楷體"/>
          <w:sz w:val="26"/>
          <w:szCs w:val="26"/>
        </w:rPr>
        <w:t>條之條文中。各常規交易方法以其特有考量因素評估未受控交易及受控交易，兩者相似程度越高，則未受控交易越適於比較。</w:t>
      </w:r>
    </w:p>
    <w:p w:rsidR="0032590C" w:rsidRDefault="0056725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本所除遵循移轉訂價查核準則第</w:t>
      </w:r>
      <w:r w:rsidRPr="00EA272E">
        <w:rPr>
          <w:rFonts w:eastAsia="標楷體"/>
          <w:sz w:val="26"/>
          <w:szCs w:val="26"/>
        </w:rPr>
        <w:t>8</w:t>
      </w:r>
      <w:r w:rsidRPr="00EA272E">
        <w:rPr>
          <w:rFonts w:eastAsia="標楷體"/>
          <w:sz w:val="26"/>
          <w:szCs w:val="26"/>
        </w:rPr>
        <w:t>條規定之要件選擇可比較對象外，並</w:t>
      </w:r>
      <w:r w:rsidRPr="00253755">
        <w:rPr>
          <w:rFonts w:eastAsia="標楷體"/>
          <w:sz w:val="26"/>
          <w:szCs w:val="26"/>
        </w:rPr>
        <w:t>將</w:t>
      </w:r>
      <w:r w:rsidR="00BA7C8C" w:rsidRPr="00253755">
        <w:rPr>
          <w:rFonts w:eastAsia="標楷體" w:hint="eastAsia"/>
          <w:sz w:val="26"/>
          <w:szCs w:val="26"/>
        </w:rPr>
        <w:t>太克科技</w:t>
      </w:r>
      <w:r w:rsidRPr="00253755">
        <w:rPr>
          <w:rFonts w:eastAsia="標楷體"/>
          <w:sz w:val="26"/>
          <w:szCs w:val="26"/>
        </w:rPr>
        <w:t>交易類型適用常規交易方法考量之特別因素納入評估。</w:t>
      </w:r>
    </w:p>
    <w:p w:rsidR="0032590C" w:rsidRDefault="00567251" w:rsidP="00965AF0">
      <w:pPr>
        <w:spacing w:beforeLines="50" w:before="120" w:afterLines="50" w:after="120" w:line="360" w:lineRule="auto"/>
        <w:ind w:firstLineChars="200" w:firstLine="520"/>
        <w:jc w:val="both"/>
        <w:rPr>
          <w:rFonts w:eastAsia="標楷體"/>
          <w:sz w:val="26"/>
          <w:szCs w:val="26"/>
        </w:rPr>
      </w:pPr>
      <w:r w:rsidRPr="00253755">
        <w:rPr>
          <w:rFonts w:eastAsia="標楷體"/>
          <w:sz w:val="26"/>
          <w:szCs w:val="26"/>
        </w:rPr>
        <w:t>為</w:t>
      </w:r>
      <w:r w:rsidR="00BA7C8C" w:rsidRPr="00253755">
        <w:rPr>
          <w:rFonts w:eastAsia="標楷體" w:hint="eastAsia"/>
          <w:sz w:val="26"/>
          <w:szCs w:val="26"/>
        </w:rPr>
        <w:t>太克科技</w:t>
      </w:r>
      <w:r w:rsidRPr="00253755">
        <w:rPr>
          <w:rFonts w:eastAsia="標楷體"/>
          <w:sz w:val="26"/>
          <w:szCs w:val="26"/>
        </w:rPr>
        <w:t>之受控交易選擇最適常規交易方法之過程</w:t>
      </w:r>
      <w:r w:rsidR="00F21DD9" w:rsidRPr="00253755">
        <w:rPr>
          <w:rFonts w:eastAsia="標楷體" w:hint="eastAsia"/>
          <w:sz w:val="26"/>
          <w:szCs w:val="26"/>
        </w:rPr>
        <w:t>，</w:t>
      </w:r>
      <w:r w:rsidR="0078498A" w:rsidRPr="00253755">
        <w:rPr>
          <w:rFonts w:eastAsia="標楷體"/>
          <w:sz w:val="26"/>
          <w:szCs w:val="26"/>
        </w:rPr>
        <w:t>詳述</w:t>
      </w:r>
      <w:r w:rsidR="00F21DD9" w:rsidRPr="00253755">
        <w:rPr>
          <w:rFonts w:eastAsia="標楷體" w:hint="eastAsia"/>
          <w:sz w:val="26"/>
          <w:szCs w:val="26"/>
        </w:rPr>
        <w:t>於</w:t>
      </w:r>
      <w:r w:rsidR="0078498A" w:rsidRPr="00253755">
        <w:rPr>
          <w:rFonts w:eastAsia="標楷體"/>
          <w:sz w:val="26"/>
          <w:szCs w:val="26"/>
        </w:rPr>
        <w:t>本報告第</w:t>
      </w:r>
      <w:r w:rsidR="0078498A" w:rsidRPr="00EA272E">
        <w:rPr>
          <w:rFonts w:eastAsia="標楷體"/>
          <w:sz w:val="26"/>
          <w:szCs w:val="26"/>
        </w:rPr>
        <w:t>柒章</w:t>
      </w:r>
      <w:r w:rsidRPr="00EA272E">
        <w:rPr>
          <w:rFonts w:eastAsia="標楷體"/>
          <w:sz w:val="26"/>
          <w:szCs w:val="26"/>
        </w:rPr>
        <w:t>。</w:t>
      </w:r>
    </w:p>
    <w:p w:rsidR="0032590C" w:rsidRDefault="00567251" w:rsidP="00965AF0">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二、</w:t>
      </w:r>
      <w:r w:rsidR="00F76373" w:rsidRPr="00EA272E">
        <w:rPr>
          <w:rFonts w:ascii="Times New Roman" w:eastAsia="標楷體" w:hAnsi="Times New Roman" w:hint="eastAsia"/>
          <w:sz w:val="32"/>
          <w:szCs w:val="32"/>
        </w:rPr>
        <w:t>執行之</w:t>
      </w:r>
      <w:r w:rsidRPr="00EA272E">
        <w:rPr>
          <w:rFonts w:ascii="Times New Roman" w:eastAsia="標楷體" w:hAnsi="Times New Roman"/>
          <w:sz w:val="32"/>
          <w:szCs w:val="32"/>
        </w:rPr>
        <w:t>功能</w:t>
      </w:r>
    </w:p>
    <w:p w:rsidR="0032590C" w:rsidRDefault="0056725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2</w:t>
      </w:r>
      <w:r w:rsidRPr="00EA272E">
        <w:rPr>
          <w:rFonts w:eastAsia="標楷體"/>
          <w:sz w:val="26"/>
          <w:szCs w:val="26"/>
        </w:rPr>
        <w:t>款將營利事業執行之功能分為七</w:t>
      </w:r>
      <w:r w:rsidRPr="003146FF">
        <w:rPr>
          <w:rFonts w:eastAsia="標楷體"/>
          <w:sz w:val="26"/>
          <w:szCs w:val="26"/>
        </w:rPr>
        <w:t>類。本報告第肆章已依</w:t>
      </w:r>
      <w:r w:rsidR="00F62C0B" w:rsidRPr="003146FF">
        <w:rPr>
          <w:rFonts w:eastAsia="標楷體" w:hint="eastAsia"/>
          <w:sz w:val="26"/>
          <w:szCs w:val="26"/>
        </w:rPr>
        <w:t>移轉訂價</w:t>
      </w:r>
      <w:r w:rsidRPr="003146FF">
        <w:rPr>
          <w:rFonts w:eastAsia="標楷體"/>
          <w:sz w:val="26"/>
          <w:szCs w:val="26"/>
        </w:rPr>
        <w:t>查核準則規定，對</w:t>
      </w:r>
      <w:r w:rsidR="00BA7C8C" w:rsidRPr="003146FF">
        <w:rPr>
          <w:rFonts w:eastAsia="標楷體" w:hint="eastAsia"/>
          <w:sz w:val="26"/>
          <w:szCs w:val="26"/>
        </w:rPr>
        <w:t>太克科技</w:t>
      </w:r>
      <w:r w:rsidRPr="003146FF">
        <w:rPr>
          <w:rFonts w:eastAsia="標楷體"/>
          <w:sz w:val="26"/>
          <w:szCs w:val="26"/>
        </w:rPr>
        <w:t>及與其受控交易</w:t>
      </w:r>
      <w:r w:rsidRPr="00EA272E">
        <w:rPr>
          <w:rFonts w:eastAsia="標楷體"/>
          <w:sz w:val="26"/>
          <w:szCs w:val="26"/>
        </w:rPr>
        <w:t>參與人執行之功能進行分析。</w:t>
      </w:r>
    </w:p>
    <w:p w:rsidR="0032590C" w:rsidRDefault="00567251" w:rsidP="00965AF0">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三、契約條款</w:t>
      </w:r>
    </w:p>
    <w:p w:rsidR="00607ABA" w:rsidRDefault="00607ABA" w:rsidP="00FC1E0C">
      <w:pPr>
        <w:spacing w:before="50" w:after="50" w:line="360" w:lineRule="auto"/>
        <w:ind w:firstLineChars="200" w:firstLine="520"/>
        <w:jc w:val="both"/>
        <w:rPr>
          <w:rFonts w:eastAsia="標楷體"/>
          <w:sz w:val="26"/>
          <w:szCs w:val="26"/>
        </w:rPr>
      </w:pPr>
      <w:r w:rsidRPr="0043456B">
        <w:rPr>
          <w:rFonts w:eastAsia="標楷體" w:hint="eastAsia"/>
          <w:sz w:val="26"/>
          <w:szCs w:val="26"/>
        </w:rPr>
        <w:t>契約條款包括：報酬之收付方式、交易數量、售後保證之範圍及條件、契約修訂之權利、交貨條件、授信及付款條件等。在常規交易之情形下，契約條款對企業間責任、風險及利益之劃分有明確規範。</w:t>
      </w:r>
    </w:p>
    <w:p w:rsidR="00567251" w:rsidRPr="00253755" w:rsidRDefault="00BA7C8C" w:rsidP="00FC1E0C">
      <w:pPr>
        <w:spacing w:before="50" w:after="50" w:line="360" w:lineRule="auto"/>
        <w:ind w:firstLineChars="200" w:firstLine="520"/>
        <w:jc w:val="both"/>
        <w:rPr>
          <w:rFonts w:eastAsia="標楷體"/>
          <w:sz w:val="26"/>
          <w:szCs w:val="26"/>
        </w:rPr>
      </w:pPr>
      <w:r w:rsidRPr="00253755">
        <w:rPr>
          <w:rFonts w:eastAsia="標楷體" w:hint="eastAsia"/>
          <w:sz w:val="26"/>
          <w:szCs w:val="26"/>
        </w:rPr>
        <w:t>太克科技</w:t>
      </w:r>
      <w:r w:rsidR="00607ABA" w:rsidRPr="00253755">
        <w:rPr>
          <w:rFonts w:eastAsia="標楷體" w:hint="eastAsia"/>
          <w:sz w:val="26"/>
          <w:szCs w:val="26"/>
        </w:rPr>
        <w:t>與關係企業所簽訂之契約條款</w:t>
      </w:r>
      <w:r w:rsidR="00F21DD9" w:rsidRPr="00253755">
        <w:rPr>
          <w:rFonts w:eastAsia="標楷體"/>
          <w:sz w:val="26"/>
          <w:szCs w:val="26"/>
        </w:rPr>
        <w:t>詳述於</w:t>
      </w:r>
      <w:r w:rsidR="00567251" w:rsidRPr="00253755">
        <w:rPr>
          <w:rFonts w:eastAsia="標楷體"/>
          <w:sz w:val="26"/>
          <w:szCs w:val="26"/>
        </w:rPr>
        <w:t>本報告第參章。</w:t>
      </w:r>
    </w:p>
    <w:p w:rsidR="00567251" w:rsidRPr="00EA272E" w:rsidRDefault="00567251" w:rsidP="00DD0452">
      <w:pPr>
        <w:pStyle w:val="2"/>
        <w:numPr>
          <w:ilvl w:val="0"/>
          <w:numId w:val="0"/>
        </w:numPr>
        <w:spacing w:before="100" w:beforeAutospacing="1" w:after="100" w:afterAutospacing="1" w:line="360" w:lineRule="auto"/>
        <w:rPr>
          <w:rFonts w:ascii="Times New Roman" w:eastAsia="標楷體" w:hAnsi="Times New Roman"/>
          <w:sz w:val="32"/>
          <w:szCs w:val="32"/>
        </w:rPr>
      </w:pPr>
      <w:r w:rsidRPr="00EA272E">
        <w:rPr>
          <w:rFonts w:ascii="Times New Roman" w:eastAsia="標楷體" w:hAnsi="Times New Roman"/>
          <w:sz w:val="32"/>
          <w:szCs w:val="32"/>
        </w:rPr>
        <w:t>四、承擔</w:t>
      </w:r>
      <w:r w:rsidR="00F76373" w:rsidRPr="00EA272E">
        <w:rPr>
          <w:rFonts w:ascii="Times New Roman" w:eastAsia="標楷體" w:hAnsi="Times New Roman" w:hint="eastAsia"/>
          <w:sz w:val="32"/>
          <w:szCs w:val="32"/>
        </w:rPr>
        <w:t>之</w:t>
      </w:r>
      <w:r w:rsidRPr="00EA272E">
        <w:rPr>
          <w:rFonts w:ascii="Times New Roman" w:eastAsia="標楷體" w:hAnsi="Times New Roman"/>
          <w:sz w:val="32"/>
          <w:szCs w:val="32"/>
        </w:rPr>
        <w:t>風險</w:t>
      </w:r>
    </w:p>
    <w:p w:rsidR="00567251" w:rsidRPr="00EA272E" w:rsidRDefault="0056725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8</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4</w:t>
      </w:r>
      <w:r w:rsidRPr="00EA272E">
        <w:rPr>
          <w:rFonts w:eastAsia="標楷體"/>
          <w:sz w:val="26"/>
          <w:szCs w:val="26"/>
        </w:rPr>
        <w:t>款將營利事業承擔之風險分為五</w:t>
      </w:r>
      <w:r w:rsidRPr="00253755">
        <w:rPr>
          <w:rFonts w:eastAsia="標楷體"/>
          <w:sz w:val="26"/>
          <w:szCs w:val="26"/>
        </w:rPr>
        <w:t>類。</w:t>
      </w:r>
      <w:r w:rsidRPr="00253755">
        <w:rPr>
          <w:rFonts w:eastAsia="標楷體"/>
          <w:sz w:val="26"/>
          <w:szCs w:val="26"/>
        </w:rPr>
        <w:lastRenderedPageBreak/>
        <w:t>本報告第肆章已依</w:t>
      </w:r>
      <w:r w:rsidR="00242F73" w:rsidRPr="00253755">
        <w:rPr>
          <w:rFonts w:eastAsia="標楷體" w:hint="eastAsia"/>
          <w:sz w:val="26"/>
          <w:szCs w:val="26"/>
        </w:rPr>
        <w:t>移轉訂價</w:t>
      </w:r>
      <w:r w:rsidRPr="00253755">
        <w:rPr>
          <w:rFonts w:eastAsia="標楷體"/>
          <w:sz w:val="26"/>
          <w:szCs w:val="26"/>
        </w:rPr>
        <w:t>查核準則規定，對</w:t>
      </w:r>
      <w:r w:rsidR="00BA7C8C" w:rsidRPr="00253755">
        <w:rPr>
          <w:rFonts w:eastAsia="標楷體" w:hint="eastAsia"/>
          <w:sz w:val="26"/>
          <w:szCs w:val="26"/>
        </w:rPr>
        <w:t>太克科技</w:t>
      </w:r>
      <w:r w:rsidRPr="00253755">
        <w:rPr>
          <w:rFonts w:eastAsia="標楷體"/>
          <w:sz w:val="26"/>
          <w:szCs w:val="26"/>
        </w:rPr>
        <w:t>與其受控交易參</w:t>
      </w:r>
      <w:r w:rsidRPr="00EA272E">
        <w:rPr>
          <w:rFonts w:eastAsia="標楷體"/>
          <w:sz w:val="26"/>
          <w:szCs w:val="26"/>
        </w:rPr>
        <w:t>與人承擔之風險進行分析。</w:t>
      </w:r>
    </w:p>
    <w:p w:rsidR="00567251" w:rsidRPr="00EA272E" w:rsidRDefault="00567251" w:rsidP="00965AF0">
      <w:pPr>
        <w:pStyle w:val="2"/>
        <w:keepNext w:val="0"/>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五、經濟及市場情況</w:t>
      </w:r>
    </w:p>
    <w:p w:rsidR="0032590C" w:rsidRDefault="00E50319" w:rsidP="00965AF0">
      <w:pPr>
        <w:spacing w:beforeLines="50" w:before="120" w:afterLines="50" w:after="120" w:line="360" w:lineRule="auto"/>
        <w:ind w:firstLineChars="200" w:firstLine="520"/>
        <w:jc w:val="both"/>
        <w:rPr>
          <w:rFonts w:eastAsia="標楷體"/>
          <w:sz w:val="26"/>
          <w:szCs w:val="26"/>
        </w:rPr>
      </w:pPr>
      <w:r w:rsidRPr="0043456B">
        <w:rPr>
          <w:rFonts w:eastAsia="標楷體" w:hint="eastAsia"/>
          <w:sz w:val="26"/>
          <w:szCs w:val="26"/>
        </w:rPr>
        <w:t>相同之資產或服務常因其面臨之市場或經濟環境不同，產生不同常規交易價格。因此在判斷可比較程度時，應考量受控交易及未受控交易面臨之經濟及市場情況是否相似，兩者所處市場若有差異，其差異應微小至對價格未產生實質影響，或雖有影響，可經適當之調整以消除該差異。</w:t>
      </w:r>
    </w:p>
    <w:p w:rsidR="0032590C" w:rsidRDefault="00EB2F16" w:rsidP="00965AF0">
      <w:pPr>
        <w:spacing w:beforeLines="50" w:before="120" w:afterLines="50" w:after="120" w:line="360" w:lineRule="auto"/>
        <w:ind w:firstLineChars="200" w:firstLine="520"/>
        <w:jc w:val="both"/>
        <w:rPr>
          <w:rFonts w:eastAsia="標楷體"/>
          <w:sz w:val="26"/>
          <w:szCs w:val="26"/>
        </w:rPr>
      </w:pPr>
      <w:r w:rsidRPr="00340F76">
        <w:rPr>
          <w:rFonts w:eastAsia="標楷體" w:hint="eastAsia"/>
          <w:sz w:val="26"/>
          <w:szCs w:val="26"/>
        </w:rPr>
        <w:t>太克科技</w:t>
      </w:r>
      <w:r w:rsidR="00E50319" w:rsidRPr="00000FD5">
        <w:rPr>
          <w:rFonts w:eastAsia="標楷體" w:hint="eastAsia"/>
          <w:sz w:val="26"/>
          <w:szCs w:val="26"/>
        </w:rPr>
        <w:t>所處產業經濟及市場情況已詳述於本報告第貳章。</w:t>
      </w:r>
      <w:r w:rsidR="00E50319" w:rsidRPr="0043456B">
        <w:rPr>
          <w:rFonts w:eastAsia="標楷體" w:hint="eastAsia"/>
          <w:sz w:val="26"/>
          <w:szCs w:val="26"/>
        </w:rPr>
        <w:t>本所找尋</w:t>
      </w:r>
      <w:r w:rsidRPr="00340F76">
        <w:rPr>
          <w:rFonts w:eastAsia="標楷體" w:hint="eastAsia"/>
          <w:sz w:val="26"/>
          <w:szCs w:val="26"/>
        </w:rPr>
        <w:t>太克科技</w:t>
      </w:r>
      <w:r w:rsidR="00E50319" w:rsidRPr="0043456B">
        <w:rPr>
          <w:rFonts w:eastAsia="標楷體" w:hint="eastAsia"/>
          <w:sz w:val="26"/>
          <w:szCs w:val="26"/>
        </w:rPr>
        <w:t>可比較對象時，盡可能選取與其位於相同地理位置區塊、市場大小、市場競爭程度相似者作為可比較對象。</w:t>
      </w:r>
    </w:p>
    <w:p w:rsidR="0032590C" w:rsidRDefault="00567251" w:rsidP="00965AF0">
      <w:pPr>
        <w:pStyle w:val="2"/>
        <w:numPr>
          <w:ilvl w:val="0"/>
          <w:numId w:val="0"/>
        </w:numPr>
        <w:spacing w:beforeLines="150" w:before="360" w:afterLines="50" w:after="120" w:line="360" w:lineRule="auto"/>
        <w:rPr>
          <w:rFonts w:ascii="Times New Roman" w:eastAsia="標楷體" w:hAnsi="Times New Roman"/>
          <w:sz w:val="32"/>
          <w:szCs w:val="32"/>
        </w:rPr>
      </w:pPr>
      <w:r w:rsidRPr="00EA272E">
        <w:rPr>
          <w:rFonts w:ascii="Times New Roman" w:eastAsia="標楷體" w:hAnsi="Times New Roman"/>
          <w:sz w:val="32"/>
          <w:szCs w:val="32"/>
        </w:rPr>
        <w:t>六、商業策略</w:t>
      </w:r>
    </w:p>
    <w:p w:rsidR="0032590C" w:rsidRDefault="0056725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商業策略亦可影響企業之移轉訂價政策</w:t>
      </w:r>
      <w:r w:rsidR="003165B8" w:rsidRPr="00EA272E">
        <w:rPr>
          <w:rFonts w:eastAsia="標楷體" w:hint="eastAsia"/>
          <w:sz w:val="26"/>
          <w:szCs w:val="26"/>
        </w:rPr>
        <w:t>，其包括</w:t>
      </w:r>
      <w:r w:rsidR="003165B8" w:rsidRPr="00EA272E">
        <w:rPr>
          <w:rFonts w:eastAsia="標楷體"/>
          <w:sz w:val="26"/>
          <w:szCs w:val="26"/>
        </w:rPr>
        <w:t>1</w:t>
      </w:r>
      <w:r w:rsidR="005F6F74" w:rsidRPr="00EA272E">
        <w:rPr>
          <w:rFonts w:eastAsia="標楷體" w:hint="eastAsia"/>
          <w:sz w:val="26"/>
          <w:szCs w:val="26"/>
        </w:rPr>
        <w:t>）</w:t>
      </w:r>
      <w:r w:rsidR="003165B8" w:rsidRPr="00EA272E">
        <w:rPr>
          <w:rFonts w:eastAsia="標楷體" w:hint="eastAsia"/>
          <w:sz w:val="26"/>
          <w:szCs w:val="26"/>
        </w:rPr>
        <w:t>創新及產品開發策略、</w:t>
      </w:r>
      <w:r w:rsidR="003165B8" w:rsidRPr="00EA272E">
        <w:rPr>
          <w:rFonts w:eastAsia="標楷體" w:hint="eastAsia"/>
          <w:sz w:val="26"/>
          <w:szCs w:val="26"/>
        </w:rPr>
        <w:t>2</w:t>
      </w:r>
      <w:r w:rsidR="005F6F74" w:rsidRPr="00EA272E">
        <w:rPr>
          <w:rFonts w:eastAsia="標楷體" w:hint="eastAsia"/>
          <w:sz w:val="26"/>
          <w:szCs w:val="26"/>
        </w:rPr>
        <w:t>）</w:t>
      </w:r>
      <w:r w:rsidR="003165B8" w:rsidRPr="00EA272E">
        <w:rPr>
          <w:rFonts w:eastAsia="標楷體" w:hint="eastAsia"/>
          <w:sz w:val="26"/>
          <w:szCs w:val="26"/>
        </w:rPr>
        <w:t>避險策略與</w:t>
      </w:r>
      <w:r w:rsidR="003165B8" w:rsidRPr="00EA272E">
        <w:rPr>
          <w:rFonts w:eastAsia="標楷體" w:hint="eastAsia"/>
          <w:sz w:val="26"/>
          <w:szCs w:val="26"/>
        </w:rPr>
        <w:t>3</w:t>
      </w:r>
      <w:r w:rsidR="005F6F74" w:rsidRPr="00EA272E">
        <w:rPr>
          <w:rFonts w:eastAsia="標楷體" w:hint="eastAsia"/>
          <w:sz w:val="26"/>
          <w:szCs w:val="26"/>
        </w:rPr>
        <w:t>）</w:t>
      </w:r>
      <w:r w:rsidR="003165B8" w:rsidRPr="00EA272E">
        <w:rPr>
          <w:rFonts w:eastAsia="標楷體" w:hint="eastAsia"/>
          <w:sz w:val="26"/>
          <w:szCs w:val="26"/>
        </w:rPr>
        <w:t>市場占有率策略等。</w:t>
      </w:r>
      <w:r w:rsidRPr="00EA272E">
        <w:rPr>
          <w:rFonts w:eastAsia="標楷體"/>
          <w:sz w:val="26"/>
          <w:szCs w:val="26"/>
        </w:rPr>
        <w:t>例如</w:t>
      </w:r>
      <w:r w:rsidR="003165B8" w:rsidRPr="00EA272E">
        <w:rPr>
          <w:rFonts w:eastAsia="標楷體" w:hint="eastAsia"/>
          <w:sz w:val="26"/>
          <w:szCs w:val="26"/>
        </w:rPr>
        <w:t>其中</w:t>
      </w:r>
      <w:r w:rsidRPr="00EA272E">
        <w:rPr>
          <w:rFonts w:eastAsia="標楷體"/>
          <w:sz w:val="26"/>
          <w:szCs w:val="26"/>
        </w:rPr>
        <w:t>企業為搶奪市場佔有率，而採用『市場滲透計畫』，短期內以低於類似產品售價之價格銷售產品，此時其售價會落於常規交易結果之外</w:t>
      </w:r>
      <w:r w:rsidR="003165B8" w:rsidRPr="00EA272E">
        <w:rPr>
          <w:rFonts w:eastAsia="標楷體" w:hint="eastAsia"/>
          <w:sz w:val="26"/>
          <w:szCs w:val="26"/>
        </w:rPr>
        <w:t>，故</w:t>
      </w:r>
      <w:r w:rsidRPr="00EA272E">
        <w:rPr>
          <w:rFonts w:eastAsia="標楷體"/>
          <w:sz w:val="26"/>
          <w:szCs w:val="26"/>
        </w:rPr>
        <w:t>此交易結果則須</w:t>
      </w:r>
      <w:r w:rsidR="00854B2D" w:rsidRPr="00EA272E">
        <w:rPr>
          <w:rFonts w:eastAsia="標楷體" w:hint="eastAsia"/>
          <w:sz w:val="26"/>
          <w:szCs w:val="26"/>
        </w:rPr>
        <w:t>消除</w:t>
      </w:r>
      <w:r w:rsidR="003165B8" w:rsidRPr="00EA272E">
        <w:rPr>
          <w:rFonts w:eastAsia="標楷體" w:hint="eastAsia"/>
          <w:sz w:val="26"/>
          <w:szCs w:val="26"/>
        </w:rPr>
        <w:t>商業策略之</w:t>
      </w:r>
      <w:r w:rsidR="00854B2D" w:rsidRPr="00EA272E">
        <w:rPr>
          <w:rFonts w:eastAsia="標楷體" w:hint="eastAsia"/>
          <w:sz w:val="26"/>
          <w:szCs w:val="26"/>
        </w:rPr>
        <w:t>差異</w:t>
      </w:r>
      <w:r w:rsidR="003165B8" w:rsidRPr="00EA272E">
        <w:rPr>
          <w:rFonts w:eastAsia="標楷體" w:hint="eastAsia"/>
          <w:sz w:val="26"/>
          <w:szCs w:val="26"/>
        </w:rPr>
        <w:t>後才行比較</w:t>
      </w:r>
      <w:r w:rsidRPr="00EA272E">
        <w:rPr>
          <w:rFonts w:eastAsia="標楷體"/>
          <w:sz w:val="26"/>
          <w:szCs w:val="26"/>
        </w:rPr>
        <w:t>。</w:t>
      </w:r>
    </w:p>
    <w:p w:rsidR="00376527" w:rsidRPr="00253755" w:rsidRDefault="00BA7C8C" w:rsidP="00FC1E0C">
      <w:pPr>
        <w:snapToGrid w:val="0"/>
        <w:spacing w:before="50" w:after="50" w:line="360" w:lineRule="auto"/>
        <w:ind w:firstLineChars="200" w:firstLine="520"/>
        <w:jc w:val="both"/>
        <w:rPr>
          <w:rFonts w:eastAsia="標楷體"/>
          <w:sz w:val="26"/>
          <w:szCs w:val="26"/>
        </w:rPr>
      </w:pPr>
      <w:r w:rsidRPr="00253755">
        <w:rPr>
          <w:rFonts w:eastAsia="標楷體" w:hint="eastAsia"/>
          <w:sz w:val="26"/>
          <w:szCs w:val="26"/>
        </w:rPr>
        <w:t>太克科技</w:t>
      </w:r>
      <w:r w:rsidR="00376527" w:rsidRPr="00253755">
        <w:rPr>
          <w:rFonts w:eastAsia="標楷體"/>
          <w:sz w:val="26"/>
          <w:szCs w:val="26"/>
        </w:rPr>
        <w:t>並未採取特別之商業策略，故不受此項因素影響。</w:t>
      </w:r>
    </w:p>
    <w:p w:rsidR="0044220E" w:rsidRPr="00EA272E" w:rsidRDefault="0044220E" w:rsidP="00965AF0">
      <w:pPr>
        <w:pStyle w:val="2"/>
        <w:numPr>
          <w:ilvl w:val="0"/>
          <w:numId w:val="0"/>
        </w:numPr>
        <w:spacing w:beforeLines="150" w:before="360" w:afterLines="50" w:after="120" w:line="360" w:lineRule="auto"/>
        <w:rPr>
          <w:rFonts w:ascii="Times New Roman" w:eastAsia="標楷體" w:hAnsi="Times New Roman"/>
          <w:sz w:val="32"/>
          <w:szCs w:val="32"/>
        </w:rPr>
      </w:pPr>
      <w:bookmarkStart w:id="69" w:name="_Toc157536047"/>
      <w:bookmarkStart w:id="70" w:name="_Toc160252620"/>
      <w:bookmarkStart w:id="71" w:name="_Toc168286668"/>
      <w:bookmarkStart w:id="72" w:name="_Toc185159952"/>
      <w:r w:rsidRPr="00EA272E">
        <w:rPr>
          <w:rFonts w:ascii="Times New Roman" w:eastAsia="標楷體" w:hAnsi="Times New Roman" w:hint="eastAsia"/>
          <w:sz w:val="32"/>
          <w:szCs w:val="32"/>
        </w:rPr>
        <w:t>七</w:t>
      </w:r>
      <w:r w:rsidRPr="00EA272E">
        <w:rPr>
          <w:rFonts w:ascii="Times New Roman" w:eastAsia="標楷體" w:hAnsi="Times New Roman"/>
          <w:sz w:val="32"/>
          <w:szCs w:val="32"/>
        </w:rPr>
        <w:t>、其他影響可比較程度之因素</w:t>
      </w:r>
      <w:bookmarkEnd w:id="69"/>
      <w:bookmarkEnd w:id="70"/>
      <w:bookmarkEnd w:id="71"/>
      <w:bookmarkEnd w:id="72"/>
    </w:p>
    <w:p w:rsidR="00567251" w:rsidRDefault="00FE4D2E" w:rsidP="007C747C">
      <w:pPr>
        <w:snapToGrid w:val="0"/>
        <w:spacing w:before="120" w:after="120" w:line="360" w:lineRule="auto"/>
        <w:ind w:firstLineChars="200" w:firstLine="520"/>
        <w:jc w:val="both"/>
        <w:rPr>
          <w:rFonts w:eastAsia="標楷體"/>
          <w:color w:val="000000"/>
          <w:sz w:val="26"/>
          <w:szCs w:val="26"/>
        </w:rPr>
      </w:pPr>
      <w:r w:rsidRPr="00253755">
        <w:rPr>
          <w:rFonts w:eastAsia="標楷體" w:hint="eastAsia"/>
          <w:sz w:val="26"/>
          <w:szCs w:val="26"/>
        </w:rPr>
        <w:t>經分析</w:t>
      </w:r>
      <w:r w:rsidR="00BA7C8C" w:rsidRPr="00253755">
        <w:rPr>
          <w:rFonts w:eastAsia="標楷體" w:hint="eastAsia"/>
          <w:sz w:val="26"/>
          <w:szCs w:val="26"/>
        </w:rPr>
        <w:t>太克科技</w:t>
      </w:r>
      <w:r w:rsidRPr="00253755">
        <w:rPr>
          <w:rFonts w:eastAsia="標楷體" w:hint="eastAsia"/>
          <w:sz w:val="26"/>
          <w:szCs w:val="26"/>
        </w:rPr>
        <w:t>之受控交易，</w:t>
      </w:r>
      <w:r w:rsidR="00A3127C" w:rsidRPr="00253755">
        <w:rPr>
          <w:rFonts w:eastAsia="標楷體"/>
          <w:sz w:val="26"/>
          <w:szCs w:val="26"/>
        </w:rPr>
        <w:t>並</w:t>
      </w:r>
      <w:r w:rsidRPr="00253755">
        <w:rPr>
          <w:rFonts w:eastAsia="標楷體" w:hint="eastAsia"/>
          <w:sz w:val="26"/>
          <w:szCs w:val="26"/>
        </w:rPr>
        <w:t>無發現有其他</w:t>
      </w:r>
      <w:r w:rsidR="0044220E" w:rsidRPr="00253755">
        <w:rPr>
          <w:rFonts w:eastAsia="標楷體"/>
          <w:sz w:val="26"/>
          <w:szCs w:val="26"/>
        </w:rPr>
        <w:t>特殊且會影響訂價策略或</w:t>
      </w:r>
      <w:r w:rsidR="0044220E" w:rsidRPr="00EA272E">
        <w:rPr>
          <w:rFonts w:eastAsia="標楷體"/>
          <w:color w:val="000000"/>
          <w:sz w:val="26"/>
          <w:szCs w:val="26"/>
        </w:rPr>
        <w:t>利潤之因素</w:t>
      </w:r>
      <w:r>
        <w:rPr>
          <w:rFonts w:eastAsia="標楷體" w:hint="eastAsia"/>
          <w:color w:val="000000"/>
          <w:sz w:val="26"/>
          <w:szCs w:val="26"/>
        </w:rPr>
        <w:t>存在</w:t>
      </w:r>
      <w:r w:rsidR="0044220E" w:rsidRPr="00EA272E">
        <w:rPr>
          <w:rFonts w:eastAsia="標楷體"/>
          <w:color w:val="000000"/>
          <w:sz w:val="26"/>
          <w:szCs w:val="26"/>
        </w:rPr>
        <w:t>。</w:t>
      </w:r>
    </w:p>
    <w:p w:rsidR="00B43040" w:rsidRDefault="00B43040" w:rsidP="003B5535">
      <w:pPr>
        <w:snapToGrid w:val="0"/>
        <w:spacing w:before="120" w:after="120" w:line="360" w:lineRule="auto"/>
        <w:jc w:val="both"/>
        <w:rPr>
          <w:rFonts w:eastAsia="標楷體"/>
          <w:color w:val="000000"/>
          <w:sz w:val="26"/>
          <w:szCs w:val="26"/>
        </w:rPr>
      </w:pPr>
      <w:r>
        <w:rPr>
          <w:rFonts w:eastAsia="標楷體"/>
          <w:color w:val="000000"/>
          <w:sz w:val="26"/>
          <w:szCs w:val="26"/>
        </w:rPr>
        <w:br w:type="page"/>
      </w:r>
    </w:p>
    <w:p w:rsidR="003B5535" w:rsidRPr="00EA272E" w:rsidRDefault="003B5535" w:rsidP="003B5535">
      <w:pPr>
        <w:snapToGrid w:val="0"/>
        <w:spacing w:before="120" w:after="120" w:line="360" w:lineRule="auto"/>
        <w:jc w:val="both"/>
        <w:rPr>
          <w:rFonts w:eastAsia="標楷體"/>
          <w:sz w:val="26"/>
          <w:szCs w:val="26"/>
        </w:rPr>
        <w:sectPr w:rsidR="003B5535" w:rsidRPr="00EA272E" w:rsidSect="00DD5AB2">
          <w:type w:val="oddPage"/>
          <w:pgSz w:w="11906" w:h="16838" w:code="9"/>
          <w:pgMar w:top="2160" w:right="1440" w:bottom="1814" w:left="1440" w:header="851" w:footer="567" w:gutter="567"/>
          <w:cols w:space="425"/>
          <w:docGrid w:linePitch="360"/>
        </w:sectPr>
      </w:pPr>
      <w:r>
        <w:rPr>
          <w:rFonts w:eastAsia="標楷體"/>
          <w:color w:val="000000"/>
          <w:sz w:val="26"/>
          <w:szCs w:val="26"/>
        </w:rPr>
        <w:lastRenderedPageBreak/>
        <w:br w:type="page"/>
      </w:r>
    </w:p>
    <w:bookmarkStart w:id="73" w:name="_Toc253154517"/>
    <w:bookmarkStart w:id="74" w:name="_Toc253154585"/>
    <w:bookmarkStart w:id="75" w:name="_Toc272326016"/>
    <w:bookmarkStart w:id="76" w:name="_Toc272326644"/>
    <w:bookmarkStart w:id="77" w:name="_Toc272326823"/>
    <w:bookmarkStart w:id="78" w:name="_Toc275960656"/>
    <w:bookmarkStart w:id="79" w:name="_Toc389223546"/>
    <w:p w:rsidR="00AF5158" w:rsidRPr="00EA272E" w:rsidRDefault="00965AF0" w:rsidP="00AF5158">
      <w:pPr>
        <w:pStyle w:val="1"/>
        <w:numPr>
          <w:ilvl w:val="0"/>
          <w:numId w:val="0"/>
        </w:numPr>
        <w:spacing w:before="0" w:after="0" w:line="240" w:lineRule="auto"/>
        <w:jc w:val="right"/>
        <w:rPr>
          <w:rFonts w:ascii="Times New Roman" w:eastAsia="標楷體" w:hAnsi="Times New Roman"/>
          <w:noProof/>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7728" behindDoc="0" locked="0" layoutInCell="1" allowOverlap="1">
                <wp:simplePos x="0" y="0"/>
                <wp:positionH relativeFrom="column">
                  <wp:posOffset>4660265</wp:posOffset>
                </wp:positionH>
                <wp:positionV relativeFrom="paragraph">
                  <wp:posOffset>0</wp:posOffset>
                </wp:positionV>
                <wp:extent cx="720090" cy="720090"/>
                <wp:effectExtent l="12065" t="9525" r="10795" b="13335"/>
                <wp:wrapNone/>
                <wp:docPr id="1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4864D6" w:rsidRPr="008C6F22" w:rsidRDefault="004864D6"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129" type="#_x0000_t202" style="position:absolute;left:0;text-align:left;margin-left:366.95pt;margin-top:0;width:56.7pt;height:5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">
                <v:textbox>
                  <w:txbxContent>
                    <w:p w:rsidR="004864D6" w:rsidRPr="008C6F22" w:rsidRDefault="004864D6" w:rsidP="008C6F22">
                      <w:pPr>
                        <w:jc w:val="center"/>
                        <w:rPr>
                          <w:rFonts w:ascii="微軟正黑體" w:eastAsia="微軟正黑體" w:hAnsi="微軟正黑體"/>
                          <w:sz w:val="28"/>
                        </w:rPr>
                      </w:pPr>
                      <w:r w:rsidRPr="008C6F22">
                        <w:rPr>
                          <w:rFonts w:ascii="微軟正黑體" w:eastAsia="微軟正黑體" w:hAnsi="微軟正黑體" w:hint="eastAsia"/>
                          <w:b/>
                          <w:sz w:val="56"/>
                          <w:szCs w:val="52"/>
                        </w:rPr>
                        <w:t>Ⅶ</w:t>
                      </w:r>
                    </w:p>
                  </w:txbxContent>
                </v:textbox>
              </v:shape>
            </w:pict>
          </mc:Fallback>
        </mc:AlternateContent>
      </w:r>
      <w:bookmarkEnd w:id="73"/>
      <w:bookmarkEnd w:id="74"/>
      <w:bookmarkEnd w:id="75"/>
      <w:bookmarkEnd w:id="76"/>
      <w:bookmarkEnd w:id="77"/>
      <w:bookmarkEnd w:id="78"/>
      <w:bookmarkEnd w:id="79"/>
    </w:p>
    <w:p w:rsidR="00AF5158" w:rsidRPr="00EA272E" w:rsidRDefault="00AF5158" w:rsidP="008C6F22">
      <w:pPr>
        <w:pStyle w:val="1"/>
        <w:numPr>
          <w:ilvl w:val="0"/>
          <w:numId w:val="0"/>
        </w:numPr>
        <w:spacing w:before="0" w:after="0" w:line="240" w:lineRule="auto"/>
        <w:jc w:val="right"/>
        <w:rPr>
          <w:rFonts w:ascii="Times New Roman" w:eastAsia="標楷體" w:hAnsi="Times New Roman"/>
          <w:noProof/>
          <w:sz w:val="48"/>
          <w:szCs w:val="48"/>
        </w:rPr>
      </w:pPr>
    </w:p>
    <w:p w:rsidR="00567251" w:rsidRPr="00EA272E" w:rsidRDefault="00567251" w:rsidP="00AF5158">
      <w:pPr>
        <w:pStyle w:val="1"/>
        <w:spacing w:before="100" w:beforeAutospacing="1" w:after="100" w:afterAutospacing="1" w:line="360" w:lineRule="auto"/>
        <w:ind w:left="0" w:firstLine="0"/>
        <w:jc w:val="right"/>
        <w:rPr>
          <w:rFonts w:ascii="Times New Roman" w:eastAsia="標楷體" w:hAnsi="Times New Roman"/>
          <w:sz w:val="56"/>
          <w:szCs w:val="56"/>
        </w:rPr>
      </w:pPr>
      <w:bookmarkStart w:id="80" w:name="_Toc389223547"/>
      <w:r w:rsidRPr="00EA272E">
        <w:rPr>
          <w:rFonts w:ascii="Times New Roman" w:eastAsia="標楷體" w:hAnsi="Times New Roman"/>
          <w:sz w:val="56"/>
          <w:szCs w:val="56"/>
        </w:rPr>
        <w:t>最適常規交易方法</w:t>
      </w:r>
      <w:r w:rsidR="00357C54" w:rsidRPr="00EA272E">
        <w:rPr>
          <w:rFonts w:ascii="Times New Roman" w:eastAsia="標楷體" w:hAnsi="Times New Roman" w:hint="eastAsia"/>
          <w:sz w:val="56"/>
          <w:szCs w:val="56"/>
        </w:rPr>
        <w:t>之</w:t>
      </w:r>
      <w:r w:rsidR="009530A9" w:rsidRPr="00EA272E">
        <w:rPr>
          <w:rFonts w:ascii="Times New Roman" w:eastAsia="標楷體" w:hAnsi="Times New Roman" w:hint="eastAsia"/>
          <w:sz w:val="56"/>
          <w:szCs w:val="56"/>
        </w:rPr>
        <w:t>決定</w:t>
      </w:r>
      <w:bookmarkEnd w:id="80"/>
    </w:p>
    <w:p w:rsidR="0032590C" w:rsidRDefault="00162D2B" w:rsidP="00965AF0">
      <w:pPr>
        <w:pStyle w:val="2"/>
        <w:numPr>
          <w:ilvl w:val="1"/>
          <w:numId w:val="3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最適</w:t>
      </w:r>
      <w:r w:rsidR="00911705" w:rsidRPr="00EA272E">
        <w:rPr>
          <w:rFonts w:ascii="Times New Roman" w:eastAsia="標楷體" w:hAnsi="Times New Roman"/>
          <w:sz w:val="36"/>
          <w:szCs w:val="40"/>
        </w:rPr>
        <w:t>常規交易</w:t>
      </w:r>
      <w:r w:rsidR="0071576B" w:rsidRPr="00EA272E">
        <w:rPr>
          <w:rFonts w:ascii="Times New Roman" w:eastAsia="標楷體" w:hAnsi="Times New Roman" w:hint="eastAsia"/>
          <w:sz w:val="36"/>
          <w:szCs w:val="40"/>
        </w:rPr>
        <w:t>方法</w:t>
      </w:r>
      <w:r w:rsidRPr="00EA272E">
        <w:rPr>
          <w:rFonts w:ascii="Times New Roman" w:eastAsia="標楷體" w:hAnsi="Times New Roman" w:hint="eastAsia"/>
          <w:sz w:val="36"/>
          <w:szCs w:val="40"/>
        </w:rPr>
        <w:t>之</w:t>
      </w:r>
      <w:r w:rsidR="0071576B" w:rsidRPr="00EA272E">
        <w:rPr>
          <w:rFonts w:ascii="Times New Roman" w:eastAsia="標楷體" w:hAnsi="Times New Roman" w:hint="eastAsia"/>
          <w:sz w:val="36"/>
          <w:szCs w:val="40"/>
        </w:rPr>
        <w:t>說明</w:t>
      </w:r>
    </w:p>
    <w:p w:rsidR="0032590C" w:rsidRDefault="004D52C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我國財政部於民國</w:t>
      </w:r>
      <w:r w:rsidRPr="00EA272E">
        <w:rPr>
          <w:rFonts w:eastAsia="標楷體"/>
          <w:sz w:val="26"/>
          <w:szCs w:val="26"/>
        </w:rPr>
        <w:t>60</w:t>
      </w:r>
      <w:r w:rsidRPr="00EA272E">
        <w:rPr>
          <w:rFonts w:eastAsia="標楷體"/>
          <w:sz w:val="26"/>
          <w:szCs w:val="26"/>
        </w:rPr>
        <w:t>年參考美國內地稅法第</w:t>
      </w:r>
      <w:r w:rsidRPr="00EA272E">
        <w:rPr>
          <w:rFonts w:eastAsia="標楷體"/>
          <w:sz w:val="26"/>
          <w:szCs w:val="26"/>
        </w:rPr>
        <w:t>482</w:t>
      </w:r>
      <w:r w:rsidRPr="00EA272E">
        <w:rPr>
          <w:rFonts w:eastAsia="標楷體"/>
          <w:sz w:val="26"/>
          <w:szCs w:val="26"/>
        </w:rPr>
        <w:t>條，及</w:t>
      </w:r>
      <w:r w:rsidRPr="00EA272E">
        <w:rPr>
          <w:rFonts w:eastAsia="標楷體"/>
          <w:sz w:val="26"/>
          <w:szCs w:val="26"/>
        </w:rPr>
        <w:t>OECD</w:t>
      </w:r>
      <w:r w:rsidR="00AB3B6F"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則第</w:t>
      </w:r>
      <w:r w:rsidRPr="00EA272E">
        <w:rPr>
          <w:rFonts w:eastAsia="標楷體"/>
          <w:sz w:val="26"/>
          <w:szCs w:val="26"/>
        </w:rPr>
        <w:t>9</w:t>
      </w:r>
      <w:r w:rsidRPr="00EA272E">
        <w:rPr>
          <w:rFonts w:eastAsia="標楷體"/>
          <w:sz w:val="26"/>
          <w:szCs w:val="26"/>
        </w:rPr>
        <w:t>條之規定，修正增訂所得稅法第</w:t>
      </w:r>
      <w:r w:rsidRPr="00EA272E">
        <w:rPr>
          <w:rFonts w:eastAsia="標楷體"/>
          <w:sz w:val="26"/>
          <w:szCs w:val="26"/>
        </w:rPr>
        <w:t>43</w:t>
      </w:r>
      <w:r w:rsidRPr="00EA272E">
        <w:rPr>
          <w:rFonts w:eastAsia="標楷體"/>
          <w:sz w:val="26"/>
          <w:szCs w:val="26"/>
        </w:rPr>
        <w:t>條之</w:t>
      </w:r>
      <w:r w:rsidRPr="00EA272E">
        <w:rPr>
          <w:rFonts w:eastAsia="標楷體"/>
          <w:sz w:val="26"/>
          <w:szCs w:val="26"/>
        </w:rPr>
        <w:t>1</w:t>
      </w:r>
      <w:r w:rsidRPr="00EA272E">
        <w:rPr>
          <w:rFonts w:eastAsia="標楷體"/>
          <w:sz w:val="26"/>
          <w:szCs w:val="26"/>
        </w:rPr>
        <w:t>。為使我國移轉訂價稅制與國際接軌，財政部復於民國</w:t>
      </w:r>
      <w:r w:rsidRPr="00EA272E">
        <w:rPr>
          <w:rFonts w:eastAsia="標楷體"/>
          <w:sz w:val="26"/>
          <w:szCs w:val="26"/>
        </w:rPr>
        <w:t>93</w:t>
      </w:r>
      <w:r w:rsidRPr="00EA272E">
        <w:rPr>
          <w:rFonts w:eastAsia="標楷體"/>
          <w:sz w:val="26"/>
          <w:szCs w:val="26"/>
        </w:rPr>
        <w:t>年參照上述兩者之規定，修正增訂營利事業所得稅查核準則第</w:t>
      </w:r>
      <w:r w:rsidRPr="00EA272E">
        <w:rPr>
          <w:rFonts w:eastAsia="標楷體"/>
          <w:sz w:val="26"/>
          <w:szCs w:val="26"/>
        </w:rPr>
        <w:t>114</w:t>
      </w:r>
      <w:r w:rsidRPr="00EA272E">
        <w:rPr>
          <w:rFonts w:eastAsia="標楷體"/>
          <w:sz w:val="26"/>
          <w:szCs w:val="26"/>
        </w:rPr>
        <w:t>條之</w:t>
      </w:r>
      <w:r w:rsidRPr="00EA272E">
        <w:rPr>
          <w:rFonts w:eastAsia="標楷體"/>
          <w:sz w:val="26"/>
          <w:szCs w:val="26"/>
        </w:rPr>
        <w:t>1</w:t>
      </w:r>
      <w:r w:rsidRPr="00EA272E">
        <w:rPr>
          <w:rFonts w:eastAsia="標楷體"/>
          <w:sz w:val="26"/>
          <w:szCs w:val="26"/>
        </w:rPr>
        <w:t>，制定移轉訂價查核準則之基本架構，並於該年底依據所得稅法第</w:t>
      </w:r>
      <w:r w:rsidRPr="00EA272E">
        <w:rPr>
          <w:rFonts w:eastAsia="標楷體"/>
          <w:sz w:val="26"/>
          <w:szCs w:val="26"/>
        </w:rPr>
        <w:t>80</w:t>
      </w:r>
      <w:r w:rsidRPr="00EA272E">
        <w:rPr>
          <w:rFonts w:eastAsia="標楷體"/>
          <w:sz w:val="26"/>
          <w:szCs w:val="26"/>
        </w:rPr>
        <w:t>條第</w:t>
      </w:r>
      <w:r w:rsidRPr="00EA272E">
        <w:rPr>
          <w:rFonts w:eastAsia="標楷體"/>
          <w:sz w:val="26"/>
          <w:szCs w:val="26"/>
        </w:rPr>
        <w:t>5</w:t>
      </w:r>
      <w:r w:rsidRPr="00EA272E">
        <w:rPr>
          <w:rFonts w:eastAsia="標楷體"/>
          <w:sz w:val="26"/>
          <w:szCs w:val="26"/>
        </w:rPr>
        <w:t>項授權規定，訂定移轉訂價查核準則。</w:t>
      </w:r>
    </w:p>
    <w:p w:rsidR="0032590C" w:rsidRDefault="004D52C1" w:rsidP="00965AF0">
      <w:pPr>
        <w:spacing w:beforeLines="50" w:before="120" w:afterLines="50" w:after="120" w:line="360" w:lineRule="auto"/>
        <w:ind w:firstLineChars="200" w:firstLine="520"/>
        <w:jc w:val="both"/>
        <w:rPr>
          <w:rFonts w:eastAsia="標楷體"/>
          <w:sz w:val="26"/>
          <w:szCs w:val="26"/>
        </w:rPr>
      </w:pPr>
      <w:r w:rsidRPr="00EA272E">
        <w:rPr>
          <w:rFonts w:eastAsia="標楷體"/>
          <w:sz w:val="26"/>
          <w:szCs w:val="26"/>
        </w:rPr>
        <w:t>所謂『常規交易方法』，根據移轉訂價查核準則第</w:t>
      </w:r>
      <w:r w:rsidRPr="00EA272E">
        <w:rPr>
          <w:rFonts w:eastAsia="標楷體"/>
          <w:sz w:val="26"/>
          <w:szCs w:val="26"/>
        </w:rPr>
        <w:t>4</w:t>
      </w:r>
      <w:r w:rsidRPr="00EA272E">
        <w:rPr>
          <w:rFonts w:eastAsia="標楷體"/>
          <w:sz w:val="26"/>
          <w:szCs w:val="26"/>
        </w:rPr>
        <w:t>條第</w:t>
      </w:r>
      <w:r w:rsidRPr="00EA272E">
        <w:rPr>
          <w:rFonts w:eastAsia="標楷體"/>
          <w:sz w:val="26"/>
          <w:szCs w:val="26"/>
        </w:rPr>
        <w:t>1</w:t>
      </w:r>
      <w:r w:rsidRPr="00EA272E">
        <w:rPr>
          <w:rFonts w:eastAsia="標楷體"/>
          <w:sz w:val="26"/>
          <w:szCs w:val="26"/>
        </w:rPr>
        <w:t>項第</w:t>
      </w:r>
      <w:r w:rsidRPr="00EA272E">
        <w:rPr>
          <w:rFonts w:eastAsia="標楷體"/>
          <w:sz w:val="26"/>
          <w:szCs w:val="26"/>
        </w:rPr>
        <w:t>11</w:t>
      </w:r>
      <w:r w:rsidRPr="00EA272E">
        <w:rPr>
          <w:rFonts w:eastAsia="標楷體"/>
          <w:sz w:val="26"/>
          <w:szCs w:val="26"/>
        </w:rPr>
        <w:t>款之規定，係指評估營利事業從事受控交易之結果是否符合營業常規，亦即營利事業訂定之價格或利潤，是否符合營業常規，或決定受控交易常規交易結果之方法。</w:t>
      </w:r>
    </w:p>
    <w:p w:rsidR="0032590C" w:rsidRDefault="004D52C1" w:rsidP="00965AF0">
      <w:pPr>
        <w:spacing w:beforeLines="50" w:before="120" w:afterLines="50" w:after="120" w:line="360" w:lineRule="auto"/>
        <w:ind w:firstLineChars="200" w:firstLine="520"/>
        <w:jc w:val="both"/>
        <w:rPr>
          <w:rFonts w:eastAsia="標楷體"/>
          <w:b/>
          <w:bCs/>
          <w:sz w:val="26"/>
          <w:szCs w:val="26"/>
        </w:rPr>
      </w:pPr>
      <w:r w:rsidRPr="00EA272E">
        <w:rPr>
          <w:rFonts w:eastAsia="標楷體"/>
          <w:sz w:val="26"/>
          <w:szCs w:val="26"/>
        </w:rPr>
        <w:t>因我國移轉訂價查核準則之制訂</w:t>
      </w:r>
      <w:r w:rsidR="00906F2B" w:rsidRPr="00EA272E">
        <w:rPr>
          <w:rFonts w:eastAsia="標楷體" w:hint="eastAsia"/>
          <w:sz w:val="26"/>
          <w:szCs w:val="26"/>
        </w:rPr>
        <w:t>參照</w:t>
      </w:r>
      <w:r w:rsidRPr="00EA272E">
        <w:rPr>
          <w:rFonts w:eastAsia="標楷體"/>
          <w:sz w:val="26"/>
          <w:szCs w:val="26"/>
        </w:rPr>
        <w:t>OECD</w:t>
      </w:r>
      <w:r w:rsidR="00AB3B6F"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則及美國內地稅法第</w:t>
      </w:r>
      <w:r w:rsidRPr="00EA272E">
        <w:rPr>
          <w:rFonts w:eastAsia="標楷體"/>
          <w:sz w:val="26"/>
          <w:szCs w:val="26"/>
        </w:rPr>
        <w:t>482</w:t>
      </w:r>
      <w:r w:rsidRPr="00EA272E">
        <w:rPr>
          <w:rFonts w:eastAsia="標楷體"/>
          <w:sz w:val="26"/>
          <w:szCs w:val="26"/>
        </w:rPr>
        <w:t>條之規定，所以在此簡述此兩者對選擇最適常規交易方法之規定，並將其與我國移轉訂價查核準則之規定作一比較：</w:t>
      </w:r>
    </w:p>
    <w:p w:rsidR="0032590C" w:rsidRDefault="004D52C1" w:rsidP="00965AF0">
      <w:pPr>
        <w:pStyle w:val="3"/>
        <w:numPr>
          <w:ilvl w:val="0"/>
          <w:numId w:val="33"/>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國際經濟合作暨發展組織</w:t>
      </w:r>
      <w:r w:rsidR="006B59E7" w:rsidRPr="00EA272E">
        <w:rPr>
          <w:rFonts w:ascii="Times New Roman" w:eastAsia="標楷體" w:hAnsi="Times New Roman"/>
          <w:sz w:val="32"/>
        </w:rPr>
        <w:t>（</w:t>
      </w:r>
      <w:r w:rsidR="006B59E7" w:rsidRPr="00EA272E">
        <w:rPr>
          <w:rFonts w:ascii="Times New Roman" w:eastAsia="標楷體" w:hAnsi="Times New Roman"/>
          <w:sz w:val="32"/>
        </w:rPr>
        <w:t>OECD</w:t>
      </w:r>
      <w:r w:rsidR="006B59E7" w:rsidRPr="00EA272E">
        <w:rPr>
          <w:rFonts w:ascii="Times New Roman" w:eastAsia="標楷體" w:hAnsi="Times New Roman"/>
          <w:sz w:val="32"/>
        </w:rPr>
        <w:t>）</w:t>
      </w:r>
      <w:r w:rsidRPr="00EA272E">
        <w:rPr>
          <w:rFonts w:ascii="Times New Roman" w:eastAsia="標楷體" w:hAnsi="Times New Roman"/>
          <w:sz w:val="32"/>
        </w:rPr>
        <w:t>移轉訂價指導</w:t>
      </w:r>
      <w:r w:rsidR="00AB3B6F" w:rsidRPr="00EA272E">
        <w:rPr>
          <w:rFonts w:ascii="Times New Roman" w:eastAsia="標楷體" w:hAnsi="Times New Roman" w:hint="eastAsia"/>
          <w:sz w:val="32"/>
        </w:rPr>
        <w:t>準</w:t>
      </w:r>
      <w:r w:rsidRPr="00EA272E">
        <w:rPr>
          <w:rFonts w:ascii="Times New Roman" w:eastAsia="標楷體" w:hAnsi="Times New Roman"/>
          <w:sz w:val="32"/>
        </w:rPr>
        <w:t>則</w:t>
      </w:r>
    </w:p>
    <w:p w:rsidR="0032590C" w:rsidRDefault="004D52C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如何選擇最適常規交易方法並無定規，只要在比較所有適用之方法後，選出最可被信賴，能夠協助做出最佳之估計者，即為最適常規交易方法。</w:t>
      </w:r>
      <w:r w:rsidRPr="00EA272E">
        <w:rPr>
          <w:rFonts w:eastAsia="標楷體"/>
          <w:sz w:val="26"/>
          <w:szCs w:val="26"/>
        </w:rPr>
        <w:t>OECD</w:t>
      </w:r>
      <w:r w:rsidR="00AB3B6F"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則中列有五種方法，規定應依評估結果可信度之高低，依序選</w:t>
      </w:r>
      <w:r w:rsidR="003B17DD" w:rsidRPr="00EA272E">
        <w:rPr>
          <w:rFonts w:eastAsia="標楷體" w:hint="eastAsia"/>
          <w:sz w:val="26"/>
          <w:szCs w:val="26"/>
        </w:rPr>
        <w:t>擇</w:t>
      </w:r>
      <w:r w:rsidRPr="00EA272E">
        <w:rPr>
          <w:rFonts w:eastAsia="標楷體"/>
          <w:sz w:val="26"/>
          <w:szCs w:val="26"/>
        </w:rPr>
        <w:t>適用。而某種方法一經選定後，除非另有更適用之方法，</w:t>
      </w:r>
      <w:r w:rsidRPr="00EA272E">
        <w:rPr>
          <w:rFonts w:eastAsia="標楷體"/>
          <w:sz w:val="26"/>
          <w:szCs w:val="26"/>
        </w:rPr>
        <w:lastRenderedPageBreak/>
        <w:t>否則選定之方法不會被逕行剔除。常規交易方法可分為包括可比較未受控交易法、再售價格法、成本加價法等之傳統交易法及包括利潤分割法、交易淨利潤法等之利潤法。</w:t>
      </w:r>
      <w:r w:rsidR="00684117" w:rsidRPr="00EA272E">
        <w:rPr>
          <w:rFonts w:eastAsia="標楷體" w:hint="eastAsia"/>
          <w:sz w:val="26"/>
          <w:szCs w:val="26"/>
        </w:rPr>
        <w:t>OECD</w:t>
      </w:r>
      <w:r w:rsidR="00684117" w:rsidRPr="00EA272E">
        <w:rPr>
          <w:rFonts w:eastAsia="標楷體"/>
          <w:sz w:val="26"/>
          <w:szCs w:val="26"/>
        </w:rPr>
        <w:t>指導</w:t>
      </w:r>
      <w:r w:rsidR="00684117" w:rsidRPr="00EA272E">
        <w:rPr>
          <w:rFonts w:eastAsia="標楷體" w:hint="eastAsia"/>
          <w:sz w:val="26"/>
          <w:szCs w:val="26"/>
        </w:rPr>
        <w:t>準</w:t>
      </w:r>
      <w:r w:rsidRPr="00EA272E">
        <w:rPr>
          <w:rFonts w:eastAsia="標楷體"/>
          <w:sz w:val="26"/>
          <w:szCs w:val="26"/>
        </w:rPr>
        <w:t>則偏好採用</w:t>
      </w:r>
      <w:r w:rsidRPr="00EA272E">
        <w:rPr>
          <w:rFonts w:eastAsia="標楷體" w:hint="eastAsia"/>
          <w:sz w:val="26"/>
          <w:szCs w:val="26"/>
        </w:rPr>
        <w:t>傳統</w:t>
      </w:r>
      <w:r w:rsidRPr="00EA272E">
        <w:rPr>
          <w:rFonts w:eastAsia="標楷體"/>
          <w:sz w:val="26"/>
          <w:szCs w:val="26"/>
        </w:rPr>
        <w:t>交易法，但當傳統交易法之可信度不高，不可單獨使用，或完全不能適用時，則以利潤法為常規交易方法，評估常規交易價格</w:t>
      </w:r>
      <w:r w:rsidR="00162D2B" w:rsidRPr="00EA272E">
        <w:rPr>
          <w:rFonts w:eastAsia="標楷體" w:hint="eastAsia"/>
          <w:sz w:val="26"/>
          <w:szCs w:val="26"/>
        </w:rPr>
        <w:t>或利潤</w:t>
      </w:r>
      <w:r w:rsidRPr="00EA272E">
        <w:rPr>
          <w:rFonts w:eastAsia="標楷體"/>
          <w:sz w:val="26"/>
          <w:szCs w:val="26"/>
        </w:rPr>
        <w:t>之</w:t>
      </w:r>
      <w:r w:rsidR="00023B84" w:rsidRPr="00EA272E">
        <w:rPr>
          <w:rFonts w:eastAsia="標楷體"/>
          <w:sz w:val="26"/>
          <w:szCs w:val="26"/>
        </w:rPr>
        <w:t>範圍</w:t>
      </w:r>
      <w:r w:rsidRPr="00EA272E">
        <w:rPr>
          <w:rFonts w:eastAsia="標楷體"/>
          <w:sz w:val="26"/>
          <w:szCs w:val="26"/>
        </w:rPr>
        <w:t>。</w:t>
      </w:r>
    </w:p>
    <w:p w:rsidR="0032590C" w:rsidRDefault="004D52C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在</w:t>
      </w:r>
      <w:r w:rsidRPr="00EA272E">
        <w:rPr>
          <w:rFonts w:eastAsia="標楷體"/>
          <w:sz w:val="26"/>
          <w:szCs w:val="26"/>
        </w:rPr>
        <w:t>OECD</w:t>
      </w:r>
      <w:r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則下，各種常規交易方法之適用順序如下：</w:t>
      </w:r>
    </w:p>
    <w:p w:rsidR="0032590C" w:rsidRDefault="004D52C1" w:rsidP="00965AF0">
      <w:pPr>
        <w:pStyle w:val="4"/>
        <w:keepNext w:val="0"/>
        <w:numPr>
          <w:ilvl w:val="3"/>
          <w:numId w:val="38"/>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可比較未受控價格法</w:t>
      </w:r>
    </w:p>
    <w:p w:rsidR="0032590C" w:rsidRDefault="004D52C1" w:rsidP="00965AF0">
      <w:pPr>
        <w:pStyle w:val="4"/>
        <w:keepNext w:val="0"/>
        <w:numPr>
          <w:ilvl w:val="3"/>
          <w:numId w:val="38"/>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再售價格法</w:t>
      </w:r>
    </w:p>
    <w:p w:rsidR="0032590C" w:rsidRDefault="004D52C1" w:rsidP="00965AF0">
      <w:pPr>
        <w:pStyle w:val="4"/>
        <w:keepNext w:val="0"/>
        <w:numPr>
          <w:ilvl w:val="3"/>
          <w:numId w:val="38"/>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成本加價法</w:t>
      </w:r>
    </w:p>
    <w:p w:rsidR="0032590C" w:rsidRDefault="004D52C1" w:rsidP="00965AF0">
      <w:pPr>
        <w:pStyle w:val="4"/>
        <w:keepNext w:val="0"/>
        <w:numPr>
          <w:ilvl w:val="3"/>
          <w:numId w:val="38"/>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利潤分割法</w:t>
      </w:r>
    </w:p>
    <w:p w:rsidR="0032590C" w:rsidRDefault="004D52C1" w:rsidP="00965AF0">
      <w:pPr>
        <w:pStyle w:val="4"/>
        <w:keepNext w:val="0"/>
        <w:numPr>
          <w:ilvl w:val="3"/>
          <w:numId w:val="38"/>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交易淨利潤法</w:t>
      </w:r>
    </w:p>
    <w:p w:rsidR="0032590C" w:rsidRDefault="004D52C1" w:rsidP="00965AF0">
      <w:pPr>
        <w:pStyle w:val="3"/>
        <w:numPr>
          <w:ilvl w:val="0"/>
          <w:numId w:val="33"/>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美國內地稅法第</w:t>
      </w:r>
      <w:r w:rsidRPr="00EA272E">
        <w:rPr>
          <w:rFonts w:ascii="Times New Roman" w:eastAsia="標楷體" w:hAnsi="Times New Roman"/>
          <w:sz w:val="32"/>
        </w:rPr>
        <w:t>482</w:t>
      </w:r>
      <w:r w:rsidRPr="00EA272E">
        <w:rPr>
          <w:rFonts w:ascii="Times New Roman" w:eastAsia="標楷體" w:hAnsi="Times New Roman"/>
          <w:sz w:val="32"/>
        </w:rPr>
        <w:t>條</w:t>
      </w:r>
    </w:p>
    <w:p w:rsidR="0032590C" w:rsidRDefault="004D52C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美國內地稅法第</w:t>
      </w:r>
      <w:r w:rsidRPr="00EA272E">
        <w:rPr>
          <w:rFonts w:eastAsia="標楷體"/>
          <w:sz w:val="26"/>
          <w:szCs w:val="26"/>
        </w:rPr>
        <w:t>482</w:t>
      </w:r>
      <w:r w:rsidRPr="00EA272E">
        <w:rPr>
          <w:rFonts w:eastAsia="標楷體"/>
          <w:sz w:val="26"/>
          <w:szCs w:val="26"/>
        </w:rPr>
        <w:t>條規定，若需依序適用各常規交易方法，始能決定孰為最適常規交易方法</w:t>
      </w:r>
      <w:r w:rsidRPr="00EA272E">
        <w:rPr>
          <w:rFonts w:eastAsia="標楷體" w:hint="eastAsia"/>
          <w:sz w:val="26"/>
          <w:szCs w:val="26"/>
        </w:rPr>
        <w:t>，由於</w:t>
      </w:r>
      <w:r w:rsidRPr="00EA272E">
        <w:rPr>
          <w:rFonts w:eastAsia="標楷體"/>
          <w:sz w:val="26"/>
          <w:szCs w:val="26"/>
        </w:rPr>
        <w:t>太過耗用徵納雙方之人力及成本，所以現已取消依序適用之強制規定，而採用『最佳方法』原則來決定最適常規交易方法。徵納雙方採用最適常規交易方法後，也不需證明其他未採用方法之不適用性。不過，即便最適常規之交易方法已被選定，倘若因有其他原因</w:t>
      </w:r>
      <w:r w:rsidRPr="00EA272E">
        <w:rPr>
          <w:rFonts w:eastAsia="標楷體" w:hint="eastAsia"/>
          <w:sz w:val="26"/>
          <w:szCs w:val="26"/>
        </w:rPr>
        <w:t>可</w:t>
      </w:r>
      <w:r w:rsidRPr="00EA272E">
        <w:rPr>
          <w:rFonts w:eastAsia="標楷體"/>
          <w:sz w:val="26"/>
          <w:szCs w:val="26"/>
        </w:rPr>
        <w:t>得致比較程度更高之對象或資料，而可由其他適用方法得到更可信之結果，該法即應被採用作為最適常規交易方法。此外，相對於</w:t>
      </w:r>
      <w:r w:rsidRPr="00EA272E">
        <w:rPr>
          <w:rFonts w:eastAsia="標楷體"/>
          <w:sz w:val="26"/>
          <w:szCs w:val="26"/>
        </w:rPr>
        <w:t>OECD</w:t>
      </w:r>
      <w:r w:rsidRPr="00EA272E">
        <w:rPr>
          <w:rFonts w:eastAsia="標楷體"/>
          <w:sz w:val="26"/>
          <w:szCs w:val="26"/>
        </w:rPr>
        <w:t>指導</w:t>
      </w:r>
      <w:r w:rsidR="00AB3B6F" w:rsidRPr="00EA272E">
        <w:rPr>
          <w:rFonts w:eastAsia="標楷體" w:hint="eastAsia"/>
          <w:sz w:val="26"/>
          <w:szCs w:val="26"/>
        </w:rPr>
        <w:t>準</w:t>
      </w:r>
      <w:r w:rsidRPr="00EA272E">
        <w:rPr>
          <w:rFonts w:eastAsia="標楷體"/>
          <w:sz w:val="26"/>
          <w:szCs w:val="26"/>
        </w:rPr>
        <w:t>則，美國稅法較偏好採用利潤法。</w:t>
      </w:r>
    </w:p>
    <w:p w:rsidR="0032590C" w:rsidRDefault="004D52C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美國內地稅法規定下之常規交易方法，包括：</w:t>
      </w:r>
      <w:r w:rsidRPr="00EA272E">
        <w:rPr>
          <w:rFonts w:eastAsia="標楷體"/>
          <w:sz w:val="26"/>
          <w:szCs w:val="26"/>
        </w:rPr>
        <w:t xml:space="preserve"> </w:t>
      </w:r>
    </w:p>
    <w:p w:rsidR="0032590C" w:rsidRDefault="004D52C1" w:rsidP="00965AF0">
      <w:pPr>
        <w:pStyle w:val="4"/>
        <w:keepNext w:val="0"/>
        <w:numPr>
          <w:ilvl w:val="3"/>
          <w:numId w:val="46"/>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可比較未受控價格法</w:t>
      </w:r>
    </w:p>
    <w:p w:rsidR="0032590C" w:rsidRDefault="004D52C1" w:rsidP="00965AF0">
      <w:pPr>
        <w:pStyle w:val="4"/>
        <w:keepNext w:val="0"/>
        <w:numPr>
          <w:ilvl w:val="3"/>
          <w:numId w:val="46"/>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lastRenderedPageBreak/>
        <w:t>再售價格法</w:t>
      </w:r>
    </w:p>
    <w:p w:rsidR="0032590C" w:rsidRDefault="004D52C1" w:rsidP="00965AF0">
      <w:pPr>
        <w:pStyle w:val="4"/>
        <w:keepNext w:val="0"/>
        <w:numPr>
          <w:ilvl w:val="3"/>
          <w:numId w:val="46"/>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成本加價法</w:t>
      </w:r>
    </w:p>
    <w:p w:rsidR="0032590C" w:rsidRDefault="004D52C1" w:rsidP="00965AF0">
      <w:pPr>
        <w:pStyle w:val="4"/>
        <w:keepNext w:val="0"/>
        <w:numPr>
          <w:ilvl w:val="3"/>
          <w:numId w:val="46"/>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可比較利潤法</w:t>
      </w:r>
    </w:p>
    <w:p w:rsidR="0032590C" w:rsidRDefault="004D52C1" w:rsidP="00965AF0">
      <w:pPr>
        <w:pStyle w:val="4"/>
        <w:keepNext w:val="0"/>
        <w:numPr>
          <w:ilvl w:val="3"/>
          <w:numId w:val="46"/>
        </w:numPr>
        <w:tabs>
          <w:tab w:val="left" w:pos="1701"/>
        </w:tabs>
        <w:spacing w:beforeLines="50" w:before="120" w:afterLines="50" w:after="120" w:line="360" w:lineRule="auto"/>
        <w:ind w:left="1985"/>
        <w:rPr>
          <w:rFonts w:ascii="Times New Roman" w:eastAsia="標楷體" w:hAnsi="Times New Roman"/>
          <w:sz w:val="26"/>
          <w:szCs w:val="26"/>
        </w:rPr>
      </w:pPr>
      <w:r w:rsidRPr="00EA272E">
        <w:rPr>
          <w:rFonts w:ascii="Times New Roman" w:eastAsia="標楷體" w:hAnsi="Times New Roman"/>
          <w:sz w:val="26"/>
          <w:szCs w:val="26"/>
        </w:rPr>
        <w:t>利潤分割法</w:t>
      </w:r>
    </w:p>
    <w:p w:rsidR="0032590C" w:rsidRDefault="004839FE" w:rsidP="00965AF0">
      <w:pPr>
        <w:pStyle w:val="3"/>
        <w:numPr>
          <w:ilvl w:val="0"/>
          <w:numId w:val="33"/>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sz w:val="32"/>
        </w:rPr>
        <w:t>我國</w:t>
      </w:r>
      <w:r w:rsidRPr="00EA272E">
        <w:rPr>
          <w:rFonts w:ascii="Times New Roman" w:eastAsia="標楷體" w:hAnsi="Times New Roman" w:hint="eastAsia"/>
          <w:sz w:val="32"/>
        </w:rPr>
        <w:t>移轉訂價</w:t>
      </w:r>
      <w:r w:rsidRPr="00EA272E">
        <w:rPr>
          <w:rFonts w:ascii="Times New Roman" w:eastAsia="標楷體" w:hAnsi="Times New Roman"/>
          <w:sz w:val="32"/>
        </w:rPr>
        <w:t>查核準則規定</w:t>
      </w:r>
    </w:p>
    <w:p w:rsidR="0032590C" w:rsidRDefault="004839FE"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根據移轉訂價查核準則第</w:t>
      </w:r>
      <w:r w:rsidRPr="00EA272E">
        <w:rPr>
          <w:rFonts w:eastAsia="標楷體"/>
          <w:sz w:val="26"/>
          <w:szCs w:val="26"/>
        </w:rPr>
        <w:t>7</w:t>
      </w:r>
      <w:r w:rsidRPr="00EA272E">
        <w:rPr>
          <w:rFonts w:eastAsia="標楷體"/>
          <w:sz w:val="26"/>
          <w:szCs w:val="26"/>
        </w:rPr>
        <w:t>條第</w:t>
      </w:r>
      <w:r w:rsidRPr="00EA272E">
        <w:rPr>
          <w:rFonts w:eastAsia="標楷體"/>
          <w:sz w:val="26"/>
          <w:szCs w:val="26"/>
        </w:rPr>
        <w:t>2</w:t>
      </w:r>
      <w:r w:rsidRPr="00EA272E">
        <w:rPr>
          <w:rFonts w:eastAsia="標楷體"/>
          <w:sz w:val="26"/>
          <w:szCs w:val="26"/>
        </w:rPr>
        <w:t>款規定，於</w:t>
      </w:r>
      <w:r w:rsidR="00CC5BB5" w:rsidRPr="00EA272E">
        <w:rPr>
          <w:rFonts w:eastAsia="標楷體"/>
          <w:sz w:val="26"/>
          <w:szCs w:val="26"/>
        </w:rPr>
        <w:t>採用最適常規交易方法時，應按交易類型</w:t>
      </w:r>
      <w:r w:rsidRPr="00EA272E">
        <w:rPr>
          <w:rFonts w:eastAsia="標楷體"/>
          <w:sz w:val="26"/>
          <w:szCs w:val="26"/>
        </w:rPr>
        <w:t>採用最適之常規交易方法，以決定其常規交易結果。</w:t>
      </w:r>
      <w:r w:rsidR="00165A58" w:rsidRPr="00EA272E">
        <w:rPr>
          <w:rFonts w:eastAsia="標楷體" w:hint="eastAsia"/>
          <w:sz w:val="26"/>
          <w:szCs w:val="26"/>
        </w:rPr>
        <w:t>而</w:t>
      </w:r>
      <w:r w:rsidRPr="00EA272E">
        <w:rPr>
          <w:rFonts w:eastAsia="標楷體" w:hint="eastAsia"/>
          <w:sz w:val="26"/>
          <w:szCs w:val="26"/>
        </w:rPr>
        <w:t>在決定最適常規交易方法時，應</w:t>
      </w:r>
      <w:r w:rsidR="007617D2" w:rsidRPr="00EA272E">
        <w:rPr>
          <w:rFonts w:eastAsia="標楷體" w:hint="eastAsia"/>
          <w:sz w:val="26"/>
          <w:szCs w:val="26"/>
        </w:rPr>
        <w:t>依遵循移轉訂價查核準則第</w:t>
      </w:r>
      <w:r w:rsidR="007617D2" w:rsidRPr="00EA272E">
        <w:rPr>
          <w:rFonts w:eastAsia="標楷體" w:hint="eastAsia"/>
          <w:sz w:val="26"/>
          <w:szCs w:val="26"/>
        </w:rPr>
        <w:t>9</w:t>
      </w:r>
      <w:r w:rsidR="007617D2" w:rsidRPr="00EA272E">
        <w:rPr>
          <w:rFonts w:eastAsia="標楷體" w:hint="eastAsia"/>
          <w:sz w:val="26"/>
          <w:szCs w:val="26"/>
        </w:rPr>
        <w:t>條</w:t>
      </w:r>
      <w:r w:rsidRPr="00EA272E">
        <w:rPr>
          <w:rFonts w:eastAsia="標楷體" w:hint="eastAsia"/>
          <w:sz w:val="26"/>
          <w:szCs w:val="26"/>
        </w:rPr>
        <w:t>規定</w:t>
      </w:r>
      <w:r w:rsidR="00AE651F" w:rsidRPr="00EA272E">
        <w:rPr>
          <w:rFonts w:eastAsia="標楷體" w:hint="eastAsia"/>
          <w:sz w:val="26"/>
          <w:szCs w:val="26"/>
        </w:rPr>
        <w:t>，考量下列兩點</w:t>
      </w:r>
      <w:r w:rsidRPr="00EA272E">
        <w:rPr>
          <w:rFonts w:eastAsia="標楷體" w:hint="eastAsia"/>
          <w:sz w:val="26"/>
          <w:szCs w:val="26"/>
        </w:rPr>
        <w:t>：</w:t>
      </w:r>
    </w:p>
    <w:p w:rsidR="004839FE" w:rsidRPr="00EA272E" w:rsidRDefault="004839FE" w:rsidP="00FC1E0C">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EA272E">
        <w:rPr>
          <w:rFonts w:ascii="Times New Roman" w:eastAsia="標楷體" w:hAnsi="Times New Roman" w:hint="eastAsia"/>
          <w:b/>
          <w:sz w:val="26"/>
          <w:szCs w:val="26"/>
        </w:rPr>
        <w:t>可比較程度</w:t>
      </w:r>
    </w:p>
    <w:p w:rsidR="0032590C" w:rsidRDefault="004839FE"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可比較程度應</w:t>
      </w:r>
      <w:r w:rsidRPr="00EA272E">
        <w:rPr>
          <w:rFonts w:eastAsia="標楷體"/>
          <w:sz w:val="26"/>
          <w:szCs w:val="26"/>
        </w:rPr>
        <w:t>考量</w:t>
      </w:r>
      <w:r w:rsidRPr="00EA272E">
        <w:rPr>
          <w:rFonts w:eastAsia="標楷體"/>
          <w:sz w:val="26"/>
          <w:szCs w:val="26"/>
        </w:rPr>
        <w:t>1</w:t>
      </w:r>
      <w:r w:rsidR="00684117" w:rsidRPr="00EA272E">
        <w:rPr>
          <w:rFonts w:eastAsia="標楷體" w:hint="eastAsia"/>
          <w:sz w:val="26"/>
          <w:szCs w:val="26"/>
        </w:rPr>
        <w:t>）</w:t>
      </w:r>
      <w:r w:rsidRPr="00EA272E">
        <w:rPr>
          <w:rFonts w:eastAsia="標楷體" w:hint="eastAsia"/>
          <w:sz w:val="26"/>
          <w:szCs w:val="26"/>
        </w:rPr>
        <w:t>交易標的資產或服務之特性</w:t>
      </w:r>
      <w:r w:rsidR="00684117"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）執行之功能</w:t>
      </w:r>
      <w:r w:rsidR="00684117"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）契約條款</w:t>
      </w:r>
      <w:r w:rsidR="00684117"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）承擔之風險</w:t>
      </w:r>
      <w:r w:rsidR="00684117"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）經濟及市場情況及</w:t>
      </w:r>
      <w:r w:rsidRPr="00EA272E">
        <w:rPr>
          <w:rFonts w:eastAsia="標楷體" w:hint="eastAsia"/>
          <w:sz w:val="26"/>
          <w:szCs w:val="26"/>
        </w:rPr>
        <w:t>6</w:t>
      </w:r>
      <w:r w:rsidRPr="00EA272E">
        <w:rPr>
          <w:rFonts w:eastAsia="標楷體" w:hint="eastAsia"/>
          <w:sz w:val="26"/>
          <w:szCs w:val="26"/>
        </w:rPr>
        <w:t>）商業策略等</w:t>
      </w:r>
      <w:r w:rsidR="007617D2" w:rsidRPr="00EA272E">
        <w:rPr>
          <w:rFonts w:eastAsia="標楷體" w:hint="eastAsia"/>
          <w:sz w:val="26"/>
          <w:szCs w:val="26"/>
        </w:rPr>
        <w:t>應特別</w:t>
      </w:r>
      <w:r w:rsidRPr="00EA272E">
        <w:rPr>
          <w:rFonts w:eastAsia="標楷體"/>
          <w:sz w:val="26"/>
          <w:szCs w:val="26"/>
        </w:rPr>
        <w:t>因素</w:t>
      </w:r>
      <w:r w:rsidRPr="00EA272E">
        <w:rPr>
          <w:rFonts w:eastAsia="標楷體" w:hint="eastAsia"/>
          <w:sz w:val="26"/>
          <w:szCs w:val="26"/>
        </w:rPr>
        <w:t>之相似程度。相似程度越高者，其適用性越高。</w:t>
      </w:r>
    </w:p>
    <w:p w:rsidR="004839FE" w:rsidRPr="00EA272E" w:rsidRDefault="004839FE" w:rsidP="00FC1E0C">
      <w:pPr>
        <w:pStyle w:val="4"/>
        <w:keepNext w:val="0"/>
        <w:widowControl/>
        <w:numPr>
          <w:ilvl w:val="0"/>
          <w:numId w:val="4"/>
        </w:numPr>
        <w:tabs>
          <w:tab w:val="clear" w:pos="1272"/>
          <w:tab w:val="num" w:pos="0"/>
        </w:tabs>
        <w:spacing w:before="100" w:beforeAutospacing="1" w:after="100" w:afterAutospacing="1" w:line="360" w:lineRule="auto"/>
        <w:ind w:leftChars="200" w:left="480" w:firstLine="0"/>
        <w:jc w:val="both"/>
        <w:rPr>
          <w:rFonts w:ascii="Times New Roman" w:eastAsia="標楷體" w:hAnsi="Times New Roman"/>
          <w:b/>
          <w:sz w:val="26"/>
          <w:szCs w:val="26"/>
        </w:rPr>
      </w:pPr>
      <w:r w:rsidRPr="00EA272E">
        <w:rPr>
          <w:rFonts w:ascii="Times New Roman" w:eastAsia="標楷體" w:hAnsi="Times New Roman" w:hint="eastAsia"/>
          <w:b/>
          <w:sz w:val="26"/>
          <w:szCs w:val="26"/>
        </w:rPr>
        <w:t>資料與假設的品質</w:t>
      </w:r>
    </w:p>
    <w:p w:rsidR="0032590C" w:rsidRDefault="004839FE"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品質應</w:t>
      </w:r>
      <w:r w:rsidRPr="00EA272E">
        <w:rPr>
          <w:rFonts w:eastAsia="標楷體"/>
          <w:sz w:val="26"/>
          <w:szCs w:val="26"/>
        </w:rPr>
        <w:t>考量</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以蒐集之資料足夠完整正確且能確認</w:t>
      </w:r>
      <w:r w:rsidRPr="00EA272E">
        <w:rPr>
          <w:rFonts w:eastAsia="標楷體" w:hint="eastAsia"/>
          <w:sz w:val="26"/>
          <w:szCs w:val="26"/>
        </w:rPr>
        <w:t>可比較程度分析因素</w:t>
      </w:r>
      <w:r w:rsidRPr="00EA272E">
        <w:rPr>
          <w:rFonts w:eastAsia="標楷體"/>
          <w:sz w:val="26"/>
          <w:szCs w:val="26"/>
        </w:rPr>
        <w:t>之差異</w:t>
      </w:r>
      <w:r w:rsidR="00684117"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依</w:t>
      </w:r>
      <w:r w:rsidR="00684117" w:rsidRPr="00EA272E">
        <w:rPr>
          <w:rFonts w:eastAsia="標楷體" w:hint="eastAsia"/>
          <w:sz w:val="26"/>
          <w:szCs w:val="26"/>
        </w:rPr>
        <w:t>移轉訂價查核</w:t>
      </w:r>
      <w:r w:rsidRPr="00EA272E">
        <w:rPr>
          <w:rFonts w:eastAsia="標楷體" w:hint="eastAsia"/>
          <w:sz w:val="26"/>
          <w:szCs w:val="26"/>
        </w:rPr>
        <w:t>準則</w:t>
      </w:r>
      <w:r w:rsidR="007617D2" w:rsidRPr="00EA272E">
        <w:rPr>
          <w:rFonts w:eastAsia="標楷體" w:hint="eastAsia"/>
          <w:sz w:val="26"/>
          <w:szCs w:val="26"/>
        </w:rPr>
        <w:t>第</w:t>
      </w:r>
      <w:r w:rsidR="007617D2" w:rsidRPr="00EA272E">
        <w:rPr>
          <w:rFonts w:eastAsia="標楷體" w:hint="eastAsia"/>
          <w:sz w:val="26"/>
          <w:szCs w:val="26"/>
        </w:rPr>
        <w:t>8</w:t>
      </w:r>
      <w:r w:rsidR="007617D2" w:rsidRPr="00EA272E">
        <w:rPr>
          <w:rFonts w:eastAsia="標楷體" w:hint="eastAsia"/>
          <w:sz w:val="26"/>
          <w:szCs w:val="26"/>
        </w:rPr>
        <w:t>條</w:t>
      </w:r>
      <w:r w:rsidR="00CC5BB5" w:rsidRPr="00EA272E">
        <w:rPr>
          <w:rFonts w:eastAsia="標楷體"/>
          <w:sz w:val="26"/>
          <w:szCs w:val="26"/>
        </w:rPr>
        <w:t>規定進行調整以消除</w:t>
      </w:r>
      <w:r w:rsidRPr="00EA272E">
        <w:rPr>
          <w:rFonts w:eastAsia="標楷體"/>
          <w:sz w:val="26"/>
          <w:szCs w:val="26"/>
        </w:rPr>
        <w:t>差異之可能性及適宜性</w:t>
      </w:r>
      <w:r w:rsidRPr="00EA272E">
        <w:rPr>
          <w:rFonts w:eastAsia="標楷體" w:hint="eastAsia"/>
          <w:sz w:val="26"/>
          <w:szCs w:val="26"/>
        </w:rPr>
        <w:t>與</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使用假設之合理性</w:t>
      </w:r>
      <w:r w:rsidRPr="00EA272E">
        <w:rPr>
          <w:rFonts w:eastAsia="標楷體" w:hint="eastAsia"/>
          <w:sz w:val="26"/>
          <w:szCs w:val="26"/>
        </w:rPr>
        <w:t>等</w:t>
      </w:r>
      <w:r w:rsidRPr="00EA272E">
        <w:rPr>
          <w:rFonts w:eastAsia="標楷體"/>
          <w:sz w:val="26"/>
          <w:szCs w:val="26"/>
        </w:rPr>
        <w:t>因素。品質愈佳者，其適用性愈高。</w:t>
      </w:r>
    </w:p>
    <w:p w:rsidR="004839FE" w:rsidRPr="00EA272E" w:rsidRDefault="004839FE" w:rsidP="00FC1E0C">
      <w:pPr>
        <w:spacing w:before="100" w:beforeAutospacing="1" w:after="100" w:afterAutospacing="1" w:line="360" w:lineRule="auto"/>
        <w:ind w:leftChars="200" w:left="480" w:firstLineChars="200" w:firstLine="520"/>
        <w:jc w:val="both"/>
        <w:rPr>
          <w:rFonts w:eastAsia="標楷體"/>
          <w:sz w:val="26"/>
          <w:szCs w:val="26"/>
        </w:rPr>
      </w:pPr>
      <w:r w:rsidRPr="00EA272E">
        <w:rPr>
          <w:rFonts w:eastAsia="標楷體"/>
          <w:sz w:val="26"/>
          <w:szCs w:val="26"/>
        </w:rPr>
        <w:t>移轉訂價查核準則第</w:t>
      </w:r>
      <w:r w:rsidRPr="00EA272E">
        <w:rPr>
          <w:rFonts w:eastAsia="標楷體"/>
          <w:sz w:val="26"/>
          <w:szCs w:val="26"/>
        </w:rPr>
        <w:t>1</w:t>
      </w:r>
      <w:r w:rsidRPr="00EA272E">
        <w:rPr>
          <w:rFonts w:eastAsia="標楷體" w:hint="eastAsia"/>
          <w:sz w:val="26"/>
          <w:szCs w:val="26"/>
        </w:rPr>
        <w:t>0</w:t>
      </w:r>
      <w:r w:rsidRPr="00EA272E">
        <w:rPr>
          <w:rFonts w:eastAsia="標楷體"/>
          <w:sz w:val="26"/>
          <w:szCs w:val="26"/>
        </w:rPr>
        <w:t>條至</w:t>
      </w:r>
      <w:r w:rsidRPr="00EA272E">
        <w:rPr>
          <w:rFonts w:eastAsia="標楷體"/>
          <w:sz w:val="26"/>
          <w:szCs w:val="26"/>
        </w:rPr>
        <w:t>19</w:t>
      </w:r>
      <w:r w:rsidRPr="00EA272E">
        <w:rPr>
          <w:rFonts w:eastAsia="標楷體"/>
          <w:sz w:val="26"/>
          <w:szCs w:val="26"/>
        </w:rPr>
        <w:t>條</w:t>
      </w:r>
      <w:r w:rsidR="00162D2B" w:rsidRPr="00EA272E">
        <w:rPr>
          <w:rFonts w:eastAsia="標楷體" w:hint="eastAsia"/>
          <w:sz w:val="26"/>
          <w:szCs w:val="26"/>
        </w:rPr>
        <w:t>有針</w:t>
      </w:r>
      <w:r w:rsidRPr="00EA272E">
        <w:rPr>
          <w:rFonts w:eastAsia="標楷體"/>
          <w:sz w:val="26"/>
          <w:szCs w:val="26"/>
        </w:rPr>
        <w:t>對採用各種常規交易方法時所應特別考慮之因素有</w:t>
      </w:r>
      <w:r w:rsidR="00162D2B" w:rsidRPr="00EA272E">
        <w:rPr>
          <w:rFonts w:eastAsia="標楷體" w:hint="eastAsia"/>
          <w:sz w:val="26"/>
          <w:szCs w:val="26"/>
        </w:rPr>
        <w:t>作</w:t>
      </w:r>
      <w:r w:rsidR="00162D2B" w:rsidRPr="00EA272E">
        <w:rPr>
          <w:rFonts w:eastAsia="標楷體"/>
          <w:sz w:val="26"/>
          <w:szCs w:val="26"/>
        </w:rPr>
        <w:t>詳細</w:t>
      </w:r>
      <w:r w:rsidR="00162D2B" w:rsidRPr="00EA272E">
        <w:rPr>
          <w:rFonts w:eastAsia="標楷體" w:hint="eastAsia"/>
          <w:sz w:val="26"/>
          <w:szCs w:val="26"/>
        </w:rPr>
        <w:t>敘述</w:t>
      </w:r>
      <w:r w:rsidRPr="00EA272E">
        <w:rPr>
          <w:rFonts w:eastAsia="標楷體" w:hint="eastAsia"/>
          <w:sz w:val="26"/>
          <w:szCs w:val="26"/>
        </w:rPr>
        <w:t>，</w:t>
      </w:r>
      <w:r w:rsidR="000E53FF" w:rsidRPr="00EA272E">
        <w:rPr>
          <w:rFonts w:eastAsia="標楷體" w:hint="eastAsia"/>
          <w:sz w:val="26"/>
          <w:szCs w:val="26"/>
        </w:rPr>
        <w:t>故</w:t>
      </w:r>
      <w:r w:rsidRPr="00EA272E">
        <w:rPr>
          <w:rFonts w:eastAsia="標楷體" w:hint="eastAsia"/>
          <w:sz w:val="26"/>
          <w:szCs w:val="26"/>
        </w:rPr>
        <w:t>將各種</w:t>
      </w:r>
      <w:r w:rsidRPr="00EA272E">
        <w:rPr>
          <w:rFonts w:eastAsia="標楷體"/>
          <w:sz w:val="26"/>
          <w:szCs w:val="26"/>
        </w:rPr>
        <w:t>常規</w:t>
      </w:r>
      <w:r w:rsidRPr="00EA272E">
        <w:rPr>
          <w:rFonts w:eastAsia="標楷體" w:hint="eastAsia"/>
          <w:sz w:val="26"/>
          <w:szCs w:val="26"/>
        </w:rPr>
        <w:t>交易</w:t>
      </w:r>
      <w:r w:rsidRPr="00EA272E">
        <w:rPr>
          <w:rFonts w:eastAsia="標楷體"/>
          <w:sz w:val="26"/>
          <w:szCs w:val="26"/>
        </w:rPr>
        <w:t>方法說明如下</w:t>
      </w:r>
      <w:r w:rsidRPr="00EA272E">
        <w:rPr>
          <w:rFonts w:eastAsia="標楷體" w:hint="eastAsia"/>
          <w:sz w:val="26"/>
          <w:szCs w:val="26"/>
        </w:rPr>
        <w:t>：</w:t>
      </w:r>
    </w:p>
    <w:p w:rsidR="0032590C" w:rsidRDefault="00B276E3" w:rsidP="00965AF0">
      <w:pPr>
        <w:numPr>
          <w:ilvl w:val="0"/>
          <w:numId w:val="3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lastRenderedPageBreak/>
        <w:t>可比較未受控價格法</w:t>
      </w:r>
    </w:p>
    <w:p w:rsidR="0032590C" w:rsidRDefault="0056725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14</w:t>
      </w:r>
      <w:r w:rsidRPr="00EA272E">
        <w:rPr>
          <w:rFonts w:eastAsia="標楷體"/>
          <w:sz w:val="26"/>
          <w:szCs w:val="26"/>
        </w:rPr>
        <w:t>條所</w:t>
      </w:r>
      <w:r w:rsidR="0044220E" w:rsidRPr="00EA272E">
        <w:rPr>
          <w:rFonts w:eastAsia="標楷體" w:hint="eastAsia"/>
          <w:sz w:val="26"/>
          <w:szCs w:val="26"/>
        </w:rPr>
        <w:t>定</w:t>
      </w:r>
      <w:r w:rsidRPr="00EA272E">
        <w:rPr>
          <w:rFonts w:eastAsia="標楷體"/>
          <w:sz w:val="26"/>
          <w:szCs w:val="26"/>
        </w:rPr>
        <w:t>可比較未受控價格法，係以非關係人於可比較情況下，從事有形資產之移轉或使用、服務之提供或資金之使用之可比較未受控交易所收取之價格，為受控交易之常規交易價格。</w:t>
      </w:r>
    </w:p>
    <w:p w:rsidR="0032590C" w:rsidRDefault="00AB0746"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評估可比較未受控價格法之適用性時，</w:t>
      </w:r>
      <w:r w:rsidR="009C7BFB" w:rsidRPr="00EA272E">
        <w:rPr>
          <w:rFonts w:eastAsia="標楷體"/>
          <w:sz w:val="26"/>
          <w:szCs w:val="26"/>
        </w:rPr>
        <w:t>尤應特別考量從事受控交易之營利事業與非關係人之交易標的資產或服務之特性、契約條款及經濟情況</w:t>
      </w:r>
      <w:r w:rsidR="00137126" w:rsidRPr="00EA272E">
        <w:rPr>
          <w:rFonts w:eastAsia="標楷體" w:hint="eastAsia"/>
          <w:sz w:val="26"/>
          <w:szCs w:val="26"/>
        </w:rPr>
        <w:t>等因素</w:t>
      </w:r>
      <w:r w:rsidR="009C7BFB" w:rsidRPr="00EA272E">
        <w:rPr>
          <w:rFonts w:eastAsia="標楷體"/>
          <w:sz w:val="26"/>
          <w:szCs w:val="26"/>
        </w:rPr>
        <w:t>之差異，其間如有</w:t>
      </w:r>
      <w:r w:rsidR="004C2A43" w:rsidRPr="00EA272E">
        <w:rPr>
          <w:rFonts w:eastAsia="標楷體" w:hint="eastAsia"/>
          <w:sz w:val="26"/>
          <w:szCs w:val="26"/>
        </w:rPr>
        <w:t>前項</w:t>
      </w:r>
      <w:r w:rsidR="009C7BFB" w:rsidRPr="00EA272E">
        <w:rPr>
          <w:rFonts w:eastAsia="標楷體"/>
          <w:sz w:val="26"/>
          <w:szCs w:val="26"/>
        </w:rPr>
        <w:t>差異，應就該等差異對常規交易價格之影響進行</w:t>
      </w:r>
      <w:r w:rsidRPr="00EA272E">
        <w:rPr>
          <w:rFonts w:eastAsia="標楷體"/>
          <w:sz w:val="26"/>
          <w:szCs w:val="26"/>
        </w:rPr>
        <w:t>合理之調整，其無法經由合理之調整以消除該等差異者，應</w:t>
      </w:r>
      <w:r w:rsidR="009C7BFB" w:rsidRPr="00EA272E">
        <w:rPr>
          <w:rFonts w:eastAsia="標楷體"/>
          <w:sz w:val="26"/>
          <w:szCs w:val="26"/>
        </w:rPr>
        <w:t>採用其他適合之常規交易方法。</w:t>
      </w:r>
    </w:p>
    <w:p w:rsidR="0032590C" w:rsidRDefault="00B276E3" w:rsidP="00965AF0">
      <w:pPr>
        <w:numPr>
          <w:ilvl w:val="0"/>
          <w:numId w:val="3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可比較未受控交易法</w:t>
      </w:r>
    </w:p>
    <w:p w:rsidR="0032590C" w:rsidRDefault="009B5A96"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依移轉訂價查核準則第</w:t>
      </w:r>
      <w:r w:rsidRPr="00EA272E">
        <w:rPr>
          <w:rFonts w:eastAsia="標楷體"/>
          <w:sz w:val="26"/>
          <w:szCs w:val="26"/>
        </w:rPr>
        <w:t>15</w:t>
      </w:r>
      <w:r w:rsidRPr="00EA272E">
        <w:rPr>
          <w:rFonts w:eastAsia="標楷體"/>
          <w:sz w:val="26"/>
          <w:szCs w:val="26"/>
        </w:rPr>
        <w:t>條</w:t>
      </w:r>
      <w:r w:rsidR="00FF6128" w:rsidRPr="00EA272E">
        <w:rPr>
          <w:rFonts w:eastAsia="標楷體" w:hint="eastAsia"/>
          <w:sz w:val="26"/>
          <w:szCs w:val="26"/>
        </w:rPr>
        <w:t>所定</w:t>
      </w:r>
      <w:r w:rsidRPr="00EA272E">
        <w:rPr>
          <w:rFonts w:eastAsia="標楷體"/>
          <w:sz w:val="26"/>
          <w:szCs w:val="26"/>
        </w:rPr>
        <w:t>可比較未受控交易法</w:t>
      </w:r>
      <w:r w:rsidR="007617D2" w:rsidRPr="00EA272E">
        <w:rPr>
          <w:rFonts w:eastAsia="標楷體" w:hint="eastAsia"/>
          <w:sz w:val="26"/>
          <w:szCs w:val="26"/>
        </w:rPr>
        <w:t>，</w:t>
      </w:r>
      <w:r w:rsidRPr="00EA272E">
        <w:rPr>
          <w:rFonts w:eastAsia="標楷體"/>
          <w:sz w:val="26"/>
          <w:szCs w:val="26"/>
        </w:rPr>
        <w:t>係以非關係人於可比較情況下，從事無形資產之移轉或使用之可比較未受控交易所收取之價格，為受控交易之常規交易價格。</w:t>
      </w:r>
    </w:p>
    <w:p w:rsidR="0032590C" w:rsidRDefault="00FF6128"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評估可比較未受控交易法之適用性時，尤應特別考量從事受控交易之營利事業與非關係人之交易標的無形資產之可比較程度及二者所處情況之可比較程度。</w:t>
      </w:r>
      <w:r w:rsidR="00DD2C00" w:rsidRPr="00EA272E">
        <w:rPr>
          <w:rFonts w:eastAsia="標楷體" w:hint="eastAsia"/>
          <w:sz w:val="26"/>
          <w:szCs w:val="26"/>
        </w:rPr>
        <w:t>其中</w:t>
      </w:r>
      <w:r w:rsidR="00377F38" w:rsidRPr="00EA272E">
        <w:rPr>
          <w:rFonts w:eastAsia="標楷體" w:hint="eastAsia"/>
          <w:sz w:val="26"/>
          <w:szCs w:val="26"/>
        </w:rPr>
        <w:t>所處情況之</w:t>
      </w:r>
      <w:r w:rsidR="009F5A99" w:rsidRPr="00EA272E">
        <w:rPr>
          <w:rFonts w:eastAsia="標楷體"/>
          <w:sz w:val="26"/>
          <w:szCs w:val="26"/>
        </w:rPr>
        <w:t>可比較程度應考量</w:t>
      </w:r>
      <w:r w:rsidR="00377F38" w:rsidRPr="00EA272E">
        <w:rPr>
          <w:rFonts w:eastAsia="標楷體" w:hint="eastAsia"/>
          <w:sz w:val="26"/>
          <w:szCs w:val="26"/>
        </w:rPr>
        <w:t>：</w:t>
      </w:r>
      <w:r w:rsidR="009F5A99" w:rsidRPr="00EA272E">
        <w:rPr>
          <w:rFonts w:eastAsia="標楷體"/>
          <w:sz w:val="26"/>
          <w:szCs w:val="26"/>
        </w:rPr>
        <w:t>1</w:t>
      </w:r>
      <w:r w:rsidR="007617D2" w:rsidRPr="00EA272E">
        <w:rPr>
          <w:rFonts w:eastAsia="標楷體" w:hint="eastAsia"/>
          <w:sz w:val="26"/>
          <w:szCs w:val="26"/>
        </w:rPr>
        <w:t>）</w:t>
      </w:r>
      <w:r w:rsidR="009F5A99" w:rsidRPr="00EA272E">
        <w:rPr>
          <w:rFonts w:eastAsia="標楷體"/>
          <w:sz w:val="26"/>
          <w:szCs w:val="26"/>
        </w:rPr>
        <w:t>移轉條件</w:t>
      </w:r>
      <w:r w:rsidR="009F5A99" w:rsidRPr="00EA272E">
        <w:rPr>
          <w:rFonts w:eastAsia="標楷體" w:hint="eastAsia"/>
          <w:sz w:val="26"/>
          <w:szCs w:val="26"/>
        </w:rPr>
        <w:t>（</w:t>
      </w:r>
      <w:r w:rsidR="009F5A99" w:rsidRPr="00EA272E">
        <w:rPr>
          <w:rFonts w:eastAsia="標楷體"/>
          <w:sz w:val="26"/>
          <w:szCs w:val="26"/>
        </w:rPr>
        <w:t>包括無形資產之使用權或授權是否具有專屬性、是否有任何使用限制、權利行使有無地區之限制</w:t>
      </w:r>
      <w:r w:rsidR="009F5A99" w:rsidRPr="00EA272E">
        <w:rPr>
          <w:rFonts w:eastAsia="標楷體" w:hint="eastAsia"/>
          <w:sz w:val="26"/>
          <w:szCs w:val="26"/>
        </w:rPr>
        <w:t>）</w:t>
      </w:r>
      <w:r w:rsidR="007617D2" w:rsidRPr="00EA272E">
        <w:rPr>
          <w:rFonts w:eastAsia="標楷體" w:hint="eastAsia"/>
          <w:sz w:val="26"/>
          <w:szCs w:val="26"/>
        </w:rPr>
        <w:t>；</w:t>
      </w:r>
      <w:r w:rsidR="009F5A99" w:rsidRPr="00EA272E">
        <w:rPr>
          <w:rFonts w:eastAsia="標楷體"/>
          <w:sz w:val="26"/>
          <w:szCs w:val="26"/>
        </w:rPr>
        <w:t>2</w:t>
      </w:r>
      <w:r w:rsidR="007617D2" w:rsidRPr="00EA272E">
        <w:rPr>
          <w:rFonts w:eastAsia="標楷體" w:hint="eastAsia"/>
          <w:sz w:val="26"/>
          <w:szCs w:val="26"/>
        </w:rPr>
        <w:t>）</w:t>
      </w:r>
      <w:r w:rsidR="009F5A99" w:rsidRPr="00EA272E">
        <w:rPr>
          <w:rFonts w:eastAsia="標楷體"/>
          <w:sz w:val="26"/>
          <w:szCs w:val="26"/>
        </w:rPr>
        <w:t>無形資產於使用市場所處之發展階段</w:t>
      </w:r>
      <w:r w:rsidR="009F5A99" w:rsidRPr="00EA272E">
        <w:rPr>
          <w:rFonts w:eastAsia="標楷體" w:hint="eastAsia"/>
          <w:sz w:val="26"/>
          <w:szCs w:val="26"/>
        </w:rPr>
        <w:t>（</w:t>
      </w:r>
      <w:r w:rsidR="009F5A99" w:rsidRPr="00EA272E">
        <w:rPr>
          <w:rFonts w:eastAsia="標楷體"/>
          <w:sz w:val="26"/>
          <w:szCs w:val="26"/>
        </w:rPr>
        <w:t>包括是否須政府核准、授權或核發執照</w:t>
      </w:r>
      <w:r w:rsidR="009F5A99" w:rsidRPr="00EA272E">
        <w:rPr>
          <w:rFonts w:eastAsia="標楷體" w:hint="eastAsia"/>
          <w:sz w:val="26"/>
          <w:szCs w:val="26"/>
        </w:rPr>
        <w:t>）</w:t>
      </w:r>
      <w:r w:rsidR="007617D2" w:rsidRPr="00EA272E">
        <w:rPr>
          <w:rFonts w:eastAsia="標楷體" w:hint="eastAsia"/>
          <w:sz w:val="26"/>
          <w:szCs w:val="26"/>
        </w:rPr>
        <w:t>；</w:t>
      </w:r>
      <w:r w:rsidR="009F5A99" w:rsidRPr="00EA272E">
        <w:rPr>
          <w:rFonts w:eastAsia="標楷體"/>
          <w:sz w:val="26"/>
          <w:szCs w:val="26"/>
        </w:rPr>
        <w:t>3</w:t>
      </w:r>
      <w:r w:rsidR="007617D2" w:rsidRPr="00EA272E">
        <w:rPr>
          <w:rFonts w:eastAsia="標楷體" w:hint="eastAsia"/>
          <w:sz w:val="26"/>
          <w:szCs w:val="26"/>
        </w:rPr>
        <w:t>）</w:t>
      </w:r>
      <w:r w:rsidR="009F5A99" w:rsidRPr="00EA272E">
        <w:rPr>
          <w:rFonts w:eastAsia="標楷體"/>
          <w:sz w:val="26"/>
          <w:szCs w:val="26"/>
        </w:rPr>
        <w:t>是否擁有無形資產之更新、修改及修正之權利；</w:t>
      </w:r>
      <w:r w:rsidR="009F5A99" w:rsidRPr="00EA272E">
        <w:rPr>
          <w:rFonts w:eastAsia="標楷體"/>
          <w:sz w:val="26"/>
          <w:szCs w:val="26"/>
        </w:rPr>
        <w:t>4</w:t>
      </w:r>
      <w:r w:rsidR="007617D2" w:rsidRPr="00EA272E">
        <w:rPr>
          <w:rFonts w:eastAsia="標楷體" w:hint="eastAsia"/>
          <w:sz w:val="26"/>
          <w:szCs w:val="26"/>
        </w:rPr>
        <w:t>）</w:t>
      </w:r>
      <w:r w:rsidR="009F5A99" w:rsidRPr="00EA272E">
        <w:rPr>
          <w:rFonts w:eastAsia="標楷體"/>
          <w:sz w:val="26"/>
          <w:szCs w:val="26"/>
        </w:rPr>
        <w:t>無形資產之獨特性及其維持獨特性之期間</w:t>
      </w:r>
      <w:r w:rsidR="009F5A99" w:rsidRPr="00EA272E">
        <w:rPr>
          <w:rFonts w:eastAsia="標楷體" w:hint="eastAsia"/>
          <w:sz w:val="26"/>
          <w:szCs w:val="26"/>
        </w:rPr>
        <w:t>（</w:t>
      </w:r>
      <w:r w:rsidR="009F5A99" w:rsidRPr="00EA272E">
        <w:rPr>
          <w:rFonts w:eastAsia="標楷體"/>
          <w:sz w:val="26"/>
          <w:szCs w:val="26"/>
        </w:rPr>
        <w:t>包括相關國家法律對於該無形資產之保護程度及期間</w:t>
      </w:r>
      <w:r w:rsidR="009F5A99" w:rsidRPr="00EA272E">
        <w:rPr>
          <w:rFonts w:eastAsia="標楷體" w:hint="eastAsia"/>
          <w:sz w:val="26"/>
          <w:szCs w:val="26"/>
        </w:rPr>
        <w:t>）</w:t>
      </w:r>
      <w:r w:rsidR="009F5A99" w:rsidRPr="00EA272E">
        <w:rPr>
          <w:rFonts w:eastAsia="標楷體"/>
          <w:sz w:val="26"/>
          <w:szCs w:val="26"/>
        </w:rPr>
        <w:t>；</w:t>
      </w:r>
      <w:r w:rsidR="009F5A99" w:rsidRPr="00EA272E">
        <w:rPr>
          <w:rFonts w:eastAsia="標楷體"/>
          <w:sz w:val="26"/>
          <w:szCs w:val="26"/>
        </w:rPr>
        <w:t>5</w:t>
      </w:r>
      <w:r w:rsidR="007617D2" w:rsidRPr="00EA272E">
        <w:rPr>
          <w:rFonts w:eastAsia="標楷體" w:hint="eastAsia"/>
          <w:sz w:val="26"/>
          <w:szCs w:val="26"/>
        </w:rPr>
        <w:t>）</w:t>
      </w:r>
      <w:r w:rsidR="009F5A99" w:rsidRPr="00EA272E">
        <w:rPr>
          <w:rFonts w:eastAsia="標楷體"/>
          <w:sz w:val="26"/>
          <w:szCs w:val="26"/>
        </w:rPr>
        <w:t>授權、契約或其他協議之持續期間</w:t>
      </w:r>
      <w:r w:rsidR="009F5A99" w:rsidRPr="00EA272E">
        <w:rPr>
          <w:rFonts w:eastAsia="標楷體" w:hint="eastAsia"/>
          <w:sz w:val="26"/>
          <w:szCs w:val="26"/>
        </w:rPr>
        <w:t>及終止或協商權力</w:t>
      </w:r>
      <w:r w:rsidR="009F5A99" w:rsidRPr="00EA272E">
        <w:rPr>
          <w:rFonts w:eastAsia="標楷體"/>
          <w:sz w:val="26"/>
          <w:szCs w:val="26"/>
        </w:rPr>
        <w:t>；</w:t>
      </w:r>
      <w:r w:rsidR="009F5A99" w:rsidRPr="00EA272E">
        <w:rPr>
          <w:rFonts w:eastAsia="標楷體"/>
          <w:sz w:val="26"/>
          <w:szCs w:val="26"/>
        </w:rPr>
        <w:t>6</w:t>
      </w:r>
      <w:r w:rsidR="007617D2" w:rsidRPr="00EA272E">
        <w:rPr>
          <w:rFonts w:eastAsia="標楷體" w:hint="eastAsia"/>
          <w:sz w:val="26"/>
          <w:szCs w:val="26"/>
        </w:rPr>
        <w:t>）</w:t>
      </w:r>
      <w:r w:rsidR="009F5A99" w:rsidRPr="00EA272E">
        <w:rPr>
          <w:rFonts w:eastAsia="標楷體"/>
          <w:sz w:val="26"/>
          <w:szCs w:val="26"/>
        </w:rPr>
        <w:t>受讓人承擔之</w:t>
      </w:r>
      <w:r w:rsidR="009F5A99" w:rsidRPr="00EA272E">
        <w:rPr>
          <w:rFonts w:eastAsia="標楷體" w:hint="eastAsia"/>
          <w:sz w:val="26"/>
          <w:szCs w:val="26"/>
        </w:rPr>
        <w:t>任何</w:t>
      </w:r>
      <w:r w:rsidR="009F5A99" w:rsidRPr="00EA272E">
        <w:rPr>
          <w:rFonts w:eastAsia="標楷體"/>
          <w:sz w:val="26"/>
          <w:szCs w:val="26"/>
        </w:rPr>
        <w:t>經濟及產品責任風險</w:t>
      </w:r>
      <w:r w:rsidR="00377F38" w:rsidRPr="00EA272E">
        <w:rPr>
          <w:rFonts w:eastAsia="標楷體" w:hint="eastAsia"/>
          <w:sz w:val="26"/>
          <w:szCs w:val="26"/>
        </w:rPr>
        <w:t>與</w:t>
      </w:r>
      <w:r w:rsidR="009F5A99" w:rsidRPr="00EA272E">
        <w:rPr>
          <w:rFonts w:eastAsia="標楷體"/>
          <w:sz w:val="26"/>
          <w:szCs w:val="26"/>
        </w:rPr>
        <w:t>7</w:t>
      </w:r>
      <w:r w:rsidR="007617D2" w:rsidRPr="00EA272E">
        <w:rPr>
          <w:rFonts w:eastAsia="標楷體" w:hint="eastAsia"/>
          <w:sz w:val="26"/>
          <w:szCs w:val="26"/>
        </w:rPr>
        <w:t>）</w:t>
      </w:r>
      <w:r w:rsidR="009F5A99" w:rsidRPr="00EA272E">
        <w:rPr>
          <w:rFonts w:eastAsia="標楷體"/>
          <w:sz w:val="26"/>
          <w:szCs w:val="26"/>
        </w:rPr>
        <w:t>受讓人與讓與人所執行之功能</w:t>
      </w:r>
      <w:r w:rsidR="009F5A99" w:rsidRPr="00EA272E">
        <w:rPr>
          <w:rFonts w:eastAsia="標楷體" w:hint="eastAsia"/>
          <w:sz w:val="26"/>
          <w:szCs w:val="26"/>
        </w:rPr>
        <w:t>（</w:t>
      </w:r>
      <w:r w:rsidR="009F5A99" w:rsidRPr="00EA272E">
        <w:rPr>
          <w:rFonts w:eastAsia="標楷體"/>
          <w:sz w:val="26"/>
          <w:szCs w:val="26"/>
        </w:rPr>
        <w:t>包括附屬及支援服</w:t>
      </w:r>
      <w:r w:rsidR="009F5A99" w:rsidRPr="00EA272E">
        <w:rPr>
          <w:rFonts w:eastAsia="標楷體"/>
          <w:sz w:val="26"/>
          <w:szCs w:val="26"/>
        </w:rPr>
        <w:lastRenderedPageBreak/>
        <w:t>務</w:t>
      </w:r>
      <w:r w:rsidR="009F5A99" w:rsidRPr="00EA272E">
        <w:rPr>
          <w:rFonts w:eastAsia="標楷體" w:hint="eastAsia"/>
          <w:sz w:val="26"/>
          <w:szCs w:val="26"/>
        </w:rPr>
        <w:t>）</w:t>
      </w:r>
      <w:r w:rsidR="009F5A99" w:rsidRPr="00EA272E">
        <w:rPr>
          <w:rFonts w:eastAsia="標楷體"/>
          <w:sz w:val="26"/>
          <w:szCs w:val="26"/>
        </w:rPr>
        <w:t>等因素</w:t>
      </w:r>
      <w:r w:rsidR="00377F38" w:rsidRPr="00EA272E">
        <w:rPr>
          <w:rFonts w:eastAsia="標楷體" w:hint="eastAsia"/>
          <w:sz w:val="26"/>
          <w:szCs w:val="26"/>
        </w:rPr>
        <w:t>之差異</w:t>
      </w:r>
      <w:r w:rsidR="009F5A99" w:rsidRPr="00EA272E">
        <w:rPr>
          <w:rFonts w:eastAsia="標楷體"/>
          <w:sz w:val="26"/>
          <w:szCs w:val="26"/>
        </w:rPr>
        <w:t>。</w:t>
      </w:r>
      <w:r w:rsidRPr="00EA272E">
        <w:rPr>
          <w:rFonts w:eastAsia="標楷體"/>
          <w:sz w:val="26"/>
          <w:szCs w:val="26"/>
        </w:rPr>
        <w:t>其間如有</w:t>
      </w:r>
      <w:r w:rsidR="004C2A43" w:rsidRPr="00EA272E">
        <w:rPr>
          <w:rFonts w:eastAsia="標楷體" w:hint="eastAsia"/>
          <w:sz w:val="26"/>
          <w:szCs w:val="26"/>
        </w:rPr>
        <w:t>前項</w:t>
      </w:r>
      <w:r w:rsidRPr="00EA272E">
        <w:rPr>
          <w:rFonts w:eastAsia="標楷體"/>
          <w:sz w:val="26"/>
          <w:szCs w:val="26"/>
        </w:rPr>
        <w:t>差異，應就該等差異對常規交易價格之影響進行合理之調整，其無法經由合理之調整以消除該等差異者，應採用其他適合之常規交易方法。</w:t>
      </w:r>
    </w:p>
    <w:p w:rsidR="0032590C" w:rsidRDefault="00B276E3" w:rsidP="00965AF0">
      <w:pPr>
        <w:numPr>
          <w:ilvl w:val="0"/>
          <w:numId w:val="3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再售價格法</w:t>
      </w:r>
    </w:p>
    <w:p w:rsidR="0032590C" w:rsidRDefault="0056725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16</w:t>
      </w:r>
      <w:r w:rsidRPr="00EA272E">
        <w:rPr>
          <w:rFonts w:eastAsia="標楷體"/>
          <w:sz w:val="26"/>
          <w:szCs w:val="26"/>
        </w:rPr>
        <w:t>條所</w:t>
      </w:r>
      <w:r w:rsidR="0044220E" w:rsidRPr="00EA272E">
        <w:rPr>
          <w:rFonts w:eastAsia="標楷體" w:hint="eastAsia"/>
          <w:sz w:val="26"/>
          <w:szCs w:val="26"/>
        </w:rPr>
        <w:t>定</w:t>
      </w:r>
      <w:r w:rsidRPr="00EA272E">
        <w:rPr>
          <w:rFonts w:eastAsia="標楷體"/>
          <w:sz w:val="26"/>
          <w:szCs w:val="26"/>
        </w:rPr>
        <w:t>再售價格法，係按從事受控交易之營利事業再銷售予非關係人之價格，減除依可比較未受控交易毛利率計算之毛利後之金額，為受控交易之常規交易價格。</w:t>
      </w:r>
    </w:p>
    <w:p w:rsidR="0032590C" w:rsidRDefault="00754F45"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評估再售價格法之適用性時，尤應特別考量</w:t>
      </w:r>
      <w:r w:rsidR="00137126" w:rsidRPr="00EA272E">
        <w:rPr>
          <w:rFonts w:eastAsia="標楷體" w:hint="eastAsia"/>
          <w:sz w:val="26"/>
          <w:szCs w:val="26"/>
        </w:rPr>
        <w:t>：</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執行之功能</w:t>
      </w:r>
      <w:r w:rsidRPr="00EA272E">
        <w:rPr>
          <w:rFonts w:eastAsia="標楷體" w:hint="eastAsia"/>
          <w:sz w:val="26"/>
          <w:szCs w:val="26"/>
        </w:rPr>
        <w:t>（</w:t>
      </w:r>
      <w:r w:rsidRPr="00EA272E">
        <w:rPr>
          <w:rFonts w:eastAsia="標楷體"/>
          <w:sz w:val="26"/>
          <w:szCs w:val="26"/>
        </w:rPr>
        <w:t>如銷售、行銷、廣告及服務</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承擔之風險</w:t>
      </w:r>
      <w:r w:rsidRPr="00EA272E">
        <w:rPr>
          <w:rFonts w:eastAsia="標楷體" w:hint="eastAsia"/>
          <w:sz w:val="26"/>
          <w:szCs w:val="26"/>
        </w:rPr>
        <w:t>（</w:t>
      </w:r>
      <w:r w:rsidRPr="00EA272E">
        <w:rPr>
          <w:rFonts w:eastAsia="標楷體"/>
          <w:sz w:val="26"/>
          <w:szCs w:val="26"/>
        </w:rPr>
        <w:t>如存貨水準及其週轉率及相關風險</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契約條款</w:t>
      </w:r>
      <w:r w:rsidRPr="00EA272E">
        <w:rPr>
          <w:rFonts w:eastAsia="標楷體" w:hint="eastAsia"/>
          <w:sz w:val="26"/>
          <w:szCs w:val="26"/>
        </w:rPr>
        <w:t>（</w:t>
      </w:r>
      <w:r w:rsidRPr="00EA272E">
        <w:rPr>
          <w:rFonts w:eastAsia="標楷體"/>
          <w:sz w:val="26"/>
          <w:szCs w:val="26"/>
        </w:rPr>
        <w:t>如保證範圍及條款、交易數量、信用條件、交貨條件</w:t>
      </w:r>
      <w:r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t>市場情況</w:t>
      </w:r>
      <w:r w:rsidRPr="00EA272E">
        <w:rPr>
          <w:rFonts w:eastAsia="標楷體" w:hint="eastAsia"/>
          <w:sz w:val="26"/>
          <w:szCs w:val="26"/>
        </w:rPr>
        <w:t>（</w:t>
      </w:r>
      <w:r w:rsidRPr="00EA272E">
        <w:rPr>
          <w:rFonts w:eastAsia="標楷體"/>
          <w:sz w:val="26"/>
          <w:szCs w:val="26"/>
        </w:rPr>
        <w:t>如處於批發或零售之市場層級</w:t>
      </w:r>
      <w:r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w:t>
      </w:r>
      <w:r w:rsidRPr="00EA272E">
        <w:rPr>
          <w:rFonts w:eastAsia="標楷體"/>
          <w:sz w:val="26"/>
          <w:szCs w:val="26"/>
        </w:rPr>
        <w:t>交易內容是否包含無形資產</w:t>
      </w:r>
      <w:r w:rsidRPr="00EA272E">
        <w:rPr>
          <w:rFonts w:eastAsia="標楷體" w:hint="eastAsia"/>
          <w:sz w:val="26"/>
          <w:szCs w:val="26"/>
        </w:rPr>
        <w:t>；</w:t>
      </w:r>
      <w:r w:rsidRPr="00EA272E">
        <w:rPr>
          <w:rFonts w:eastAsia="標楷體" w:hint="eastAsia"/>
          <w:sz w:val="26"/>
          <w:szCs w:val="26"/>
        </w:rPr>
        <w:t>6</w:t>
      </w:r>
      <w:r w:rsidRPr="00EA272E">
        <w:rPr>
          <w:rFonts w:eastAsia="標楷體" w:hint="eastAsia"/>
          <w:sz w:val="26"/>
          <w:szCs w:val="26"/>
        </w:rPr>
        <w:t>）</w:t>
      </w:r>
      <w:r w:rsidRPr="00EA272E">
        <w:rPr>
          <w:rFonts w:eastAsia="標楷體"/>
          <w:sz w:val="26"/>
          <w:szCs w:val="26"/>
        </w:rPr>
        <w:t>成本結構</w:t>
      </w:r>
      <w:r w:rsidRPr="00EA272E">
        <w:rPr>
          <w:rFonts w:eastAsia="標楷體" w:hint="eastAsia"/>
          <w:sz w:val="26"/>
          <w:szCs w:val="26"/>
        </w:rPr>
        <w:t>（</w:t>
      </w:r>
      <w:r w:rsidRPr="00EA272E">
        <w:rPr>
          <w:rFonts w:eastAsia="標楷體"/>
          <w:sz w:val="26"/>
          <w:szCs w:val="26"/>
        </w:rPr>
        <w:t>如機器、設備已使用之年數</w:t>
      </w:r>
      <w:r w:rsidRPr="00EA272E">
        <w:rPr>
          <w:rFonts w:eastAsia="標楷體" w:hint="eastAsia"/>
          <w:sz w:val="26"/>
          <w:szCs w:val="26"/>
        </w:rPr>
        <w:t>）；</w:t>
      </w:r>
      <w:r w:rsidRPr="00EA272E">
        <w:rPr>
          <w:rFonts w:eastAsia="標楷體" w:hint="eastAsia"/>
          <w:sz w:val="26"/>
          <w:szCs w:val="26"/>
        </w:rPr>
        <w:t>7</w:t>
      </w:r>
      <w:r w:rsidRPr="00EA272E">
        <w:rPr>
          <w:rFonts w:eastAsia="標楷體" w:hint="eastAsia"/>
          <w:sz w:val="26"/>
          <w:szCs w:val="26"/>
        </w:rPr>
        <w:t>）</w:t>
      </w:r>
      <w:r w:rsidRPr="00EA272E">
        <w:rPr>
          <w:rFonts w:eastAsia="標楷體"/>
          <w:sz w:val="26"/>
          <w:szCs w:val="26"/>
        </w:rPr>
        <w:t>商業經驗</w:t>
      </w:r>
      <w:r w:rsidRPr="00EA272E">
        <w:rPr>
          <w:rFonts w:eastAsia="標楷體" w:hint="eastAsia"/>
          <w:sz w:val="26"/>
          <w:szCs w:val="26"/>
        </w:rPr>
        <w:t>（</w:t>
      </w:r>
      <w:r w:rsidRPr="00EA272E">
        <w:rPr>
          <w:rFonts w:eastAsia="標楷體"/>
          <w:sz w:val="26"/>
          <w:szCs w:val="26"/>
        </w:rPr>
        <w:t>如處於開創期或成熟期</w:t>
      </w:r>
      <w:r w:rsidRPr="00EA272E">
        <w:rPr>
          <w:rFonts w:eastAsia="標楷體" w:hint="eastAsia"/>
          <w:sz w:val="26"/>
          <w:szCs w:val="26"/>
        </w:rPr>
        <w:t>）；</w:t>
      </w:r>
      <w:r w:rsidRPr="00EA272E">
        <w:rPr>
          <w:rFonts w:eastAsia="標楷體" w:hint="eastAsia"/>
          <w:sz w:val="26"/>
          <w:szCs w:val="26"/>
        </w:rPr>
        <w:t>8</w:t>
      </w:r>
      <w:r w:rsidRPr="00EA272E">
        <w:rPr>
          <w:rFonts w:eastAsia="標楷體" w:hint="eastAsia"/>
          <w:sz w:val="26"/>
          <w:szCs w:val="26"/>
        </w:rPr>
        <w:t>）</w:t>
      </w:r>
      <w:r w:rsidRPr="00EA272E">
        <w:rPr>
          <w:rFonts w:eastAsia="標楷體"/>
          <w:sz w:val="26"/>
          <w:szCs w:val="26"/>
        </w:rPr>
        <w:t>管理效率</w:t>
      </w:r>
      <w:r w:rsidRPr="00EA272E">
        <w:rPr>
          <w:rFonts w:eastAsia="標楷體" w:hint="eastAsia"/>
          <w:sz w:val="26"/>
          <w:szCs w:val="26"/>
        </w:rPr>
        <w:t>及</w:t>
      </w:r>
      <w:r w:rsidRPr="00EA272E">
        <w:rPr>
          <w:rFonts w:eastAsia="標楷體" w:hint="eastAsia"/>
          <w:sz w:val="26"/>
          <w:szCs w:val="26"/>
        </w:rPr>
        <w:t>9</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w:t>
      </w:r>
      <w:r w:rsidRPr="00EA272E">
        <w:rPr>
          <w:rFonts w:eastAsia="標楷體"/>
          <w:sz w:val="26"/>
          <w:szCs w:val="26"/>
        </w:rPr>
        <w:t>如成本及存貨評價方法</w:t>
      </w:r>
      <w:r w:rsidRPr="00EA272E">
        <w:rPr>
          <w:rFonts w:eastAsia="標楷體" w:hint="eastAsia"/>
          <w:sz w:val="26"/>
          <w:szCs w:val="26"/>
        </w:rPr>
        <w:t>）等</w:t>
      </w:r>
      <w:r w:rsidRPr="00EA272E">
        <w:rPr>
          <w:rFonts w:eastAsia="標楷體"/>
          <w:sz w:val="26"/>
          <w:szCs w:val="26"/>
        </w:rPr>
        <w:t>影響毛利率之因素</w:t>
      </w:r>
      <w:r w:rsidRPr="00EA272E">
        <w:rPr>
          <w:rFonts w:eastAsia="標楷體" w:hint="eastAsia"/>
          <w:sz w:val="26"/>
          <w:szCs w:val="26"/>
        </w:rPr>
        <w:t>。</w:t>
      </w:r>
      <w:r w:rsidR="00CA48A2" w:rsidRPr="00EA272E">
        <w:rPr>
          <w:rFonts w:eastAsia="標楷體"/>
          <w:sz w:val="26"/>
          <w:szCs w:val="26"/>
        </w:rPr>
        <w:t>其間如營利事業及其所從事之受控交易與可比較對象間</w:t>
      </w:r>
      <w:r w:rsidR="00CA48A2" w:rsidRPr="00EA272E">
        <w:rPr>
          <w:rFonts w:eastAsia="標楷體" w:hint="eastAsia"/>
          <w:sz w:val="26"/>
          <w:szCs w:val="26"/>
        </w:rPr>
        <w:t>存</w:t>
      </w:r>
      <w:r w:rsidR="00CA48A2" w:rsidRPr="00EA272E">
        <w:rPr>
          <w:rFonts w:eastAsia="標楷體"/>
          <w:sz w:val="26"/>
          <w:szCs w:val="26"/>
        </w:rPr>
        <w:t>有</w:t>
      </w:r>
      <w:r w:rsidR="004C2A43" w:rsidRPr="00EA272E">
        <w:rPr>
          <w:rFonts w:eastAsia="標楷體" w:hint="eastAsia"/>
          <w:sz w:val="26"/>
          <w:szCs w:val="26"/>
        </w:rPr>
        <w:t>前項</w:t>
      </w:r>
      <w:r w:rsidR="00CA48A2" w:rsidRPr="00EA272E">
        <w:rPr>
          <w:rFonts w:eastAsia="標楷體"/>
          <w:sz w:val="26"/>
          <w:szCs w:val="26"/>
        </w:rPr>
        <w:t>差異</w:t>
      </w:r>
      <w:r w:rsidRPr="00EA272E">
        <w:rPr>
          <w:rFonts w:eastAsia="標楷體"/>
          <w:sz w:val="26"/>
          <w:szCs w:val="26"/>
        </w:rPr>
        <w:t>，</w:t>
      </w:r>
      <w:r w:rsidR="002E0478" w:rsidRPr="00EA272E">
        <w:rPr>
          <w:rFonts w:eastAsia="標楷體"/>
          <w:sz w:val="26"/>
          <w:szCs w:val="26"/>
        </w:rPr>
        <w:t>應就該等差異對毛利率之影響進行</w:t>
      </w:r>
      <w:r w:rsidRPr="00EA272E">
        <w:rPr>
          <w:rFonts w:eastAsia="標楷體"/>
          <w:sz w:val="26"/>
          <w:szCs w:val="26"/>
        </w:rPr>
        <w:t>合理之調整，其無法經由合理之調整以消除該等差異者，應</w:t>
      </w:r>
      <w:r w:rsidR="002E0478" w:rsidRPr="00EA272E">
        <w:rPr>
          <w:rFonts w:eastAsia="標楷體"/>
          <w:sz w:val="26"/>
          <w:szCs w:val="26"/>
        </w:rPr>
        <w:t>採用其他適合之常規交易方法。</w:t>
      </w:r>
    </w:p>
    <w:p w:rsidR="0032590C" w:rsidRDefault="00B276E3" w:rsidP="00965AF0">
      <w:pPr>
        <w:numPr>
          <w:ilvl w:val="0"/>
          <w:numId w:val="3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成本加價法</w:t>
      </w:r>
    </w:p>
    <w:p w:rsidR="0032590C" w:rsidRDefault="0056725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17</w:t>
      </w:r>
      <w:r w:rsidRPr="00EA272E">
        <w:rPr>
          <w:rFonts w:eastAsia="標楷體"/>
          <w:sz w:val="26"/>
          <w:szCs w:val="26"/>
        </w:rPr>
        <w:t>條所</w:t>
      </w:r>
      <w:r w:rsidR="0044220E" w:rsidRPr="00EA272E">
        <w:rPr>
          <w:rFonts w:eastAsia="標楷體" w:hint="eastAsia"/>
          <w:sz w:val="26"/>
          <w:szCs w:val="26"/>
        </w:rPr>
        <w:t>定</w:t>
      </w:r>
      <w:r w:rsidRPr="00EA272E">
        <w:rPr>
          <w:rFonts w:eastAsia="標楷體"/>
          <w:sz w:val="26"/>
          <w:szCs w:val="26"/>
        </w:rPr>
        <w:t>成本加價法，係以自非關係人購進之成本或自行製造之成本，加計依可比較未受控交易成本加價率計算之毛利後之金額，為受控交易之常規交易價格。</w:t>
      </w:r>
    </w:p>
    <w:p w:rsidR="0032590C" w:rsidRDefault="00CA48A2"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評估成本加價法之適用性時，尤應特別考量</w:t>
      </w:r>
      <w:r w:rsidR="004012DE" w:rsidRPr="00EA272E">
        <w:rPr>
          <w:rFonts w:eastAsia="標楷體" w:hint="eastAsia"/>
          <w:sz w:val="26"/>
          <w:szCs w:val="26"/>
        </w:rPr>
        <w:t>：</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執行之功能</w:t>
      </w:r>
      <w:r w:rsidRPr="00EA272E">
        <w:rPr>
          <w:rFonts w:eastAsia="標楷體" w:hint="eastAsia"/>
          <w:sz w:val="26"/>
          <w:szCs w:val="26"/>
        </w:rPr>
        <w:t>（</w:t>
      </w:r>
      <w:r w:rsidRPr="00EA272E">
        <w:rPr>
          <w:rFonts w:eastAsia="標楷體"/>
          <w:sz w:val="26"/>
          <w:szCs w:val="26"/>
        </w:rPr>
        <w:t>如製造、加工技術或安裝複雜程度、測試功能</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承擔之風險</w:t>
      </w:r>
      <w:r w:rsidRPr="00EA272E">
        <w:rPr>
          <w:rFonts w:eastAsia="標楷體" w:hint="eastAsia"/>
          <w:sz w:val="26"/>
          <w:szCs w:val="26"/>
        </w:rPr>
        <w:t>（</w:t>
      </w:r>
      <w:r w:rsidRPr="00EA272E">
        <w:rPr>
          <w:rFonts w:eastAsia="標楷體"/>
          <w:sz w:val="26"/>
          <w:szCs w:val="26"/>
        </w:rPr>
        <w:t>如市場風險、匯兌風險</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契約條款</w:t>
      </w:r>
      <w:r w:rsidRPr="00EA272E">
        <w:rPr>
          <w:rFonts w:eastAsia="標楷體" w:hint="eastAsia"/>
          <w:sz w:val="26"/>
          <w:szCs w:val="26"/>
        </w:rPr>
        <w:t>（</w:t>
      </w:r>
      <w:r w:rsidR="004012DE" w:rsidRPr="00EA272E">
        <w:rPr>
          <w:rFonts w:eastAsia="標楷體"/>
          <w:sz w:val="26"/>
          <w:szCs w:val="26"/>
        </w:rPr>
        <w:t>如保證範圍及條</w:t>
      </w:r>
      <w:r w:rsidR="004012DE" w:rsidRPr="00EA272E">
        <w:rPr>
          <w:rFonts w:eastAsia="標楷體" w:hint="eastAsia"/>
          <w:sz w:val="26"/>
          <w:szCs w:val="26"/>
        </w:rPr>
        <w:t>件</w:t>
      </w:r>
      <w:r w:rsidRPr="00EA272E">
        <w:rPr>
          <w:rFonts w:eastAsia="標楷體"/>
          <w:sz w:val="26"/>
          <w:szCs w:val="26"/>
        </w:rPr>
        <w:t>、交易數量、信用</w:t>
      </w:r>
      <w:r w:rsidRPr="00EA272E">
        <w:rPr>
          <w:rFonts w:eastAsia="標楷體"/>
          <w:sz w:val="26"/>
          <w:szCs w:val="26"/>
        </w:rPr>
        <w:lastRenderedPageBreak/>
        <w:t>條件、交貨條件</w:t>
      </w:r>
      <w:r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t>交易內容是否包含無形資產</w:t>
      </w:r>
      <w:r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w:t>
      </w:r>
      <w:r w:rsidRPr="00EA272E">
        <w:rPr>
          <w:rFonts w:eastAsia="標楷體"/>
          <w:sz w:val="26"/>
          <w:szCs w:val="26"/>
        </w:rPr>
        <w:t>成本結構</w:t>
      </w:r>
      <w:r w:rsidRPr="00EA272E">
        <w:rPr>
          <w:rFonts w:eastAsia="標楷體" w:hint="eastAsia"/>
          <w:sz w:val="26"/>
          <w:szCs w:val="26"/>
        </w:rPr>
        <w:t>（</w:t>
      </w:r>
      <w:r w:rsidRPr="00EA272E">
        <w:rPr>
          <w:rFonts w:eastAsia="標楷體"/>
          <w:sz w:val="26"/>
          <w:szCs w:val="26"/>
        </w:rPr>
        <w:t>如機器、設備已使用之年數</w:t>
      </w:r>
      <w:r w:rsidRPr="00EA272E">
        <w:rPr>
          <w:rFonts w:eastAsia="標楷體" w:hint="eastAsia"/>
          <w:sz w:val="26"/>
          <w:szCs w:val="26"/>
        </w:rPr>
        <w:t>）；</w:t>
      </w:r>
      <w:r w:rsidRPr="00EA272E">
        <w:rPr>
          <w:rFonts w:eastAsia="標楷體" w:hint="eastAsia"/>
          <w:sz w:val="26"/>
          <w:szCs w:val="26"/>
        </w:rPr>
        <w:t>6</w:t>
      </w:r>
      <w:r w:rsidRPr="00EA272E">
        <w:rPr>
          <w:rFonts w:eastAsia="標楷體" w:hint="eastAsia"/>
          <w:sz w:val="26"/>
          <w:szCs w:val="26"/>
        </w:rPr>
        <w:t>）</w:t>
      </w:r>
      <w:r w:rsidRPr="00EA272E">
        <w:rPr>
          <w:rFonts w:eastAsia="標楷體"/>
          <w:sz w:val="26"/>
          <w:szCs w:val="26"/>
        </w:rPr>
        <w:t>商業經驗</w:t>
      </w:r>
      <w:r w:rsidRPr="00EA272E">
        <w:rPr>
          <w:rFonts w:eastAsia="標楷體" w:hint="eastAsia"/>
          <w:sz w:val="26"/>
          <w:szCs w:val="26"/>
        </w:rPr>
        <w:t>（</w:t>
      </w:r>
      <w:r w:rsidRPr="00EA272E">
        <w:rPr>
          <w:rFonts w:eastAsia="標楷體"/>
          <w:sz w:val="26"/>
          <w:szCs w:val="26"/>
        </w:rPr>
        <w:t>如處於開創期或成熟期</w:t>
      </w:r>
      <w:r w:rsidRPr="00EA272E">
        <w:rPr>
          <w:rFonts w:eastAsia="標楷體" w:hint="eastAsia"/>
          <w:sz w:val="26"/>
          <w:szCs w:val="26"/>
        </w:rPr>
        <w:t>）；</w:t>
      </w:r>
      <w:r w:rsidRPr="00EA272E">
        <w:rPr>
          <w:rFonts w:eastAsia="標楷體" w:hint="eastAsia"/>
          <w:sz w:val="26"/>
          <w:szCs w:val="26"/>
        </w:rPr>
        <w:t>7</w:t>
      </w:r>
      <w:r w:rsidRPr="00EA272E">
        <w:rPr>
          <w:rFonts w:eastAsia="標楷體" w:hint="eastAsia"/>
          <w:sz w:val="26"/>
          <w:szCs w:val="26"/>
        </w:rPr>
        <w:t>）</w:t>
      </w:r>
      <w:r w:rsidRPr="00EA272E">
        <w:rPr>
          <w:rFonts w:eastAsia="標楷體"/>
          <w:sz w:val="26"/>
          <w:szCs w:val="26"/>
        </w:rPr>
        <w:t>管理效率</w:t>
      </w:r>
      <w:r w:rsidRPr="00EA272E">
        <w:rPr>
          <w:rFonts w:eastAsia="標楷體" w:hint="eastAsia"/>
          <w:sz w:val="26"/>
          <w:szCs w:val="26"/>
        </w:rPr>
        <w:t>及</w:t>
      </w:r>
      <w:r w:rsidRPr="00EA272E">
        <w:rPr>
          <w:rFonts w:eastAsia="標楷體" w:hint="eastAsia"/>
          <w:sz w:val="26"/>
          <w:szCs w:val="26"/>
        </w:rPr>
        <w:t>8</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w:t>
      </w:r>
      <w:r w:rsidRPr="00EA272E">
        <w:rPr>
          <w:rFonts w:eastAsia="標楷體"/>
          <w:sz w:val="26"/>
          <w:szCs w:val="26"/>
        </w:rPr>
        <w:t>如成本及存貨評價方法</w:t>
      </w:r>
      <w:r w:rsidRPr="00EA272E">
        <w:rPr>
          <w:rFonts w:eastAsia="標楷體" w:hint="eastAsia"/>
          <w:sz w:val="26"/>
          <w:szCs w:val="26"/>
        </w:rPr>
        <w:t>）等</w:t>
      </w:r>
      <w:r w:rsidRPr="00EA272E">
        <w:rPr>
          <w:rFonts w:eastAsia="標楷體"/>
          <w:sz w:val="26"/>
          <w:szCs w:val="26"/>
        </w:rPr>
        <w:t>影響成本加價率之因素</w:t>
      </w:r>
      <w:r w:rsidRPr="00EA272E">
        <w:rPr>
          <w:rFonts w:eastAsia="標楷體" w:hint="eastAsia"/>
          <w:sz w:val="26"/>
          <w:szCs w:val="26"/>
        </w:rPr>
        <w:t>。</w:t>
      </w:r>
      <w:r w:rsidRPr="00EA272E">
        <w:rPr>
          <w:rFonts w:eastAsia="標楷體"/>
          <w:sz w:val="26"/>
          <w:szCs w:val="26"/>
        </w:rPr>
        <w:t>其間如營利事業及其所從事之受控交易與可比較對象間</w:t>
      </w:r>
      <w:r w:rsidRPr="00EA272E">
        <w:rPr>
          <w:rFonts w:eastAsia="標楷體" w:hint="eastAsia"/>
          <w:sz w:val="26"/>
          <w:szCs w:val="26"/>
        </w:rPr>
        <w:t>存</w:t>
      </w:r>
      <w:r w:rsidRPr="00EA272E">
        <w:rPr>
          <w:rFonts w:eastAsia="標楷體"/>
          <w:sz w:val="26"/>
          <w:szCs w:val="26"/>
        </w:rPr>
        <w:t>有</w:t>
      </w:r>
      <w:r w:rsidR="004C2A43" w:rsidRPr="00EA272E">
        <w:rPr>
          <w:rFonts w:eastAsia="標楷體" w:hint="eastAsia"/>
          <w:sz w:val="26"/>
          <w:szCs w:val="26"/>
        </w:rPr>
        <w:t>前項</w:t>
      </w:r>
      <w:r w:rsidRPr="00EA272E">
        <w:rPr>
          <w:rFonts w:eastAsia="標楷體"/>
          <w:sz w:val="26"/>
          <w:szCs w:val="26"/>
        </w:rPr>
        <w:t>差異，應就該等差異對成本加價率之影響進行合理之調整，其無法經由合理之調整以消除該等差異者，應採用其他適合之常規交易方法。</w:t>
      </w:r>
    </w:p>
    <w:p w:rsidR="0032590C" w:rsidRDefault="00B276E3" w:rsidP="00965AF0">
      <w:pPr>
        <w:numPr>
          <w:ilvl w:val="0"/>
          <w:numId w:val="3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可比較利潤法</w:t>
      </w:r>
    </w:p>
    <w:p w:rsidR="0032590C" w:rsidRDefault="0056725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18</w:t>
      </w:r>
      <w:r w:rsidRPr="00EA272E">
        <w:rPr>
          <w:rFonts w:eastAsia="標楷體"/>
          <w:sz w:val="26"/>
          <w:szCs w:val="26"/>
        </w:rPr>
        <w:t>條所定可比較利潤法，係以可比較未受控交易於特定年限內之平均利潤率指標為基礎，計算可比較營業利潤，並據以決定受控交易之常規交易結果。</w:t>
      </w:r>
    </w:p>
    <w:p w:rsidR="0032590C" w:rsidRDefault="007413E8"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採用可比較利潤法時，</w:t>
      </w:r>
      <w:r w:rsidR="00D0513E" w:rsidRPr="00EA272E">
        <w:rPr>
          <w:rFonts w:eastAsia="標楷體" w:hint="eastAsia"/>
          <w:sz w:val="26"/>
          <w:szCs w:val="26"/>
        </w:rPr>
        <w:t>須</w:t>
      </w:r>
      <w:r w:rsidR="004012DE" w:rsidRPr="00EA272E">
        <w:rPr>
          <w:rFonts w:eastAsia="標楷體" w:hint="eastAsia"/>
          <w:sz w:val="26"/>
          <w:szCs w:val="26"/>
        </w:rPr>
        <w:t>遵循下列步驟：</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選定受測個體及受測活動</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選定與受測個體及受測活動相似之可比較未受控交易</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選定利潤率指標</w:t>
      </w:r>
      <w:r w:rsidRPr="00EA272E">
        <w:rPr>
          <w:rFonts w:eastAsia="標楷體" w:hint="eastAsia"/>
          <w:sz w:val="26"/>
          <w:szCs w:val="26"/>
        </w:rPr>
        <w:t>；</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t>決定可比較未受控交易之平均利潤率</w:t>
      </w:r>
      <w:r w:rsidRPr="00EA272E">
        <w:rPr>
          <w:rFonts w:eastAsia="標楷體" w:hint="eastAsia"/>
          <w:sz w:val="26"/>
          <w:szCs w:val="26"/>
        </w:rPr>
        <w:t>；</w:t>
      </w:r>
      <w:r w:rsidRPr="00EA272E">
        <w:rPr>
          <w:rFonts w:eastAsia="標楷體" w:hint="eastAsia"/>
          <w:sz w:val="26"/>
          <w:szCs w:val="26"/>
        </w:rPr>
        <w:t>5</w:t>
      </w:r>
      <w:r w:rsidRPr="00EA272E">
        <w:rPr>
          <w:rFonts w:eastAsia="標楷體" w:hint="eastAsia"/>
          <w:sz w:val="26"/>
          <w:szCs w:val="26"/>
        </w:rPr>
        <w:t>）</w:t>
      </w:r>
      <w:r w:rsidRPr="00EA272E">
        <w:rPr>
          <w:rFonts w:eastAsia="標楷體"/>
          <w:sz w:val="26"/>
          <w:szCs w:val="26"/>
        </w:rPr>
        <w:t>依受測個體之受測活動於特定年限內之營業資產、銷貨淨額、營業費用或其他基礎之年平均數，計算可比較營業利潤</w:t>
      </w:r>
      <w:r w:rsidRPr="00EA272E">
        <w:rPr>
          <w:rFonts w:eastAsia="標楷體" w:hint="eastAsia"/>
          <w:sz w:val="26"/>
          <w:szCs w:val="26"/>
        </w:rPr>
        <w:t>；</w:t>
      </w:r>
      <w:r w:rsidRPr="00EA272E">
        <w:rPr>
          <w:rFonts w:eastAsia="標楷體" w:hint="eastAsia"/>
          <w:sz w:val="26"/>
          <w:szCs w:val="26"/>
        </w:rPr>
        <w:t>6</w:t>
      </w:r>
      <w:r w:rsidRPr="00EA272E">
        <w:rPr>
          <w:rFonts w:eastAsia="標楷體" w:hint="eastAsia"/>
          <w:sz w:val="26"/>
          <w:szCs w:val="26"/>
        </w:rPr>
        <w:t>）</w:t>
      </w:r>
      <w:r w:rsidR="00D0513E" w:rsidRPr="00EA272E">
        <w:rPr>
          <w:rFonts w:eastAsia="標楷體"/>
          <w:sz w:val="26"/>
          <w:szCs w:val="26"/>
        </w:rPr>
        <w:t>受測個體從事受測活動於特定年限內之平均營業利潤</w:t>
      </w:r>
      <w:r w:rsidR="004012DE" w:rsidRPr="00EA272E">
        <w:rPr>
          <w:rFonts w:eastAsia="標楷體" w:hint="eastAsia"/>
          <w:sz w:val="26"/>
          <w:szCs w:val="26"/>
        </w:rPr>
        <w:t>在</w:t>
      </w:r>
      <w:r w:rsidRPr="00EA272E">
        <w:rPr>
          <w:rFonts w:eastAsia="標楷體"/>
          <w:sz w:val="26"/>
          <w:szCs w:val="26"/>
        </w:rPr>
        <w:t>常規交易範圍之內者，視為符合常規；在該範圍之外者，按交易當年度所有可比較營業利潤之中位數調整受測個體當年度之營業利潤</w:t>
      </w:r>
      <w:r w:rsidRPr="00EA272E">
        <w:rPr>
          <w:rFonts w:eastAsia="標楷體" w:hint="eastAsia"/>
          <w:sz w:val="26"/>
          <w:szCs w:val="26"/>
        </w:rPr>
        <w:t>及</w:t>
      </w:r>
      <w:r w:rsidRPr="00EA272E">
        <w:rPr>
          <w:rFonts w:eastAsia="標楷體" w:hint="eastAsia"/>
          <w:sz w:val="26"/>
          <w:szCs w:val="26"/>
        </w:rPr>
        <w:t>7</w:t>
      </w:r>
      <w:r w:rsidRPr="00EA272E">
        <w:rPr>
          <w:rFonts w:eastAsia="標楷體" w:hint="eastAsia"/>
          <w:sz w:val="26"/>
          <w:szCs w:val="26"/>
        </w:rPr>
        <w:t>）</w:t>
      </w:r>
      <w:r w:rsidRPr="00EA272E">
        <w:rPr>
          <w:rFonts w:eastAsia="標楷體"/>
          <w:sz w:val="26"/>
          <w:szCs w:val="26"/>
        </w:rPr>
        <w:t>以受測個體之常</w:t>
      </w:r>
      <w:r w:rsidR="004012DE" w:rsidRPr="00EA272E">
        <w:rPr>
          <w:rFonts w:eastAsia="標楷體"/>
          <w:sz w:val="26"/>
          <w:szCs w:val="26"/>
        </w:rPr>
        <w:t>規營業利潤為基礎，決定受測個體以外依</w:t>
      </w:r>
      <w:r w:rsidR="00DC327D" w:rsidRPr="00EA272E">
        <w:rPr>
          <w:rFonts w:eastAsia="標楷體" w:hint="eastAsia"/>
          <w:sz w:val="26"/>
          <w:szCs w:val="26"/>
        </w:rPr>
        <w:t>移轉訂價查核</w:t>
      </w:r>
      <w:r w:rsidR="00D0513E" w:rsidRPr="00EA272E">
        <w:rPr>
          <w:rFonts w:eastAsia="標楷體" w:hint="eastAsia"/>
          <w:sz w:val="26"/>
          <w:szCs w:val="26"/>
        </w:rPr>
        <w:t>準則</w:t>
      </w:r>
      <w:r w:rsidRPr="00EA272E">
        <w:rPr>
          <w:rFonts w:eastAsia="標楷體"/>
          <w:sz w:val="26"/>
          <w:szCs w:val="26"/>
        </w:rPr>
        <w:t>規定應繳納中華民國所得稅之同一受控交易其他參與人之常規交易結果</w:t>
      </w:r>
      <w:r w:rsidRPr="00EA272E">
        <w:rPr>
          <w:rFonts w:eastAsia="標楷體" w:hint="eastAsia"/>
          <w:sz w:val="26"/>
          <w:szCs w:val="26"/>
        </w:rPr>
        <w:t>。</w:t>
      </w:r>
    </w:p>
    <w:p w:rsidR="0032590C" w:rsidRDefault="007413E8" w:rsidP="00965AF0">
      <w:pPr>
        <w:spacing w:beforeLines="50" w:before="120" w:afterLines="50" w:after="120" w:line="360" w:lineRule="auto"/>
        <w:ind w:leftChars="200" w:left="480" w:firstLineChars="200" w:firstLine="520"/>
        <w:jc w:val="both"/>
        <w:rPr>
          <w:rFonts w:eastAsia="標楷體"/>
          <w:bCs/>
          <w:sz w:val="26"/>
          <w:szCs w:val="26"/>
        </w:rPr>
      </w:pPr>
      <w:r w:rsidRPr="00EA272E">
        <w:rPr>
          <w:rFonts w:eastAsia="標楷體"/>
          <w:sz w:val="26"/>
          <w:szCs w:val="26"/>
        </w:rPr>
        <w:t>評估可比較利潤法之適用性時</w:t>
      </w:r>
      <w:r w:rsidR="00E52E51" w:rsidRPr="00EA272E">
        <w:rPr>
          <w:rFonts w:eastAsia="標楷體"/>
          <w:sz w:val="26"/>
          <w:szCs w:val="26"/>
        </w:rPr>
        <w:t>，尤應特別考量受測個體及受測活動與非關係人及其所從事相關活動之</w:t>
      </w:r>
      <w:r w:rsidR="005D1657" w:rsidRPr="00EA272E">
        <w:rPr>
          <w:rFonts w:eastAsia="標楷體" w:hint="eastAsia"/>
          <w:sz w:val="26"/>
          <w:szCs w:val="26"/>
        </w:rPr>
        <w:t>下列因素：</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影響二者間可比較程度</w:t>
      </w:r>
      <w:r w:rsidRPr="00EA272E">
        <w:rPr>
          <w:rFonts w:eastAsia="標楷體" w:hint="eastAsia"/>
          <w:sz w:val="26"/>
          <w:szCs w:val="26"/>
        </w:rPr>
        <w:t>之</w:t>
      </w:r>
      <w:r w:rsidRPr="00EA272E">
        <w:rPr>
          <w:rFonts w:eastAsia="標楷體"/>
          <w:sz w:val="26"/>
          <w:szCs w:val="26"/>
        </w:rPr>
        <w:t>因素</w:t>
      </w:r>
      <w:r w:rsidRPr="00EA272E">
        <w:rPr>
          <w:rFonts w:eastAsia="標楷體" w:hint="eastAsia"/>
          <w:sz w:val="26"/>
          <w:szCs w:val="26"/>
        </w:rPr>
        <w:t>（</w:t>
      </w:r>
      <w:r w:rsidRPr="00EA272E">
        <w:rPr>
          <w:rFonts w:eastAsia="標楷體"/>
          <w:sz w:val="26"/>
          <w:szCs w:val="26"/>
        </w:rPr>
        <w:t>包括執行之功能、承擔之風險、使用之營業資產、相關之營</w:t>
      </w:r>
      <w:r w:rsidRPr="00EA272E">
        <w:rPr>
          <w:rFonts w:eastAsia="標楷體"/>
          <w:sz w:val="26"/>
          <w:szCs w:val="26"/>
        </w:rPr>
        <w:lastRenderedPageBreak/>
        <w:t>業、交易標的資產或服務之市場、營業規模、位於商業循環或產品循環之階段</w:t>
      </w:r>
      <w:r w:rsidRPr="00EA272E">
        <w:rPr>
          <w:rFonts w:eastAsia="標楷體" w:hint="eastAsia"/>
          <w:sz w:val="26"/>
          <w:szCs w:val="26"/>
        </w:rPr>
        <w:t>）；</w:t>
      </w:r>
      <w:r w:rsidRPr="00EA272E">
        <w:rPr>
          <w:rFonts w:eastAsia="標楷體" w:hint="eastAsia"/>
          <w:sz w:val="26"/>
          <w:szCs w:val="26"/>
        </w:rPr>
        <w:t>2</w:t>
      </w:r>
      <w:r w:rsidRPr="00EA272E">
        <w:rPr>
          <w:rFonts w:eastAsia="標楷體" w:hint="eastAsia"/>
          <w:sz w:val="26"/>
          <w:szCs w:val="26"/>
        </w:rPr>
        <w:t>）</w:t>
      </w:r>
      <w:r w:rsidRPr="00EA272E">
        <w:rPr>
          <w:rFonts w:eastAsia="標楷體"/>
          <w:sz w:val="26"/>
          <w:szCs w:val="26"/>
        </w:rPr>
        <w:t>成本、費用、所得及資產，於受測活動及其他活動間分攤方式之合理性及適宜性</w:t>
      </w:r>
      <w:r w:rsidR="005D1657" w:rsidRPr="00EA272E">
        <w:rPr>
          <w:rFonts w:eastAsia="標楷體" w:hint="eastAsia"/>
          <w:sz w:val="26"/>
          <w:szCs w:val="26"/>
        </w:rPr>
        <w:t>與</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。若</w:t>
      </w:r>
      <w:r w:rsidR="00E52E51" w:rsidRPr="00EA272E">
        <w:rPr>
          <w:rFonts w:eastAsia="標楷體"/>
          <w:sz w:val="26"/>
          <w:szCs w:val="26"/>
        </w:rPr>
        <w:t>受測個體及受測活動，與非關係人及其所從事之</w:t>
      </w:r>
      <w:r w:rsidR="00E52E51" w:rsidRPr="00EA272E">
        <w:rPr>
          <w:rFonts w:eastAsia="標楷體"/>
          <w:bCs/>
          <w:sz w:val="26"/>
          <w:szCs w:val="26"/>
        </w:rPr>
        <w:t>相關活動間，如存在前項因素之差異，應就該等差異對營業利潤之影響進行</w:t>
      </w:r>
      <w:r w:rsidR="00ED2676" w:rsidRPr="00EA272E">
        <w:rPr>
          <w:rFonts w:eastAsia="標楷體"/>
          <w:bCs/>
          <w:sz w:val="26"/>
          <w:szCs w:val="26"/>
        </w:rPr>
        <w:t>合理之調整，其無法經由合理之調整以消除該等差異者，應</w:t>
      </w:r>
      <w:r w:rsidR="00E52E51" w:rsidRPr="00EA272E">
        <w:rPr>
          <w:rFonts w:eastAsia="標楷體"/>
          <w:bCs/>
          <w:sz w:val="26"/>
          <w:szCs w:val="26"/>
        </w:rPr>
        <w:t>採用其他適合之常規交易方法。</w:t>
      </w:r>
    </w:p>
    <w:p w:rsidR="0032590C" w:rsidRDefault="00B276E3" w:rsidP="00965AF0">
      <w:pPr>
        <w:numPr>
          <w:ilvl w:val="0"/>
          <w:numId w:val="34"/>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利潤分割法</w:t>
      </w:r>
    </w:p>
    <w:p w:rsidR="0032590C" w:rsidRDefault="0056725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依據移轉訂價查核準則第</w:t>
      </w:r>
      <w:r w:rsidRPr="00EA272E">
        <w:rPr>
          <w:rFonts w:eastAsia="標楷體"/>
          <w:sz w:val="26"/>
          <w:szCs w:val="26"/>
        </w:rPr>
        <w:t>19</w:t>
      </w:r>
      <w:r w:rsidRPr="00EA272E">
        <w:rPr>
          <w:rFonts w:eastAsia="標楷體"/>
          <w:sz w:val="26"/>
          <w:szCs w:val="26"/>
        </w:rPr>
        <w:t>條所定利潤分割法，係於受控交易之各參與人所從事之活動高度整合致無法單</w:t>
      </w:r>
      <w:r w:rsidR="00F020F7" w:rsidRPr="00EA272E">
        <w:rPr>
          <w:rFonts w:eastAsia="標楷體"/>
          <w:sz w:val="26"/>
          <w:szCs w:val="26"/>
        </w:rPr>
        <w:t>獨衡量其交易結果時，</w:t>
      </w:r>
      <w:r w:rsidR="00932517" w:rsidRPr="00EA272E">
        <w:rPr>
          <w:rFonts w:eastAsia="標楷體" w:hint="eastAsia"/>
          <w:sz w:val="26"/>
          <w:szCs w:val="26"/>
        </w:rPr>
        <w:t>依</w:t>
      </w:r>
      <w:r w:rsidR="00F020F7" w:rsidRPr="00EA272E">
        <w:rPr>
          <w:rFonts w:eastAsia="標楷體"/>
          <w:sz w:val="26"/>
          <w:szCs w:val="26"/>
        </w:rPr>
        <w:t>各參與人對所有參與人合併營業利潤之貢獻，計</w:t>
      </w:r>
      <w:r w:rsidRPr="00EA272E">
        <w:rPr>
          <w:rFonts w:eastAsia="標楷體"/>
          <w:sz w:val="26"/>
          <w:szCs w:val="26"/>
        </w:rPr>
        <w:t>算各參與人應分配之營業利潤。</w:t>
      </w:r>
    </w:p>
    <w:p w:rsidR="0032590C" w:rsidRDefault="005675EC"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合併營業利潤之分配，</w:t>
      </w:r>
      <w:r w:rsidRPr="00EA272E">
        <w:rPr>
          <w:rFonts w:eastAsia="標楷體" w:hint="eastAsia"/>
          <w:sz w:val="26"/>
          <w:szCs w:val="26"/>
        </w:rPr>
        <w:t>須</w:t>
      </w:r>
      <w:r w:rsidR="000508C9" w:rsidRPr="00EA272E">
        <w:rPr>
          <w:rFonts w:eastAsia="標楷體" w:hint="eastAsia"/>
          <w:sz w:val="26"/>
          <w:szCs w:val="26"/>
        </w:rPr>
        <w:t>先</w:t>
      </w:r>
      <w:r w:rsidRPr="00EA272E">
        <w:rPr>
          <w:rFonts w:eastAsia="標楷體"/>
          <w:sz w:val="26"/>
          <w:szCs w:val="26"/>
        </w:rPr>
        <w:t>按例行性貢獻分配例行性利潤</w:t>
      </w:r>
      <w:r w:rsidR="000508C9" w:rsidRPr="00EA272E">
        <w:rPr>
          <w:rFonts w:eastAsia="標楷體" w:hint="eastAsia"/>
          <w:sz w:val="26"/>
          <w:szCs w:val="26"/>
        </w:rPr>
        <w:t>：</w:t>
      </w:r>
      <w:r w:rsidR="000508C9" w:rsidRPr="00EA272E">
        <w:rPr>
          <w:rFonts w:eastAsia="標楷體" w:hint="eastAsia"/>
          <w:sz w:val="26"/>
          <w:szCs w:val="26"/>
        </w:rPr>
        <w:t>1</w:t>
      </w:r>
      <w:r w:rsidR="000508C9" w:rsidRPr="00EA272E">
        <w:rPr>
          <w:rFonts w:eastAsia="標楷體" w:hint="eastAsia"/>
          <w:sz w:val="26"/>
          <w:szCs w:val="26"/>
        </w:rPr>
        <w:t>）</w:t>
      </w:r>
      <w:r w:rsidR="000508C9" w:rsidRPr="00EA272E">
        <w:rPr>
          <w:rFonts w:eastAsia="標楷體"/>
          <w:sz w:val="26"/>
          <w:szCs w:val="26"/>
        </w:rPr>
        <w:t>以合併營業利潤為基礎，依各參與人從事相關營業活動之例行性貢獻，分配其應得之市場公平報酬</w:t>
      </w:r>
      <w:r w:rsidR="000508C9" w:rsidRPr="00EA272E">
        <w:rPr>
          <w:rFonts w:eastAsia="標楷體" w:hint="eastAsia"/>
          <w:sz w:val="26"/>
          <w:szCs w:val="26"/>
        </w:rPr>
        <w:t>；</w:t>
      </w:r>
      <w:r w:rsidR="000508C9" w:rsidRPr="00EA272E">
        <w:rPr>
          <w:rFonts w:eastAsia="標楷體" w:hint="eastAsia"/>
          <w:sz w:val="26"/>
          <w:szCs w:val="26"/>
        </w:rPr>
        <w:t>2</w:t>
      </w:r>
      <w:r w:rsidR="000508C9" w:rsidRPr="00EA272E">
        <w:rPr>
          <w:rFonts w:eastAsia="標楷體" w:hint="eastAsia"/>
          <w:sz w:val="26"/>
          <w:szCs w:val="26"/>
        </w:rPr>
        <w:t>）</w:t>
      </w:r>
      <w:r w:rsidR="000508C9" w:rsidRPr="00EA272E">
        <w:rPr>
          <w:rFonts w:eastAsia="標楷體"/>
          <w:sz w:val="26"/>
          <w:szCs w:val="26"/>
        </w:rPr>
        <w:t>所稱例行性貢獻，指非關係人對於相同或類似營業活動之貢獻，其以可資辨識市場公平報酬之營業活動為基礎</w:t>
      </w:r>
      <w:r w:rsidR="000508C9" w:rsidRPr="00EA272E">
        <w:rPr>
          <w:rFonts w:eastAsia="標楷體" w:hint="eastAsia"/>
          <w:sz w:val="26"/>
          <w:szCs w:val="26"/>
        </w:rPr>
        <w:t>及</w:t>
      </w:r>
      <w:r w:rsidR="000508C9" w:rsidRPr="00EA272E">
        <w:rPr>
          <w:rFonts w:eastAsia="標楷體" w:hint="eastAsia"/>
          <w:sz w:val="26"/>
          <w:szCs w:val="26"/>
        </w:rPr>
        <w:t>3</w:t>
      </w:r>
      <w:r w:rsidR="000508C9" w:rsidRPr="00EA272E">
        <w:rPr>
          <w:rFonts w:eastAsia="標楷體" w:hint="eastAsia"/>
          <w:sz w:val="26"/>
          <w:szCs w:val="26"/>
        </w:rPr>
        <w:t>）</w:t>
      </w:r>
      <w:r w:rsidR="000508C9" w:rsidRPr="00EA272E">
        <w:rPr>
          <w:rFonts w:eastAsia="標楷體"/>
          <w:sz w:val="26"/>
          <w:szCs w:val="26"/>
        </w:rPr>
        <w:t>計算例行性利潤時，應進行功能分析，依各參與人執行之功能、承擔之風險及使用之資產，確認其從事相關營業活動應分配之市場公平報酬。</w:t>
      </w:r>
      <w:r w:rsidR="000508C9" w:rsidRPr="00EA272E">
        <w:rPr>
          <w:rFonts w:eastAsia="標楷體" w:hint="eastAsia"/>
          <w:sz w:val="26"/>
          <w:szCs w:val="26"/>
        </w:rPr>
        <w:t>然後再</w:t>
      </w:r>
      <w:r w:rsidRPr="00EA272E">
        <w:rPr>
          <w:rFonts w:eastAsia="標楷體"/>
          <w:sz w:val="26"/>
          <w:szCs w:val="26"/>
        </w:rPr>
        <w:t>按對無形資產之貢獻分配剩餘利潤</w:t>
      </w:r>
      <w:r w:rsidR="000508C9" w:rsidRPr="00EA272E">
        <w:rPr>
          <w:rFonts w:eastAsia="標楷體" w:hint="eastAsia"/>
          <w:sz w:val="26"/>
          <w:szCs w:val="26"/>
        </w:rPr>
        <w:t>：</w:t>
      </w:r>
      <w:r w:rsidR="0091516D" w:rsidRPr="00EA272E">
        <w:rPr>
          <w:rFonts w:eastAsia="標楷體"/>
          <w:sz w:val="26"/>
          <w:szCs w:val="26"/>
        </w:rPr>
        <w:t>合併營業利潤減除</w:t>
      </w:r>
      <w:r w:rsidR="000508C9" w:rsidRPr="00EA272E">
        <w:rPr>
          <w:rFonts w:eastAsia="標楷體"/>
          <w:sz w:val="26"/>
          <w:szCs w:val="26"/>
        </w:rPr>
        <w:t>分配予各參與人之例行性利潤後，以其餘額按各參與人於相關營業活動中對於無形資產之貢獻價值，計算其應分配之剩餘利潤。</w:t>
      </w:r>
    </w:p>
    <w:p w:rsidR="0032590C" w:rsidRDefault="0091516D"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評估利潤分割法之適用性時</w:t>
      </w:r>
      <w:r w:rsidRPr="00EA272E">
        <w:rPr>
          <w:rFonts w:eastAsia="標楷體" w:hint="eastAsia"/>
          <w:sz w:val="26"/>
          <w:szCs w:val="26"/>
        </w:rPr>
        <w:t>，</w:t>
      </w:r>
      <w:r w:rsidRPr="00EA272E">
        <w:rPr>
          <w:rFonts w:eastAsia="標楷體"/>
          <w:sz w:val="26"/>
          <w:szCs w:val="26"/>
        </w:rPr>
        <w:t>尤應特別考量</w:t>
      </w:r>
      <w:r w:rsidR="00085D02" w:rsidRPr="00EA272E">
        <w:rPr>
          <w:rFonts w:eastAsia="標楷體" w:hint="eastAsia"/>
          <w:sz w:val="26"/>
          <w:szCs w:val="26"/>
        </w:rPr>
        <w:t>下列因素</w:t>
      </w:r>
      <w:r w:rsidR="007B29C0" w:rsidRPr="00EA272E">
        <w:rPr>
          <w:rFonts w:eastAsia="標楷體" w:hint="eastAsia"/>
          <w:sz w:val="26"/>
          <w:szCs w:val="26"/>
        </w:rPr>
        <w:t>：</w:t>
      </w:r>
      <w:r w:rsidRPr="00EA272E">
        <w:rPr>
          <w:rFonts w:eastAsia="標楷體" w:hint="eastAsia"/>
          <w:sz w:val="26"/>
          <w:szCs w:val="26"/>
        </w:rPr>
        <w:t>1</w:t>
      </w:r>
      <w:r w:rsidRPr="00EA272E">
        <w:rPr>
          <w:rFonts w:eastAsia="標楷體" w:hint="eastAsia"/>
          <w:sz w:val="26"/>
          <w:szCs w:val="26"/>
        </w:rPr>
        <w:t>）</w:t>
      </w:r>
      <w:r w:rsidRPr="00EA272E">
        <w:rPr>
          <w:rFonts w:eastAsia="標楷體"/>
          <w:sz w:val="26"/>
          <w:szCs w:val="26"/>
        </w:rPr>
        <w:t>決定例行性貢獻市場公平報酬之方法所應考量之因素</w:t>
      </w:r>
      <w:r w:rsidRPr="00EA272E">
        <w:rPr>
          <w:rFonts w:eastAsia="標楷體" w:hint="eastAsia"/>
          <w:sz w:val="26"/>
          <w:szCs w:val="26"/>
        </w:rPr>
        <w:t>（</w:t>
      </w:r>
      <w:r w:rsidRPr="00EA272E">
        <w:rPr>
          <w:rFonts w:eastAsia="標楷體"/>
          <w:sz w:val="26"/>
          <w:szCs w:val="26"/>
        </w:rPr>
        <w:t>包括執行之功能、承擔之風險及使用之資產</w:t>
      </w:r>
      <w:r w:rsidRPr="00EA272E">
        <w:rPr>
          <w:rFonts w:eastAsia="標楷體" w:hint="eastAsia"/>
          <w:sz w:val="26"/>
          <w:szCs w:val="26"/>
        </w:rPr>
        <w:t>）</w:t>
      </w:r>
      <w:r w:rsidRPr="00EA272E">
        <w:rPr>
          <w:rFonts w:eastAsia="標楷體"/>
          <w:sz w:val="26"/>
          <w:szCs w:val="26"/>
        </w:rPr>
        <w:t>；</w:t>
      </w:r>
      <w:r w:rsidRPr="00EA272E">
        <w:rPr>
          <w:rFonts w:eastAsia="標楷體"/>
          <w:sz w:val="26"/>
          <w:szCs w:val="26"/>
        </w:rPr>
        <w:t>2</w:t>
      </w:r>
      <w:r w:rsidRPr="00EA272E">
        <w:rPr>
          <w:rFonts w:eastAsia="標楷體"/>
          <w:sz w:val="26"/>
          <w:szCs w:val="26"/>
        </w:rPr>
        <w:t>）成本、費用、所得及資產，於相關營業活動及其他活動間分攤方式之合理性及適宜性</w:t>
      </w:r>
      <w:r w:rsidRPr="00EA272E">
        <w:rPr>
          <w:rFonts w:eastAsia="標楷體" w:hint="eastAsia"/>
          <w:sz w:val="26"/>
          <w:szCs w:val="26"/>
        </w:rPr>
        <w:t>；</w:t>
      </w:r>
      <w:r w:rsidRPr="00EA272E">
        <w:rPr>
          <w:rFonts w:eastAsia="標楷體" w:hint="eastAsia"/>
          <w:sz w:val="26"/>
          <w:szCs w:val="26"/>
        </w:rPr>
        <w:t>3</w:t>
      </w:r>
      <w:r w:rsidRPr="00EA272E">
        <w:rPr>
          <w:rFonts w:eastAsia="標楷體" w:hint="eastAsia"/>
          <w:sz w:val="26"/>
          <w:szCs w:val="26"/>
        </w:rPr>
        <w:t>）</w:t>
      </w:r>
      <w:r w:rsidRPr="00EA272E">
        <w:rPr>
          <w:rFonts w:eastAsia="標楷體"/>
          <w:sz w:val="26"/>
          <w:szCs w:val="26"/>
        </w:rPr>
        <w:t>會計處理之一致性</w:t>
      </w:r>
      <w:r w:rsidRPr="00EA272E">
        <w:rPr>
          <w:rFonts w:eastAsia="標楷體" w:hint="eastAsia"/>
          <w:sz w:val="26"/>
          <w:szCs w:val="26"/>
        </w:rPr>
        <w:t>及</w:t>
      </w:r>
      <w:r w:rsidRPr="00EA272E">
        <w:rPr>
          <w:rFonts w:eastAsia="標楷體" w:hint="eastAsia"/>
          <w:sz w:val="26"/>
          <w:szCs w:val="26"/>
        </w:rPr>
        <w:t>4</w:t>
      </w:r>
      <w:r w:rsidRPr="00EA272E">
        <w:rPr>
          <w:rFonts w:eastAsia="標楷體" w:hint="eastAsia"/>
          <w:sz w:val="26"/>
          <w:szCs w:val="26"/>
        </w:rPr>
        <w:t>）</w:t>
      </w:r>
      <w:r w:rsidRPr="00EA272E">
        <w:rPr>
          <w:rFonts w:eastAsia="標楷體"/>
          <w:sz w:val="26"/>
          <w:szCs w:val="26"/>
        </w:rPr>
        <w:lastRenderedPageBreak/>
        <w:t>決定各參與人對無形資產之貢獻價值所使用資料及假設之可信賴程度</w:t>
      </w:r>
      <w:r w:rsidRPr="00EA272E">
        <w:rPr>
          <w:rFonts w:eastAsia="標楷體" w:hint="eastAsia"/>
          <w:sz w:val="26"/>
          <w:szCs w:val="26"/>
        </w:rPr>
        <w:t>。若</w:t>
      </w:r>
      <w:r w:rsidRPr="00EA272E">
        <w:rPr>
          <w:rFonts w:eastAsia="標楷體"/>
          <w:sz w:val="26"/>
          <w:szCs w:val="26"/>
        </w:rPr>
        <w:t>受控交易參與人及其所從事之營業活動，與非關係人及其所從事相同或類似之營業活動間，如存在前項之差異，應就該等差異之影響進行合理之調整，其無法經由合理之調整以消除該等差異者，應採用其他適合之常規交易方法。</w:t>
      </w:r>
    </w:p>
    <w:p w:rsidR="0032590C" w:rsidRDefault="005D1657"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一般而言，</w:t>
      </w:r>
      <w:r w:rsidR="002D5986" w:rsidRPr="00EA272E">
        <w:rPr>
          <w:rFonts w:eastAsia="標楷體" w:hint="eastAsia"/>
          <w:sz w:val="26"/>
          <w:szCs w:val="26"/>
        </w:rPr>
        <w:t>可比較利潤法及利潤分割法等</w:t>
      </w:r>
      <w:r w:rsidRPr="00EA272E">
        <w:rPr>
          <w:rFonts w:eastAsia="標楷體" w:hint="eastAsia"/>
          <w:sz w:val="26"/>
          <w:szCs w:val="26"/>
        </w:rPr>
        <w:t>利潤法</w:t>
      </w:r>
      <w:r w:rsidRPr="00EA272E">
        <w:rPr>
          <w:rFonts w:eastAsia="標楷體"/>
          <w:sz w:val="26"/>
          <w:szCs w:val="26"/>
        </w:rPr>
        <w:t>之適用範圍較</w:t>
      </w:r>
      <w:r w:rsidRPr="00EA272E">
        <w:rPr>
          <w:rFonts w:eastAsia="標楷體" w:hint="eastAsia"/>
          <w:sz w:val="26"/>
          <w:szCs w:val="26"/>
        </w:rPr>
        <w:t>可比較未受控價格（交易）法、</w:t>
      </w:r>
      <w:r w:rsidRPr="00EA272E">
        <w:rPr>
          <w:rFonts w:eastAsia="標楷體"/>
          <w:sz w:val="26"/>
          <w:szCs w:val="26"/>
        </w:rPr>
        <w:t>再售價格法及成本加價法</w:t>
      </w:r>
      <w:r w:rsidRPr="00EA272E">
        <w:rPr>
          <w:rFonts w:eastAsia="標楷體" w:hint="eastAsia"/>
          <w:sz w:val="26"/>
          <w:szCs w:val="26"/>
        </w:rPr>
        <w:t>等傳統法</w:t>
      </w:r>
      <w:r w:rsidRPr="00EA272E">
        <w:rPr>
          <w:rFonts w:eastAsia="標楷體"/>
          <w:sz w:val="26"/>
          <w:szCs w:val="26"/>
        </w:rPr>
        <w:t>為廣。</w:t>
      </w:r>
      <w:r w:rsidR="004B3171" w:rsidRPr="00EA272E">
        <w:rPr>
          <w:rFonts w:eastAsia="標楷體" w:hint="eastAsia"/>
          <w:sz w:val="26"/>
          <w:szCs w:val="26"/>
        </w:rPr>
        <w:t>其中</w:t>
      </w:r>
      <w:r w:rsidRPr="00EA272E">
        <w:rPr>
          <w:rFonts w:eastAsia="標楷體"/>
          <w:sz w:val="26"/>
          <w:szCs w:val="26"/>
        </w:rPr>
        <w:t>利潤法以受控交易參與人之功能分析最為重要，如經分析發現受控交易各參與人均執行例行性功能及對無形資產具有貢獻之功能（如研究發展、行銷無形資產），則</w:t>
      </w:r>
      <w:r w:rsidR="004B3171" w:rsidRPr="00EA272E">
        <w:rPr>
          <w:rFonts w:eastAsia="標楷體" w:hint="eastAsia"/>
          <w:sz w:val="26"/>
          <w:szCs w:val="26"/>
        </w:rPr>
        <w:t>採用</w:t>
      </w:r>
      <w:r w:rsidR="004B3171" w:rsidRPr="00EA272E">
        <w:rPr>
          <w:rFonts w:eastAsia="標楷體"/>
          <w:sz w:val="26"/>
          <w:szCs w:val="26"/>
        </w:rPr>
        <w:t>傳統</w:t>
      </w:r>
      <w:r w:rsidRPr="00EA272E">
        <w:rPr>
          <w:rFonts w:eastAsia="標楷體"/>
          <w:sz w:val="26"/>
          <w:szCs w:val="26"/>
        </w:rPr>
        <w:t>法可能會</w:t>
      </w:r>
      <w:r w:rsidRPr="00EA272E">
        <w:rPr>
          <w:rFonts w:eastAsia="標楷體" w:hint="eastAsia"/>
          <w:sz w:val="26"/>
          <w:szCs w:val="26"/>
        </w:rPr>
        <w:t>因</w:t>
      </w:r>
      <w:r w:rsidRPr="00EA272E">
        <w:rPr>
          <w:rFonts w:eastAsia="標楷體"/>
          <w:sz w:val="26"/>
          <w:szCs w:val="26"/>
        </w:rPr>
        <w:t>無法找到適當之可比較對象以致</w:t>
      </w:r>
      <w:r w:rsidRPr="00EA272E">
        <w:rPr>
          <w:rFonts w:eastAsia="標楷體" w:hint="eastAsia"/>
          <w:sz w:val="26"/>
          <w:szCs w:val="26"/>
        </w:rPr>
        <w:t>於</w:t>
      </w:r>
      <w:r w:rsidRPr="00EA272E">
        <w:rPr>
          <w:rFonts w:eastAsia="標楷體"/>
          <w:sz w:val="26"/>
          <w:szCs w:val="26"/>
        </w:rPr>
        <w:t>無法適用，此時</w:t>
      </w:r>
      <w:r w:rsidR="00085D02" w:rsidRPr="00EA272E">
        <w:rPr>
          <w:rFonts w:eastAsia="標楷體" w:hint="eastAsia"/>
          <w:sz w:val="26"/>
          <w:szCs w:val="26"/>
        </w:rPr>
        <w:t>宜</w:t>
      </w:r>
      <w:r w:rsidRPr="00EA272E">
        <w:rPr>
          <w:rFonts w:eastAsia="標楷體" w:hint="eastAsia"/>
          <w:sz w:val="26"/>
          <w:szCs w:val="26"/>
        </w:rPr>
        <w:t>採用</w:t>
      </w:r>
      <w:r w:rsidRPr="00EA272E">
        <w:rPr>
          <w:rFonts w:eastAsia="標楷體"/>
          <w:sz w:val="26"/>
          <w:szCs w:val="26"/>
        </w:rPr>
        <w:t>以營業</w:t>
      </w:r>
      <w:r w:rsidRPr="00EA272E">
        <w:rPr>
          <w:rFonts w:eastAsia="標楷體" w:hint="eastAsia"/>
          <w:sz w:val="26"/>
          <w:szCs w:val="26"/>
        </w:rPr>
        <w:t>利潤</w:t>
      </w:r>
      <w:r w:rsidR="00C45220" w:rsidRPr="00EA272E">
        <w:rPr>
          <w:rFonts w:eastAsia="標楷體"/>
          <w:sz w:val="26"/>
          <w:szCs w:val="26"/>
        </w:rPr>
        <w:t>為基礎之可比較利潤法</w:t>
      </w:r>
      <w:r w:rsidR="00C45220" w:rsidRPr="00EA272E">
        <w:rPr>
          <w:rFonts w:eastAsia="標楷體" w:hint="eastAsia"/>
          <w:sz w:val="26"/>
          <w:szCs w:val="26"/>
        </w:rPr>
        <w:t>或</w:t>
      </w:r>
      <w:r w:rsidRPr="00EA272E">
        <w:rPr>
          <w:rFonts w:eastAsia="標楷體"/>
          <w:sz w:val="26"/>
          <w:szCs w:val="26"/>
        </w:rPr>
        <w:t>利潤分割法</w:t>
      </w:r>
      <w:r w:rsidR="00C45220" w:rsidRPr="00EA272E">
        <w:rPr>
          <w:rFonts w:eastAsia="標楷體" w:hint="eastAsia"/>
          <w:sz w:val="26"/>
          <w:szCs w:val="26"/>
        </w:rPr>
        <w:t>等利潤法</w:t>
      </w:r>
      <w:r w:rsidRPr="00EA272E">
        <w:rPr>
          <w:rFonts w:eastAsia="標楷體"/>
          <w:sz w:val="26"/>
          <w:szCs w:val="26"/>
        </w:rPr>
        <w:t>較為妥當</w:t>
      </w:r>
      <w:r w:rsidR="00C45220" w:rsidRPr="00EA272E">
        <w:rPr>
          <w:rFonts w:eastAsia="標楷體" w:hint="eastAsia"/>
          <w:sz w:val="26"/>
          <w:szCs w:val="26"/>
        </w:rPr>
        <w:t>，</w:t>
      </w:r>
      <w:r w:rsidR="00567251" w:rsidRPr="00EA272E">
        <w:rPr>
          <w:rFonts w:eastAsia="標楷體"/>
          <w:sz w:val="26"/>
          <w:szCs w:val="26"/>
        </w:rPr>
        <w:t>但</w:t>
      </w:r>
      <w:r w:rsidR="00C45220" w:rsidRPr="00EA272E">
        <w:rPr>
          <w:rFonts w:eastAsia="標楷體" w:hint="eastAsia"/>
          <w:sz w:val="26"/>
          <w:szCs w:val="26"/>
        </w:rPr>
        <w:t>採用利潤法中之可比較利潤</w:t>
      </w:r>
      <w:r w:rsidR="00085D02" w:rsidRPr="00EA272E">
        <w:rPr>
          <w:rFonts w:eastAsia="標楷體" w:hint="eastAsia"/>
          <w:sz w:val="26"/>
          <w:szCs w:val="26"/>
        </w:rPr>
        <w:t>法</w:t>
      </w:r>
      <w:r w:rsidR="00C45220" w:rsidRPr="00EA272E">
        <w:rPr>
          <w:rFonts w:eastAsia="標楷體" w:hint="eastAsia"/>
          <w:sz w:val="26"/>
          <w:szCs w:val="26"/>
        </w:rPr>
        <w:t>時，</w:t>
      </w:r>
      <w:r w:rsidR="00567251" w:rsidRPr="00EA272E">
        <w:rPr>
          <w:rFonts w:eastAsia="標楷體"/>
          <w:sz w:val="26"/>
          <w:szCs w:val="26"/>
        </w:rPr>
        <w:t>若無法自受控交易</w:t>
      </w:r>
      <w:r w:rsidR="00C45220" w:rsidRPr="00EA272E">
        <w:rPr>
          <w:rFonts w:eastAsia="標楷體" w:hint="eastAsia"/>
          <w:sz w:val="26"/>
          <w:szCs w:val="26"/>
        </w:rPr>
        <w:t>參與人</w:t>
      </w:r>
      <w:r w:rsidR="00567251" w:rsidRPr="00EA272E">
        <w:rPr>
          <w:rFonts w:eastAsia="標楷體"/>
          <w:sz w:val="26"/>
          <w:szCs w:val="26"/>
        </w:rPr>
        <w:t>中找到可比較利潤法所需之受測個體，</w:t>
      </w:r>
      <w:r w:rsidR="00C45220" w:rsidRPr="00EA272E">
        <w:rPr>
          <w:rFonts w:eastAsia="標楷體" w:hint="eastAsia"/>
          <w:sz w:val="26"/>
          <w:szCs w:val="26"/>
        </w:rPr>
        <w:t>則</w:t>
      </w:r>
      <w:r w:rsidR="00567251" w:rsidRPr="00EA272E">
        <w:rPr>
          <w:rFonts w:eastAsia="標楷體"/>
          <w:sz w:val="26"/>
          <w:szCs w:val="26"/>
        </w:rPr>
        <w:t>宜考量</w:t>
      </w:r>
      <w:r w:rsidR="00C45220" w:rsidRPr="00EA272E">
        <w:rPr>
          <w:rFonts w:eastAsia="標楷體" w:hint="eastAsia"/>
          <w:sz w:val="26"/>
          <w:szCs w:val="26"/>
        </w:rPr>
        <w:t>採用</w:t>
      </w:r>
      <w:r w:rsidR="00567251" w:rsidRPr="00EA272E">
        <w:rPr>
          <w:rFonts w:eastAsia="標楷體"/>
          <w:sz w:val="26"/>
          <w:szCs w:val="26"/>
        </w:rPr>
        <w:t>利潤分割法</w:t>
      </w:r>
      <w:r w:rsidR="00C45220" w:rsidRPr="00EA272E">
        <w:rPr>
          <w:rFonts w:eastAsia="標楷體" w:hint="eastAsia"/>
          <w:sz w:val="26"/>
          <w:szCs w:val="26"/>
        </w:rPr>
        <w:t>，</w:t>
      </w:r>
      <w:r w:rsidR="00567251" w:rsidRPr="00EA272E">
        <w:rPr>
          <w:rFonts w:eastAsia="標楷體"/>
          <w:sz w:val="26"/>
          <w:szCs w:val="26"/>
        </w:rPr>
        <w:t>但若受控交易之參與人業務過於複雜、從事之活動過於多樣化，以致釐清例行性功能與對無形資產具有貢獻之功能有所困難時，則利潤分割法之適用性將大為降低。</w:t>
      </w:r>
    </w:p>
    <w:p w:rsidR="0032590C" w:rsidRDefault="00C722A8" w:rsidP="00965AF0">
      <w:pPr>
        <w:pStyle w:val="2"/>
        <w:numPr>
          <w:ilvl w:val="1"/>
          <w:numId w:val="32"/>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決定最適</w:t>
      </w:r>
      <w:r w:rsidR="00567251" w:rsidRPr="00EA272E">
        <w:rPr>
          <w:rFonts w:ascii="Times New Roman" w:eastAsia="標楷體" w:hAnsi="Times New Roman"/>
          <w:sz w:val="36"/>
          <w:szCs w:val="40"/>
        </w:rPr>
        <w:t>常規交易方法</w:t>
      </w:r>
    </w:p>
    <w:p w:rsidR="0032590C" w:rsidRPr="005F31C1" w:rsidRDefault="00162D2B" w:rsidP="00965AF0">
      <w:pPr>
        <w:pStyle w:val="3"/>
        <w:numPr>
          <w:ilvl w:val="0"/>
          <w:numId w:val="40"/>
        </w:numPr>
        <w:spacing w:beforeLines="50" w:before="120" w:afterLines="50" w:after="120" w:line="360" w:lineRule="auto"/>
        <w:ind w:leftChars="100" w:left="720"/>
        <w:jc w:val="both"/>
        <w:rPr>
          <w:rFonts w:ascii="Times New Roman" w:eastAsia="標楷體" w:hAnsi="Times New Roman"/>
          <w:sz w:val="32"/>
        </w:rPr>
      </w:pPr>
      <w:r w:rsidRPr="005F31C1">
        <w:rPr>
          <w:rFonts w:ascii="Times New Roman" w:eastAsia="標楷體" w:hAnsi="Times New Roman" w:hint="eastAsia"/>
          <w:sz w:val="32"/>
        </w:rPr>
        <w:t>常規交易方法</w:t>
      </w:r>
      <w:r w:rsidR="00F55F88" w:rsidRPr="005F31C1">
        <w:rPr>
          <w:rFonts w:ascii="Times New Roman" w:eastAsia="標楷體" w:hAnsi="Times New Roman" w:hint="eastAsia"/>
          <w:sz w:val="32"/>
        </w:rPr>
        <w:t>之適用</w:t>
      </w:r>
    </w:p>
    <w:p w:rsidR="00784900" w:rsidRPr="00EA272E" w:rsidRDefault="00F7378E" w:rsidP="00FC1E0C">
      <w:pPr>
        <w:pStyle w:val="30"/>
        <w:kinsoku w:val="0"/>
        <w:overflowPunct w:val="0"/>
        <w:autoSpaceDE w:val="0"/>
        <w:autoSpaceDN w:val="0"/>
        <w:adjustRightInd w:val="0"/>
        <w:snapToGrid w:val="0"/>
        <w:spacing w:before="120" w:after="120"/>
        <w:ind w:leftChars="200" w:left="480"/>
      </w:pPr>
      <w:r w:rsidRPr="00340F76">
        <w:t>於本報告中分析之受控交易</w:t>
      </w:r>
      <w:r w:rsidRPr="00340F76">
        <w:rPr>
          <w:rFonts w:hint="eastAsia"/>
        </w:rPr>
        <w:t>包含</w:t>
      </w:r>
      <w:r w:rsidRPr="00340F76">
        <w:t>『</w:t>
      </w:r>
      <w:r w:rsidRPr="00340F76">
        <w:rPr>
          <w:rFonts w:hint="eastAsia"/>
        </w:rPr>
        <w:t>有形資產之移</w:t>
      </w:r>
      <w:r w:rsidRPr="00340F76">
        <w:rPr>
          <w:rFonts w:ascii="標楷體" w:hAnsi="標楷體" w:hint="eastAsia"/>
        </w:rPr>
        <w:t>轉－</w:t>
      </w:r>
      <w:r w:rsidRPr="00340F76">
        <w:rPr>
          <w:rFonts w:hint="eastAsia"/>
        </w:rPr>
        <w:t>進貨</w:t>
      </w:r>
      <w:r w:rsidRPr="00340F76">
        <w:t>』</w:t>
      </w:r>
      <w:r w:rsidR="009D3229" w:rsidRPr="00340F76">
        <w:rPr>
          <w:rFonts w:hint="eastAsia"/>
        </w:rPr>
        <w:t>及</w:t>
      </w:r>
      <w:r w:rsidRPr="00340F76">
        <w:t>『</w:t>
      </w:r>
      <w:r w:rsidRPr="00340F76">
        <w:rPr>
          <w:rFonts w:hint="eastAsia"/>
        </w:rPr>
        <w:t>服務之提供－</w:t>
      </w:r>
      <w:r>
        <w:rPr>
          <w:rFonts w:hint="eastAsia"/>
        </w:rPr>
        <w:t>提供</w:t>
      </w:r>
      <w:r w:rsidRPr="00340F76">
        <w:rPr>
          <w:rFonts w:hint="eastAsia"/>
        </w:rPr>
        <w:t>產品服務</w:t>
      </w:r>
      <w:r w:rsidRPr="00340F76">
        <w:t>』</w:t>
      </w:r>
      <w:r w:rsidRPr="00340F76">
        <w:rPr>
          <w:rFonts w:hint="eastAsia"/>
        </w:rPr>
        <w:t>等受控交易類型</w:t>
      </w:r>
      <w:r w:rsidRPr="00340F76">
        <w:t>，</w:t>
      </w:r>
      <w:r w:rsidR="00BA2726" w:rsidRPr="00EA272E">
        <w:rPr>
          <w:rFonts w:hint="eastAsia"/>
        </w:rPr>
        <w:t>因</w:t>
      </w:r>
      <w:r w:rsidR="00BA2726">
        <w:rPr>
          <w:rFonts w:hint="eastAsia"/>
        </w:rPr>
        <w:t>太克科技進貨及</w:t>
      </w:r>
      <w:r w:rsidR="00BA2726" w:rsidRPr="001105BC">
        <w:rPr>
          <w:rFonts w:hAnsi="標楷體" w:hint="eastAsia"/>
        </w:rPr>
        <w:t>提供產品服務</w:t>
      </w:r>
      <w:r w:rsidR="00BA2726">
        <w:rPr>
          <w:rFonts w:hint="eastAsia"/>
        </w:rPr>
        <w:t>受控交易</w:t>
      </w:r>
      <w:r w:rsidR="00BA2726" w:rsidRPr="00EA272E">
        <w:rPr>
          <w:rFonts w:hint="eastAsia"/>
        </w:rPr>
        <w:t>具有</w:t>
      </w:r>
      <w:r w:rsidR="00BA2726">
        <w:rPr>
          <w:rFonts w:hint="eastAsia"/>
        </w:rPr>
        <w:t>關聯</w:t>
      </w:r>
      <w:r w:rsidR="00BA2726" w:rsidRPr="00EA272E">
        <w:rPr>
          <w:rFonts w:hint="eastAsia"/>
        </w:rPr>
        <w:t>之特性，故</w:t>
      </w:r>
      <w:r w:rsidR="00BA2726" w:rsidRPr="00631129">
        <w:rPr>
          <w:rFonts w:hint="eastAsia"/>
        </w:rPr>
        <w:t>將兩者合併進行分析</w:t>
      </w:r>
      <w:r w:rsidRPr="00340F76">
        <w:rPr>
          <w:rFonts w:hint="eastAsia"/>
        </w:rPr>
        <w:t>。銷貨係『有形資產之移轉』交易型態，</w:t>
      </w:r>
      <w:r w:rsidRPr="00340F76">
        <w:t>依據移轉訂價查核準</w:t>
      </w:r>
      <w:r w:rsidRPr="00340F76">
        <w:rPr>
          <w:rFonts w:hint="eastAsia"/>
        </w:rPr>
        <w:t>則</w:t>
      </w:r>
      <w:r w:rsidRPr="00340F76">
        <w:t>第</w:t>
      </w:r>
      <w:r w:rsidRPr="00340F76">
        <w:rPr>
          <w:rFonts w:hint="eastAsia"/>
        </w:rPr>
        <w:t>1</w:t>
      </w:r>
      <w:r w:rsidRPr="00F7378E">
        <w:rPr>
          <w:rFonts w:hint="eastAsia"/>
        </w:rPr>
        <w:t>0</w:t>
      </w:r>
      <w:r w:rsidRPr="00F7378E">
        <w:rPr>
          <w:rFonts w:hint="eastAsia"/>
        </w:rPr>
        <w:t>、</w:t>
      </w:r>
      <w:r w:rsidRPr="00340F76">
        <w:t>12</w:t>
      </w:r>
      <w:r w:rsidRPr="00340F76">
        <w:rPr>
          <w:rFonts w:hint="eastAsia"/>
        </w:rPr>
        <w:t>條</w:t>
      </w:r>
      <w:r w:rsidRPr="00340F76">
        <w:t>規定，適用</w:t>
      </w:r>
      <w:r w:rsidRPr="00340F76">
        <w:rPr>
          <w:rFonts w:hint="eastAsia"/>
        </w:rPr>
        <w:t>於評估之常規交易</w:t>
      </w:r>
      <w:r w:rsidRPr="00340F76">
        <w:t>方法有下列各法</w:t>
      </w:r>
      <w:r w:rsidR="00784900" w:rsidRPr="00EA272E">
        <w:t>：</w:t>
      </w:r>
    </w:p>
    <w:p w:rsidR="0032590C" w:rsidRDefault="00784900" w:rsidP="00965AF0">
      <w:pPr>
        <w:numPr>
          <w:ilvl w:val="0"/>
          <w:numId w:val="3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F57F20">
        <w:rPr>
          <w:rFonts w:eastAsia="標楷體"/>
          <w:b/>
          <w:sz w:val="28"/>
          <w:szCs w:val="26"/>
        </w:rPr>
        <w:lastRenderedPageBreak/>
        <w:t>有形資產</w:t>
      </w:r>
      <w:r w:rsidR="008B297D" w:rsidRPr="00F57F20">
        <w:rPr>
          <w:rFonts w:eastAsia="標楷體" w:hint="eastAsia"/>
          <w:b/>
          <w:sz w:val="28"/>
          <w:szCs w:val="26"/>
        </w:rPr>
        <w:t>交易</w:t>
      </w:r>
    </w:p>
    <w:p w:rsidR="00784900" w:rsidRPr="00F57F20" w:rsidRDefault="00FB3B73" w:rsidP="007C747C">
      <w:pPr>
        <w:pStyle w:val="30"/>
        <w:kinsoku w:val="0"/>
        <w:overflowPunct w:val="0"/>
        <w:autoSpaceDE w:val="0"/>
        <w:autoSpaceDN w:val="0"/>
        <w:adjustRightInd w:val="0"/>
        <w:snapToGrid w:val="0"/>
        <w:spacing w:before="120" w:after="120"/>
        <w:ind w:leftChars="300" w:left="720" w:firstLineChars="0" w:firstLine="0"/>
      </w:pPr>
      <w:r w:rsidRPr="00F57F20">
        <w:rPr>
          <w:rFonts w:hint="eastAsia"/>
        </w:rPr>
        <w:t>（</w:t>
      </w:r>
      <w:r w:rsidRPr="00F57F20">
        <w:rPr>
          <w:rFonts w:hint="eastAsia"/>
        </w:rPr>
        <w:t>1</w:t>
      </w:r>
      <w:r w:rsidRPr="00F57F20">
        <w:rPr>
          <w:rFonts w:hint="eastAsia"/>
        </w:rPr>
        <w:t>）</w:t>
      </w:r>
      <w:r w:rsidR="00784900" w:rsidRPr="00F57F20">
        <w:t>可比較未受控價格法</w:t>
      </w:r>
      <w:r w:rsidR="00DC327D" w:rsidRPr="00F57F20">
        <w:rPr>
          <w:rFonts w:hint="eastAsia"/>
        </w:rPr>
        <w:t>；</w:t>
      </w:r>
    </w:p>
    <w:p w:rsidR="00784900" w:rsidRPr="00F57F20" w:rsidRDefault="00FB3B73" w:rsidP="007C747C">
      <w:pPr>
        <w:pStyle w:val="30"/>
        <w:kinsoku w:val="0"/>
        <w:overflowPunct w:val="0"/>
        <w:autoSpaceDE w:val="0"/>
        <w:autoSpaceDN w:val="0"/>
        <w:adjustRightInd w:val="0"/>
        <w:snapToGrid w:val="0"/>
        <w:spacing w:before="120" w:after="120"/>
        <w:ind w:leftChars="300" w:left="720" w:firstLineChars="0" w:firstLine="0"/>
      </w:pPr>
      <w:r w:rsidRPr="00F57F20">
        <w:rPr>
          <w:rFonts w:hint="eastAsia"/>
        </w:rPr>
        <w:t>（</w:t>
      </w:r>
      <w:r w:rsidRPr="00F57F20">
        <w:rPr>
          <w:rFonts w:hint="eastAsia"/>
        </w:rPr>
        <w:t>2</w:t>
      </w:r>
      <w:r w:rsidRPr="00F57F20">
        <w:rPr>
          <w:rFonts w:hint="eastAsia"/>
        </w:rPr>
        <w:t>）</w:t>
      </w:r>
      <w:r w:rsidR="00784900" w:rsidRPr="00F57F20">
        <w:t>再售價格法</w:t>
      </w:r>
      <w:r w:rsidR="00DC327D" w:rsidRPr="00F57F20">
        <w:rPr>
          <w:rFonts w:hint="eastAsia"/>
        </w:rPr>
        <w:t>；</w:t>
      </w:r>
    </w:p>
    <w:p w:rsidR="00784900" w:rsidRPr="00F57F20" w:rsidRDefault="00FB3B73" w:rsidP="007C747C">
      <w:pPr>
        <w:pStyle w:val="30"/>
        <w:kinsoku w:val="0"/>
        <w:overflowPunct w:val="0"/>
        <w:autoSpaceDE w:val="0"/>
        <w:autoSpaceDN w:val="0"/>
        <w:adjustRightInd w:val="0"/>
        <w:snapToGrid w:val="0"/>
        <w:spacing w:before="120" w:after="120"/>
        <w:ind w:leftChars="300" w:left="720" w:firstLineChars="0" w:firstLine="0"/>
      </w:pPr>
      <w:r w:rsidRPr="00F57F20">
        <w:rPr>
          <w:rFonts w:hint="eastAsia"/>
        </w:rPr>
        <w:t>（</w:t>
      </w:r>
      <w:r w:rsidRPr="00F57F20">
        <w:rPr>
          <w:rFonts w:hint="eastAsia"/>
        </w:rPr>
        <w:t>3</w:t>
      </w:r>
      <w:r w:rsidRPr="00F57F20">
        <w:rPr>
          <w:rFonts w:hint="eastAsia"/>
        </w:rPr>
        <w:t>）</w:t>
      </w:r>
      <w:r w:rsidR="00784900" w:rsidRPr="00F57F20">
        <w:t>成本加價法</w:t>
      </w:r>
      <w:r w:rsidR="00DC327D" w:rsidRPr="00F57F20">
        <w:rPr>
          <w:rFonts w:hint="eastAsia"/>
        </w:rPr>
        <w:t>；</w:t>
      </w:r>
    </w:p>
    <w:p w:rsidR="00784900" w:rsidRPr="00F57F20" w:rsidRDefault="00FB3B73" w:rsidP="007C747C">
      <w:pPr>
        <w:pStyle w:val="30"/>
        <w:kinsoku w:val="0"/>
        <w:overflowPunct w:val="0"/>
        <w:autoSpaceDE w:val="0"/>
        <w:autoSpaceDN w:val="0"/>
        <w:adjustRightInd w:val="0"/>
        <w:snapToGrid w:val="0"/>
        <w:spacing w:before="120" w:after="120"/>
        <w:ind w:leftChars="300" w:left="720" w:firstLineChars="0" w:firstLine="0"/>
      </w:pPr>
      <w:r w:rsidRPr="00F57F20">
        <w:rPr>
          <w:rFonts w:hint="eastAsia"/>
        </w:rPr>
        <w:t>（</w:t>
      </w:r>
      <w:r w:rsidRPr="00F57F20">
        <w:rPr>
          <w:rFonts w:hint="eastAsia"/>
        </w:rPr>
        <w:t>4</w:t>
      </w:r>
      <w:r w:rsidRPr="00F57F20">
        <w:rPr>
          <w:rFonts w:hint="eastAsia"/>
        </w:rPr>
        <w:t>）</w:t>
      </w:r>
      <w:r w:rsidR="00784900" w:rsidRPr="00F57F20">
        <w:t>可比較利潤法</w:t>
      </w:r>
      <w:r w:rsidR="00DC327D" w:rsidRPr="00F57F20">
        <w:rPr>
          <w:rFonts w:hint="eastAsia"/>
        </w:rPr>
        <w:t>；</w:t>
      </w:r>
    </w:p>
    <w:p w:rsidR="00784900" w:rsidRPr="00F57F20" w:rsidRDefault="00FB3B73" w:rsidP="007C747C">
      <w:pPr>
        <w:pStyle w:val="30"/>
        <w:kinsoku w:val="0"/>
        <w:overflowPunct w:val="0"/>
        <w:autoSpaceDE w:val="0"/>
        <w:autoSpaceDN w:val="0"/>
        <w:adjustRightInd w:val="0"/>
        <w:snapToGrid w:val="0"/>
        <w:spacing w:before="120" w:after="120"/>
        <w:ind w:leftChars="300" w:left="720" w:firstLineChars="0" w:firstLine="0"/>
      </w:pPr>
      <w:r w:rsidRPr="00F57F20">
        <w:rPr>
          <w:rFonts w:hint="eastAsia"/>
        </w:rPr>
        <w:t>（</w:t>
      </w:r>
      <w:r w:rsidRPr="00F57F20">
        <w:rPr>
          <w:rFonts w:hint="eastAsia"/>
        </w:rPr>
        <w:t>5</w:t>
      </w:r>
      <w:r w:rsidRPr="00F57F20">
        <w:rPr>
          <w:rFonts w:hint="eastAsia"/>
        </w:rPr>
        <w:t>）</w:t>
      </w:r>
      <w:r w:rsidR="00784900" w:rsidRPr="00F57F20">
        <w:t>利潤分割法</w:t>
      </w:r>
      <w:r w:rsidR="00784900" w:rsidRPr="00F57F20">
        <w:rPr>
          <w:rFonts w:hint="eastAsia"/>
        </w:rPr>
        <w:t>。</w:t>
      </w:r>
    </w:p>
    <w:p w:rsidR="00784900" w:rsidRPr="00F57F20" w:rsidRDefault="00FB3B73" w:rsidP="007C747C">
      <w:pPr>
        <w:pStyle w:val="30"/>
        <w:tabs>
          <w:tab w:val="left" w:pos="900"/>
        </w:tabs>
        <w:kinsoku w:val="0"/>
        <w:overflowPunct w:val="0"/>
        <w:autoSpaceDE w:val="0"/>
        <w:autoSpaceDN w:val="0"/>
        <w:adjustRightInd w:val="0"/>
        <w:snapToGrid w:val="0"/>
        <w:spacing w:before="120" w:after="120"/>
        <w:ind w:leftChars="300" w:left="720" w:firstLineChars="0" w:firstLine="0"/>
      </w:pPr>
      <w:r w:rsidRPr="00F57F20">
        <w:rPr>
          <w:rFonts w:hint="eastAsia"/>
        </w:rPr>
        <w:t>（</w:t>
      </w:r>
      <w:r w:rsidRPr="00F57F20">
        <w:rPr>
          <w:rFonts w:hint="eastAsia"/>
        </w:rPr>
        <w:t>6</w:t>
      </w:r>
      <w:r w:rsidRPr="00F57F20">
        <w:rPr>
          <w:rFonts w:hint="eastAsia"/>
        </w:rPr>
        <w:t>）</w:t>
      </w:r>
      <w:r w:rsidR="00784900" w:rsidRPr="00F57F20">
        <w:t>其他經財政部核定之常規交易方法。</w:t>
      </w:r>
    </w:p>
    <w:p w:rsidR="0032590C" w:rsidRDefault="008B297D" w:rsidP="00965AF0">
      <w:pPr>
        <w:numPr>
          <w:ilvl w:val="0"/>
          <w:numId w:val="35"/>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F57F20">
        <w:rPr>
          <w:rFonts w:eastAsia="標楷體" w:hint="eastAsia"/>
          <w:b/>
          <w:sz w:val="28"/>
          <w:szCs w:val="26"/>
        </w:rPr>
        <w:t>服務提供</w:t>
      </w:r>
    </w:p>
    <w:p w:rsidR="008B297D" w:rsidRPr="00F57F20" w:rsidRDefault="008B297D" w:rsidP="007C747C">
      <w:pPr>
        <w:pStyle w:val="30"/>
        <w:kinsoku w:val="0"/>
        <w:overflowPunct w:val="0"/>
        <w:autoSpaceDE w:val="0"/>
        <w:autoSpaceDN w:val="0"/>
        <w:adjustRightInd w:val="0"/>
        <w:snapToGrid w:val="0"/>
        <w:spacing w:before="120" w:after="120"/>
        <w:ind w:leftChars="300" w:left="720" w:firstLineChars="0" w:firstLine="0"/>
      </w:pPr>
      <w:r w:rsidRPr="00F57F20">
        <w:rPr>
          <w:rFonts w:hint="eastAsia"/>
        </w:rPr>
        <w:t>（</w:t>
      </w:r>
      <w:r w:rsidRPr="00F57F20">
        <w:rPr>
          <w:rFonts w:hint="eastAsia"/>
        </w:rPr>
        <w:t>1</w:t>
      </w:r>
      <w:r w:rsidRPr="00F57F20">
        <w:rPr>
          <w:rFonts w:hint="eastAsia"/>
        </w:rPr>
        <w:t>）</w:t>
      </w:r>
      <w:r w:rsidRPr="00F57F20">
        <w:t>可比較未受控價格法</w:t>
      </w:r>
      <w:r w:rsidRPr="00F57F20">
        <w:rPr>
          <w:rFonts w:hint="eastAsia"/>
        </w:rPr>
        <w:t>；</w:t>
      </w:r>
    </w:p>
    <w:p w:rsidR="008B297D" w:rsidRPr="00F57F20" w:rsidRDefault="008B297D" w:rsidP="007C747C">
      <w:pPr>
        <w:pStyle w:val="30"/>
        <w:kinsoku w:val="0"/>
        <w:overflowPunct w:val="0"/>
        <w:autoSpaceDE w:val="0"/>
        <w:autoSpaceDN w:val="0"/>
        <w:adjustRightInd w:val="0"/>
        <w:snapToGrid w:val="0"/>
        <w:spacing w:before="120" w:after="120"/>
        <w:ind w:leftChars="300" w:left="720" w:firstLineChars="0" w:firstLine="0"/>
      </w:pPr>
      <w:r w:rsidRPr="00F57F20">
        <w:rPr>
          <w:rFonts w:hint="eastAsia"/>
        </w:rPr>
        <w:t>（</w:t>
      </w:r>
      <w:r w:rsidRPr="00F57F20">
        <w:rPr>
          <w:rFonts w:hint="eastAsia"/>
        </w:rPr>
        <w:t>2</w:t>
      </w:r>
      <w:r w:rsidRPr="00F57F20">
        <w:rPr>
          <w:rFonts w:hint="eastAsia"/>
        </w:rPr>
        <w:t>）</w:t>
      </w:r>
      <w:r w:rsidRPr="00F57F20">
        <w:t>成本加價法</w:t>
      </w:r>
      <w:r w:rsidRPr="00F57F20">
        <w:rPr>
          <w:rFonts w:hint="eastAsia"/>
        </w:rPr>
        <w:t>；</w:t>
      </w:r>
    </w:p>
    <w:p w:rsidR="008B297D" w:rsidRPr="00F57F20" w:rsidRDefault="008B297D" w:rsidP="007C747C">
      <w:pPr>
        <w:pStyle w:val="30"/>
        <w:kinsoku w:val="0"/>
        <w:overflowPunct w:val="0"/>
        <w:autoSpaceDE w:val="0"/>
        <w:autoSpaceDN w:val="0"/>
        <w:adjustRightInd w:val="0"/>
        <w:snapToGrid w:val="0"/>
        <w:spacing w:before="120" w:after="120"/>
        <w:ind w:leftChars="300" w:left="720" w:firstLineChars="0" w:firstLine="0"/>
      </w:pPr>
      <w:r w:rsidRPr="00F57F20">
        <w:rPr>
          <w:rFonts w:hint="eastAsia"/>
        </w:rPr>
        <w:t>（</w:t>
      </w:r>
      <w:r w:rsidRPr="00F57F20">
        <w:rPr>
          <w:rFonts w:hint="eastAsia"/>
        </w:rPr>
        <w:t>3</w:t>
      </w:r>
      <w:r w:rsidRPr="00F57F20">
        <w:rPr>
          <w:rFonts w:hint="eastAsia"/>
        </w:rPr>
        <w:t>）</w:t>
      </w:r>
      <w:r w:rsidRPr="00F57F20">
        <w:t>可比較利潤法</w:t>
      </w:r>
      <w:r w:rsidRPr="00F57F20">
        <w:rPr>
          <w:rFonts w:hint="eastAsia"/>
        </w:rPr>
        <w:t>；</w:t>
      </w:r>
    </w:p>
    <w:p w:rsidR="008B297D" w:rsidRPr="00F57F20" w:rsidRDefault="008B297D" w:rsidP="007C747C">
      <w:pPr>
        <w:pStyle w:val="30"/>
        <w:kinsoku w:val="0"/>
        <w:overflowPunct w:val="0"/>
        <w:autoSpaceDE w:val="0"/>
        <w:autoSpaceDN w:val="0"/>
        <w:adjustRightInd w:val="0"/>
        <w:snapToGrid w:val="0"/>
        <w:spacing w:before="120" w:after="120"/>
        <w:ind w:leftChars="300" w:left="720" w:firstLineChars="0" w:firstLine="0"/>
      </w:pPr>
      <w:r w:rsidRPr="00F57F20">
        <w:rPr>
          <w:rFonts w:hint="eastAsia"/>
        </w:rPr>
        <w:t>（</w:t>
      </w:r>
      <w:r w:rsidRPr="00F57F20">
        <w:rPr>
          <w:rFonts w:hint="eastAsia"/>
        </w:rPr>
        <w:t>4</w:t>
      </w:r>
      <w:r w:rsidRPr="00F57F20">
        <w:rPr>
          <w:rFonts w:hint="eastAsia"/>
        </w:rPr>
        <w:t>）</w:t>
      </w:r>
      <w:r w:rsidRPr="00F57F20">
        <w:t>利潤分割法</w:t>
      </w:r>
      <w:r w:rsidRPr="00F57F20">
        <w:rPr>
          <w:rFonts w:hint="eastAsia"/>
        </w:rPr>
        <w:t>。</w:t>
      </w:r>
    </w:p>
    <w:p w:rsidR="008B297D" w:rsidRDefault="008B297D" w:rsidP="007C747C">
      <w:pPr>
        <w:pStyle w:val="30"/>
        <w:tabs>
          <w:tab w:val="left" w:pos="900"/>
        </w:tabs>
        <w:kinsoku w:val="0"/>
        <w:overflowPunct w:val="0"/>
        <w:autoSpaceDE w:val="0"/>
        <w:autoSpaceDN w:val="0"/>
        <w:adjustRightInd w:val="0"/>
        <w:snapToGrid w:val="0"/>
        <w:spacing w:before="120" w:after="120"/>
        <w:ind w:leftChars="300" w:left="720" w:firstLineChars="0" w:firstLine="0"/>
      </w:pPr>
      <w:r w:rsidRPr="00F57F20">
        <w:rPr>
          <w:rFonts w:hint="eastAsia"/>
        </w:rPr>
        <w:t>（</w:t>
      </w:r>
      <w:r w:rsidRPr="00F57F20">
        <w:rPr>
          <w:rFonts w:hint="eastAsia"/>
        </w:rPr>
        <w:t>5</w:t>
      </w:r>
      <w:r w:rsidRPr="00F57F20">
        <w:rPr>
          <w:rFonts w:hint="eastAsia"/>
        </w:rPr>
        <w:t>）</w:t>
      </w:r>
      <w:r w:rsidRPr="00F57F20">
        <w:t>其他經財政部核定之常規交易方法。</w:t>
      </w:r>
    </w:p>
    <w:p w:rsidR="0032590C" w:rsidRDefault="00C722A8" w:rsidP="00965AF0">
      <w:pPr>
        <w:pStyle w:val="3"/>
        <w:numPr>
          <w:ilvl w:val="0"/>
          <w:numId w:val="40"/>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hint="eastAsia"/>
          <w:sz w:val="32"/>
        </w:rPr>
        <w:t>最適</w:t>
      </w:r>
      <w:r w:rsidRPr="00EA272E">
        <w:rPr>
          <w:rFonts w:ascii="Times New Roman" w:eastAsia="標楷體" w:hAnsi="Times New Roman"/>
          <w:sz w:val="32"/>
        </w:rPr>
        <w:t>常規交易方法</w:t>
      </w:r>
      <w:r w:rsidR="00DC327D" w:rsidRPr="00EA272E">
        <w:rPr>
          <w:rFonts w:ascii="Times New Roman" w:eastAsia="標楷體" w:hAnsi="Times New Roman"/>
          <w:sz w:val="32"/>
        </w:rPr>
        <w:t>之</w:t>
      </w:r>
      <w:r w:rsidR="00DC327D" w:rsidRPr="00EA272E">
        <w:rPr>
          <w:rFonts w:ascii="Times New Roman" w:eastAsia="標楷體" w:hAnsi="Times New Roman" w:hint="eastAsia"/>
          <w:sz w:val="32"/>
        </w:rPr>
        <w:t>決定</w:t>
      </w:r>
    </w:p>
    <w:p w:rsidR="0032590C" w:rsidRDefault="003415B7"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綜合考量各方面因素，本所依移轉訂價查核準則規定之最適常規交</w:t>
      </w:r>
      <w:r w:rsidRPr="004B70EE">
        <w:rPr>
          <w:rFonts w:eastAsia="標楷體" w:hint="eastAsia"/>
          <w:sz w:val="26"/>
          <w:szCs w:val="26"/>
        </w:rPr>
        <w:t>易方法原則，決定</w:t>
      </w:r>
      <w:r w:rsidR="00A73A85" w:rsidRPr="004B70EE">
        <w:rPr>
          <w:rFonts w:eastAsia="標楷體" w:hint="eastAsia"/>
          <w:sz w:val="26"/>
          <w:szCs w:val="26"/>
        </w:rPr>
        <w:t>可比較利潤法</w:t>
      </w:r>
      <w:r w:rsidRPr="004B70EE">
        <w:rPr>
          <w:rFonts w:eastAsia="標楷體" w:hint="eastAsia"/>
          <w:sz w:val="26"/>
          <w:szCs w:val="26"/>
        </w:rPr>
        <w:t>作為</w:t>
      </w:r>
      <w:r w:rsidR="00BA7C8C" w:rsidRPr="004B70EE">
        <w:rPr>
          <w:rFonts w:eastAsia="標楷體" w:hint="eastAsia"/>
          <w:sz w:val="26"/>
          <w:szCs w:val="26"/>
        </w:rPr>
        <w:t>太克科技</w:t>
      </w:r>
      <w:r w:rsidRPr="004B70EE">
        <w:rPr>
          <w:rFonts w:eastAsia="標楷體" w:hint="eastAsia"/>
          <w:sz w:val="26"/>
          <w:szCs w:val="26"/>
        </w:rPr>
        <w:t>之各</w:t>
      </w:r>
      <w:r w:rsidRPr="004B70EE">
        <w:rPr>
          <w:rFonts w:eastAsia="標楷體"/>
          <w:sz w:val="26"/>
          <w:szCs w:val="26"/>
        </w:rPr>
        <w:t>受控交易</w:t>
      </w:r>
      <w:r w:rsidRPr="004B70EE">
        <w:rPr>
          <w:rFonts w:eastAsia="標楷體" w:hint="eastAsia"/>
          <w:sz w:val="26"/>
          <w:szCs w:val="26"/>
        </w:rPr>
        <w:t>最適常規交</w:t>
      </w:r>
      <w:r w:rsidRPr="00EA272E">
        <w:rPr>
          <w:rFonts w:eastAsia="標楷體" w:hint="eastAsia"/>
          <w:sz w:val="26"/>
          <w:szCs w:val="26"/>
        </w:rPr>
        <w:t>易方法</w:t>
      </w:r>
      <w:r w:rsidR="00DC327D" w:rsidRPr="00EA272E">
        <w:rPr>
          <w:rFonts w:eastAsia="標楷體" w:hint="eastAsia"/>
          <w:sz w:val="26"/>
          <w:szCs w:val="26"/>
        </w:rPr>
        <w:t>。</w:t>
      </w:r>
      <w:r w:rsidRPr="00EA272E">
        <w:rPr>
          <w:rFonts w:eastAsia="標楷體" w:hint="eastAsia"/>
          <w:sz w:val="26"/>
          <w:szCs w:val="26"/>
        </w:rPr>
        <w:t>決定原因說明如下，另其他常規交易</w:t>
      </w:r>
      <w:r w:rsidRPr="00EA272E">
        <w:rPr>
          <w:rFonts w:eastAsia="標楷體"/>
          <w:sz w:val="26"/>
          <w:szCs w:val="26"/>
        </w:rPr>
        <w:t>方法不適用</w:t>
      </w:r>
      <w:r w:rsidRPr="00EA272E">
        <w:rPr>
          <w:rFonts w:eastAsia="標楷體" w:hint="eastAsia"/>
          <w:sz w:val="26"/>
          <w:szCs w:val="26"/>
        </w:rPr>
        <w:t>之原因，</w:t>
      </w:r>
      <w:r w:rsidRPr="00EA272E">
        <w:rPr>
          <w:rFonts w:eastAsia="標楷體"/>
          <w:sz w:val="26"/>
          <w:szCs w:val="26"/>
        </w:rPr>
        <w:t>請見下節說明</w:t>
      </w:r>
      <w:r w:rsidRPr="00EA272E">
        <w:rPr>
          <w:rFonts w:eastAsia="標楷體" w:hint="eastAsia"/>
          <w:sz w:val="26"/>
          <w:szCs w:val="26"/>
        </w:rPr>
        <w:t>。</w:t>
      </w:r>
    </w:p>
    <w:p w:rsidR="0032590C" w:rsidRDefault="00673E89" w:rsidP="00965AF0">
      <w:pPr>
        <w:numPr>
          <w:ilvl w:val="0"/>
          <w:numId w:val="61"/>
        </w:numPr>
        <w:tabs>
          <w:tab w:val="left" w:pos="960"/>
          <w:tab w:val="left" w:pos="1134"/>
        </w:tabs>
        <w:spacing w:beforeLines="50" w:before="120" w:afterLines="50" w:after="120" w:line="360" w:lineRule="auto"/>
        <w:jc w:val="both"/>
        <w:rPr>
          <w:rFonts w:eastAsia="標楷體"/>
          <w:b/>
          <w:sz w:val="28"/>
          <w:szCs w:val="26"/>
        </w:rPr>
      </w:pPr>
      <w:r w:rsidRPr="004233CF">
        <w:rPr>
          <w:rFonts w:eastAsia="標楷體" w:hint="eastAsia"/>
          <w:b/>
          <w:sz w:val="28"/>
          <w:szCs w:val="26"/>
        </w:rPr>
        <w:t>「</w:t>
      </w:r>
      <w:r w:rsidRPr="000A172C">
        <w:rPr>
          <w:rFonts w:eastAsia="標楷體"/>
          <w:b/>
          <w:sz w:val="28"/>
          <w:szCs w:val="26"/>
        </w:rPr>
        <w:t>有形資產</w:t>
      </w:r>
      <w:r>
        <w:rPr>
          <w:rFonts w:eastAsia="標楷體" w:hint="eastAsia"/>
          <w:b/>
          <w:sz w:val="28"/>
          <w:szCs w:val="26"/>
        </w:rPr>
        <w:t>之移轉」、「</w:t>
      </w:r>
      <w:r w:rsidRPr="004233CF">
        <w:rPr>
          <w:rFonts w:eastAsia="標楷體"/>
          <w:b/>
          <w:sz w:val="28"/>
          <w:szCs w:val="26"/>
        </w:rPr>
        <w:t>服務之提供</w:t>
      </w:r>
      <w:r>
        <w:rPr>
          <w:rFonts w:eastAsia="標楷體" w:hint="eastAsia"/>
          <w:b/>
          <w:sz w:val="28"/>
          <w:szCs w:val="26"/>
        </w:rPr>
        <w:t>」受控</w:t>
      </w:r>
      <w:r w:rsidRPr="000A172C">
        <w:rPr>
          <w:rFonts w:eastAsia="標楷體" w:hint="eastAsia"/>
          <w:b/>
          <w:sz w:val="28"/>
          <w:szCs w:val="26"/>
        </w:rPr>
        <w:t>交易</w:t>
      </w:r>
    </w:p>
    <w:p w:rsidR="0032590C" w:rsidRDefault="002E0C8C" w:rsidP="00965AF0">
      <w:pPr>
        <w:numPr>
          <w:ilvl w:val="0"/>
          <w:numId w:val="39"/>
        </w:numPr>
        <w:spacing w:beforeLines="50" w:before="120" w:afterLines="50" w:after="120" w:line="360" w:lineRule="auto"/>
        <w:ind w:leftChars="200" w:left="960"/>
        <w:jc w:val="both"/>
        <w:rPr>
          <w:rFonts w:eastAsia="標楷體"/>
          <w:sz w:val="26"/>
          <w:szCs w:val="26"/>
        </w:rPr>
      </w:pPr>
      <w:r w:rsidRPr="00162562">
        <w:rPr>
          <w:rFonts w:eastAsia="標楷體" w:hint="eastAsia"/>
          <w:sz w:val="26"/>
          <w:szCs w:val="26"/>
        </w:rPr>
        <w:t>適用可比較利潤法之理由：</w:t>
      </w:r>
    </w:p>
    <w:p w:rsidR="008E1C02" w:rsidRPr="00162562"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162562">
        <w:rPr>
          <w:rFonts w:ascii="Times New Roman" w:eastAsia="標楷體" w:hAnsi="Times New Roman" w:hint="eastAsia"/>
          <w:sz w:val="26"/>
          <w:szCs w:val="26"/>
        </w:rPr>
        <w:lastRenderedPageBreak/>
        <w:t>淨利潤較不似可比較未受控</w:t>
      </w:r>
      <w:r w:rsidR="00DC327D" w:rsidRPr="00162562">
        <w:rPr>
          <w:rFonts w:ascii="Times New Roman" w:eastAsia="標楷體" w:hAnsi="Times New Roman" w:hint="eastAsia"/>
          <w:sz w:val="26"/>
          <w:szCs w:val="26"/>
        </w:rPr>
        <w:t>價格</w:t>
      </w:r>
      <w:r w:rsidR="00DC327D" w:rsidRPr="00162562">
        <w:rPr>
          <w:rFonts w:ascii="Times New Roman" w:eastAsia="標楷體" w:hAnsi="Times New Roman" w:hint="eastAsia"/>
          <w:sz w:val="26"/>
          <w:szCs w:val="26"/>
        </w:rPr>
        <w:t>/</w:t>
      </w:r>
      <w:r w:rsidRPr="00162562">
        <w:rPr>
          <w:rFonts w:ascii="Times New Roman" w:eastAsia="標楷體" w:hAnsi="Times New Roman" w:hint="eastAsia"/>
          <w:sz w:val="26"/>
          <w:szCs w:val="26"/>
        </w:rPr>
        <w:t>交易法所用為評價標準之價格般，易受交易產品差異之影響；</w:t>
      </w:r>
    </w:p>
    <w:p w:rsidR="008E1C02" w:rsidRPr="00162562"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162562">
        <w:rPr>
          <w:rFonts w:ascii="Times New Roman" w:eastAsia="標楷體" w:hAnsi="Times New Roman" w:hint="eastAsia"/>
          <w:sz w:val="26"/>
          <w:szCs w:val="26"/>
        </w:rPr>
        <w:t>淨利潤比起成本加價法</w:t>
      </w:r>
      <w:r w:rsidR="00C307F1" w:rsidRPr="00162562">
        <w:rPr>
          <w:rFonts w:ascii="Times New Roman" w:eastAsia="標楷體" w:hAnsi="Times New Roman" w:hint="eastAsia"/>
          <w:sz w:val="26"/>
          <w:szCs w:val="26"/>
        </w:rPr>
        <w:t>/</w:t>
      </w:r>
      <w:r w:rsidR="00C307F1" w:rsidRPr="00162562">
        <w:rPr>
          <w:rFonts w:ascii="Times New Roman" w:eastAsia="標楷體" w:hAnsi="Times New Roman" w:hint="eastAsia"/>
          <w:sz w:val="26"/>
          <w:szCs w:val="26"/>
        </w:rPr>
        <w:t>再售價格法</w:t>
      </w:r>
      <w:r w:rsidRPr="00162562">
        <w:rPr>
          <w:rFonts w:ascii="Times New Roman" w:eastAsia="標楷體" w:hAnsi="Times New Roman" w:hint="eastAsia"/>
          <w:sz w:val="26"/>
          <w:szCs w:val="26"/>
        </w:rPr>
        <w:t>所用為評價之成本加價率</w:t>
      </w:r>
      <w:r w:rsidR="00C307F1" w:rsidRPr="00162562">
        <w:rPr>
          <w:rFonts w:ascii="Times New Roman" w:eastAsia="標楷體" w:hAnsi="Times New Roman" w:hint="eastAsia"/>
          <w:sz w:val="26"/>
          <w:szCs w:val="26"/>
        </w:rPr>
        <w:t>/</w:t>
      </w:r>
      <w:r w:rsidR="00C307F1" w:rsidRPr="00162562">
        <w:rPr>
          <w:rFonts w:ascii="Times New Roman" w:eastAsia="標楷體" w:hAnsi="Times New Roman" w:hint="eastAsia"/>
          <w:sz w:val="26"/>
          <w:szCs w:val="26"/>
        </w:rPr>
        <w:t>毛利率</w:t>
      </w:r>
      <w:r w:rsidRPr="00162562">
        <w:rPr>
          <w:rFonts w:ascii="Times New Roman" w:eastAsia="標楷體" w:hAnsi="Times New Roman" w:hint="eastAsia"/>
          <w:sz w:val="26"/>
          <w:szCs w:val="26"/>
        </w:rPr>
        <w:t>，對受控及未受控交易間功能性差異之忍受度更高。數個企業即便在成本加價率</w:t>
      </w:r>
      <w:r w:rsidR="00C307F1" w:rsidRPr="00162562">
        <w:rPr>
          <w:rFonts w:ascii="Times New Roman" w:eastAsia="標楷體" w:hAnsi="Times New Roman" w:hint="eastAsia"/>
          <w:sz w:val="26"/>
          <w:szCs w:val="26"/>
        </w:rPr>
        <w:t>/</w:t>
      </w:r>
      <w:r w:rsidR="00C307F1" w:rsidRPr="00162562">
        <w:rPr>
          <w:rFonts w:ascii="Times New Roman" w:eastAsia="標楷體" w:hAnsi="Times New Roman" w:hint="eastAsia"/>
          <w:sz w:val="26"/>
          <w:szCs w:val="26"/>
        </w:rPr>
        <w:t>毛利率</w:t>
      </w:r>
      <w:r w:rsidRPr="00162562">
        <w:rPr>
          <w:rFonts w:ascii="Times New Roman" w:eastAsia="標楷體" w:hAnsi="Times New Roman" w:hint="eastAsia"/>
          <w:sz w:val="26"/>
          <w:szCs w:val="26"/>
        </w:rPr>
        <w:t>上之差易極大，還是有可能賺得大致相似之淨利潤；</w:t>
      </w:r>
    </w:p>
    <w:p w:rsidR="008E1C02" w:rsidRPr="00162562"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162562">
        <w:rPr>
          <w:rFonts w:ascii="Times New Roman" w:eastAsia="標楷體" w:hAnsi="Times New Roman" w:hint="eastAsia"/>
          <w:sz w:val="26"/>
          <w:szCs w:val="26"/>
        </w:rPr>
        <w:t>不必如使用利潤分割法時，需</w:t>
      </w:r>
      <w:r w:rsidR="00915780" w:rsidRPr="00162562">
        <w:rPr>
          <w:rFonts w:ascii="Times New Roman" w:eastAsia="標楷體" w:hAnsi="Times New Roman" w:hint="eastAsia"/>
          <w:sz w:val="26"/>
          <w:szCs w:val="26"/>
        </w:rPr>
        <w:t>依</w:t>
      </w:r>
      <w:r w:rsidRPr="00162562">
        <w:rPr>
          <w:rFonts w:ascii="Times New Roman" w:eastAsia="標楷體" w:hAnsi="Times New Roman" w:hint="eastAsia"/>
          <w:sz w:val="26"/>
          <w:szCs w:val="26"/>
        </w:rPr>
        <w:t>關係企業體間各企業之功能及責任</w:t>
      </w:r>
      <w:r w:rsidR="00915780" w:rsidRPr="00162562">
        <w:rPr>
          <w:rFonts w:ascii="Times New Roman" w:eastAsia="標楷體" w:hAnsi="Times New Roman" w:hint="eastAsia"/>
          <w:sz w:val="26"/>
          <w:szCs w:val="26"/>
        </w:rPr>
        <w:t>，對合併營業利潤之貢獻分配營業利潤</w:t>
      </w:r>
      <w:r w:rsidRPr="00162562">
        <w:rPr>
          <w:rFonts w:ascii="Times New Roman" w:eastAsia="標楷體" w:hAnsi="Times New Roman" w:hint="eastAsia"/>
          <w:sz w:val="26"/>
          <w:szCs w:val="26"/>
        </w:rPr>
        <w:t>。</w:t>
      </w:r>
    </w:p>
    <w:p w:rsidR="008E1C02" w:rsidRPr="00162562" w:rsidRDefault="008E1C02" w:rsidP="00B466F7">
      <w:pPr>
        <w:pStyle w:val="4"/>
        <w:keepNext w:val="0"/>
        <w:widowControl/>
        <w:numPr>
          <w:ilvl w:val="0"/>
          <w:numId w:val="4"/>
        </w:numPr>
        <w:tabs>
          <w:tab w:val="clear" w:pos="1272"/>
          <w:tab w:val="num" w:pos="1078"/>
        </w:tabs>
        <w:spacing w:before="100" w:beforeAutospacing="1" w:after="100" w:afterAutospacing="1" w:line="360" w:lineRule="auto"/>
        <w:ind w:leftChars="300" w:left="1077" w:hanging="357"/>
        <w:jc w:val="both"/>
        <w:rPr>
          <w:rFonts w:ascii="Times New Roman" w:eastAsia="標楷體" w:hAnsi="Times New Roman"/>
          <w:sz w:val="26"/>
          <w:szCs w:val="26"/>
        </w:rPr>
      </w:pPr>
      <w:r w:rsidRPr="00162562">
        <w:rPr>
          <w:rFonts w:ascii="Times New Roman" w:eastAsia="標楷體" w:hAnsi="Times New Roman" w:hint="eastAsia"/>
          <w:sz w:val="26"/>
          <w:szCs w:val="26"/>
        </w:rPr>
        <w:t>通常不需將參與受控交易者之帳戶重新調整或作成本分攤。</w:t>
      </w:r>
    </w:p>
    <w:p w:rsidR="0032590C" w:rsidRDefault="008E1C02" w:rsidP="00965AF0">
      <w:pPr>
        <w:spacing w:beforeLines="50" w:before="120" w:afterLines="50" w:after="120" w:line="360" w:lineRule="auto"/>
        <w:ind w:leftChars="200" w:left="480" w:firstLineChars="200" w:firstLine="520"/>
        <w:jc w:val="both"/>
        <w:rPr>
          <w:rFonts w:eastAsia="標楷體"/>
          <w:sz w:val="26"/>
          <w:szCs w:val="26"/>
        </w:rPr>
      </w:pPr>
      <w:r w:rsidRPr="00162562">
        <w:rPr>
          <w:rFonts w:eastAsia="標楷體" w:hint="eastAsia"/>
          <w:sz w:val="26"/>
          <w:szCs w:val="26"/>
        </w:rPr>
        <w:t>可比較利潤法對受測個體及所選取對象之可比較性標準較寬鬆。功能上之差異通常會影響成本加價率</w:t>
      </w:r>
      <w:r w:rsidR="00C307F1" w:rsidRPr="00162562">
        <w:rPr>
          <w:rFonts w:eastAsia="標楷體" w:hint="eastAsia"/>
          <w:sz w:val="26"/>
          <w:szCs w:val="26"/>
        </w:rPr>
        <w:t>/</w:t>
      </w:r>
      <w:r w:rsidR="00C307F1" w:rsidRPr="00162562">
        <w:rPr>
          <w:rFonts w:eastAsia="標楷體" w:hint="eastAsia"/>
          <w:sz w:val="26"/>
          <w:szCs w:val="26"/>
        </w:rPr>
        <w:t>毛利率</w:t>
      </w:r>
      <w:r w:rsidRPr="00162562">
        <w:rPr>
          <w:rFonts w:eastAsia="標楷體" w:hint="eastAsia"/>
          <w:sz w:val="26"/>
          <w:szCs w:val="26"/>
        </w:rPr>
        <w:t>，但因較難認定數值化差異，</w:t>
      </w:r>
      <w:r w:rsidR="00674643" w:rsidRPr="00162562">
        <w:rPr>
          <w:rFonts w:eastAsia="標楷體" w:hint="eastAsia"/>
          <w:sz w:val="26"/>
          <w:szCs w:val="26"/>
        </w:rPr>
        <w:t>及</w:t>
      </w:r>
      <w:r w:rsidRPr="00162562">
        <w:rPr>
          <w:rFonts w:eastAsia="標楷體" w:hint="eastAsia"/>
          <w:sz w:val="26"/>
          <w:szCs w:val="26"/>
        </w:rPr>
        <w:t>適切調整該等差異對可比較對象成本加價率</w:t>
      </w:r>
      <w:r w:rsidR="00C307F1" w:rsidRPr="00162562">
        <w:rPr>
          <w:rFonts w:eastAsia="標楷體" w:hint="eastAsia"/>
          <w:sz w:val="26"/>
          <w:szCs w:val="26"/>
        </w:rPr>
        <w:t>/</w:t>
      </w:r>
      <w:r w:rsidR="00C307F1" w:rsidRPr="00162562">
        <w:rPr>
          <w:rFonts w:eastAsia="標楷體" w:hint="eastAsia"/>
          <w:sz w:val="26"/>
          <w:szCs w:val="26"/>
        </w:rPr>
        <w:t>毛利率之影響，因此使用成本加價率</w:t>
      </w:r>
      <w:r w:rsidR="00C307F1" w:rsidRPr="00162562">
        <w:rPr>
          <w:rFonts w:eastAsia="標楷體" w:hint="eastAsia"/>
          <w:sz w:val="26"/>
          <w:szCs w:val="26"/>
        </w:rPr>
        <w:t>/</w:t>
      </w:r>
      <w:r w:rsidR="00C307F1" w:rsidRPr="00162562">
        <w:rPr>
          <w:rFonts w:eastAsia="標楷體" w:hint="eastAsia"/>
          <w:sz w:val="26"/>
          <w:szCs w:val="26"/>
        </w:rPr>
        <w:t>毛利率</w:t>
      </w:r>
      <w:r w:rsidRPr="00162562">
        <w:rPr>
          <w:rFonts w:eastAsia="標楷體" w:hint="eastAsia"/>
          <w:sz w:val="26"/>
          <w:szCs w:val="26"/>
        </w:rPr>
        <w:t>評估受控交易是否合乎常規之限制較多。</w:t>
      </w:r>
      <w:r w:rsidR="00F52925" w:rsidRPr="00162562">
        <w:rPr>
          <w:rFonts w:eastAsia="標楷體" w:hint="eastAsia"/>
          <w:sz w:val="26"/>
          <w:szCs w:val="26"/>
        </w:rPr>
        <w:t>而由於</w:t>
      </w:r>
      <w:r w:rsidRPr="00162562">
        <w:rPr>
          <w:rFonts w:eastAsia="標楷體" w:hint="eastAsia"/>
          <w:sz w:val="26"/>
          <w:szCs w:val="26"/>
        </w:rPr>
        <w:t>功能上的差異通常會反映到營業費用，所以於使用可比較利潤法進行營</w:t>
      </w:r>
      <w:r w:rsidR="00F167CE" w:rsidRPr="00162562">
        <w:rPr>
          <w:rFonts w:eastAsia="標楷體" w:hint="eastAsia"/>
          <w:sz w:val="26"/>
          <w:szCs w:val="26"/>
        </w:rPr>
        <w:t>業</w:t>
      </w:r>
      <w:r w:rsidRPr="00162562">
        <w:rPr>
          <w:rFonts w:eastAsia="標楷體" w:hint="eastAsia"/>
          <w:sz w:val="26"/>
          <w:szCs w:val="26"/>
        </w:rPr>
        <w:t>利潤分析時，對功能上之差異便無如此嚴格之要求。因為可比較利潤法同時考慮到成本加價</w:t>
      </w:r>
      <w:r w:rsidR="00C307F1" w:rsidRPr="00162562">
        <w:rPr>
          <w:rFonts w:eastAsia="標楷體" w:hint="eastAsia"/>
          <w:sz w:val="26"/>
          <w:szCs w:val="26"/>
        </w:rPr>
        <w:t>、毛利</w:t>
      </w:r>
      <w:r w:rsidRPr="00162562">
        <w:rPr>
          <w:rFonts w:eastAsia="標楷體" w:hint="eastAsia"/>
          <w:sz w:val="26"/>
          <w:szCs w:val="26"/>
        </w:rPr>
        <w:t>及淨利，涵蓋之範圍較廣。所以對常規交易結果之衡量更值得信賴。</w:t>
      </w:r>
    </w:p>
    <w:p w:rsidR="0032590C" w:rsidRDefault="008E1C02" w:rsidP="00965AF0">
      <w:pPr>
        <w:spacing w:beforeLines="50" w:before="120" w:afterLines="50" w:after="120" w:line="360" w:lineRule="auto"/>
        <w:ind w:leftChars="200" w:left="480" w:firstLineChars="200" w:firstLine="520"/>
        <w:jc w:val="both"/>
        <w:rPr>
          <w:rFonts w:eastAsia="標楷體"/>
          <w:sz w:val="26"/>
          <w:szCs w:val="26"/>
        </w:rPr>
      </w:pPr>
      <w:r w:rsidRPr="00162562">
        <w:rPr>
          <w:rFonts w:eastAsia="標楷體" w:hint="eastAsia"/>
          <w:sz w:val="26"/>
          <w:szCs w:val="26"/>
        </w:rPr>
        <w:t>美國內地稅法及</w:t>
      </w:r>
      <w:r w:rsidRPr="00162562">
        <w:rPr>
          <w:rFonts w:eastAsia="標楷體" w:hint="eastAsia"/>
          <w:sz w:val="26"/>
          <w:szCs w:val="26"/>
        </w:rPr>
        <w:t>OECD</w:t>
      </w:r>
      <w:r w:rsidRPr="00162562">
        <w:rPr>
          <w:rFonts w:eastAsia="標楷體" w:hint="eastAsia"/>
          <w:sz w:val="26"/>
          <w:szCs w:val="26"/>
        </w:rPr>
        <w:t>指導</w:t>
      </w:r>
      <w:r w:rsidR="00AB3B6F" w:rsidRPr="00162562">
        <w:rPr>
          <w:rFonts w:eastAsia="標楷體" w:hint="eastAsia"/>
          <w:sz w:val="26"/>
          <w:szCs w:val="26"/>
        </w:rPr>
        <w:t>準</w:t>
      </w:r>
      <w:r w:rsidRPr="00162562">
        <w:rPr>
          <w:rFonts w:eastAsia="標楷體" w:hint="eastAsia"/>
          <w:sz w:val="26"/>
          <w:szCs w:val="26"/>
        </w:rPr>
        <w:t>則亦均指出，使用可比較利潤法時，可比較對象只要大致與受測個體相似即可，即便產品有顯著不同，或在功能上有所差異，對於無法完全確認受控交易及未受控交易二者間之營業成本與營業費用是否已正確歸類等情形，都可適用可比較利潤法。</w:t>
      </w:r>
    </w:p>
    <w:p w:rsidR="0032590C" w:rsidRDefault="00F4291E" w:rsidP="00965AF0">
      <w:pPr>
        <w:pStyle w:val="3"/>
        <w:numPr>
          <w:ilvl w:val="0"/>
          <w:numId w:val="40"/>
        </w:numPr>
        <w:spacing w:beforeLines="50" w:before="120" w:afterLines="50" w:after="120" w:line="360" w:lineRule="auto"/>
        <w:ind w:leftChars="100" w:left="720"/>
        <w:jc w:val="both"/>
        <w:rPr>
          <w:rFonts w:ascii="Times New Roman" w:eastAsia="標楷體" w:hAnsi="Times New Roman"/>
          <w:sz w:val="32"/>
        </w:rPr>
      </w:pPr>
      <w:r w:rsidRPr="00EA272E">
        <w:rPr>
          <w:rFonts w:ascii="Times New Roman" w:eastAsia="標楷體" w:hAnsi="Times New Roman" w:hint="eastAsia"/>
          <w:sz w:val="32"/>
        </w:rPr>
        <w:t>其他</w:t>
      </w:r>
      <w:r w:rsidR="00162D2B" w:rsidRPr="00EA272E">
        <w:rPr>
          <w:rFonts w:ascii="Times New Roman" w:eastAsia="標楷體" w:hAnsi="Times New Roman" w:hint="eastAsia"/>
          <w:sz w:val="32"/>
        </w:rPr>
        <w:t>常規交易</w:t>
      </w:r>
      <w:r w:rsidRPr="00EA272E">
        <w:rPr>
          <w:rFonts w:ascii="Times New Roman" w:eastAsia="標楷體" w:hAnsi="Times New Roman" w:hint="eastAsia"/>
          <w:sz w:val="32"/>
        </w:rPr>
        <w:t>方法</w:t>
      </w:r>
      <w:r w:rsidR="00C722A8" w:rsidRPr="00EA272E">
        <w:rPr>
          <w:rFonts w:ascii="Times New Roman" w:eastAsia="標楷體" w:hAnsi="Times New Roman" w:hint="eastAsia"/>
          <w:sz w:val="32"/>
        </w:rPr>
        <w:t>不</w:t>
      </w:r>
      <w:r w:rsidR="00F55F88" w:rsidRPr="00EA272E">
        <w:rPr>
          <w:rFonts w:ascii="Times New Roman" w:eastAsia="標楷體" w:hAnsi="Times New Roman" w:hint="eastAsia"/>
          <w:sz w:val="32"/>
        </w:rPr>
        <w:t>予採用原因</w:t>
      </w:r>
    </w:p>
    <w:p w:rsidR="0032590C" w:rsidRDefault="0056725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以下列出其他</w:t>
      </w:r>
      <w:r w:rsidR="00E66304" w:rsidRPr="00EA272E">
        <w:rPr>
          <w:rFonts w:eastAsia="標楷體" w:hint="eastAsia"/>
          <w:sz w:val="26"/>
          <w:szCs w:val="26"/>
        </w:rPr>
        <w:t>常規交易</w:t>
      </w:r>
      <w:r w:rsidRPr="00EA272E">
        <w:rPr>
          <w:rFonts w:eastAsia="標楷體"/>
          <w:sz w:val="26"/>
          <w:szCs w:val="26"/>
        </w:rPr>
        <w:t>方法所以不適</w:t>
      </w:r>
      <w:r w:rsidR="00E66304" w:rsidRPr="00EA272E">
        <w:rPr>
          <w:rFonts w:eastAsia="標楷體" w:hint="eastAsia"/>
          <w:sz w:val="26"/>
          <w:szCs w:val="26"/>
        </w:rPr>
        <w:t>用</w:t>
      </w:r>
      <w:r w:rsidRPr="00EA272E">
        <w:rPr>
          <w:rFonts w:eastAsia="標楷體"/>
          <w:sz w:val="26"/>
          <w:szCs w:val="26"/>
        </w:rPr>
        <w:t>評估</w:t>
      </w:r>
      <w:r w:rsidR="00344D1A" w:rsidRPr="00340F76">
        <w:rPr>
          <w:rFonts w:eastAsia="標楷體"/>
          <w:sz w:val="26"/>
          <w:szCs w:val="26"/>
        </w:rPr>
        <w:t>『</w:t>
      </w:r>
      <w:r w:rsidR="00344D1A" w:rsidRPr="00340F76">
        <w:rPr>
          <w:rFonts w:eastAsia="標楷體" w:hint="eastAsia"/>
          <w:sz w:val="26"/>
          <w:szCs w:val="26"/>
        </w:rPr>
        <w:t>有形資產之移轉－進貨』及『服務之</w:t>
      </w:r>
      <w:r w:rsidR="00344D1A">
        <w:rPr>
          <w:rFonts w:eastAsia="標楷體" w:hint="eastAsia"/>
          <w:sz w:val="26"/>
          <w:szCs w:val="26"/>
        </w:rPr>
        <w:t>提供－提供產品服務』</w:t>
      </w:r>
      <w:r w:rsidR="00E66304" w:rsidRPr="00EA272E">
        <w:rPr>
          <w:rFonts w:eastAsia="標楷體" w:hint="eastAsia"/>
          <w:sz w:val="26"/>
          <w:szCs w:val="26"/>
        </w:rPr>
        <w:t>等</w:t>
      </w:r>
      <w:r w:rsidRPr="00EA272E">
        <w:rPr>
          <w:rFonts w:eastAsia="標楷體"/>
          <w:sz w:val="26"/>
          <w:szCs w:val="26"/>
        </w:rPr>
        <w:t>受控交易</w:t>
      </w:r>
      <w:r w:rsidR="00E66304" w:rsidRPr="00EA272E">
        <w:rPr>
          <w:rFonts w:eastAsia="標楷體" w:hint="eastAsia"/>
          <w:sz w:val="26"/>
          <w:szCs w:val="26"/>
        </w:rPr>
        <w:t>類型</w:t>
      </w:r>
      <w:r w:rsidRPr="00EA272E">
        <w:rPr>
          <w:rFonts w:eastAsia="標楷體"/>
          <w:sz w:val="26"/>
          <w:szCs w:val="26"/>
        </w:rPr>
        <w:t>之原因供作參考：</w:t>
      </w:r>
    </w:p>
    <w:p w:rsidR="0032590C" w:rsidRDefault="00567251" w:rsidP="00965AF0">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lastRenderedPageBreak/>
        <w:t>可比較未受控價格法</w:t>
      </w:r>
    </w:p>
    <w:p w:rsidR="0032590C" w:rsidRDefault="00144F49" w:rsidP="00965AF0">
      <w:pPr>
        <w:numPr>
          <w:ilvl w:val="0"/>
          <w:numId w:val="55"/>
        </w:numPr>
        <w:tabs>
          <w:tab w:val="left" w:pos="960"/>
          <w:tab w:val="left" w:pos="1134"/>
        </w:tabs>
        <w:spacing w:beforeLines="50" w:before="120" w:afterLines="50" w:after="120" w:line="360" w:lineRule="auto"/>
        <w:jc w:val="both"/>
        <w:rPr>
          <w:rFonts w:eastAsia="標楷體"/>
          <w:sz w:val="26"/>
          <w:szCs w:val="26"/>
        </w:rPr>
      </w:pPr>
      <w:r w:rsidRPr="00FE6BBD">
        <w:rPr>
          <w:rFonts w:eastAsia="標楷體" w:hint="eastAsia"/>
          <w:sz w:val="26"/>
          <w:szCs w:val="26"/>
        </w:rPr>
        <w:t>有形資產之移轉－進貨</w:t>
      </w:r>
    </w:p>
    <w:p w:rsidR="0032590C" w:rsidRDefault="00144F49" w:rsidP="00965AF0">
      <w:pPr>
        <w:spacing w:beforeLines="50" w:before="120" w:afterLines="50" w:after="120" w:line="360" w:lineRule="auto"/>
        <w:ind w:leftChars="300" w:left="720" w:firstLineChars="200" w:firstLine="520"/>
        <w:jc w:val="both"/>
        <w:rPr>
          <w:rFonts w:eastAsia="標楷體"/>
          <w:sz w:val="26"/>
          <w:szCs w:val="26"/>
        </w:rPr>
      </w:pPr>
      <w:r w:rsidRPr="00340F76">
        <w:rPr>
          <w:rFonts w:eastAsia="標楷體" w:hint="eastAsia"/>
          <w:sz w:val="26"/>
          <w:szCs w:val="26"/>
        </w:rPr>
        <w:t>太克科技之產品因擁有其特有之技術而深具獨特性，且因外部廠商之產品性質、規格、品牌價值及各自給予客戶之交易條件皆會存有差異，無法找到完全相同之產品，無外部可比較未受控價格可用以比較，故『可比較未受控價格法』非為最適常規交易方法。</w:t>
      </w:r>
    </w:p>
    <w:p w:rsidR="0032590C" w:rsidRDefault="00144F49" w:rsidP="00965AF0">
      <w:pPr>
        <w:numPr>
          <w:ilvl w:val="0"/>
          <w:numId w:val="55"/>
        </w:numPr>
        <w:tabs>
          <w:tab w:val="left" w:pos="960"/>
          <w:tab w:val="left" w:pos="1134"/>
        </w:tabs>
        <w:spacing w:beforeLines="50" w:before="120" w:afterLines="50" w:after="120" w:line="360" w:lineRule="auto"/>
        <w:jc w:val="both"/>
        <w:rPr>
          <w:rFonts w:eastAsia="標楷體"/>
          <w:sz w:val="26"/>
          <w:szCs w:val="26"/>
        </w:rPr>
      </w:pPr>
      <w:r w:rsidRPr="00FB6A82">
        <w:rPr>
          <w:rFonts w:eastAsia="標楷體" w:hint="eastAsia"/>
          <w:sz w:val="26"/>
          <w:szCs w:val="26"/>
        </w:rPr>
        <w:t>服務之提供－提供</w:t>
      </w:r>
      <w:r>
        <w:rPr>
          <w:rFonts w:eastAsia="標楷體" w:hint="eastAsia"/>
          <w:sz w:val="26"/>
          <w:szCs w:val="26"/>
        </w:rPr>
        <w:t>產品</w:t>
      </w:r>
      <w:r w:rsidRPr="00FB6A82">
        <w:rPr>
          <w:rFonts w:eastAsia="標楷體" w:hint="eastAsia"/>
          <w:sz w:val="26"/>
          <w:szCs w:val="26"/>
        </w:rPr>
        <w:t>服務</w:t>
      </w:r>
    </w:p>
    <w:p w:rsidR="0032590C" w:rsidRDefault="00144F49" w:rsidP="00965AF0">
      <w:pPr>
        <w:spacing w:beforeLines="50" w:before="120" w:afterLines="50" w:after="120" w:line="360" w:lineRule="auto"/>
        <w:ind w:leftChars="300" w:left="720" w:firstLineChars="200" w:firstLine="520"/>
        <w:jc w:val="both"/>
        <w:rPr>
          <w:rFonts w:eastAsia="標楷體"/>
          <w:sz w:val="26"/>
          <w:szCs w:val="26"/>
          <w:shd w:val="clear" w:color="auto" w:fill="DAEEF3"/>
        </w:rPr>
      </w:pPr>
      <w:r>
        <w:rPr>
          <w:rFonts w:eastAsia="標楷體" w:hint="eastAsia"/>
          <w:sz w:val="26"/>
          <w:szCs w:val="26"/>
        </w:rPr>
        <w:t>太克科技提供母公司接單、行銷、維修及保固等產品服務，係針對集團自行研發之儀器而發展出之服務內容，故具特殊性，所以未能在公開市場上找到相似服務售價作為比較，不適用此法評估。</w:t>
      </w:r>
    </w:p>
    <w:p w:rsidR="0032590C" w:rsidRDefault="00A60DF2" w:rsidP="00965AF0">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可比較未受控</w:t>
      </w:r>
      <w:r w:rsidRPr="00EA272E">
        <w:rPr>
          <w:rFonts w:eastAsia="標楷體" w:hint="eastAsia"/>
          <w:b/>
          <w:sz w:val="28"/>
          <w:szCs w:val="26"/>
        </w:rPr>
        <w:t>交易</w:t>
      </w:r>
      <w:r w:rsidRPr="00EA272E">
        <w:rPr>
          <w:rFonts w:eastAsia="標楷體"/>
          <w:b/>
          <w:sz w:val="28"/>
          <w:szCs w:val="26"/>
        </w:rPr>
        <w:t>法</w:t>
      </w:r>
    </w:p>
    <w:p w:rsidR="0032590C" w:rsidRDefault="00B05321" w:rsidP="00965AF0">
      <w:pPr>
        <w:spacing w:beforeLines="50" w:before="120" w:afterLines="50" w:after="120" w:line="360" w:lineRule="auto"/>
        <w:ind w:leftChars="200" w:left="480" w:firstLineChars="200" w:firstLine="520"/>
        <w:jc w:val="both"/>
        <w:rPr>
          <w:rFonts w:eastAsia="標楷體"/>
          <w:color w:val="0070C0"/>
          <w:sz w:val="26"/>
          <w:szCs w:val="26"/>
          <w:shd w:val="clear" w:color="auto" w:fill="DAEEF3"/>
        </w:rPr>
      </w:pPr>
      <w:r w:rsidRPr="00FB6A82">
        <w:rPr>
          <w:rFonts w:eastAsia="標楷體"/>
          <w:sz w:val="26"/>
          <w:szCs w:val="26"/>
        </w:rPr>
        <w:t>依移轉訂價查核準則規定，</w:t>
      </w:r>
      <w:r w:rsidRPr="00FB6A82">
        <w:rPr>
          <w:rFonts w:eastAsia="標楷體" w:hint="eastAsia"/>
          <w:sz w:val="26"/>
          <w:szCs w:val="26"/>
        </w:rPr>
        <w:t>『有形資產之移轉』</w:t>
      </w:r>
      <w:r w:rsidR="00654F87">
        <w:rPr>
          <w:rFonts w:eastAsia="標楷體" w:hint="eastAsia"/>
          <w:sz w:val="26"/>
          <w:szCs w:val="26"/>
        </w:rPr>
        <w:t>及</w:t>
      </w:r>
      <w:r w:rsidRPr="00FB6A82">
        <w:rPr>
          <w:rFonts w:eastAsia="標楷體" w:hint="eastAsia"/>
          <w:sz w:val="26"/>
          <w:szCs w:val="26"/>
        </w:rPr>
        <w:t>『服務之提供』受控交易</w:t>
      </w:r>
      <w:r w:rsidR="00880A9F">
        <w:rPr>
          <w:rFonts w:eastAsia="標楷體" w:hint="eastAsia"/>
          <w:sz w:val="26"/>
          <w:szCs w:val="26"/>
        </w:rPr>
        <w:t>類型</w:t>
      </w:r>
      <w:r w:rsidRPr="00FB6A82">
        <w:rPr>
          <w:rFonts w:eastAsia="標楷體"/>
          <w:sz w:val="26"/>
          <w:szCs w:val="26"/>
        </w:rPr>
        <w:t>不可使用</w:t>
      </w:r>
      <w:r w:rsidRPr="00FB6A82">
        <w:rPr>
          <w:rFonts w:eastAsia="標楷體" w:hint="eastAsia"/>
          <w:sz w:val="26"/>
          <w:szCs w:val="26"/>
        </w:rPr>
        <w:t>此</w:t>
      </w:r>
      <w:r w:rsidRPr="00FB6A82">
        <w:rPr>
          <w:rFonts w:eastAsia="標楷體"/>
          <w:sz w:val="26"/>
          <w:szCs w:val="26"/>
        </w:rPr>
        <w:t>法進行評估。</w:t>
      </w:r>
    </w:p>
    <w:p w:rsidR="0032590C" w:rsidRDefault="00567251" w:rsidP="00965AF0">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再售價格法</w:t>
      </w:r>
    </w:p>
    <w:p w:rsidR="0032590C" w:rsidRDefault="00B05321" w:rsidP="00965AF0">
      <w:pPr>
        <w:numPr>
          <w:ilvl w:val="0"/>
          <w:numId w:val="56"/>
        </w:numPr>
        <w:tabs>
          <w:tab w:val="left" w:pos="960"/>
          <w:tab w:val="left" w:pos="1134"/>
        </w:tabs>
        <w:spacing w:beforeLines="50" w:before="120" w:afterLines="50" w:after="120" w:line="360" w:lineRule="auto"/>
        <w:jc w:val="both"/>
        <w:rPr>
          <w:rFonts w:eastAsia="標楷體"/>
          <w:sz w:val="26"/>
          <w:szCs w:val="26"/>
        </w:rPr>
      </w:pPr>
      <w:r w:rsidRPr="00FB6A82">
        <w:rPr>
          <w:rFonts w:eastAsia="標楷體" w:hint="eastAsia"/>
          <w:sz w:val="26"/>
          <w:szCs w:val="26"/>
        </w:rPr>
        <w:t>有形資產之移轉－進貨</w:t>
      </w:r>
    </w:p>
    <w:p w:rsidR="0032590C" w:rsidRDefault="00B05321" w:rsidP="00965AF0">
      <w:pPr>
        <w:spacing w:beforeLines="50" w:before="120" w:afterLines="50" w:after="120" w:line="360" w:lineRule="auto"/>
        <w:ind w:leftChars="300" w:left="720" w:firstLineChars="200" w:firstLine="520"/>
        <w:jc w:val="both"/>
        <w:rPr>
          <w:rFonts w:eastAsia="標楷體"/>
          <w:sz w:val="26"/>
          <w:szCs w:val="26"/>
        </w:rPr>
      </w:pPr>
      <w:r w:rsidRPr="00CF2D27">
        <w:rPr>
          <w:rFonts w:eastAsia="標楷體" w:hint="eastAsia"/>
          <w:sz w:val="26"/>
          <w:szCs w:val="26"/>
        </w:rPr>
        <w:t>本法對可比較對象之可比較性條件要求較利潤法為嚴苛，如產品組合必須非常具比較性才可用於比較，且公司向關係企業進貨時也會因各項產品數量多寡及產品組合不同造成進貨成本不一，進而影響各項產品之毛利，在無法釐清可比較對象產品數量與組合以及毛利組成成分前，不適以『再售價格法』為最適常規交易方法。</w:t>
      </w:r>
    </w:p>
    <w:p w:rsidR="0032590C" w:rsidRDefault="00B05321" w:rsidP="00965AF0">
      <w:pPr>
        <w:numPr>
          <w:ilvl w:val="0"/>
          <w:numId w:val="56"/>
        </w:numPr>
        <w:tabs>
          <w:tab w:val="left" w:pos="960"/>
          <w:tab w:val="left" w:pos="1134"/>
        </w:tabs>
        <w:spacing w:beforeLines="50" w:before="120" w:afterLines="50" w:after="120" w:line="360" w:lineRule="auto"/>
        <w:jc w:val="both"/>
        <w:rPr>
          <w:rFonts w:eastAsia="標楷體"/>
          <w:sz w:val="26"/>
          <w:szCs w:val="26"/>
        </w:rPr>
      </w:pPr>
      <w:r w:rsidRPr="00FB6A82">
        <w:rPr>
          <w:rFonts w:eastAsia="標楷體" w:hint="eastAsia"/>
          <w:sz w:val="26"/>
          <w:szCs w:val="26"/>
        </w:rPr>
        <w:t>服務之提供－提供產品服務</w:t>
      </w:r>
    </w:p>
    <w:p w:rsidR="0032590C" w:rsidRDefault="00B05321" w:rsidP="00965AF0">
      <w:pPr>
        <w:tabs>
          <w:tab w:val="left" w:pos="960"/>
          <w:tab w:val="left" w:pos="1134"/>
        </w:tabs>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依移轉訂價查核準則規定，此類型受控交易皆不可使用此法進行</w:t>
      </w:r>
      <w:r>
        <w:rPr>
          <w:rFonts w:eastAsia="標楷體" w:hint="eastAsia"/>
          <w:sz w:val="26"/>
          <w:szCs w:val="26"/>
        </w:rPr>
        <w:lastRenderedPageBreak/>
        <w:t>評估。</w:t>
      </w:r>
    </w:p>
    <w:p w:rsidR="0032590C" w:rsidRDefault="00567251" w:rsidP="00965AF0">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b/>
          <w:sz w:val="28"/>
          <w:szCs w:val="26"/>
        </w:rPr>
        <w:t>成本加價法</w:t>
      </w:r>
    </w:p>
    <w:p w:rsidR="0032590C" w:rsidRDefault="003B4AA8" w:rsidP="00965AF0">
      <w:pPr>
        <w:numPr>
          <w:ilvl w:val="0"/>
          <w:numId w:val="57"/>
        </w:numPr>
        <w:tabs>
          <w:tab w:val="left" w:pos="960"/>
          <w:tab w:val="left" w:pos="1134"/>
        </w:tabs>
        <w:spacing w:beforeLines="50" w:before="120" w:afterLines="50" w:after="120" w:line="360" w:lineRule="auto"/>
        <w:jc w:val="both"/>
        <w:rPr>
          <w:rFonts w:eastAsia="標楷體"/>
          <w:sz w:val="26"/>
          <w:szCs w:val="26"/>
        </w:rPr>
      </w:pPr>
      <w:r w:rsidRPr="00CF2D27">
        <w:rPr>
          <w:rFonts w:eastAsia="標楷體" w:hint="eastAsia"/>
          <w:sz w:val="26"/>
          <w:szCs w:val="26"/>
        </w:rPr>
        <w:t>有形資產之移轉－進貨</w:t>
      </w:r>
    </w:p>
    <w:p w:rsidR="0032590C" w:rsidRDefault="003B4AA8" w:rsidP="00965AF0">
      <w:pPr>
        <w:spacing w:beforeLines="50" w:before="120" w:afterLines="50" w:after="120" w:line="360" w:lineRule="auto"/>
        <w:ind w:leftChars="300" w:left="720" w:firstLineChars="200" w:firstLine="520"/>
        <w:jc w:val="both"/>
        <w:rPr>
          <w:rFonts w:eastAsia="標楷體"/>
          <w:sz w:val="26"/>
          <w:szCs w:val="26"/>
        </w:rPr>
      </w:pPr>
      <w:r w:rsidRPr="00CF2D27">
        <w:rPr>
          <w:rFonts w:eastAsia="標楷體" w:hint="eastAsia"/>
          <w:sz w:val="26"/>
          <w:szCs w:val="26"/>
        </w:rPr>
        <w:t>本法規定適用情形為自非關係人購貨，經加值後售予關係人之情形，惟太克科技購入商品轉售，企業角色為銷售商，未對產品顯著加值，故本所不建議採用此方法進行受控交易評估。</w:t>
      </w:r>
    </w:p>
    <w:p w:rsidR="0032590C" w:rsidRDefault="003B4AA8" w:rsidP="00965AF0">
      <w:pPr>
        <w:numPr>
          <w:ilvl w:val="0"/>
          <w:numId w:val="57"/>
        </w:numPr>
        <w:tabs>
          <w:tab w:val="left" w:pos="960"/>
          <w:tab w:val="left" w:pos="1134"/>
        </w:tabs>
        <w:spacing w:beforeLines="50" w:before="120" w:afterLines="50" w:after="120" w:line="360" w:lineRule="auto"/>
        <w:jc w:val="both"/>
        <w:rPr>
          <w:rFonts w:eastAsia="標楷體"/>
          <w:sz w:val="26"/>
          <w:szCs w:val="26"/>
        </w:rPr>
      </w:pPr>
      <w:r w:rsidRPr="00CF2D27">
        <w:rPr>
          <w:rFonts w:eastAsia="標楷體" w:hint="eastAsia"/>
          <w:sz w:val="26"/>
          <w:szCs w:val="26"/>
        </w:rPr>
        <w:t>服務之提供－</w:t>
      </w:r>
      <w:r w:rsidRPr="00FB6A82">
        <w:rPr>
          <w:rFonts w:eastAsia="標楷體" w:hint="eastAsia"/>
          <w:sz w:val="26"/>
          <w:szCs w:val="26"/>
        </w:rPr>
        <w:t>提供產品服務</w:t>
      </w:r>
    </w:p>
    <w:p w:rsidR="0032590C" w:rsidRDefault="003B4AA8" w:rsidP="00965AF0">
      <w:pPr>
        <w:tabs>
          <w:tab w:val="left" w:pos="960"/>
          <w:tab w:val="left" w:pos="1134"/>
        </w:tabs>
        <w:spacing w:beforeLines="50" w:before="120" w:afterLines="50" w:after="120" w:line="360" w:lineRule="auto"/>
        <w:ind w:leftChars="300" w:left="720" w:firstLineChars="200" w:firstLine="520"/>
        <w:jc w:val="both"/>
        <w:rPr>
          <w:rFonts w:eastAsia="標楷體"/>
          <w:sz w:val="26"/>
          <w:szCs w:val="26"/>
        </w:rPr>
      </w:pPr>
      <w:r>
        <w:rPr>
          <w:rFonts w:eastAsia="標楷體" w:hint="eastAsia"/>
          <w:sz w:val="26"/>
          <w:szCs w:val="26"/>
        </w:rPr>
        <w:t>成本加價法之可比較性要求，除強調可比較對象執行功能及承擔風險之相似性外，亦應考量成本結構及會計處理之ㄧ致性等特別影響因素，故在無法尋得適用之未受控交易用以比較下，不適以『成本加價法』為最適常規交易方法。</w:t>
      </w:r>
    </w:p>
    <w:p w:rsidR="0032590C" w:rsidRDefault="003D6761" w:rsidP="00965AF0">
      <w:pPr>
        <w:numPr>
          <w:ilvl w:val="0"/>
          <w:numId w:val="36"/>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EA272E">
        <w:rPr>
          <w:rFonts w:eastAsia="標楷體" w:hint="eastAsia"/>
          <w:b/>
          <w:sz w:val="28"/>
          <w:szCs w:val="26"/>
        </w:rPr>
        <w:t>利潤分割</w:t>
      </w:r>
      <w:r w:rsidRPr="00EA272E">
        <w:rPr>
          <w:rFonts w:eastAsia="標楷體"/>
          <w:b/>
          <w:sz w:val="28"/>
          <w:szCs w:val="26"/>
        </w:rPr>
        <w:t>法</w:t>
      </w:r>
    </w:p>
    <w:p w:rsidR="0032590C" w:rsidRDefault="000A7150" w:rsidP="00965AF0">
      <w:pPr>
        <w:numPr>
          <w:ilvl w:val="0"/>
          <w:numId w:val="67"/>
        </w:numPr>
        <w:tabs>
          <w:tab w:val="left" w:pos="960"/>
          <w:tab w:val="left" w:pos="1134"/>
        </w:tabs>
        <w:spacing w:beforeLines="50" w:before="120" w:afterLines="50" w:after="120" w:line="360" w:lineRule="auto"/>
        <w:jc w:val="both"/>
        <w:rPr>
          <w:rFonts w:eastAsia="標楷體"/>
          <w:sz w:val="26"/>
          <w:szCs w:val="26"/>
        </w:rPr>
      </w:pPr>
      <w:r>
        <w:rPr>
          <w:rFonts w:eastAsia="標楷體" w:hint="eastAsia"/>
          <w:sz w:val="26"/>
          <w:szCs w:val="26"/>
        </w:rPr>
        <w:t>「</w:t>
      </w:r>
      <w:r w:rsidR="00C12E25" w:rsidRPr="00CF2D27">
        <w:rPr>
          <w:rFonts w:eastAsia="標楷體" w:hint="eastAsia"/>
          <w:sz w:val="26"/>
          <w:szCs w:val="26"/>
        </w:rPr>
        <w:t>有形資產之移轉－進貨</w:t>
      </w:r>
      <w:r>
        <w:rPr>
          <w:rFonts w:eastAsia="標楷體" w:hint="eastAsia"/>
          <w:sz w:val="26"/>
          <w:szCs w:val="26"/>
        </w:rPr>
        <w:t>」</w:t>
      </w:r>
      <w:r w:rsidR="00C12E25">
        <w:rPr>
          <w:rFonts w:eastAsia="標楷體" w:hint="eastAsia"/>
          <w:sz w:val="26"/>
          <w:szCs w:val="26"/>
        </w:rPr>
        <w:t>及</w:t>
      </w:r>
      <w:r>
        <w:rPr>
          <w:rFonts w:eastAsia="標楷體" w:hint="eastAsia"/>
          <w:sz w:val="26"/>
          <w:szCs w:val="26"/>
        </w:rPr>
        <w:t>「</w:t>
      </w:r>
      <w:r w:rsidR="00C12E25" w:rsidRPr="00CF2D27">
        <w:rPr>
          <w:rFonts w:eastAsia="標楷體" w:hint="eastAsia"/>
          <w:sz w:val="26"/>
          <w:szCs w:val="26"/>
        </w:rPr>
        <w:t>服務之提供－</w:t>
      </w:r>
      <w:r w:rsidR="00C12E25" w:rsidRPr="00FB6A82">
        <w:rPr>
          <w:rFonts w:eastAsia="標楷體" w:hint="eastAsia"/>
          <w:sz w:val="26"/>
          <w:szCs w:val="26"/>
        </w:rPr>
        <w:t>提供產品服務</w:t>
      </w:r>
      <w:r>
        <w:rPr>
          <w:rFonts w:eastAsia="標楷體" w:hint="eastAsia"/>
          <w:sz w:val="26"/>
          <w:szCs w:val="26"/>
        </w:rPr>
        <w:t>」</w:t>
      </w:r>
    </w:p>
    <w:p w:rsidR="0032590C" w:rsidRDefault="003D6761" w:rsidP="00965AF0">
      <w:pPr>
        <w:spacing w:beforeLines="50" w:before="120" w:afterLines="50" w:after="120" w:line="360" w:lineRule="auto"/>
        <w:ind w:leftChars="300" w:left="720" w:firstLineChars="200" w:firstLine="520"/>
        <w:jc w:val="both"/>
        <w:rPr>
          <w:rFonts w:eastAsia="標楷體"/>
          <w:sz w:val="26"/>
          <w:szCs w:val="26"/>
        </w:rPr>
      </w:pPr>
      <w:r w:rsidRPr="00EA272E">
        <w:rPr>
          <w:rFonts w:eastAsia="標楷體"/>
          <w:sz w:val="26"/>
          <w:szCs w:val="26"/>
        </w:rPr>
        <w:t>使用利潤分割法時，必須計算所有受控交易參與人對合併營業利潤之貢獻，通常適用將獨特無形資產於跨國交易間移轉或適用於交易性質</w:t>
      </w:r>
      <w:r w:rsidRPr="004B70EE">
        <w:rPr>
          <w:rFonts w:eastAsia="標楷體"/>
          <w:sz w:val="26"/>
          <w:szCs w:val="26"/>
        </w:rPr>
        <w:t>複雜、牽涉跨國交易之情形。因</w:t>
      </w:r>
      <w:r w:rsidR="00BA7C8C" w:rsidRPr="004B70EE">
        <w:rPr>
          <w:rFonts w:eastAsia="標楷體" w:hint="eastAsia"/>
          <w:sz w:val="26"/>
          <w:szCs w:val="26"/>
        </w:rPr>
        <w:t>太克科技</w:t>
      </w:r>
      <w:r w:rsidRPr="004B70EE">
        <w:rPr>
          <w:rFonts w:eastAsia="標楷體"/>
          <w:sz w:val="26"/>
          <w:szCs w:val="26"/>
        </w:rPr>
        <w:t>與受控交易參與人之交易非屬</w:t>
      </w:r>
      <w:r w:rsidRPr="00EA272E">
        <w:rPr>
          <w:rFonts w:eastAsia="標楷體"/>
          <w:sz w:val="26"/>
          <w:szCs w:val="26"/>
        </w:rPr>
        <w:t>高度整合不能單獨衡量交易結果</w:t>
      </w:r>
      <w:r w:rsidR="00E66304" w:rsidRPr="00EA272E">
        <w:rPr>
          <w:rFonts w:eastAsia="標楷體" w:hint="eastAsia"/>
          <w:sz w:val="26"/>
          <w:szCs w:val="26"/>
        </w:rPr>
        <w:t>或</w:t>
      </w:r>
      <w:r w:rsidRPr="00EA272E">
        <w:rPr>
          <w:rFonts w:eastAsia="標楷體"/>
          <w:sz w:val="26"/>
          <w:szCs w:val="26"/>
        </w:rPr>
        <w:t>與其他交易不可分割之情形，故本法並不適合作為評估方法。</w:t>
      </w:r>
    </w:p>
    <w:p w:rsidR="0032590C" w:rsidRDefault="0032590C" w:rsidP="00965AF0">
      <w:pPr>
        <w:tabs>
          <w:tab w:val="left" w:pos="960"/>
          <w:tab w:val="left" w:pos="1134"/>
        </w:tabs>
        <w:spacing w:beforeLines="50" w:before="120" w:afterLines="50" w:after="120" w:line="360" w:lineRule="auto"/>
        <w:ind w:left="960"/>
        <w:jc w:val="both"/>
        <w:rPr>
          <w:rFonts w:eastAsia="標楷體"/>
          <w:sz w:val="26"/>
          <w:szCs w:val="26"/>
        </w:rPr>
      </w:pPr>
    </w:p>
    <w:p w:rsidR="0032590C" w:rsidRDefault="0032590C" w:rsidP="00965AF0">
      <w:pPr>
        <w:spacing w:beforeLines="50" w:before="120" w:afterLines="50" w:after="120" w:line="360" w:lineRule="auto"/>
        <w:ind w:leftChars="300" w:left="720" w:firstLineChars="200" w:firstLine="520"/>
        <w:jc w:val="both"/>
        <w:rPr>
          <w:rFonts w:eastAsia="標楷體"/>
          <w:sz w:val="26"/>
          <w:szCs w:val="26"/>
        </w:rPr>
      </w:pPr>
    </w:p>
    <w:p w:rsidR="0032590C" w:rsidRDefault="0032590C" w:rsidP="00965AF0">
      <w:pPr>
        <w:spacing w:beforeLines="50" w:before="120" w:afterLines="50" w:after="120" w:line="360" w:lineRule="auto"/>
        <w:ind w:leftChars="200" w:left="480" w:firstLineChars="200" w:firstLine="520"/>
        <w:jc w:val="both"/>
        <w:rPr>
          <w:rFonts w:eastAsia="標楷體"/>
          <w:sz w:val="26"/>
          <w:szCs w:val="26"/>
        </w:rPr>
      </w:pPr>
    </w:p>
    <w:p w:rsidR="00C12E25" w:rsidRPr="00EA272E" w:rsidRDefault="00C12E25" w:rsidP="00965AF0">
      <w:pPr>
        <w:spacing w:beforeLines="50" w:before="120" w:afterLines="50" w:after="120" w:line="360" w:lineRule="auto"/>
        <w:ind w:leftChars="200" w:left="480" w:firstLineChars="200" w:firstLine="520"/>
        <w:jc w:val="both"/>
        <w:rPr>
          <w:rFonts w:eastAsia="標楷體"/>
          <w:sz w:val="26"/>
          <w:szCs w:val="26"/>
        </w:rPr>
        <w:sectPr w:rsidR="00C12E25" w:rsidRPr="00EA272E" w:rsidSect="00DD5AB2">
          <w:headerReference w:type="even" r:id="rId26"/>
          <w:headerReference w:type="default" r:id="rId27"/>
          <w:footerReference w:type="even" r:id="rId28"/>
          <w:headerReference w:type="first" r:id="rId29"/>
          <w:type w:val="oddPage"/>
          <w:pgSz w:w="11906" w:h="16838" w:code="9"/>
          <w:pgMar w:top="2160" w:right="1440" w:bottom="1814" w:left="1440" w:header="851" w:footer="567" w:gutter="567"/>
          <w:cols w:space="425"/>
          <w:docGrid w:linePitch="360"/>
        </w:sectPr>
      </w:pPr>
    </w:p>
    <w:bookmarkStart w:id="81" w:name="_Toc245269230"/>
    <w:bookmarkStart w:id="82" w:name="_Toc245269231"/>
    <w:bookmarkStart w:id="83" w:name="_Toc245269232"/>
    <w:bookmarkStart w:id="84" w:name="_Toc245269233"/>
    <w:bookmarkStart w:id="85" w:name="_Toc245269234"/>
    <w:bookmarkStart w:id="86" w:name="_Toc245269235"/>
    <w:bookmarkStart w:id="87" w:name="_Toc245269236"/>
    <w:bookmarkStart w:id="88" w:name="_Toc253154519"/>
    <w:bookmarkStart w:id="89" w:name="_Toc253154587"/>
    <w:bookmarkStart w:id="90" w:name="_Toc272326018"/>
    <w:bookmarkStart w:id="91" w:name="_Toc272326646"/>
    <w:bookmarkStart w:id="92" w:name="_Toc272326825"/>
    <w:bookmarkStart w:id="93" w:name="_Toc275960658"/>
    <w:bookmarkStart w:id="94" w:name="_Toc389223548"/>
    <w:bookmarkEnd w:id="81"/>
    <w:bookmarkEnd w:id="82"/>
    <w:bookmarkEnd w:id="83"/>
    <w:bookmarkEnd w:id="84"/>
    <w:bookmarkEnd w:id="85"/>
    <w:bookmarkEnd w:id="86"/>
    <w:bookmarkEnd w:id="87"/>
    <w:p w:rsidR="00AF5158" w:rsidRPr="00EA272E" w:rsidRDefault="00965AF0" w:rsidP="00AF5158">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8752" behindDoc="0" locked="0" layoutInCell="1" allowOverlap="1">
                <wp:simplePos x="0" y="0"/>
                <wp:positionH relativeFrom="column">
                  <wp:posOffset>4667250</wp:posOffset>
                </wp:positionH>
                <wp:positionV relativeFrom="paragraph">
                  <wp:posOffset>0</wp:posOffset>
                </wp:positionV>
                <wp:extent cx="720090" cy="720090"/>
                <wp:effectExtent l="9525" t="9525" r="13335" b="13335"/>
                <wp:wrapNone/>
                <wp:docPr id="9"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4864D6" w:rsidRPr="001E681F" w:rsidRDefault="004864D6" w:rsidP="001E681F">
                            <w:pPr>
                              <w:ind w:leftChars="-52" w:left="-125" w:rightChars="-58" w:right="-139"/>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8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VIII</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8" o:spid="_x0000_s1130" type="#_x0000_t202" style="position:absolute;left:0;text-align:left;margin-left:367.5pt;margin-top:0;width:56.7pt;height:56.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">
                <v:textbox>
                  <w:txbxContent>
                    <w:p w:rsidR="004864D6" w:rsidRPr="001E681F" w:rsidRDefault="004864D6" w:rsidP="001E681F">
                      <w:pPr>
                        <w:ind w:leftChars="-52" w:left="-125" w:rightChars="-58" w:right="-139"/>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8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VIII</w:t>
                      </w:r>
                      <w:r>
                        <w:rPr>
                          <w:rFonts w:ascii="微軟正黑體" w:eastAsia="微軟正黑體" w:hAnsi="微軟正黑體"/>
                          <w:b/>
                          <w:sz w:val="56"/>
                          <w:szCs w:val="52"/>
                        </w:rPr>
                        <w:fldChar w:fldCharType="end"/>
                      </w:r>
                    </w:p>
                  </w:txbxContent>
                </v:textbox>
              </v:shape>
            </w:pict>
          </mc:Fallback>
        </mc:AlternateContent>
      </w:r>
      <w:bookmarkEnd w:id="88"/>
      <w:bookmarkEnd w:id="89"/>
      <w:bookmarkEnd w:id="90"/>
      <w:bookmarkEnd w:id="91"/>
      <w:bookmarkEnd w:id="92"/>
      <w:bookmarkEnd w:id="93"/>
      <w:bookmarkEnd w:id="94"/>
    </w:p>
    <w:p w:rsidR="00AF5158" w:rsidRPr="00EA272E" w:rsidRDefault="00AF5158" w:rsidP="00AF5158">
      <w:pPr>
        <w:jc w:val="right"/>
        <w:rPr>
          <w:rFonts w:eastAsia="標楷體"/>
        </w:rPr>
      </w:pPr>
    </w:p>
    <w:p w:rsidR="00AF5158" w:rsidRPr="00EA272E" w:rsidRDefault="00AF5158" w:rsidP="00AF5158">
      <w:pPr>
        <w:jc w:val="right"/>
        <w:rPr>
          <w:rFonts w:eastAsia="標楷體"/>
        </w:rPr>
      </w:pPr>
    </w:p>
    <w:p w:rsidR="00567251" w:rsidRPr="00EA272E" w:rsidRDefault="00567251" w:rsidP="00AF5158">
      <w:pPr>
        <w:pStyle w:val="1"/>
        <w:spacing w:before="100" w:beforeAutospacing="1" w:after="100" w:afterAutospacing="1" w:line="360" w:lineRule="auto"/>
        <w:ind w:left="0" w:firstLine="0"/>
        <w:jc w:val="right"/>
        <w:rPr>
          <w:rFonts w:ascii="Times New Roman" w:eastAsia="標楷體" w:hAnsi="Times New Roman"/>
          <w:sz w:val="56"/>
          <w:szCs w:val="56"/>
        </w:rPr>
      </w:pPr>
      <w:bookmarkStart w:id="95" w:name="_Toc389223549"/>
      <w:r w:rsidRPr="00EA272E">
        <w:rPr>
          <w:rFonts w:ascii="Times New Roman" w:eastAsia="標楷體" w:hAnsi="Times New Roman"/>
          <w:sz w:val="56"/>
          <w:szCs w:val="56"/>
        </w:rPr>
        <w:t>可比較對象</w:t>
      </w:r>
      <w:r w:rsidR="00357C54" w:rsidRPr="00EA272E">
        <w:rPr>
          <w:rFonts w:ascii="Times New Roman" w:eastAsia="標楷體" w:hAnsi="Times New Roman" w:hint="eastAsia"/>
          <w:sz w:val="56"/>
          <w:szCs w:val="56"/>
        </w:rPr>
        <w:t>之</w:t>
      </w:r>
      <w:r w:rsidR="00AC53CA" w:rsidRPr="00EA272E">
        <w:rPr>
          <w:rFonts w:ascii="Times New Roman" w:eastAsia="標楷體" w:hAnsi="Times New Roman" w:hint="eastAsia"/>
          <w:sz w:val="56"/>
          <w:szCs w:val="56"/>
        </w:rPr>
        <w:t>找尋</w:t>
      </w:r>
      <w:bookmarkEnd w:id="95"/>
    </w:p>
    <w:p w:rsidR="0032590C" w:rsidRDefault="001E681F" w:rsidP="00965AF0">
      <w:pPr>
        <w:pStyle w:val="32"/>
        <w:spacing w:beforeLines="50" w:before="120" w:afterLines="50" w:after="120" w:line="360" w:lineRule="auto"/>
        <w:ind w:firstLineChars="200" w:firstLine="520"/>
        <w:jc w:val="both"/>
        <w:rPr>
          <w:szCs w:val="26"/>
        </w:rPr>
      </w:pPr>
      <w:r w:rsidRPr="00EA272E">
        <w:rPr>
          <w:rFonts w:hint="eastAsia"/>
          <w:szCs w:val="26"/>
        </w:rPr>
        <w:t>本報告中分析之受控交易為</w:t>
      </w:r>
      <w:r w:rsidR="006F62FB" w:rsidRPr="00340F76">
        <w:rPr>
          <w:rFonts w:hint="eastAsia"/>
          <w:szCs w:val="26"/>
        </w:rPr>
        <w:t>「</w:t>
      </w:r>
      <w:r w:rsidR="006F62FB" w:rsidRPr="00340F76">
        <w:rPr>
          <w:rFonts w:hint="eastAsia"/>
        </w:rPr>
        <w:t>有形資產之移轉－進貨</w:t>
      </w:r>
      <w:r w:rsidR="006F62FB" w:rsidRPr="00340F76">
        <w:rPr>
          <w:rFonts w:hint="eastAsia"/>
          <w:szCs w:val="26"/>
        </w:rPr>
        <w:t>」</w:t>
      </w:r>
      <w:r w:rsidR="004056DE" w:rsidRPr="00340F76">
        <w:rPr>
          <w:rFonts w:hint="eastAsia"/>
          <w:szCs w:val="26"/>
        </w:rPr>
        <w:t>及</w:t>
      </w:r>
      <w:r w:rsidR="006F62FB" w:rsidRPr="00340F76">
        <w:rPr>
          <w:rFonts w:hint="eastAsia"/>
        </w:rPr>
        <w:t>「服務之提供</w:t>
      </w:r>
      <w:r w:rsidR="006F62FB" w:rsidRPr="00253755">
        <w:rPr>
          <w:rFonts w:hint="eastAsia"/>
        </w:rPr>
        <w:t>－提供產品服務」</w:t>
      </w:r>
      <w:r w:rsidR="006D15B0" w:rsidRPr="00253755">
        <w:rPr>
          <w:rFonts w:hint="eastAsia"/>
          <w:szCs w:val="26"/>
        </w:rPr>
        <w:t>，</w:t>
      </w:r>
      <w:r w:rsidRPr="00253755">
        <w:rPr>
          <w:rFonts w:hint="eastAsia"/>
          <w:szCs w:val="26"/>
        </w:rPr>
        <w:t>評估該等</w:t>
      </w:r>
      <w:r w:rsidR="00183F9B" w:rsidRPr="00253755">
        <w:rPr>
          <w:rFonts w:hint="eastAsia"/>
          <w:szCs w:val="26"/>
        </w:rPr>
        <w:t>受控</w:t>
      </w:r>
      <w:r w:rsidRPr="00253755">
        <w:rPr>
          <w:rFonts w:hint="eastAsia"/>
          <w:szCs w:val="26"/>
        </w:rPr>
        <w:t>交易之最適常規交易方法為</w:t>
      </w:r>
      <w:r w:rsidR="006F62FB" w:rsidRPr="00253755">
        <w:rPr>
          <w:rFonts w:hint="eastAsia"/>
        </w:rPr>
        <w:t>可比較利潤法</w:t>
      </w:r>
      <w:r w:rsidRPr="00253755">
        <w:rPr>
          <w:rFonts w:hint="eastAsia"/>
          <w:szCs w:val="26"/>
        </w:rPr>
        <w:t>。</w:t>
      </w:r>
    </w:p>
    <w:p w:rsidR="0032590C" w:rsidRDefault="001E681F" w:rsidP="00965AF0">
      <w:pPr>
        <w:pStyle w:val="32"/>
        <w:spacing w:beforeLines="50" w:before="120" w:afterLines="50" w:after="120" w:line="360" w:lineRule="auto"/>
        <w:ind w:firstLineChars="200" w:firstLine="520"/>
        <w:jc w:val="both"/>
        <w:rPr>
          <w:szCs w:val="26"/>
        </w:rPr>
      </w:pPr>
      <w:r w:rsidRPr="00EA272E">
        <w:rPr>
          <w:rFonts w:hint="eastAsia"/>
          <w:szCs w:val="26"/>
        </w:rPr>
        <w:t>由本報告第玖章得知</w:t>
      </w:r>
      <w:r w:rsidR="006F62FB" w:rsidRPr="00340F76">
        <w:rPr>
          <w:rFonts w:hint="eastAsia"/>
          <w:szCs w:val="26"/>
        </w:rPr>
        <w:t>「</w:t>
      </w:r>
      <w:r w:rsidR="003C0050" w:rsidRPr="00340F76">
        <w:rPr>
          <w:rFonts w:hint="eastAsia"/>
        </w:rPr>
        <w:t>有形資產之移轉</w:t>
      </w:r>
      <w:r w:rsidR="006F62FB" w:rsidRPr="00340F76">
        <w:rPr>
          <w:rFonts w:hint="eastAsia"/>
          <w:szCs w:val="26"/>
        </w:rPr>
        <w:t>－進貨」及「服務之提供－提供</w:t>
      </w:r>
      <w:r w:rsidR="006F62FB">
        <w:rPr>
          <w:rFonts w:hint="eastAsia"/>
          <w:szCs w:val="26"/>
        </w:rPr>
        <w:t>產品</w:t>
      </w:r>
      <w:r w:rsidR="006F62FB" w:rsidRPr="00340F76">
        <w:rPr>
          <w:rFonts w:hint="eastAsia"/>
          <w:szCs w:val="26"/>
        </w:rPr>
        <w:t>服務」</w:t>
      </w:r>
      <w:r w:rsidRPr="00EA272E">
        <w:rPr>
          <w:rFonts w:hint="eastAsia"/>
          <w:szCs w:val="26"/>
        </w:rPr>
        <w:t>受控交易之受測個體為</w:t>
      </w:r>
      <w:r w:rsidR="006F62FB" w:rsidRPr="00340F76">
        <w:rPr>
          <w:rFonts w:hint="eastAsia"/>
          <w:szCs w:val="26"/>
        </w:rPr>
        <w:t>太克科技</w:t>
      </w:r>
      <w:r w:rsidR="009237D8">
        <w:rPr>
          <w:rFonts w:hint="eastAsia"/>
          <w:szCs w:val="26"/>
        </w:rPr>
        <w:t>，</w:t>
      </w:r>
      <w:r w:rsidR="009237D8" w:rsidRPr="00EA272E">
        <w:rPr>
          <w:rFonts w:hint="eastAsia"/>
          <w:szCs w:val="26"/>
        </w:rPr>
        <w:t>因</w:t>
      </w:r>
      <w:r w:rsidR="009237D8">
        <w:rPr>
          <w:rFonts w:hint="eastAsia"/>
          <w:szCs w:val="26"/>
        </w:rPr>
        <w:t>太克科技進貨及</w:t>
      </w:r>
      <w:r w:rsidR="009237D8" w:rsidRPr="001105BC">
        <w:rPr>
          <w:rFonts w:hAnsi="標楷體" w:hint="eastAsia"/>
          <w:szCs w:val="26"/>
        </w:rPr>
        <w:t>提供產品服務</w:t>
      </w:r>
      <w:r w:rsidR="009237D8">
        <w:rPr>
          <w:rFonts w:hint="eastAsia"/>
          <w:szCs w:val="26"/>
        </w:rPr>
        <w:t>受控交易</w:t>
      </w:r>
      <w:r w:rsidR="009237D8" w:rsidRPr="00EA272E">
        <w:rPr>
          <w:rFonts w:hint="eastAsia"/>
          <w:szCs w:val="26"/>
        </w:rPr>
        <w:t>具有</w:t>
      </w:r>
      <w:r w:rsidR="009237D8">
        <w:rPr>
          <w:rFonts w:hint="eastAsia"/>
          <w:szCs w:val="26"/>
        </w:rPr>
        <w:t>關聯</w:t>
      </w:r>
      <w:r w:rsidR="009237D8" w:rsidRPr="00EA272E">
        <w:rPr>
          <w:rFonts w:hint="eastAsia"/>
          <w:szCs w:val="26"/>
        </w:rPr>
        <w:t>之特性，故</w:t>
      </w:r>
      <w:r w:rsidR="009237D8" w:rsidRPr="00631129">
        <w:rPr>
          <w:rFonts w:hint="eastAsia"/>
          <w:szCs w:val="26"/>
        </w:rPr>
        <w:t>將兩者合併進行分析</w:t>
      </w:r>
      <w:r w:rsidR="006F62FB" w:rsidRPr="00340F76">
        <w:rPr>
          <w:rFonts w:hint="eastAsia"/>
          <w:szCs w:val="26"/>
        </w:rPr>
        <w:t>。</w:t>
      </w:r>
      <w:r w:rsidRPr="00EA272E">
        <w:rPr>
          <w:rFonts w:hint="eastAsia"/>
          <w:szCs w:val="26"/>
        </w:rPr>
        <w:t>本所</w:t>
      </w:r>
      <w:r w:rsidR="00EC3956" w:rsidRPr="00EA272E">
        <w:rPr>
          <w:rFonts w:hint="eastAsia"/>
          <w:szCs w:val="26"/>
        </w:rPr>
        <w:t>以</w:t>
      </w:r>
      <w:r w:rsidRPr="00EA272E">
        <w:rPr>
          <w:rFonts w:hint="eastAsia"/>
          <w:szCs w:val="26"/>
        </w:rPr>
        <w:t>『</w:t>
      </w:r>
      <w:r w:rsidR="00011A7C">
        <w:rPr>
          <w:rFonts w:hint="eastAsia"/>
          <w:szCs w:val="26"/>
        </w:rPr>
        <w:t>ONESOURCE TRANSFER PRICING</w:t>
      </w:r>
      <w:r w:rsidR="00EC3956" w:rsidRPr="00EA272E">
        <w:rPr>
          <w:rFonts w:hint="eastAsia"/>
          <w:szCs w:val="26"/>
        </w:rPr>
        <w:t>』資料庫</w:t>
      </w:r>
      <w:r w:rsidR="005B1E24">
        <w:rPr>
          <w:rFonts w:hint="eastAsia"/>
          <w:szCs w:val="26"/>
        </w:rPr>
        <w:t>(</w:t>
      </w:r>
      <w:r w:rsidR="005B1E24">
        <w:rPr>
          <w:rFonts w:hint="eastAsia"/>
          <w:szCs w:val="26"/>
        </w:rPr>
        <w:t>以下簡稱</w:t>
      </w:r>
      <w:r w:rsidR="005B1E24">
        <w:rPr>
          <w:rFonts w:hint="eastAsia"/>
          <w:szCs w:val="26"/>
        </w:rPr>
        <w:t>ONESOURCE</w:t>
      </w:r>
      <w:r w:rsidR="005B1E24">
        <w:rPr>
          <w:rFonts w:hint="eastAsia"/>
          <w:szCs w:val="26"/>
        </w:rPr>
        <w:t>資料庫</w:t>
      </w:r>
      <w:r w:rsidR="005B1E24">
        <w:rPr>
          <w:rFonts w:hint="eastAsia"/>
          <w:szCs w:val="26"/>
        </w:rPr>
        <w:t>)</w:t>
      </w:r>
      <w:r w:rsidR="00EC3956" w:rsidRPr="00EA272E">
        <w:rPr>
          <w:rFonts w:hint="eastAsia"/>
          <w:szCs w:val="26"/>
        </w:rPr>
        <w:t>，為其找尋可比較對象</w:t>
      </w:r>
      <w:r w:rsidR="00D742A9" w:rsidRPr="00D742A9">
        <w:rPr>
          <w:rFonts w:hint="eastAsia"/>
          <w:szCs w:val="26"/>
        </w:rPr>
        <w:t>。</w:t>
      </w:r>
    </w:p>
    <w:p w:rsidR="0032590C" w:rsidRDefault="00567251" w:rsidP="00965AF0">
      <w:pPr>
        <w:pStyle w:val="2"/>
        <w:numPr>
          <w:ilvl w:val="1"/>
          <w:numId w:val="37"/>
        </w:numPr>
        <w:tabs>
          <w:tab w:val="left" w:pos="756"/>
        </w:tabs>
        <w:spacing w:beforeLines="100" w:before="240" w:afterLines="100" w:after="240" w:line="360" w:lineRule="auto"/>
        <w:ind w:left="0" w:firstLine="0"/>
        <w:rPr>
          <w:rFonts w:ascii="Times New Roman" w:eastAsia="標楷體" w:hAnsi="Times New Roman"/>
          <w:sz w:val="36"/>
          <w:szCs w:val="40"/>
        </w:rPr>
      </w:pPr>
      <w:bookmarkStart w:id="96" w:name="_Toc157536069"/>
      <w:bookmarkStart w:id="97" w:name="_Toc158135216"/>
      <w:bookmarkStart w:id="98" w:name="_Toc166242734"/>
      <w:r w:rsidRPr="00EA272E">
        <w:rPr>
          <w:rFonts w:ascii="Times New Roman" w:eastAsia="標楷體" w:hAnsi="Times New Roman"/>
          <w:sz w:val="36"/>
          <w:szCs w:val="40"/>
        </w:rPr>
        <w:t>資料庫</w:t>
      </w:r>
      <w:r w:rsidR="00EA272E" w:rsidRPr="00EA272E">
        <w:rPr>
          <w:rFonts w:ascii="Times New Roman" w:eastAsia="標楷體" w:hAnsi="Times New Roman" w:hint="eastAsia"/>
          <w:sz w:val="36"/>
          <w:szCs w:val="40"/>
        </w:rPr>
        <w:t>簡介</w:t>
      </w:r>
      <w:bookmarkEnd w:id="96"/>
      <w:bookmarkEnd w:id="97"/>
      <w:bookmarkEnd w:id="98"/>
    </w:p>
    <w:p w:rsidR="0032590C" w:rsidRDefault="005B1E24" w:rsidP="00965AF0">
      <w:pPr>
        <w:pStyle w:val="3"/>
        <w:numPr>
          <w:ilvl w:val="0"/>
          <w:numId w:val="63"/>
        </w:numPr>
        <w:spacing w:beforeLines="50" w:before="120" w:afterLines="50" w:after="120" w:line="360" w:lineRule="auto"/>
        <w:jc w:val="both"/>
        <w:rPr>
          <w:rFonts w:ascii="Times New Roman" w:eastAsia="標楷體" w:hAnsi="Times New Roman"/>
          <w:sz w:val="32"/>
        </w:rPr>
      </w:pPr>
      <w:r>
        <w:rPr>
          <w:rFonts w:ascii="Times New Roman" w:eastAsia="標楷體" w:hAnsi="Times New Roman" w:hint="eastAsia"/>
          <w:sz w:val="32"/>
        </w:rPr>
        <w:t xml:space="preserve">ONESOURCE TRANSFER PRICING </w:t>
      </w:r>
      <w:r>
        <w:rPr>
          <w:rFonts w:ascii="Times New Roman" w:eastAsia="標楷體" w:hAnsi="Times New Roman" w:hint="eastAsia"/>
          <w:sz w:val="32"/>
        </w:rPr>
        <w:t>資料庫</w:t>
      </w:r>
    </w:p>
    <w:p w:rsidR="0032590C" w:rsidRDefault="005B1E24" w:rsidP="00965AF0">
      <w:pPr>
        <w:spacing w:beforeLines="50" w:before="120" w:afterLines="50" w:after="120" w:line="360" w:lineRule="auto"/>
        <w:ind w:leftChars="200" w:left="480" w:firstLineChars="200" w:firstLine="520"/>
        <w:jc w:val="both"/>
        <w:rPr>
          <w:rFonts w:eastAsia="標楷體"/>
          <w:sz w:val="26"/>
          <w:szCs w:val="26"/>
        </w:rPr>
      </w:pPr>
      <w:r w:rsidRPr="00363ED5">
        <w:rPr>
          <w:rFonts w:eastAsia="標楷體" w:hint="eastAsia"/>
          <w:sz w:val="26"/>
          <w:szCs w:val="26"/>
        </w:rPr>
        <w:t>本所使用湯森路透公司（</w:t>
      </w:r>
      <w:r w:rsidRPr="00363ED5">
        <w:rPr>
          <w:rFonts w:eastAsia="標楷體" w:hint="eastAsia"/>
          <w:sz w:val="26"/>
          <w:szCs w:val="26"/>
        </w:rPr>
        <w:t>Thomson Reuters</w:t>
      </w:r>
      <w:r w:rsidRPr="00363ED5">
        <w:rPr>
          <w:rFonts w:eastAsia="標楷體" w:hint="eastAsia"/>
          <w:sz w:val="26"/>
          <w:szCs w:val="26"/>
        </w:rPr>
        <w:t>）開發之</w:t>
      </w:r>
      <w:r w:rsidRPr="00363ED5">
        <w:rPr>
          <w:rFonts w:eastAsia="標楷體" w:hint="eastAsia"/>
          <w:sz w:val="26"/>
          <w:szCs w:val="26"/>
        </w:rPr>
        <w:t>ONESOURCE Transfer Pricing</w:t>
      </w:r>
      <w:r w:rsidRPr="00363ED5">
        <w:rPr>
          <w:rFonts w:eastAsia="標楷體" w:hint="eastAsia"/>
          <w:sz w:val="26"/>
          <w:szCs w:val="26"/>
        </w:rPr>
        <w:t>資料庫，使用該資料庫之原因，除其已為我國財政部採用，作為執行移轉訂價查核之取樣依據外，更因其涵蓋公司數量眾多，可供抽樣之母體夠大，本所認為得自該資料庫之樣本應具代表性。</w:t>
      </w:r>
    </w:p>
    <w:p w:rsidR="0032590C" w:rsidRDefault="005B1E24" w:rsidP="00965AF0">
      <w:pPr>
        <w:spacing w:beforeLines="50" w:before="120" w:afterLines="50" w:after="120" w:line="360" w:lineRule="auto"/>
        <w:ind w:leftChars="200" w:left="480" w:firstLineChars="200" w:firstLine="520"/>
        <w:jc w:val="both"/>
        <w:rPr>
          <w:rFonts w:eastAsia="標楷體"/>
          <w:sz w:val="26"/>
          <w:szCs w:val="26"/>
        </w:rPr>
      </w:pPr>
      <w:r w:rsidRPr="00363ED5">
        <w:rPr>
          <w:rFonts w:eastAsia="標楷體" w:hint="eastAsia"/>
          <w:sz w:val="26"/>
          <w:szCs w:val="26"/>
        </w:rPr>
        <w:t>ONESOURCE Transfer Pricing</w:t>
      </w:r>
      <w:r w:rsidRPr="00363ED5">
        <w:rPr>
          <w:rFonts w:eastAsia="標楷體" w:hint="eastAsia"/>
          <w:sz w:val="26"/>
          <w:szCs w:val="26"/>
        </w:rPr>
        <w:t>資料庫收錄所有規模企業的資訊，資料來自湯森路透公司（</w:t>
      </w:r>
      <w:r w:rsidRPr="00363ED5">
        <w:rPr>
          <w:rFonts w:eastAsia="標楷體" w:hint="eastAsia"/>
          <w:sz w:val="26"/>
          <w:szCs w:val="26"/>
        </w:rPr>
        <w:t>Thomson Reuters</w:t>
      </w:r>
      <w:r w:rsidRPr="00363ED5">
        <w:rPr>
          <w:rFonts w:eastAsia="標楷體" w:hint="eastAsia"/>
          <w:sz w:val="26"/>
          <w:szCs w:val="26"/>
        </w:rPr>
        <w:t>）的</w:t>
      </w:r>
      <w:r w:rsidRPr="00363ED5">
        <w:rPr>
          <w:rFonts w:eastAsia="標楷體" w:hint="eastAsia"/>
          <w:sz w:val="26"/>
          <w:szCs w:val="26"/>
        </w:rPr>
        <w:t xml:space="preserve">Fundamentals Database </w:t>
      </w:r>
      <w:r w:rsidRPr="00363ED5">
        <w:rPr>
          <w:rFonts w:eastAsia="標楷體" w:hint="eastAsia"/>
          <w:sz w:val="26"/>
          <w:szCs w:val="26"/>
        </w:rPr>
        <w:t>和</w:t>
      </w:r>
      <w:r w:rsidRPr="00363ED5">
        <w:rPr>
          <w:rFonts w:eastAsia="標楷體" w:hint="eastAsia"/>
          <w:sz w:val="26"/>
          <w:szCs w:val="26"/>
        </w:rPr>
        <w:t>European Comparables Database</w:t>
      </w:r>
      <w:r w:rsidRPr="00363ED5">
        <w:rPr>
          <w:rFonts w:eastAsia="標楷體" w:hint="eastAsia"/>
          <w:sz w:val="26"/>
          <w:szCs w:val="26"/>
        </w:rPr>
        <w:t>，故能有效協助編製可比較對象財務資</w:t>
      </w:r>
      <w:r w:rsidRPr="00363ED5">
        <w:rPr>
          <w:rFonts w:eastAsia="標楷體" w:hint="eastAsia"/>
          <w:sz w:val="26"/>
          <w:szCs w:val="26"/>
        </w:rPr>
        <w:lastRenderedPageBreak/>
        <w:t>料及執行分析。</w:t>
      </w:r>
    </w:p>
    <w:p w:rsidR="0032590C" w:rsidRDefault="007C0C56" w:rsidP="00965AF0">
      <w:pPr>
        <w:widowControl/>
        <w:spacing w:beforeLines="50" w:before="120" w:afterLines="50" w:after="120" w:line="360" w:lineRule="auto"/>
        <w:ind w:firstLine="480"/>
        <w:jc w:val="both"/>
        <w:rPr>
          <w:rFonts w:eastAsia="標楷體"/>
          <w:b/>
          <w:kern w:val="0"/>
          <w:sz w:val="32"/>
          <w:szCs w:val="32"/>
        </w:rPr>
      </w:pPr>
      <w:r w:rsidRPr="00363ED5">
        <w:rPr>
          <w:rFonts w:eastAsia="標楷體" w:hint="eastAsia"/>
          <w:b/>
          <w:kern w:val="0"/>
          <w:sz w:val="32"/>
          <w:szCs w:val="32"/>
        </w:rPr>
        <w:t>(</w:t>
      </w:r>
      <w:r w:rsidRPr="00363ED5">
        <w:rPr>
          <w:rFonts w:eastAsia="標楷體" w:hint="eastAsia"/>
          <w:b/>
          <w:kern w:val="0"/>
          <w:sz w:val="32"/>
          <w:szCs w:val="32"/>
        </w:rPr>
        <w:t>一</w:t>
      </w:r>
      <w:r w:rsidRPr="00363ED5">
        <w:rPr>
          <w:rFonts w:eastAsia="標楷體" w:hint="eastAsia"/>
          <w:b/>
          <w:kern w:val="0"/>
          <w:sz w:val="32"/>
          <w:szCs w:val="32"/>
        </w:rPr>
        <w:t>) Fundamentals Database</w:t>
      </w:r>
    </w:p>
    <w:p w:rsidR="0032590C" w:rsidRDefault="007C0C56" w:rsidP="00965AF0">
      <w:pPr>
        <w:spacing w:beforeLines="50" w:before="120" w:afterLines="50" w:after="120" w:line="360" w:lineRule="auto"/>
        <w:ind w:leftChars="200" w:left="480" w:firstLineChars="200" w:firstLine="520"/>
        <w:jc w:val="both"/>
        <w:rPr>
          <w:rFonts w:eastAsia="標楷體"/>
          <w:sz w:val="26"/>
          <w:szCs w:val="26"/>
        </w:rPr>
      </w:pPr>
      <w:r w:rsidRPr="00363ED5">
        <w:rPr>
          <w:rFonts w:eastAsia="標楷體" w:hint="eastAsia"/>
          <w:sz w:val="26"/>
          <w:szCs w:val="26"/>
        </w:rPr>
        <w:t>Fundamentals</w:t>
      </w:r>
      <w:r w:rsidRPr="00363ED5">
        <w:rPr>
          <w:rFonts w:eastAsia="標楷體" w:hint="eastAsia"/>
          <w:sz w:val="26"/>
          <w:szCs w:val="26"/>
        </w:rPr>
        <w:t>資料庫收錄超過</w:t>
      </w:r>
      <w:r w:rsidRPr="00363ED5">
        <w:rPr>
          <w:rFonts w:eastAsia="標楷體" w:hint="eastAsia"/>
          <w:sz w:val="26"/>
          <w:szCs w:val="26"/>
        </w:rPr>
        <w:t>110</w:t>
      </w:r>
      <w:r w:rsidRPr="00363ED5">
        <w:rPr>
          <w:rFonts w:eastAsia="標楷體" w:hint="eastAsia"/>
          <w:sz w:val="26"/>
          <w:szCs w:val="26"/>
        </w:rPr>
        <w:t>個國家</w:t>
      </w:r>
      <w:r w:rsidRPr="00363ED5">
        <w:rPr>
          <w:rFonts w:eastAsia="標楷體" w:hint="eastAsia"/>
          <w:sz w:val="26"/>
          <w:szCs w:val="26"/>
        </w:rPr>
        <w:t>7</w:t>
      </w:r>
      <w:r w:rsidRPr="00363ED5">
        <w:rPr>
          <w:rFonts w:eastAsia="標楷體" w:hint="eastAsia"/>
          <w:sz w:val="26"/>
          <w:szCs w:val="26"/>
        </w:rPr>
        <w:t>萬家以上企業資料。資料庫內容包含直接從企業公告申報資訊和其他公開領域取得的財務資訊。在這涵蓋廣泛的財務資料庫中，每家企業有超過</w:t>
      </w:r>
      <w:r w:rsidRPr="00363ED5">
        <w:rPr>
          <w:rFonts w:eastAsia="標楷體" w:hint="eastAsia"/>
          <w:sz w:val="26"/>
          <w:szCs w:val="26"/>
        </w:rPr>
        <w:t>100</w:t>
      </w:r>
      <w:r w:rsidRPr="00363ED5">
        <w:rPr>
          <w:rFonts w:eastAsia="標楷體" w:hint="eastAsia"/>
          <w:sz w:val="26"/>
          <w:szCs w:val="26"/>
        </w:rPr>
        <w:t>筆的資訊，並可直接連結至原始資料來源。此外，使用者可取得每天更新的資訊，例如企業最新財務數據，以及詳細的業務活動和部門別資料。</w:t>
      </w:r>
    </w:p>
    <w:p w:rsidR="0032590C" w:rsidRDefault="007C0C56" w:rsidP="00965AF0">
      <w:pPr>
        <w:widowControl/>
        <w:spacing w:beforeLines="50" w:before="120" w:afterLines="50" w:after="120" w:line="360" w:lineRule="auto"/>
        <w:ind w:firstLine="480"/>
        <w:jc w:val="both"/>
        <w:rPr>
          <w:rFonts w:eastAsia="標楷體"/>
          <w:b/>
          <w:kern w:val="0"/>
          <w:sz w:val="32"/>
          <w:szCs w:val="32"/>
        </w:rPr>
      </w:pPr>
      <w:r w:rsidRPr="00363ED5">
        <w:rPr>
          <w:rFonts w:eastAsia="標楷體" w:hint="eastAsia"/>
          <w:b/>
          <w:kern w:val="0"/>
          <w:sz w:val="32"/>
          <w:szCs w:val="32"/>
        </w:rPr>
        <w:t>(</w:t>
      </w:r>
      <w:r w:rsidRPr="00363ED5">
        <w:rPr>
          <w:rFonts w:eastAsia="標楷體" w:hint="eastAsia"/>
          <w:b/>
          <w:kern w:val="0"/>
          <w:sz w:val="32"/>
          <w:szCs w:val="32"/>
        </w:rPr>
        <w:t>二</w:t>
      </w:r>
      <w:r w:rsidRPr="00363ED5">
        <w:rPr>
          <w:rFonts w:eastAsia="標楷體" w:hint="eastAsia"/>
          <w:b/>
          <w:kern w:val="0"/>
          <w:sz w:val="32"/>
          <w:szCs w:val="32"/>
        </w:rPr>
        <w:t>) European Comparables Database</w:t>
      </w:r>
    </w:p>
    <w:p w:rsidR="0032590C" w:rsidRDefault="007C0C56" w:rsidP="00965AF0">
      <w:pPr>
        <w:spacing w:beforeLines="50" w:before="120" w:afterLines="50" w:after="120" w:line="360" w:lineRule="auto"/>
        <w:ind w:leftChars="200" w:left="480" w:firstLineChars="200" w:firstLine="520"/>
        <w:jc w:val="both"/>
        <w:rPr>
          <w:rFonts w:eastAsia="標楷體"/>
          <w:sz w:val="26"/>
          <w:szCs w:val="26"/>
        </w:rPr>
      </w:pPr>
      <w:r w:rsidRPr="00363ED5">
        <w:rPr>
          <w:rFonts w:eastAsia="標楷體" w:hint="eastAsia"/>
          <w:sz w:val="26"/>
          <w:szCs w:val="26"/>
        </w:rPr>
        <w:t>European Comparables</w:t>
      </w:r>
      <w:r w:rsidRPr="00363ED5">
        <w:rPr>
          <w:rFonts w:eastAsia="標楷體" w:hint="eastAsia"/>
          <w:sz w:val="26"/>
          <w:szCs w:val="26"/>
        </w:rPr>
        <w:t>資料庫收錄超過</w:t>
      </w:r>
      <w:r w:rsidRPr="00363ED5">
        <w:rPr>
          <w:rFonts w:eastAsia="標楷體" w:hint="eastAsia"/>
          <w:sz w:val="26"/>
          <w:szCs w:val="26"/>
        </w:rPr>
        <w:t>120</w:t>
      </w:r>
      <w:r w:rsidRPr="00363ED5">
        <w:rPr>
          <w:rFonts w:eastAsia="標楷體" w:hint="eastAsia"/>
          <w:sz w:val="26"/>
          <w:szCs w:val="26"/>
        </w:rPr>
        <w:t>萬家歐洲非公開及公開發行公司的資訊。</w:t>
      </w:r>
    </w:p>
    <w:p w:rsidR="0032590C" w:rsidRDefault="007C0C56" w:rsidP="00965AF0">
      <w:pPr>
        <w:spacing w:beforeLines="50" w:before="120" w:afterLines="50" w:after="120" w:line="360" w:lineRule="auto"/>
        <w:ind w:leftChars="200" w:left="480" w:firstLineChars="200" w:firstLine="520"/>
        <w:jc w:val="both"/>
        <w:rPr>
          <w:rFonts w:eastAsia="標楷體"/>
          <w:sz w:val="26"/>
          <w:szCs w:val="26"/>
        </w:rPr>
      </w:pPr>
      <w:r w:rsidRPr="00363ED5">
        <w:rPr>
          <w:rFonts w:eastAsia="標楷體" w:hint="eastAsia"/>
          <w:sz w:val="26"/>
          <w:szCs w:val="26"/>
        </w:rPr>
        <w:t>該資料庫收錄完整的公司財務資料及各公司營運部門、經濟產業面、行業等之『企業敘述』（</w:t>
      </w:r>
      <w:r w:rsidRPr="00363ED5">
        <w:rPr>
          <w:rFonts w:eastAsia="標楷體" w:hint="eastAsia"/>
          <w:sz w:val="26"/>
          <w:szCs w:val="26"/>
        </w:rPr>
        <w:t>Business Descriptions</w:t>
      </w:r>
      <w:r w:rsidRPr="00363ED5">
        <w:rPr>
          <w:rFonts w:eastAsia="標楷體" w:hint="eastAsia"/>
          <w:sz w:val="26"/>
          <w:szCs w:val="26"/>
        </w:rPr>
        <w:t>）等資訊，透過完整的相關比較資料，本所認為唯有能夠提供質量並重資料之資料庫，才能有助於尋得與各受控交易之可茲比較對象。</w:t>
      </w:r>
    </w:p>
    <w:p w:rsidR="0032590C" w:rsidRDefault="00AA126C" w:rsidP="00965AF0">
      <w:pPr>
        <w:pStyle w:val="2"/>
        <w:numPr>
          <w:ilvl w:val="1"/>
          <w:numId w:val="37"/>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可比較對象</w:t>
      </w:r>
      <w:r w:rsidR="00676860">
        <w:rPr>
          <w:rFonts w:ascii="Times New Roman" w:eastAsia="標楷體" w:hAnsi="Times New Roman" w:hint="eastAsia"/>
          <w:sz w:val="36"/>
          <w:szCs w:val="40"/>
        </w:rPr>
        <w:t>選擇過程</w:t>
      </w:r>
    </w:p>
    <w:p w:rsidR="0032590C" w:rsidRDefault="00567251" w:rsidP="00965AF0">
      <w:pPr>
        <w:pStyle w:val="a5"/>
        <w:spacing w:beforeLines="50" w:before="120" w:afterLines="50" w:after="120" w:line="360" w:lineRule="auto"/>
        <w:ind w:firstLineChars="200" w:firstLine="512"/>
        <w:jc w:val="both"/>
        <w:rPr>
          <w:rFonts w:eastAsia="標楷體"/>
          <w:spacing w:val="-2"/>
          <w:sz w:val="26"/>
          <w:szCs w:val="26"/>
        </w:rPr>
      </w:pPr>
      <w:r w:rsidRPr="00EA272E">
        <w:rPr>
          <w:rFonts w:eastAsia="標楷體"/>
          <w:spacing w:val="-2"/>
          <w:sz w:val="26"/>
          <w:szCs w:val="26"/>
        </w:rPr>
        <w:t>根據移轉訂價查核準則第</w:t>
      </w:r>
      <w:r w:rsidRPr="00EA272E">
        <w:rPr>
          <w:rFonts w:eastAsia="標楷體"/>
          <w:spacing w:val="-2"/>
          <w:sz w:val="26"/>
          <w:szCs w:val="26"/>
        </w:rPr>
        <w:t>8</w:t>
      </w:r>
      <w:r w:rsidRPr="00EA272E">
        <w:rPr>
          <w:rFonts w:eastAsia="標楷體"/>
          <w:spacing w:val="-2"/>
          <w:sz w:val="26"/>
          <w:szCs w:val="26"/>
        </w:rPr>
        <w:t>條規定，決定營利事業與非關係人之情況，或其所從事之受控交易與未受控交易是否相同或類似及</w:t>
      </w:r>
      <w:r w:rsidR="00DE2F2E" w:rsidRPr="00EA272E">
        <w:rPr>
          <w:rFonts w:eastAsia="標楷體" w:hint="eastAsia"/>
          <w:spacing w:val="-2"/>
          <w:sz w:val="26"/>
          <w:szCs w:val="26"/>
        </w:rPr>
        <w:t>其</w:t>
      </w:r>
      <w:r w:rsidRPr="00EA272E">
        <w:rPr>
          <w:rFonts w:eastAsia="標楷體"/>
          <w:spacing w:val="-2"/>
          <w:sz w:val="26"/>
          <w:szCs w:val="26"/>
        </w:rPr>
        <w:t>可比較程度時，應考量包括交易標的</w:t>
      </w:r>
      <w:r w:rsidR="00DE2F2E" w:rsidRPr="00EA272E">
        <w:rPr>
          <w:rFonts w:eastAsia="標楷體" w:hint="eastAsia"/>
          <w:spacing w:val="-2"/>
          <w:sz w:val="26"/>
          <w:szCs w:val="26"/>
        </w:rPr>
        <w:t>資產</w:t>
      </w:r>
      <w:r w:rsidRPr="00EA272E">
        <w:rPr>
          <w:rFonts w:eastAsia="標楷體"/>
          <w:spacing w:val="-2"/>
          <w:sz w:val="26"/>
          <w:szCs w:val="26"/>
        </w:rPr>
        <w:t>或服務之特性、執行之功能、契約條款、承擔之風險、經濟及市場狀況、商業策略等影響價格或利潤之因素。本所於資料庫中選擇可比較對象時，遵循移轉訂價查核準則第</w:t>
      </w:r>
      <w:r w:rsidRPr="00EA272E">
        <w:rPr>
          <w:rFonts w:eastAsia="標楷體"/>
          <w:spacing w:val="-2"/>
          <w:sz w:val="26"/>
          <w:szCs w:val="26"/>
        </w:rPr>
        <w:t>8</w:t>
      </w:r>
      <w:r w:rsidRPr="00EA272E">
        <w:rPr>
          <w:rFonts w:eastAsia="標楷體"/>
          <w:spacing w:val="-2"/>
          <w:sz w:val="26"/>
          <w:szCs w:val="26"/>
        </w:rPr>
        <w:t>條之規定。</w:t>
      </w:r>
    </w:p>
    <w:p w:rsidR="0032590C" w:rsidRDefault="000F5434" w:rsidP="00965AF0">
      <w:pPr>
        <w:pStyle w:val="a5"/>
        <w:spacing w:beforeLines="50" w:before="120" w:afterLines="50" w:after="120" w:line="360" w:lineRule="auto"/>
        <w:ind w:firstLineChars="200" w:firstLine="512"/>
        <w:jc w:val="both"/>
        <w:rPr>
          <w:rFonts w:eastAsia="標楷體"/>
          <w:spacing w:val="-2"/>
          <w:sz w:val="26"/>
          <w:szCs w:val="26"/>
        </w:rPr>
      </w:pPr>
      <w:r w:rsidRPr="004B7699">
        <w:rPr>
          <w:rFonts w:eastAsia="標楷體" w:hint="eastAsia"/>
          <w:spacing w:val="-2"/>
          <w:sz w:val="26"/>
          <w:szCs w:val="26"/>
        </w:rPr>
        <w:t>據第肆章與第玖章得知，太克科技與關係企業『有形資產之移轉－進貨』及『服務之提供－</w:t>
      </w:r>
      <w:r>
        <w:rPr>
          <w:rFonts w:eastAsia="標楷體" w:hint="eastAsia"/>
          <w:spacing w:val="-2"/>
          <w:sz w:val="26"/>
          <w:szCs w:val="26"/>
        </w:rPr>
        <w:t>提供</w:t>
      </w:r>
      <w:r w:rsidRPr="004B7699">
        <w:rPr>
          <w:rFonts w:eastAsia="標楷體" w:hint="eastAsia"/>
          <w:spacing w:val="-2"/>
          <w:sz w:val="26"/>
          <w:szCs w:val="26"/>
        </w:rPr>
        <w:t>產品服務』之</w:t>
      </w:r>
      <w:r w:rsidRPr="004B7699">
        <w:rPr>
          <w:rFonts w:eastAsia="標楷體"/>
          <w:spacing w:val="-2"/>
          <w:sz w:val="26"/>
          <w:szCs w:val="26"/>
        </w:rPr>
        <w:t>受控交易，</w:t>
      </w:r>
      <w:r w:rsidRPr="004B7699">
        <w:rPr>
          <w:rFonts w:eastAsia="標楷體" w:hint="eastAsia"/>
          <w:spacing w:val="-2"/>
          <w:sz w:val="26"/>
          <w:szCs w:val="26"/>
        </w:rPr>
        <w:t>以太克科技作</w:t>
      </w:r>
      <w:r w:rsidRPr="004B7699">
        <w:rPr>
          <w:rFonts w:eastAsia="標楷體"/>
          <w:spacing w:val="-2"/>
          <w:sz w:val="26"/>
          <w:szCs w:val="26"/>
        </w:rPr>
        <w:t>為受測個體</w:t>
      </w:r>
      <w:r w:rsidRPr="004B7699">
        <w:rPr>
          <w:rFonts w:eastAsia="標楷體" w:hint="eastAsia"/>
          <w:spacing w:val="-2"/>
          <w:sz w:val="26"/>
          <w:szCs w:val="26"/>
        </w:rPr>
        <w:t>。</w:t>
      </w:r>
      <w:r w:rsidRPr="004B7699">
        <w:rPr>
          <w:rFonts w:eastAsia="標楷體" w:hint="eastAsia"/>
          <w:spacing w:val="-2"/>
          <w:sz w:val="26"/>
          <w:szCs w:val="26"/>
        </w:rPr>
        <w:lastRenderedPageBreak/>
        <w:t>因進貨與提</w:t>
      </w:r>
      <w:r w:rsidRPr="004B7699">
        <w:rPr>
          <w:rFonts w:eastAsia="標楷體" w:hint="eastAsia"/>
          <w:sz w:val="26"/>
          <w:szCs w:val="26"/>
        </w:rPr>
        <w:t>供服務之受控交易皆與銷貨具</w:t>
      </w:r>
      <w:r>
        <w:rPr>
          <w:rFonts w:eastAsia="標楷體" w:hint="eastAsia"/>
          <w:sz w:val="26"/>
          <w:szCs w:val="26"/>
        </w:rPr>
        <w:t>關聯</w:t>
      </w:r>
      <w:r w:rsidRPr="004B7699">
        <w:rPr>
          <w:rFonts w:eastAsia="標楷體" w:hint="eastAsia"/>
          <w:sz w:val="26"/>
          <w:szCs w:val="26"/>
        </w:rPr>
        <w:t>性，依移轉訂價查核準則</w:t>
      </w:r>
      <w:r w:rsidRPr="00A97D34">
        <w:rPr>
          <w:rFonts w:eastAsia="標楷體"/>
          <w:sz w:val="26"/>
          <w:szCs w:val="26"/>
        </w:rPr>
        <w:t>第</w:t>
      </w:r>
      <w:r w:rsidRPr="00A97D34">
        <w:rPr>
          <w:rFonts w:eastAsia="標楷體"/>
          <w:sz w:val="26"/>
          <w:szCs w:val="26"/>
        </w:rPr>
        <w:t>7</w:t>
      </w:r>
      <w:r w:rsidRPr="00A97D34">
        <w:rPr>
          <w:rFonts w:eastAsia="標楷體"/>
          <w:sz w:val="26"/>
          <w:szCs w:val="26"/>
        </w:rPr>
        <w:t>條第</w:t>
      </w:r>
      <w:r w:rsidRPr="00A97D34">
        <w:rPr>
          <w:rFonts w:eastAsia="標楷體"/>
          <w:sz w:val="26"/>
          <w:szCs w:val="26"/>
        </w:rPr>
        <w:t>3</w:t>
      </w:r>
      <w:r w:rsidRPr="00A97D34">
        <w:rPr>
          <w:rFonts w:eastAsia="標楷體"/>
          <w:sz w:val="26"/>
          <w:szCs w:val="26"/>
        </w:rPr>
        <w:t>款</w:t>
      </w:r>
      <w:r w:rsidRPr="004B7699">
        <w:rPr>
          <w:rFonts w:eastAsia="標楷體" w:hint="eastAsia"/>
          <w:sz w:val="26"/>
          <w:szCs w:val="26"/>
        </w:rPr>
        <w:t>規定，將</w:t>
      </w:r>
      <w:r>
        <w:rPr>
          <w:rFonts w:eastAsia="標楷體" w:hint="eastAsia"/>
          <w:sz w:val="26"/>
          <w:szCs w:val="26"/>
        </w:rPr>
        <w:t>此二交易</w:t>
      </w:r>
      <w:r w:rsidRPr="004B7699">
        <w:rPr>
          <w:rFonts w:eastAsia="標楷體" w:hint="eastAsia"/>
          <w:sz w:val="26"/>
          <w:szCs w:val="26"/>
        </w:rPr>
        <w:t>合併分析，故本所根據下列條件進行篩選，選出與受測個體可資比較對象</w:t>
      </w:r>
      <w:r w:rsidR="00F35218" w:rsidRPr="00EA272E">
        <w:rPr>
          <w:rFonts w:eastAsia="標楷體"/>
          <w:spacing w:val="-2"/>
          <w:sz w:val="26"/>
          <w:szCs w:val="26"/>
        </w:rPr>
        <w:t>。</w:t>
      </w:r>
    </w:p>
    <w:p w:rsidR="0032590C" w:rsidRDefault="00137E06" w:rsidP="00965AF0">
      <w:pPr>
        <w:spacing w:beforeLines="50" w:before="120" w:afterLines="50" w:after="120" w:line="360" w:lineRule="auto"/>
        <w:ind w:firstLineChars="200" w:firstLine="520"/>
        <w:jc w:val="both"/>
        <w:rPr>
          <w:rFonts w:eastAsia="標楷體"/>
          <w:sz w:val="26"/>
          <w:szCs w:val="26"/>
        </w:rPr>
      </w:pPr>
      <w:r w:rsidRPr="006B74CC">
        <w:rPr>
          <w:rFonts w:eastAsia="標楷體" w:hint="eastAsia"/>
          <w:sz w:val="26"/>
          <w:szCs w:val="26"/>
        </w:rPr>
        <w:t>本所根據下列條件進行篩選，選出與</w:t>
      </w:r>
      <w:r>
        <w:rPr>
          <w:rFonts w:eastAsia="標楷體" w:hint="eastAsia"/>
          <w:sz w:val="26"/>
          <w:szCs w:val="26"/>
        </w:rPr>
        <w:t>受測個體</w:t>
      </w:r>
      <w:r w:rsidRPr="006B74CC">
        <w:rPr>
          <w:rFonts w:eastAsia="標楷體" w:hint="eastAsia"/>
          <w:sz w:val="26"/>
          <w:szCs w:val="26"/>
        </w:rPr>
        <w:t>可資比較對象：</w:t>
      </w:r>
    </w:p>
    <w:p w:rsidR="0032590C" w:rsidRDefault="00137E06" w:rsidP="00965AF0">
      <w:pPr>
        <w:pStyle w:val="3"/>
        <w:numPr>
          <w:ilvl w:val="0"/>
          <w:numId w:val="45"/>
        </w:numPr>
        <w:spacing w:beforeLines="50" w:before="120" w:afterLines="50" w:after="120" w:line="360" w:lineRule="auto"/>
        <w:ind w:leftChars="100" w:left="720"/>
        <w:jc w:val="both"/>
        <w:rPr>
          <w:rFonts w:ascii="Times New Roman" w:eastAsia="標楷體" w:hAnsi="Times New Roman"/>
          <w:sz w:val="32"/>
        </w:rPr>
      </w:pPr>
      <w:bookmarkStart w:id="99" w:name="_Toc157536071"/>
      <w:bookmarkStart w:id="100" w:name="_Toc158135218"/>
      <w:bookmarkStart w:id="101" w:name="_Ref158180974"/>
      <w:bookmarkStart w:id="102" w:name="_Toc166468524"/>
      <w:bookmarkStart w:id="103" w:name="_Toc173577194"/>
      <w:bookmarkStart w:id="104" w:name="_Toc173577706"/>
      <w:r w:rsidRPr="00397F28">
        <w:rPr>
          <w:rFonts w:ascii="Times New Roman" w:eastAsia="標楷體" w:hAnsi="Times New Roman" w:hint="eastAsia"/>
          <w:sz w:val="32"/>
        </w:rPr>
        <w:t>執行之功能及產品種類</w:t>
      </w:r>
      <w:bookmarkEnd w:id="99"/>
      <w:bookmarkEnd w:id="100"/>
      <w:bookmarkEnd w:id="101"/>
      <w:bookmarkEnd w:id="102"/>
      <w:bookmarkEnd w:id="103"/>
      <w:bookmarkEnd w:id="104"/>
    </w:p>
    <w:p w:rsidR="0032590C" w:rsidRDefault="00137E06" w:rsidP="00965AF0">
      <w:pPr>
        <w:spacing w:beforeLines="50" w:before="120" w:afterLines="50" w:after="120" w:line="360" w:lineRule="auto"/>
        <w:ind w:leftChars="200" w:left="480" w:firstLineChars="200" w:firstLine="520"/>
        <w:jc w:val="both"/>
        <w:rPr>
          <w:rFonts w:eastAsia="標楷體"/>
          <w:sz w:val="26"/>
          <w:szCs w:val="26"/>
        </w:rPr>
      </w:pPr>
      <w:r w:rsidRPr="00137E06">
        <w:rPr>
          <w:rFonts w:eastAsia="標楷體" w:hint="eastAsia"/>
          <w:sz w:val="26"/>
          <w:szCs w:val="26"/>
        </w:rPr>
        <w:t>依據移轉訂價查核準則第</w:t>
      </w:r>
      <w:r w:rsidRPr="00137E06">
        <w:rPr>
          <w:rFonts w:eastAsia="標楷體" w:hint="eastAsia"/>
          <w:sz w:val="26"/>
          <w:szCs w:val="26"/>
        </w:rPr>
        <w:t>8</w:t>
      </w:r>
      <w:r w:rsidRPr="00137E06">
        <w:rPr>
          <w:rFonts w:eastAsia="標楷體" w:hint="eastAsia"/>
          <w:sz w:val="26"/>
          <w:szCs w:val="26"/>
        </w:rPr>
        <w:t>條規定之可比較程度分析決定營利事業與非關係人之情況，或其所從事之受控交易與未受控交易是否相同或類似及其可比較程度時，首先即需考量到交易標的資產或服務之特性，因此在尋找與受測個體可資比較之對象時，首先可依其產品種類或該公司之產品為與其類似者。</w:t>
      </w:r>
      <w:r w:rsidRPr="00137E06">
        <w:rPr>
          <w:rFonts w:eastAsia="標楷體"/>
          <w:sz w:val="26"/>
          <w:szCs w:val="26"/>
        </w:rPr>
        <w:t>選出樣本所執行之功能若與</w:t>
      </w:r>
      <w:r w:rsidRPr="00137E06">
        <w:rPr>
          <w:rFonts w:eastAsia="標楷體" w:hint="eastAsia"/>
          <w:sz w:val="26"/>
          <w:szCs w:val="26"/>
        </w:rPr>
        <w:t>受測個體</w:t>
      </w:r>
      <w:r w:rsidRPr="00137E06">
        <w:rPr>
          <w:rFonts w:eastAsia="標楷體"/>
          <w:sz w:val="26"/>
          <w:szCs w:val="26"/>
        </w:rPr>
        <w:t>所執行之功能越相似者越佳，此步驟在於增加可比較程度，使比較之結果更為精密。</w:t>
      </w:r>
    </w:p>
    <w:tbl>
      <w:tblPr>
        <w:tblW w:w="8217"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4"/>
        <w:gridCol w:w="1438"/>
        <w:gridCol w:w="2643"/>
        <w:gridCol w:w="1322"/>
      </w:tblGrid>
      <w:tr w:rsidR="001B636E" w:rsidRPr="00340F76">
        <w:tc>
          <w:tcPr>
            <w:tcW w:w="2814" w:type="dxa"/>
            <w:vMerge w:val="restart"/>
            <w:shd w:val="clear" w:color="auto" w:fill="4F81BD"/>
            <w:vAlign w:val="center"/>
          </w:tcPr>
          <w:p w:rsidR="0032590C" w:rsidRDefault="001B636E" w:rsidP="00965AF0">
            <w:pPr>
              <w:pStyle w:val="a5"/>
              <w:spacing w:beforeLines="25" w:before="60" w:afterLines="25" w:after="60"/>
              <w:jc w:val="center"/>
              <w:rPr>
                <w:rFonts w:eastAsia="標楷體"/>
                <w:bCs/>
                <w:color w:val="FFFFFF"/>
                <w:spacing w:val="-2"/>
                <w:sz w:val="26"/>
                <w:szCs w:val="26"/>
              </w:rPr>
            </w:pPr>
            <w:r w:rsidRPr="00CB62C9">
              <w:rPr>
                <w:rFonts w:eastAsia="標楷體" w:hint="eastAsia"/>
                <w:bCs/>
                <w:color w:val="FFFFFF"/>
                <w:spacing w:val="-2"/>
                <w:sz w:val="26"/>
                <w:szCs w:val="26"/>
              </w:rPr>
              <w:t>受控交易說明</w:t>
            </w:r>
          </w:p>
        </w:tc>
        <w:tc>
          <w:tcPr>
            <w:tcW w:w="1438" w:type="dxa"/>
            <w:vMerge w:val="restart"/>
            <w:shd w:val="clear" w:color="auto" w:fill="4F81BD"/>
            <w:vAlign w:val="center"/>
          </w:tcPr>
          <w:p w:rsidR="0032590C" w:rsidRDefault="001B636E" w:rsidP="00965AF0">
            <w:pPr>
              <w:pStyle w:val="a5"/>
              <w:spacing w:beforeLines="25" w:before="60" w:afterLines="25" w:after="60"/>
              <w:jc w:val="center"/>
              <w:rPr>
                <w:rFonts w:eastAsia="標楷體"/>
                <w:bCs/>
                <w:color w:val="FFFFFF"/>
                <w:spacing w:val="-2"/>
                <w:sz w:val="26"/>
                <w:szCs w:val="26"/>
              </w:rPr>
            </w:pPr>
            <w:r w:rsidRPr="00CB62C9">
              <w:rPr>
                <w:rFonts w:eastAsia="標楷體" w:hint="eastAsia"/>
                <w:bCs/>
                <w:color w:val="FFFFFF"/>
                <w:spacing w:val="-2"/>
                <w:sz w:val="26"/>
                <w:szCs w:val="26"/>
              </w:rPr>
              <w:t>受測個體</w:t>
            </w:r>
          </w:p>
        </w:tc>
        <w:tc>
          <w:tcPr>
            <w:tcW w:w="3965" w:type="dxa"/>
            <w:gridSpan w:val="2"/>
            <w:shd w:val="clear" w:color="auto" w:fill="4F81BD"/>
            <w:vAlign w:val="center"/>
          </w:tcPr>
          <w:p w:rsidR="0032590C" w:rsidRDefault="001B636E" w:rsidP="00965AF0">
            <w:pPr>
              <w:pStyle w:val="a5"/>
              <w:spacing w:beforeLines="25" w:before="60" w:afterLines="25" w:after="60"/>
              <w:jc w:val="center"/>
              <w:rPr>
                <w:rFonts w:eastAsia="標楷體"/>
                <w:bCs/>
                <w:color w:val="FFFFFF"/>
                <w:spacing w:val="-2"/>
                <w:sz w:val="26"/>
                <w:szCs w:val="26"/>
              </w:rPr>
            </w:pPr>
            <w:r w:rsidRPr="00CB62C9">
              <w:rPr>
                <w:rFonts w:eastAsia="標楷體" w:hint="eastAsia"/>
                <w:bCs/>
                <w:color w:val="FFFFFF"/>
                <w:spacing w:val="-2"/>
                <w:sz w:val="26"/>
                <w:szCs w:val="26"/>
              </w:rPr>
              <w:t>受測個體</w:t>
            </w:r>
          </w:p>
        </w:tc>
      </w:tr>
      <w:tr w:rsidR="001B636E" w:rsidRPr="00340F76">
        <w:tc>
          <w:tcPr>
            <w:tcW w:w="2814" w:type="dxa"/>
            <w:vMerge/>
            <w:vAlign w:val="center"/>
          </w:tcPr>
          <w:p w:rsidR="0032590C" w:rsidRDefault="0032590C" w:rsidP="00965AF0">
            <w:pPr>
              <w:pStyle w:val="a5"/>
              <w:spacing w:beforeLines="25" w:before="60" w:afterLines="25" w:after="60"/>
              <w:jc w:val="center"/>
              <w:rPr>
                <w:rFonts w:eastAsia="標楷體"/>
                <w:bCs/>
                <w:color w:val="FFFFFF"/>
                <w:spacing w:val="-2"/>
                <w:sz w:val="26"/>
                <w:szCs w:val="26"/>
              </w:rPr>
            </w:pPr>
          </w:p>
        </w:tc>
        <w:tc>
          <w:tcPr>
            <w:tcW w:w="1438" w:type="dxa"/>
            <w:vMerge/>
            <w:vAlign w:val="center"/>
          </w:tcPr>
          <w:p w:rsidR="0032590C" w:rsidRDefault="0032590C" w:rsidP="00965AF0">
            <w:pPr>
              <w:pStyle w:val="a5"/>
              <w:spacing w:beforeLines="25" w:before="60" w:afterLines="25" w:after="60"/>
              <w:jc w:val="center"/>
              <w:rPr>
                <w:rFonts w:eastAsia="標楷體"/>
                <w:color w:val="FFFFFF"/>
                <w:spacing w:val="-2"/>
                <w:sz w:val="26"/>
                <w:szCs w:val="26"/>
              </w:rPr>
            </w:pPr>
          </w:p>
        </w:tc>
        <w:tc>
          <w:tcPr>
            <w:tcW w:w="2643" w:type="dxa"/>
            <w:shd w:val="clear" w:color="auto" w:fill="4F81BD"/>
            <w:vAlign w:val="center"/>
          </w:tcPr>
          <w:p w:rsidR="0032590C" w:rsidRDefault="001B636E" w:rsidP="00965AF0">
            <w:pPr>
              <w:pStyle w:val="a5"/>
              <w:spacing w:beforeLines="25" w:before="60" w:afterLines="25" w:after="60"/>
              <w:jc w:val="center"/>
              <w:rPr>
                <w:rFonts w:eastAsia="標楷體"/>
                <w:color w:val="FFFFFF"/>
                <w:spacing w:val="-2"/>
                <w:sz w:val="26"/>
                <w:szCs w:val="26"/>
              </w:rPr>
            </w:pPr>
            <w:r w:rsidRPr="00CB62C9">
              <w:rPr>
                <w:rFonts w:eastAsia="標楷體" w:hint="eastAsia"/>
                <w:color w:val="FFFFFF"/>
                <w:spacing w:val="-2"/>
                <w:sz w:val="26"/>
                <w:szCs w:val="26"/>
              </w:rPr>
              <w:t>主要產品／服務</w:t>
            </w:r>
          </w:p>
        </w:tc>
        <w:tc>
          <w:tcPr>
            <w:tcW w:w="1322" w:type="dxa"/>
            <w:shd w:val="clear" w:color="auto" w:fill="4F81BD"/>
            <w:vAlign w:val="center"/>
          </w:tcPr>
          <w:p w:rsidR="0032590C" w:rsidRDefault="001B636E" w:rsidP="00965AF0">
            <w:pPr>
              <w:pStyle w:val="a5"/>
              <w:spacing w:beforeLines="25" w:before="60" w:afterLines="25" w:after="60"/>
              <w:jc w:val="center"/>
              <w:rPr>
                <w:rFonts w:eastAsia="標楷體"/>
                <w:color w:val="FFFFFF"/>
                <w:spacing w:val="-2"/>
                <w:sz w:val="26"/>
                <w:szCs w:val="26"/>
              </w:rPr>
            </w:pPr>
            <w:r w:rsidRPr="00CB62C9">
              <w:rPr>
                <w:rFonts w:eastAsia="標楷體" w:hint="eastAsia"/>
                <w:color w:val="FFFFFF"/>
                <w:spacing w:val="-2"/>
                <w:sz w:val="26"/>
                <w:szCs w:val="26"/>
              </w:rPr>
              <w:t>企業定位</w:t>
            </w:r>
          </w:p>
        </w:tc>
      </w:tr>
      <w:tr w:rsidR="001B636E" w:rsidRPr="00340F76">
        <w:trPr>
          <w:trHeight w:val="1925"/>
        </w:trPr>
        <w:tc>
          <w:tcPr>
            <w:tcW w:w="2814" w:type="dxa"/>
            <w:vAlign w:val="center"/>
          </w:tcPr>
          <w:p w:rsidR="0032590C" w:rsidRDefault="001B636E" w:rsidP="00965AF0">
            <w:pPr>
              <w:pStyle w:val="a5"/>
              <w:spacing w:beforeLines="25" w:before="60" w:afterLines="25" w:after="60"/>
              <w:jc w:val="center"/>
              <w:rPr>
                <w:rFonts w:eastAsia="標楷體"/>
                <w:spacing w:val="-2"/>
                <w:sz w:val="26"/>
                <w:szCs w:val="26"/>
              </w:rPr>
            </w:pPr>
            <w:r w:rsidRPr="00340F76">
              <w:rPr>
                <w:rFonts w:eastAsia="標楷體" w:hint="eastAsia"/>
                <w:spacing w:val="-2"/>
                <w:sz w:val="26"/>
                <w:szCs w:val="26"/>
              </w:rPr>
              <w:t>有形資產之移轉</w:t>
            </w:r>
            <w:r w:rsidR="00880A9F">
              <w:rPr>
                <w:rFonts w:eastAsia="標楷體"/>
                <w:spacing w:val="-2"/>
                <w:sz w:val="26"/>
                <w:szCs w:val="26"/>
              </w:rPr>
              <w:t>—</w:t>
            </w:r>
            <w:r w:rsidRPr="00340F76">
              <w:rPr>
                <w:rFonts w:eastAsia="標楷體" w:hint="eastAsia"/>
                <w:spacing w:val="-2"/>
                <w:sz w:val="26"/>
                <w:szCs w:val="26"/>
              </w:rPr>
              <w:t>進貨</w:t>
            </w:r>
          </w:p>
        </w:tc>
        <w:tc>
          <w:tcPr>
            <w:tcW w:w="1438" w:type="dxa"/>
            <w:vMerge w:val="restart"/>
            <w:vAlign w:val="center"/>
          </w:tcPr>
          <w:p w:rsidR="0032590C" w:rsidRDefault="001B636E" w:rsidP="00965AF0">
            <w:pPr>
              <w:pStyle w:val="a5"/>
              <w:spacing w:beforeLines="25" w:before="60" w:afterLines="25" w:after="60"/>
              <w:jc w:val="center"/>
              <w:rPr>
                <w:rFonts w:eastAsia="標楷體"/>
                <w:spacing w:val="-2"/>
                <w:sz w:val="26"/>
                <w:szCs w:val="26"/>
              </w:rPr>
            </w:pPr>
            <w:r w:rsidRPr="00340F76">
              <w:rPr>
                <w:rFonts w:eastAsia="標楷體" w:hint="eastAsia"/>
                <w:spacing w:val="-2"/>
                <w:sz w:val="26"/>
                <w:szCs w:val="26"/>
              </w:rPr>
              <w:t>太克科技</w:t>
            </w:r>
          </w:p>
        </w:tc>
        <w:tc>
          <w:tcPr>
            <w:tcW w:w="2643" w:type="dxa"/>
            <w:shd w:val="clear" w:color="auto" w:fill="auto"/>
            <w:vAlign w:val="center"/>
          </w:tcPr>
          <w:p w:rsidR="0032590C" w:rsidRDefault="001B636E" w:rsidP="00965AF0">
            <w:pPr>
              <w:pStyle w:val="a5"/>
              <w:spacing w:beforeLines="25" w:before="60" w:afterLines="25" w:after="60"/>
              <w:jc w:val="both"/>
              <w:rPr>
                <w:rFonts w:eastAsia="標楷體"/>
                <w:spacing w:val="-2"/>
                <w:sz w:val="26"/>
                <w:szCs w:val="26"/>
              </w:rPr>
            </w:pPr>
            <w:r w:rsidRPr="00340F76">
              <w:rPr>
                <w:rFonts w:eastAsia="標楷體" w:hint="eastAsia"/>
                <w:spacing w:val="-2"/>
                <w:sz w:val="26"/>
                <w:szCs w:val="26"/>
              </w:rPr>
              <w:t>太克科技銷售集團所產精密量測儀器，包括示波器、即時頻譜分析儀、邏輯分析儀及信號產生器</w:t>
            </w:r>
            <w:r>
              <w:rPr>
                <w:rFonts w:eastAsia="標楷體" w:hint="eastAsia"/>
                <w:spacing w:val="-2"/>
                <w:sz w:val="26"/>
                <w:szCs w:val="26"/>
              </w:rPr>
              <w:t>。</w:t>
            </w:r>
          </w:p>
        </w:tc>
        <w:tc>
          <w:tcPr>
            <w:tcW w:w="1322" w:type="dxa"/>
            <w:vMerge w:val="restart"/>
            <w:vAlign w:val="center"/>
          </w:tcPr>
          <w:p w:rsidR="0032590C" w:rsidRDefault="001B636E" w:rsidP="00965AF0">
            <w:pPr>
              <w:pStyle w:val="a5"/>
              <w:spacing w:beforeLines="25" w:before="60" w:afterLines="25" w:after="60"/>
              <w:jc w:val="center"/>
              <w:rPr>
                <w:rFonts w:eastAsia="標楷體"/>
                <w:spacing w:val="-2"/>
                <w:sz w:val="26"/>
                <w:szCs w:val="26"/>
              </w:rPr>
            </w:pPr>
            <w:r w:rsidRPr="00340F76">
              <w:rPr>
                <w:rFonts w:eastAsia="標楷體" w:hint="eastAsia"/>
                <w:spacing w:val="-2"/>
                <w:sz w:val="26"/>
                <w:szCs w:val="26"/>
              </w:rPr>
              <w:t>有限功能配銷商</w:t>
            </w:r>
          </w:p>
        </w:tc>
      </w:tr>
      <w:tr w:rsidR="001B636E" w:rsidRPr="00340F76">
        <w:trPr>
          <w:trHeight w:val="885"/>
        </w:trPr>
        <w:tc>
          <w:tcPr>
            <w:tcW w:w="2814" w:type="dxa"/>
            <w:tcBorders>
              <w:bottom w:val="single" w:sz="4" w:space="0" w:color="000000"/>
            </w:tcBorders>
            <w:vAlign w:val="center"/>
          </w:tcPr>
          <w:p w:rsidR="0032590C" w:rsidRDefault="001B636E" w:rsidP="00965AF0">
            <w:pPr>
              <w:pStyle w:val="a5"/>
              <w:spacing w:beforeLines="25" w:before="60" w:afterLines="25" w:after="60"/>
              <w:jc w:val="center"/>
              <w:rPr>
                <w:rFonts w:eastAsia="標楷體"/>
                <w:spacing w:val="-2"/>
                <w:sz w:val="26"/>
                <w:szCs w:val="26"/>
              </w:rPr>
            </w:pPr>
            <w:r w:rsidRPr="00340F76">
              <w:rPr>
                <w:rFonts w:eastAsia="標楷體" w:hint="eastAsia"/>
                <w:spacing w:val="-2"/>
                <w:sz w:val="26"/>
                <w:szCs w:val="26"/>
              </w:rPr>
              <w:t>服務之提供</w:t>
            </w:r>
            <w:r w:rsidR="00880A9F">
              <w:rPr>
                <w:rFonts w:eastAsia="標楷體"/>
                <w:spacing w:val="-2"/>
                <w:sz w:val="26"/>
                <w:szCs w:val="26"/>
              </w:rPr>
              <w:t>—</w:t>
            </w:r>
            <w:r>
              <w:rPr>
                <w:rFonts w:eastAsia="標楷體" w:hint="eastAsia"/>
                <w:spacing w:val="-2"/>
                <w:sz w:val="26"/>
                <w:szCs w:val="26"/>
              </w:rPr>
              <w:t>提供</w:t>
            </w:r>
            <w:r w:rsidRPr="00340F76">
              <w:rPr>
                <w:rFonts w:eastAsia="標楷體" w:hint="eastAsia"/>
                <w:spacing w:val="-2"/>
                <w:sz w:val="26"/>
                <w:szCs w:val="26"/>
              </w:rPr>
              <w:t>產品服務</w:t>
            </w:r>
          </w:p>
        </w:tc>
        <w:tc>
          <w:tcPr>
            <w:tcW w:w="1438" w:type="dxa"/>
            <w:vMerge/>
            <w:tcBorders>
              <w:bottom w:val="single" w:sz="4" w:space="0" w:color="000000"/>
            </w:tcBorders>
          </w:tcPr>
          <w:p w:rsidR="0032590C" w:rsidRDefault="0032590C" w:rsidP="00965AF0">
            <w:pPr>
              <w:pStyle w:val="a5"/>
              <w:spacing w:beforeLines="25" w:before="60" w:afterLines="25" w:after="60"/>
              <w:jc w:val="both"/>
              <w:rPr>
                <w:rFonts w:eastAsia="標楷體"/>
                <w:spacing w:val="-2"/>
                <w:sz w:val="26"/>
                <w:szCs w:val="26"/>
              </w:rPr>
            </w:pPr>
          </w:p>
        </w:tc>
        <w:tc>
          <w:tcPr>
            <w:tcW w:w="2643" w:type="dxa"/>
            <w:tcBorders>
              <w:bottom w:val="single" w:sz="4" w:space="0" w:color="000000"/>
            </w:tcBorders>
            <w:shd w:val="clear" w:color="auto" w:fill="auto"/>
          </w:tcPr>
          <w:p w:rsidR="0032590C" w:rsidRDefault="001B636E" w:rsidP="00965AF0">
            <w:pPr>
              <w:pStyle w:val="a5"/>
              <w:spacing w:beforeLines="25" w:before="60" w:afterLines="25" w:after="60"/>
              <w:jc w:val="both"/>
              <w:rPr>
                <w:rFonts w:eastAsia="標楷體"/>
                <w:spacing w:val="-2"/>
                <w:sz w:val="26"/>
                <w:szCs w:val="26"/>
              </w:rPr>
            </w:pPr>
            <w:r w:rsidRPr="00340F76">
              <w:rPr>
                <w:rFonts w:eastAsia="標楷體" w:hint="eastAsia"/>
                <w:spacing w:val="-2"/>
                <w:sz w:val="26"/>
                <w:szCs w:val="26"/>
              </w:rPr>
              <w:t>提供接單、行銷、維修及保固等產品服務。</w:t>
            </w:r>
          </w:p>
        </w:tc>
        <w:tc>
          <w:tcPr>
            <w:tcW w:w="1322" w:type="dxa"/>
            <w:vMerge/>
            <w:tcBorders>
              <w:bottom w:val="single" w:sz="4" w:space="0" w:color="000000"/>
            </w:tcBorders>
          </w:tcPr>
          <w:p w:rsidR="0032590C" w:rsidRDefault="0032590C" w:rsidP="00965AF0">
            <w:pPr>
              <w:pStyle w:val="a5"/>
              <w:spacing w:beforeLines="25" w:before="60" w:afterLines="25" w:after="60"/>
              <w:jc w:val="both"/>
              <w:rPr>
                <w:rFonts w:eastAsia="標楷體"/>
                <w:spacing w:val="-2"/>
                <w:sz w:val="26"/>
                <w:szCs w:val="26"/>
              </w:rPr>
            </w:pPr>
          </w:p>
        </w:tc>
      </w:tr>
    </w:tbl>
    <w:p w:rsidR="0032590C" w:rsidRDefault="00137E06" w:rsidP="00965AF0">
      <w:pPr>
        <w:pStyle w:val="3"/>
        <w:numPr>
          <w:ilvl w:val="0"/>
          <w:numId w:val="45"/>
        </w:numPr>
        <w:spacing w:beforeLines="50" w:before="120" w:afterLines="50" w:after="120" w:line="360" w:lineRule="auto"/>
        <w:ind w:leftChars="100" w:left="720"/>
        <w:jc w:val="both"/>
        <w:rPr>
          <w:rFonts w:ascii="Times New Roman" w:eastAsia="標楷體" w:hAnsi="Times New Roman"/>
          <w:sz w:val="32"/>
        </w:rPr>
      </w:pPr>
      <w:bookmarkStart w:id="105" w:name="_Toc157536072"/>
      <w:bookmarkStart w:id="106" w:name="_Toc158135219"/>
      <w:bookmarkStart w:id="107" w:name="_Toc166468525"/>
      <w:bookmarkStart w:id="108" w:name="_Toc173577195"/>
      <w:bookmarkStart w:id="109" w:name="_Toc173577707"/>
      <w:r w:rsidRPr="00397F28">
        <w:rPr>
          <w:rFonts w:ascii="Times New Roman" w:eastAsia="標楷體" w:hAnsi="Times New Roman" w:hint="eastAsia"/>
          <w:sz w:val="32"/>
        </w:rPr>
        <w:t>檢視財務資料充分性及可用性</w:t>
      </w:r>
      <w:bookmarkEnd w:id="105"/>
      <w:bookmarkEnd w:id="106"/>
      <w:bookmarkEnd w:id="107"/>
      <w:bookmarkEnd w:id="108"/>
      <w:bookmarkEnd w:id="109"/>
    </w:p>
    <w:p w:rsidR="0032590C" w:rsidRDefault="00C11DD5" w:rsidP="00965AF0">
      <w:pPr>
        <w:spacing w:beforeLines="50" w:before="120" w:afterLines="50" w:after="120" w:line="360" w:lineRule="auto"/>
        <w:ind w:leftChars="200" w:left="480" w:firstLineChars="200" w:firstLine="520"/>
        <w:jc w:val="both"/>
        <w:rPr>
          <w:rFonts w:eastAsia="標楷體"/>
          <w:sz w:val="26"/>
          <w:szCs w:val="26"/>
        </w:rPr>
      </w:pPr>
      <w:r w:rsidRPr="00340F76">
        <w:rPr>
          <w:rFonts w:eastAsia="標楷體" w:hint="eastAsia"/>
          <w:sz w:val="26"/>
          <w:szCs w:val="26"/>
        </w:rPr>
        <w:t>選出之樣本若無法提供充分之財務資料，便無法被運用為求出常規交易結果範圍，是故不列入考量。由本報告第柒章得知，用於評估『</w:t>
      </w:r>
      <w:r w:rsidRPr="00340F76">
        <w:rPr>
          <w:rFonts w:eastAsia="標楷體" w:hint="eastAsia"/>
          <w:spacing w:val="-2"/>
          <w:sz w:val="26"/>
          <w:szCs w:val="26"/>
        </w:rPr>
        <w:t>有</w:t>
      </w:r>
      <w:r w:rsidRPr="00340F76">
        <w:rPr>
          <w:rFonts w:eastAsia="標楷體" w:hint="eastAsia"/>
          <w:spacing w:val="-2"/>
          <w:sz w:val="26"/>
          <w:szCs w:val="26"/>
        </w:rPr>
        <w:lastRenderedPageBreak/>
        <w:t>形資產之移轉</w:t>
      </w:r>
      <w:r w:rsidR="00880A9F">
        <w:rPr>
          <w:rFonts w:eastAsia="標楷體"/>
          <w:spacing w:val="-2"/>
          <w:sz w:val="26"/>
          <w:szCs w:val="26"/>
        </w:rPr>
        <w:t>—</w:t>
      </w:r>
      <w:r w:rsidRPr="00340F76">
        <w:rPr>
          <w:rFonts w:eastAsia="標楷體" w:hint="eastAsia"/>
          <w:spacing w:val="-2"/>
          <w:sz w:val="26"/>
          <w:szCs w:val="26"/>
        </w:rPr>
        <w:t>進貨</w:t>
      </w:r>
      <w:r w:rsidRPr="00340F76">
        <w:rPr>
          <w:rFonts w:eastAsia="標楷體" w:hint="eastAsia"/>
          <w:sz w:val="26"/>
          <w:szCs w:val="26"/>
        </w:rPr>
        <w:t>』與『服務之提供</w:t>
      </w:r>
      <w:r w:rsidR="00880A9F">
        <w:rPr>
          <w:rFonts w:eastAsia="標楷體"/>
          <w:sz w:val="26"/>
          <w:szCs w:val="26"/>
        </w:rPr>
        <w:t>—</w:t>
      </w:r>
      <w:r>
        <w:rPr>
          <w:rFonts w:eastAsia="標楷體" w:hint="eastAsia"/>
          <w:sz w:val="26"/>
          <w:szCs w:val="26"/>
        </w:rPr>
        <w:t>提供</w:t>
      </w:r>
      <w:r w:rsidRPr="00340F76">
        <w:rPr>
          <w:rFonts w:eastAsia="標楷體" w:hint="eastAsia"/>
          <w:sz w:val="26"/>
          <w:szCs w:val="26"/>
        </w:rPr>
        <w:t>產品服務』受控交易之最適常規交易方法為『可比較利潤法』，有本報告第玖章得知，利潤指標為『</w:t>
      </w:r>
      <w:r w:rsidR="000E6938" w:rsidRPr="0036256C">
        <w:rPr>
          <w:rFonts w:eastAsia="標楷體" w:hint="eastAsia"/>
          <w:sz w:val="26"/>
          <w:szCs w:val="26"/>
        </w:rPr>
        <w:t>貝里比</w:t>
      </w:r>
      <w:r w:rsidRPr="0036256C">
        <w:rPr>
          <w:rFonts w:eastAsia="標楷體" w:hint="eastAsia"/>
          <w:sz w:val="26"/>
          <w:szCs w:val="26"/>
        </w:rPr>
        <w:t>率</w:t>
      </w:r>
      <w:r w:rsidRPr="00340F76">
        <w:rPr>
          <w:rFonts w:eastAsia="標楷體" w:hint="eastAsia"/>
          <w:sz w:val="26"/>
          <w:szCs w:val="26"/>
        </w:rPr>
        <w:t>』</w:t>
      </w:r>
      <w:r>
        <w:rPr>
          <w:rFonts w:eastAsia="標楷體" w:hint="eastAsia"/>
          <w:sz w:val="26"/>
          <w:szCs w:val="26"/>
        </w:rPr>
        <w:t>。</w:t>
      </w:r>
    </w:p>
    <w:p w:rsidR="0032590C" w:rsidRDefault="00C11DD5" w:rsidP="00965AF0">
      <w:pPr>
        <w:spacing w:beforeLines="50" w:before="120" w:afterLines="50" w:after="120" w:line="360" w:lineRule="auto"/>
        <w:ind w:leftChars="200" w:left="480" w:firstLineChars="200" w:firstLine="520"/>
        <w:jc w:val="both"/>
        <w:rPr>
          <w:rFonts w:eastAsia="標楷體"/>
          <w:sz w:val="26"/>
          <w:szCs w:val="26"/>
        </w:rPr>
      </w:pPr>
      <w:r w:rsidRPr="00340F76">
        <w:rPr>
          <w:rFonts w:eastAsia="標楷體" w:hint="eastAsia"/>
          <w:sz w:val="26"/>
          <w:szCs w:val="26"/>
        </w:rPr>
        <w:t>由於移轉訂價查核準則規定使用可比較利潤法進行評估時必須有三年之財務數據進行比較，故設定可比較對象必須具備三年</w:t>
      </w:r>
      <w:r w:rsidR="0036256C" w:rsidRPr="00F62185">
        <w:rPr>
          <w:rFonts w:eastAsia="標楷體" w:hint="eastAsia"/>
          <w:sz w:val="26"/>
          <w:szCs w:val="26"/>
        </w:rPr>
        <w:t>財務數據</w:t>
      </w:r>
      <w:r w:rsidRPr="00340F76">
        <w:rPr>
          <w:rFonts w:eastAsia="標楷體" w:hint="eastAsia"/>
          <w:sz w:val="26"/>
          <w:szCs w:val="26"/>
        </w:rPr>
        <w:t>為篩選條件之一。</w:t>
      </w:r>
    </w:p>
    <w:p w:rsidR="0032590C" w:rsidRPr="00A70357" w:rsidRDefault="00567251" w:rsidP="00965AF0">
      <w:pPr>
        <w:pStyle w:val="2"/>
        <w:numPr>
          <w:ilvl w:val="1"/>
          <w:numId w:val="37"/>
        </w:numPr>
        <w:tabs>
          <w:tab w:val="left" w:pos="756"/>
        </w:tabs>
        <w:spacing w:beforeLines="100" w:before="240" w:afterLines="100" w:after="240" w:line="360" w:lineRule="auto"/>
        <w:ind w:left="0" w:firstLine="0"/>
        <w:rPr>
          <w:rFonts w:ascii="Times New Roman" w:eastAsia="標楷體" w:hAnsi="Times New Roman"/>
          <w:sz w:val="36"/>
          <w:szCs w:val="40"/>
        </w:rPr>
      </w:pPr>
      <w:r w:rsidRPr="00A70357">
        <w:rPr>
          <w:rFonts w:ascii="Times New Roman" w:eastAsia="標楷體" w:hAnsi="Times New Roman"/>
          <w:sz w:val="36"/>
          <w:szCs w:val="40"/>
        </w:rPr>
        <w:t>篩選過程</w:t>
      </w:r>
    </w:p>
    <w:p w:rsidR="0032590C" w:rsidRDefault="008C3386" w:rsidP="00965AF0">
      <w:pPr>
        <w:numPr>
          <w:ilvl w:val="0"/>
          <w:numId w:val="41"/>
        </w:numPr>
        <w:tabs>
          <w:tab w:val="left" w:pos="960"/>
          <w:tab w:val="left" w:pos="1134"/>
        </w:tabs>
        <w:spacing w:beforeLines="50" w:before="120" w:afterLines="50" w:after="120" w:line="360" w:lineRule="auto"/>
        <w:ind w:leftChars="200" w:left="962" w:hanging="482"/>
        <w:jc w:val="both"/>
        <w:rPr>
          <w:rFonts w:eastAsia="標楷體"/>
          <w:b/>
          <w:sz w:val="28"/>
          <w:szCs w:val="26"/>
        </w:rPr>
      </w:pPr>
      <w:r>
        <w:rPr>
          <w:rFonts w:eastAsia="標楷體" w:hint="eastAsia"/>
          <w:b/>
          <w:sz w:val="28"/>
          <w:szCs w:val="26"/>
        </w:rPr>
        <w:t>ONESOURCE</w:t>
      </w:r>
      <w:r w:rsidR="006B3AF5" w:rsidRPr="006B3AF5">
        <w:rPr>
          <w:rFonts w:eastAsia="標楷體"/>
          <w:b/>
          <w:sz w:val="28"/>
          <w:szCs w:val="26"/>
        </w:rPr>
        <w:t>資料庫</w:t>
      </w:r>
    </w:p>
    <w:p w:rsidR="0032590C" w:rsidRDefault="00137E06" w:rsidP="00965AF0">
      <w:pPr>
        <w:spacing w:beforeLines="50" w:before="120" w:afterLines="50" w:after="120" w:line="360" w:lineRule="auto"/>
        <w:ind w:leftChars="200" w:left="480" w:firstLineChars="200" w:firstLine="520"/>
        <w:jc w:val="both"/>
        <w:rPr>
          <w:rFonts w:eastAsia="標楷體"/>
          <w:color w:val="000000" w:themeColor="text1"/>
          <w:sz w:val="26"/>
          <w:szCs w:val="26"/>
        </w:rPr>
      </w:pPr>
      <w:r w:rsidRPr="00DA470B">
        <w:rPr>
          <w:rFonts w:eastAsia="標楷體"/>
          <w:sz w:val="26"/>
          <w:szCs w:val="26"/>
        </w:rPr>
        <w:t>本所使用</w:t>
      </w:r>
      <w:r w:rsidR="00635042">
        <w:rPr>
          <w:rFonts w:eastAsia="標楷體"/>
          <w:sz w:val="26"/>
          <w:szCs w:val="26"/>
        </w:rPr>
        <w:t>ONESOURC</w:t>
      </w:r>
      <w:r w:rsidR="00DC4ACB" w:rsidRPr="00DC4ACB">
        <w:rPr>
          <w:rFonts w:eastAsia="標楷體"/>
          <w:color w:val="000000" w:themeColor="text1"/>
          <w:sz w:val="26"/>
          <w:szCs w:val="26"/>
        </w:rPr>
        <w:t>E</w:t>
      </w:r>
      <w:r w:rsidR="00DC4ACB" w:rsidRPr="00DC4ACB">
        <w:rPr>
          <w:rFonts w:eastAsia="標楷體" w:hint="eastAsia"/>
          <w:color w:val="000000" w:themeColor="text1"/>
          <w:sz w:val="26"/>
          <w:szCs w:val="26"/>
        </w:rPr>
        <w:t>資料庫</w:t>
      </w:r>
      <w:r w:rsidR="00DC4ACB" w:rsidRPr="00DC4ACB">
        <w:rPr>
          <w:rFonts w:eastAsia="標楷體"/>
          <w:color w:val="000000" w:themeColor="text1"/>
          <w:sz w:val="26"/>
          <w:szCs w:val="26"/>
        </w:rPr>
        <w:t>201</w:t>
      </w:r>
      <w:r w:rsidR="00A70357">
        <w:rPr>
          <w:rFonts w:eastAsia="標楷體" w:hint="eastAsia"/>
          <w:color w:val="000000" w:themeColor="text1"/>
          <w:sz w:val="26"/>
          <w:szCs w:val="26"/>
        </w:rPr>
        <w:t>6</w:t>
      </w:r>
      <w:r w:rsidR="00DC4ACB" w:rsidRPr="00DC4ACB">
        <w:rPr>
          <w:rFonts w:eastAsia="標楷體" w:hint="eastAsia"/>
          <w:color w:val="000000" w:themeColor="text1"/>
          <w:sz w:val="26"/>
          <w:szCs w:val="26"/>
        </w:rPr>
        <w:t>年</w:t>
      </w:r>
      <w:r w:rsidR="00DC4ACB" w:rsidRPr="00DC4ACB">
        <w:rPr>
          <w:rFonts w:eastAsia="標楷體"/>
          <w:color w:val="000000" w:themeColor="text1"/>
          <w:sz w:val="26"/>
          <w:szCs w:val="26"/>
        </w:rPr>
        <w:t>12</w:t>
      </w:r>
      <w:r w:rsidR="00DC4ACB" w:rsidRPr="00DC4ACB">
        <w:rPr>
          <w:rFonts w:eastAsia="標楷體" w:hint="eastAsia"/>
          <w:color w:val="000000" w:themeColor="text1"/>
          <w:sz w:val="26"/>
          <w:szCs w:val="26"/>
        </w:rPr>
        <w:t>月版本為受測個體蒐尋可比較對象。</w:t>
      </w:r>
    </w:p>
    <w:p w:rsidR="0032590C" w:rsidRDefault="00DC4ACB" w:rsidP="00965AF0">
      <w:pPr>
        <w:widowControl/>
        <w:numPr>
          <w:ilvl w:val="0"/>
          <w:numId w:val="65"/>
        </w:numPr>
        <w:tabs>
          <w:tab w:val="left" w:pos="851"/>
        </w:tabs>
        <w:spacing w:beforeLines="50" w:before="120" w:afterLines="50" w:after="120" w:line="360" w:lineRule="auto"/>
        <w:jc w:val="both"/>
        <w:outlineLvl w:val="2"/>
        <w:rPr>
          <w:rFonts w:eastAsia="標楷體"/>
          <w:b/>
          <w:color w:val="000000" w:themeColor="text1"/>
          <w:sz w:val="26"/>
          <w:szCs w:val="26"/>
        </w:rPr>
      </w:pPr>
      <w:r w:rsidRPr="00DC4ACB">
        <w:rPr>
          <w:rFonts w:eastAsia="標楷體" w:hint="eastAsia"/>
          <w:b/>
          <w:color w:val="000000" w:themeColor="text1"/>
          <w:sz w:val="26"/>
          <w:szCs w:val="26"/>
        </w:rPr>
        <w:t>設定篩選條件</w:t>
      </w:r>
    </w:p>
    <w:p w:rsidR="0032590C" w:rsidRDefault="00DC4ACB" w:rsidP="00965AF0">
      <w:pPr>
        <w:widowControl/>
        <w:numPr>
          <w:ilvl w:val="0"/>
          <w:numId w:val="64"/>
        </w:numPr>
        <w:tabs>
          <w:tab w:val="left" w:pos="1418"/>
          <w:tab w:val="left" w:pos="1560"/>
        </w:tabs>
        <w:spacing w:beforeLines="50" w:before="120" w:afterLines="50" w:after="120" w:line="360" w:lineRule="auto"/>
        <w:ind w:leftChars="300" w:left="1202" w:hanging="482"/>
        <w:jc w:val="both"/>
        <w:rPr>
          <w:rFonts w:eastAsia="標楷體"/>
          <w:color w:val="000000" w:themeColor="text1"/>
          <w:sz w:val="26"/>
          <w:szCs w:val="26"/>
        </w:rPr>
      </w:pPr>
      <w:r w:rsidRPr="00DC4ACB">
        <w:rPr>
          <w:rFonts w:eastAsia="標楷體" w:hint="eastAsia"/>
          <w:color w:val="000000" w:themeColor="text1"/>
          <w:sz w:val="26"/>
          <w:szCs w:val="26"/>
        </w:rPr>
        <w:t>受測個體執行之功能及產品種類</w:t>
      </w:r>
    </w:p>
    <w:p w:rsidR="0032590C" w:rsidRDefault="00D8155F" w:rsidP="00965AF0">
      <w:pPr>
        <w:tabs>
          <w:tab w:val="left" w:pos="1134"/>
        </w:tabs>
        <w:spacing w:beforeLines="50" w:before="120" w:afterLines="50" w:after="120" w:line="360" w:lineRule="auto"/>
        <w:ind w:leftChars="400" w:left="960" w:firstLineChars="200" w:firstLine="520"/>
        <w:jc w:val="both"/>
        <w:rPr>
          <w:rFonts w:eastAsia="標楷體"/>
          <w:sz w:val="26"/>
          <w:szCs w:val="26"/>
        </w:rPr>
      </w:pPr>
      <w:r w:rsidRPr="00340F76">
        <w:rPr>
          <w:rFonts w:eastAsia="標楷體" w:hint="eastAsia"/>
          <w:sz w:val="26"/>
          <w:szCs w:val="26"/>
        </w:rPr>
        <w:t>太克科技為有限功能配銷商，故本所認為自下列</w:t>
      </w:r>
      <w:r w:rsidRPr="00340F76">
        <w:rPr>
          <w:rFonts w:eastAsia="標楷體" w:hint="eastAsia"/>
          <w:sz w:val="26"/>
          <w:szCs w:val="26"/>
        </w:rPr>
        <w:t>SIC Codes</w:t>
      </w:r>
      <w:r w:rsidRPr="00340F76">
        <w:rPr>
          <w:rFonts w:eastAsia="標楷體" w:hint="eastAsia"/>
          <w:sz w:val="26"/>
          <w:szCs w:val="26"/>
        </w:rPr>
        <w:t>之細項分類中最可能找出與太克科技購入電子測量儀器執行之功能及產品種類相似之樣本</w:t>
      </w:r>
      <w:r w:rsidRPr="005679C9">
        <w:rPr>
          <w:rFonts w:eastAsia="標楷體" w:hint="eastAsia"/>
          <w:sz w:val="26"/>
          <w:szCs w:val="26"/>
        </w:rPr>
        <w:t>。</w:t>
      </w:r>
    </w:p>
    <w:tbl>
      <w:tblPr>
        <w:tblW w:w="0" w:type="auto"/>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6157"/>
      </w:tblGrid>
      <w:tr w:rsidR="00D8155F" w:rsidRPr="00340F76" w:rsidTr="00C83ACF">
        <w:trPr>
          <w:trHeight w:val="334"/>
          <w:tblHeader/>
        </w:trPr>
        <w:tc>
          <w:tcPr>
            <w:tcW w:w="1558" w:type="dxa"/>
            <w:shd w:val="clear" w:color="auto" w:fill="4F81BD"/>
            <w:vAlign w:val="center"/>
          </w:tcPr>
          <w:p w:rsidR="0032590C" w:rsidRDefault="00D8155F" w:rsidP="00965AF0">
            <w:pPr>
              <w:tabs>
                <w:tab w:val="left" w:pos="1134"/>
              </w:tabs>
              <w:spacing w:beforeLines="25" w:before="60" w:afterLines="25" w:after="60"/>
              <w:jc w:val="center"/>
              <w:rPr>
                <w:rFonts w:eastAsia="標楷體"/>
                <w:color w:val="FFFFFF"/>
                <w:sz w:val="26"/>
                <w:szCs w:val="26"/>
              </w:rPr>
            </w:pPr>
            <w:r w:rsidRPr="005121F2">
              <w:rPr>
                <w:rFonts w:eastAsia="標楷體" w:hint="eastAsia"/>
                <w:color w:val="FFFFFF"/>
                <w:sz w:val="26"/>
                <w:szCs w:val="26"/>
              </w:rPr>
              <w:t>SIC Codes</w:t>
            </w:r>
          </w:p>
        </w:tc>
        <w:tc>
          <w:tcPr>
            <w:tcW w:w="6157" w:type="dxa"/>
            <w:shd w:val="clear" w:color="auto" w:fill="4F81BD"/>
            <w:vAlign w:val="center"/>
          </w:tcPr>
          <w:p w:rsidR="0032590C" w:rsidRDefault="00D8155F" w:rsidP="00965AF0">
            <w:pPr>
              <w:tabs>
                <w:tab w:val="left" w:pos="1134"/>
              </w:tabs>
              <w:spacing w:beforeLines="25" w:before="60" w:afterLines="25" w:after="60"/>
              <w:jc w:val="center"/>
              <w:rPr>
                <w:rFonts w:eastAsia="標楷體"/>
                <w:color w:val="FFFFFF"/>
                <w:sz w:val="26"/>
                <w:szCs w:val="26"/>
              </w:rPr>
            </w:pPr>
            <w:r w:rsidRPr="005121F2">
              <w:rPr>
                <w:rFonts w:eastAsia="標楷體" w:hint="eastAsia"/>
                <w:color w:val="FFFFFF"/>
                <w:sz w:val="26"/>
                <w:szCs w:val="26"/>
              </w:rPr>
              <w:t>說明</w:t>
            </w:r>
          </w:p>
        </w:tc>
      </w:tr>
      <w:tr w:rsidR="00D8155F" w:rsidRPr="00340F76" w:rsidTr="00C83ACF">
        <w:trPr>
          <w:trHeight w:val="210"/>
        </w:trPr>
        <w:tc>
          <w:tcPr>
            <w:tcW w:w="1558" w:type="dxa"/>
            <w:vAlign w:val="center"/>
          </w:tcPr>
          <w:p w:rsidR="0032590C" w:rsidRDefault="00D8155F" w:rsidP="00965AF0">
            <w:pPr>
              <w:tabs>
                <w:tab w:val="left" w:pos="1134"/>
              </w:tabs>
              <w:spacing w:beforeLines="25" w:before="60" w:afterLines="25" w:after="60"/>
              <w:jc w:val="center"/>
              <w:rPr>
                <w:rFonts w:eastAsia="標楷體"/>
                <w:sz w:val="26"/>
                <w:szCs w:val="26"/>
              </w:rPr>
            </w:pPr>
            <w:r w:rsidRPr="00340F76">
              <w:rPr>
                <w:rFonts w:eastAsia="標楷體" w:hint="eastAsia"/>
                <w:sz w:val="26"/>
                <w:szCs w:val="26"/>
              </w:rPr>
              <w:t>5063</w:t>
            </w:r>
          </w:p>
        </w:tc>
        <w:tc>
          <w:tcPr>
            <w:tcW w:w="6157" w:type="dxa"/>
            <w:shd w:val="clear" w:color="auto" w:fill="auto"/>
            <w:vAlign w:val="center"/>
          </w:tcPr>
          <w:p w:rsidR="0032590C" w:rsidRDefault="00D8155F" w:rsidP="00965AF0">
            <w:pPr>
              <w:tabs>
                <w:tab w:val="left" w:pos="1134"/>
              </w:tabs>
              <w:spacing w:beforeLines="25" w:before="60" w:afterLines="25" w:after="60"/>
              <w:rPr>
                <w:rFonts w:eastAsia="標楷體"/>
                <w:sz w:val="26"/>
                <w:szCs w:val="26"/>
              </w:rPr>
            </w:pPr>
            <w:r w:rsidRPr="00340F76">
              <w:rPr>
                <w:rFonts w:eastAsia="標楷體"/>
                <w:sz w:val="26"/>
                <w:szCs w:val="26"/>
              </w:rPr>
              <w:t>Electrical Apparatus and Equipment Wiring Supplies, and Construction Materials</w:t>
            </w:r>
            <w:r w:rsidRPr="00340F76">
              <w:rPr>
                <w:rFonts w:eastAsia="標楷體" w:hint="eastAsia"/>
                <w:spacing w:val="-16"/>
                <w:sz w:val="26"/>
                <w:szCs w:val="26"/>
              </w:rPr>
              <w:t>（電子儀器、線路設備及建築材料</w:t>
            </w:r>
            <w:r w:rsidRPr="00340F76">
              <w:rPr>
                <w:rFonts w:eastAsia="標楷體" w:hint="eastAsia"/>
                <w:spacing w:val="-16"/>
                <w:sz w:val="26"/>
                <w:szCs w:val="26"/>
              </w:rPr>
              <w:t xml:space="preserve"> </w:t>
            </w:r>
            <w:r w:rsidRPr="00340F76">
              <w:rPr>
                <w:rFonts w:eastAsia="標楷體" w:hint="eastAsia"/>
                <w:spacing w:val="-16"/>
                <w:sz w:val="26"/>
                <w:szCs w:val="26"/>
              </w:rPr>
              <w:t>）</w:t>
            </w:r>
          </w:p>
        </w:tc>
      </w:tr>
      <w:tr w:rsidR="00D8155F" w:rsidRPr="00340F76" w:rsidTr="00C83ACF">
        <w:trPr>
          <w:trHeight w:val="140"/>
        </w:trPr>
        <w:tc>
          <w:tcPr>
            <w:tcW w:w="1558" w:type="dxa"/>
            <w:vAlign w:val="center"/>
          </w:tcPr>
          <w:p w:rsidR="0032590C" w:rsidRDefault="00D8155F" w:rsidP="00965AF0">
            <w:pPr>
              <w:tabs>
                <w:tab w:val="left" w:pos="1134"/>
              </w:tabs>
              <w:spacing w:beforeLines="25" w:before="60" w:afterLines="25" w:after="60"/>
              <w:jc w:val="center"/>
              <w:rPr>
                <w:rFonts w:eastAsia="標楷體"/>
                <w:sz w:val="26"/>
                <w:szCs w:val="26"/>
              </w:rPr>
            </w:pPr>
            <w:r w:rsidRPr="00340F76">
              <w:rPr>
                <w:rFonts w:eastAsia="標楷體" w:hint="eastAsia"/>
                <w:sz w:val="26"/>
                <w:szCs w:val="26"/>
              </w:rPr>
              <w:t>5065</w:t>
            </w:r>
          </w:p>
        </w:tc>
        <w:tc>
          <w:tcPr>
            <w:tcW w:w="6157" w:type="dxa"/>
            <w:shd w:val="clear" w:color="auto" w:fill="auto"/>
            <w:vAlign w:val="center"/>
          </w:tcPr>
          <w:p w:rsidR="0032590C" w:rsidRDefault="00D8155F" w:rsidP="00965AF0">
            <w:pPr>
              <w:tabs>
                <w:tab w:val="left" w:pos="1134"/>
              </w:tabs>
              <w:spacing w:beforeLines="25" w:before="60" w:afterLines="25" w:after="60"/>
              <w:rPr>
                <w:rFonts w:eastAsia="標楷體"/>
                <w:sz w:val="26"/>
                <w:szCs w:val="26"/>
              </w:rPr>
            </w:pPr>
            <w:r w:rsidRPr="00340F76">
              <w:rPr>
                <w:rFonts w:eastAsia="標楷體"/>
                <w:sz w:val="26"/>
                <w:szCs w:val="26"/>
              </w:rPr>
              <w:t>Electronic Parts and Equipment, Not Elsewhere Classified</w:t>
            </w:r>
            <w:r w:rsidRPr="00340F76">
              <w:rPr>
                <w:rFonts w:eastAsia="標楷體" w:hint="eastAsia"/>
                <w:sz w:val="26"/>
                <w:szCs w:val="26"/>
              </w:rPr>
              <w:t>（無法分類之電子零件及設備</w:t>
            </w:r>
            <w:r w:rsidRPr="00340F76">
              <w:rPr>
                <w:rFonts w:eastAsia="標楷體" w:hint="eastAsia"/>
                <w:sz w:val="26"/>
                <w:szCs w:val="26"/>
              </w:rPr>
              <w:t xml:space="preserve"> </w:t>
            </w:r>
            <w:r w:rsidRPr="00340F76">
              <w:rPr>
                <w:rFonts w:eastAsia="標楷體" w:hint="eastAsia"/>
                <w:sz w:val="26"/>
                <w:szCs w:val="26"/>
              </w:rPr>
              <w:t>）</w:t>
            </w:r>
          </w:p>
        </w:tc>
      </w:tr>
      <w:tr w:rsidR="00D8155F" w:rsidRPr="00340F76" w:rsidTr="00C83ACF">
        <w:trPr>
          <w:trHeight w:val="140"/>
        </w:trPr>
        <w:tc>
          <w:tcPr>
            <w:tcW w:w="1558" w:type="dxa"/>
            <w:vAlign w:val="center"/>
          </w:tcPr>
          <w:p w:rsidR="0032590C" w:rsidRDefault="00D8155F" w:rsidP="00965AF0">
            <w:pPr>
              <w:tabs>
                <w:tab w:val="left" w:pos="1134"/>
              </w:tabs>
              <w:spacing w:beforeLines="25" w:before="60" w:afterLines="25" w:after="60"/>
              <w:jc w:val="center"/>
              <w:rPr>
                <w:rFonts w:eastAsia="標楷體"/>
                <w:sz w:val="26"/>
                <w:szCs w:val="26"/>
              </w:rPr>
            </w:pPr>
            <w:r w:rsidRPr="00340F76">
              <w:rPr>
                <w:rFonts w:eastAsia="標楷體" w:hint="eastAsia"/>
                <w:sz w:val="26"/>
                <w:szCs w:val="26"/>
              </w:rPr>
              <w:t>5084</w:t>
            </w:r>
          </w:p>
        </w:tc>
        <w:tc>
          <w:tcPr>
            <w:tcW w:w="6157" w:type="dxa"/>
            <w:shd w:val="clear" w:color="auto" w:fill="auto"/>
            <w:vAlign w:val="center"/>
          </w:tcPr>
          <w:p w:rsidR="0032590C" w:rsidRDefault="00D8155F" w:rsidP="00965AF0">
            <w:pPr>
              <w:tabs>
                <w:tab w:val="left" w:pos="1134"/>
              </w:tabs>
              <w:spacing w:beforeLines="25" w:before="60" w:afterLines="25" w:after="60"/>
              <w:rPr>
                <w:rFonts w:eastAsia="標楷體"/>
                <w:sz w:val="26"/>
                <w:szCs w:val="26"/>
              </w:rPr>
            </w:pPr>
            <w:r w:rsidRPr="00340F76">
              <w:rPr>
                <w:rFonts w:eastAsia="標楷體"/>
                <w:sz w:val="26"/>
                <w:szCs w:val="26"/>
              </w:rPr>
              <w:t>Industrial Machinery and Equipment</w:t>
            </w:r>
            <w:r w:rsidRPr="00340F76">
              <w:rPr>
                <w:rFonts w:eastAsia="標楷體" w:hint="eastAsia"/>
                <w:spacing w:val="-16"/>
                <w:sz w:val="26"/>
                <w:szCs w:val="26"/>
              </w:rPr>
              <w:t>（工業用途機械及儀器）</w:t>
            </w:r>
          </w:p>
        </w:tc>
      </w:tr>
    </w:tbl>
    <w:p w:rsidR="0032590C" w:rsidRDefault="0032590C" w:rsidP="00965AF0">
      <w:pPr>
        <w:tabs>
          <w:tab w:val="left" w:pos="1134"/>
        </w:tabs>
        <w:spacing w:beforeLines="50" w:before="120" w:afterLines="50" w:after="120" w:line="360" w:lineRule="auto"/>
        <w:ind w:leftChars="400" w:left="960" w:firstLineChars="200" w:firstLine="520"/>
        <w:jc w:val="both"/>
        <w:rPr>
          <w:rFonts w:eastAsia="標楷體"/>
          <w:sz w:val="26"/>
          <w:szCs w:val="26"/>
        </w:rPr>
      </w:pPr>
    </w:p>
    <w:p w:rsidR="0032590C" w:rsidRDefault="00BC7ACC" w:rsidP="00965AF0">
      <w:pPr>
        <w:widowControl/>
        <w:numPr>
          <w:ilvl w:val="0"/>
          <w:numId w:val="64"/>
        </w:numPr>
        <w:tabs>
          <w:tab w:val="left" w:pos="1418"/>
          <w:tab w:val="left" w:pos="1560"/>
        </w:tabs>
        <w:spacing w:beforeLines="50" w:before="120" w:afterLines="50" w:after="120" w:line="360" w:lineRule="auto"/>
        <w:ind w:leftChars="300" w:left="1202" w:hanging="482"/>
        <w:jc w:val="both"/>
        <w:rPr>
          <w:rFonts w:eastAsia="標楷體"/>
          <w:sz w:val="26"/>
          <w:szCs w:val="26"/>
        </w:rPr>
      </w:pPr>
      <w:r w:rsidRPr="00617B36">
        <w:rPr>
          <w:rFonts w:eastAsia="標楷體" w:hint="eastAsia"/>
          <w:sz w:val="26"/>
          <w:szCs w:val="26"/>
        </w:rPr>
        <w:lastRenderedPageBreak/>
        <w:t>關鍵字篩選</w:t>
      </w:r>
    </w:p>
    <w:p w:rsidR="0032590C" w:rsidRDefault="00D8155F" w:rsidP="00965AF0">
      <w:pPr>
        <w:tabs>
          <w:tab w:val="left" w:pos="1134"/>
        </w:tabs>
        <w:spacing w:beforeLines="50" w:before="120" w:afterLines="50" w:after="120" w:line="360" w:lineRule="auto"/>
        <w:ind w:leftChars="400" w:left="960" w:firstLineChars="200" w:firstLine="520"/>
        <w:jc w:val="both"/>
        <w:rPr>
          <w:rFonts w:eastAsia="標楷體"/>
          <w:bCs/>
          <w:sz w:val="26"/>
          <w:szCs w:val="26"/>
        </w:rPr>
      </w:pPr>
      <w:r w:rsidRPr="00340F76">
        <w:rPr>
          <w:rFonts w:eastAsia="標楷體" w:hint="eastAsia"/>
          <w:bCs/>
          <w:sz w:val="26"/>
          <w:szCs w:val="26"/>
        </w:rPr>
        <w:t>為確定選出樣本之可比較性，本所對前一步驟得出樣本之企業敍述進行篩選，因太克科技從事電子量測儀器銷售，故本所使用下列關鍵字篩選</w:t>
      </w:r>
      <w:r>
        <w:rPr>
          <w:rFonts w:eastAsia="標楷體" w:hint="eastAsia"/>
          <w:bCs/>
          <w:sz w:val="26"/>
          <w:szCs w:val="26"/>
        </w:rPr>
        <w:t>:</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56"/>
        <w:gridCol w:w="3756"/>
      </w:tblGrid>
      <w:tr w:rsidR="00D8155F" w:rsidRPr="00BB4352" w:rsidTr="00C83ACF">
        <w:tc>
          <w:tcPr>
            <w:tcW w:w="3756" w:type="dxa"/>
            <w:shd w:val="clear" w:color="auto" w:fill="4F81BD"/>
          </w:tcPr>
          <w:p w:rsidR="0032590C" w:rsidRPr="00965AF0" w:rsidRDefault="00D8155F" w:rsidP="00965AF0">
            <w:pPr>
              <w:spacing w:beforeLines="25" w:before="60" w:afterLines="25" w:after="60"/>
              <w:jc w:val="center"/>
              <w:rPr>
                <w:rFonts w:eastAsia="標楷體"/>
                <w:bCs/>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BB4352">
              <w:rPr>
                <w:rFonts w:eastAsia="標楷體" w:hint="eastAsia"/>
                <w:bCs/>
                <w:color w:val="FFFFFF"/>
                <w:sz w:val="26"/>
                <w:szCs w:val="26"/>
              </w:rPr>
              <w:t>關鍵字</w:t>
            </w:r>
          </w:p>
        </w:tc>
        <w:tc>
          <w:tcPr>
            <w:tcW w:w="3756" w:type="dxa"/>
            <w:shd w:val="clear" w:color="auto" w:fill="4F81BD"/>
          </w:tcPr>
          <w:p w:rsidR="0032590C" w:rsidRPr="00965AF0" w:rsidRDefault="00D8155F" w:rsidP="00965AF0">
            <w:pPr>
              <w:spacing w:beforeLines="25" w:before="60" w:afterLines="25" w:after="60"/>
              <w:jc w:val="center"/>
              <w:rPr>
                <w:rFonts w:eastAsia="標楷體"/>
                <w:bCs/>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BB4352">
              <w:rPr>
                <w:rFonts w:eastAsia="標楷體" w:hint="eastAsia"/>
                <w:bCs/>
                <w:color w:val="FFFFFF"/>
                <w:sz w:val="26"/>
                <w:szCs w:val="26"/>
              </w:rPr>
              <w:t>選擇原因</w:t>
            </w:r>
          </w:p>
        </w:tc>
      </w:tr>
      <w:tr w:rsidR="00D8155F" w:rsidRPr="00667515" w:rsidTr="00C83ACF">
        <w:tc>
          <w:tcPr>
            <w:tcW w:w="3756" w:type="dxa"/>
          </w:tcPr>
          <w:p w:rsidR="0032590C" w:rsidRPr="00965AF0" w:rsidRDefault="00D8155F" w:rsidP="00965AF0">
            <w:pPr>
              <w:spacing w:beforeLines="25" w:before="60" w:afterLines="25" w:after="60"/>
              <w:jc w:val="center"/>
              <w:rPr>
                <w:rFonts w:eastAsia="標楷體"/>
                <w:b/>
                <w:bCs/>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40F76">
              <w:rPr>
                <w:rFonts w:eastAsia="標楷體"/>
                <w:spacing w:val="-2"/>
                <w:sz w:val="26"/>
                <w:szCs w:val="26"/>
              </w:rPr>
              <w:t>測試</w:t>
            </w:r>
            <w:r w:rsidRPr="00340F76">
              <w:rPr>
                <w:rFonts w:eastAsia="標楷體"/>
                <w:spacing w:val="-2"/>
                <w:sz w:val="26"/>
                <w:szCs w:val="26"/>
              </w:rPr>
              <w:t>test</w:t>
            </w:r>
          </w:p>
        </w:tc>
        <w:tc>
          <w:tcPr>
            <w:tcW w:w="3756" w:type="dxa"/>
            <w:vAlign w:val="center"/>
          </w:tcPr>
          <w:p w:rsidR="0032590C" w:rsidRPr="00965AF0" w:rsidRDefault="00D8155F" w:rsidP="00965AF0">
            <w:pPr>
              <w:spacing w:beforeLines="25" w:before="60" w:afterLines="25" w:after="60"/>
              <w:jc w:val="center"/>
              <w:rPr>
                <w:rFonts w:eastAsia="標楷體"/>
                <w:bCs/>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40F76">
              <w:rPr>
                <w:rFonts w:eastAsia="標楷體" w:hint="eastAsia"/>
                <w:bCs/>
                <w:sz w:val="26"/>
                <w:szCs w:val="26"/>
              </w:rPr>
              <w:t>太克科技產品之主要功能</w:t>
            </w:r>
          </w:p>
        </w:tc>
      </w:tr>
      <w:tr w:rsidR="00D8155F" w:rsidRPr="00667515" w:rsidTr="00C83ACF">
        <w:tc>
          <w:tcPr>
            <w:tcW w:w="3756" w:type="dxa"/>
          </w:tcPr>
          <w:p w:rsidR="0032590C" w:rsidRPr="00965AF0" w:rsidRDefault="00D8155F" w:rsidP="00965AF0">
            <w:pPr>
              <w:spacing w:beforeLines="25" w:before="60" w:afterLines="25" w:after="60"/>
              <w:jc w:val="center"/>
              <w:rPr>
                <w:rFonts w:eastAsia="標楷體"/>
                <w:b/>
                <w:bCs/>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40F76">
              <w:rPr>
                <w:rFonts w:eastAsia="標楷體"/>
                <w:spacing w:val="-2"/>
                <w:sz w:val="26"/>
                <w:szCs w:val="26"/>
              </w:rPr>
              <w:t>量測</w:t>
            </w:r>
            <w:r w:rsidRPr="00340F76">
              <w:rPr>
                <w:rFonts w:eastAsia="標楷體"/>
                <w:spacing w:val="-2"/>
                <w:sz w:val="26"/>
                <w:szCs w:val="26"/>
              </w:rPr>
              <w:t>measurement</w:t>
            </w:r>
            <w:r w:rsidR="006C3E2C">
              <w:rPr>
                <w:rFonts w:eastAsia="標楷體" w:hint="eastAsia"/>
                <w:spacing w:val="-2"/>
                <w:sz w:val="26"/>
                <w:szCs w:val="26"/>
              </w:rPr>
              <w:t>/measure</w:t>
            </w:r>
          </w:p>
        </w:tc>
        <w:tc>
          <w:tcPr>
            <w:tcW w:w="3756" w:type="dxa"/>
          </w:tcPr>
          <w:p w:rsidR="0032590C" w:rsidRPr="00965AF0" w:rsidRDefault="00D8155F" w:rsidP="00965AF0">
            <w:pPr>
              <w:spacing w:beforeLines="25" w:before="60" w:afterLines="25" w:after="60"/>
              <w:jc w:val="center"/>
              <w:rPr>
                <w:rFonts w:eastAsia="標楷體"/>
                <w:bCs/>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252A51">
              <w:rPr>
                <w:rFonts w:eastAsia="標楷體" w:hint="eastAsia"/>
                <w:bCs/>
                <w:sz w:val="26"/>
                <w:szCs w:val="26"/>
              </w:rPr>
              <w:t>太克科技產品之主要功能</w:t>
            </w:r>
          </w:p>
        </w:tc>
      </w:tr>
      <w:tr w:rsidR="00D8155F" w:rsidRPr="00667515" w:rsidTr="00C83ACF">
        <w:tc>
          <w:tcPr>
            <w:tcW w:w="3756" w:type="dxa"/>
          </w:tcPr>
          <w:p w:rsidR="0032590C" w:rsidRPr="00965AF0" w:rsidRDefault="00D8155F" w:rsidP="00965AF0">
            <w:pPr>
              <w:spacing w:beforeLines="25" w:before="60" w:afterLines="25" w:after="60"/>
              <w:jc w:val="center"/>
              <w:rPr>
                <w:rFonts w:eastAsia="標楷體"/>
                <w:b/>
                <w:bCs/>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40F76">
              <w:rPr>
                <w:rFonts w:eastAsia="標楷體"/>
                <w:spacing w:val="-2"/>
                <w:sz w:val="26"/>
                <w:szCs w:val="26"/>
              </w:rPr>
              <w:t>量測</w:t>
            </w:r>
            <w:r w:rsidRPr="00340F76">
              <w:rPr>
                <w:rFonts w:eastAsia="標楷體" w:hint="eastAsia"/>
                <w:spacing w:val="-2"/>
                <w:sz w:val="26"/>
                <w:szCs w:val="26"/>
              </w:rPr>
              <w:t>gauge</w:t>
            </w:r>
          </w:p>
        </w:tc>
        <w:tc>
          <w:tcPr>
            <w:tcW w:w="3756" w:type="dxa"/>
          </w:tcPr>
          <w:p w:rsidR="0032590C" w:rsidRPr="00965AF0" w:rsidRDefault="00D8155F" w:rsidP="00965AF0">
            <w:pPr>
              <w:tabs>
                <w:tab w:val="left" w:pos="145"/>
              </w:tabs>
              <w:spacing w:beforeLines="25" w:before="60" w:afterLines="25" w:after="60"/>
              <w:jc w:val="center"/>
              <w:rPr>
                <w:rFonts w:eastAsia="標楷體"/>
                <w:bCs/>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252A51">
              <w:rPr>
                <w:rFonts w:eastAsia="標楷體" w:hint="eastAsia"/>
                <w:bCs/>
                <w:sz w:val="26"/>
                <w:szCs w:val="26"/>
              </w:rPr>
              <w:t>太克科技產品之主要功能</w:t>
            </w:r>
          </w:p>
        </w:tc>
      </w:tr>
      <w:tr w:rsidR="00D8155F" w:rsidRPr="00667515" w:rsidTr="00C83ACF">
        <w:tc>
          <w:tcPr>
            <w:tcW w:w="3756" w:type="dxa"/>
          </w:tcPr>
          <w:p w:rsidR="0032590C" w:rsidRPr="00965AF0" w:rsidRDefault="00D8155F" w:rsidP="00965AF0">
            <w:pPr>
              <w:spacing w:beforeLines="25" w:before="60" w:afterLines="25" w:after="60"/>
              <w:jc w:val="center"/>
              <w:rPr>
                <w:rFonts w:eastAsia="標楷體"/>
                <w:b/>
                <w:bCs/>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340F76">
              <w:rPr>
                <w:rFonts w:eastAsia="標楷體"/>
                <w:spacing w:val="-2"/>
                <w:sz w:val="26"/>
                <w:szCs w:val="26"/>
              </w:rPr>
              <w:t>分析</w:t>
            </w:r>
            <w:r w:rsidRPr="00340F76">
              <w:rPr>
                <w:rFonts w:eastAsia="標楷體"/>
                <w:spacing w:val="-2"/>
                <w:sz w:val="26"/>
                <w:szCs w:val="26"/>
              </w:rPr>
              <w:t>analyze</w:t>
            </w:r>
          </w:p>
        </w:tc>
        <w:tc>
          <w:tcPr>
            <w:tcW w:w="3756" w:type="dxa"/>
          </w:tcPr>
          <w:p w:rsidR="0032590C" w:rsidRPr="00965AF0" w:rsidRDefault="00D8155F" w:rsidP="00965AF0">
            <w:pPr>
              <w:spacing w:beforeLines="25" w:before="60" w:afterLines="25" w:after="60"/>
              <w:jc w:val="center"/>
              <w:rPr>
                <w:rFonts w:eastAsia="標楷體"/>
                <w:bCs/>
                <w:noProof/>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252A51">
              <w:rPr>
                <w:rFonts w:eastAsia="標楷體" w:hint="eastAsia"/>
                <w:bCs/>
                <w:sz w:val="26"/>
                <w:szCs w:val="26"/>
              </w:rPr>
              <w:t>太克科技產品之主要功能</w:t>
            </w:r>
          </w:p>
        </w:tc>
      </w:tr>
      <w:tr w:rsidR="00D8155F" w:rsidRPr="00667515" w:rsidTr="00C83ACF">
        <w:tc>
          <w:tcPr>
            <w:tcW w:w="3756" w:type="dxa"/>
          </w:tcPr>
          <w:p w:rsidR="0032590C" w:rsidRPr="00965AF0" w:rsidRDefault="00D8155F" w:rsidP="00965AF0">
            <w:pPr>
              <w:spacing w:beforeLines="25" w:before="60" w:afterLines="25" w:after="60"/>
              <w:jc w:val="center"/>
              <w:rPr>
                <w:rFonts w:eastAsia="標楷體"/>
                <w:noProof/>
                <w:spacing w:val="-2"/>
                <w:sz w:val="26"/>
                <w:szCs w:val="26"/>
                <w:highlight w:val="yello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01656">
              <w:rPr>
                <w:rFonts w:eastAsia="標楷體" w:hint="eastAsia"/>
                <w:spacing w:val="-2"/>
                <w:sz w:val="26"/>
                <w:szCs w:val="26"/>
              </w:rPr>
              <w:t>類比</w:t>
            </w:r>
            <w:r w:rsidRPr="00501656">
              <w:rPr>
                <w:rFonts w:eastAsia="標楷體"/>
                <w:spacing w:val="-2"/>
                <w:sz w:val="26"/>
                <w:szCs w:val="26"/>
              </w:rPr>
              <w:t>analog</w:t>
            </w:r>
          </w:p>
        </w:tc>
        <w:tc>
          <w:tcPr>
            <w:tcW w:w="3756" w:type="dxa"/>
          </w:tcPr>
          <w:p w:rsidR="0032590C" w:rsidRPr="00965AF0" w:rsidRDefault="00D8155F" w:rsidP="00965AF0">
            <w:pPr>
              <w:spacing w:beforeLines="25" w:before="60" w:afterLines="25" w:after="60"/>
              <w:jc w:val="center"/>
              <w:rPr>
                <w:rFonts w:eastAsia="標楷體"/>
                <w:bCs/>
                <w:noProof/>
                <w:sz w:val="26"/>
                <w:szCs w:val="26"/>
                <w:highlight w:val="yellow"/>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252A51">
              <w:rPr>
                <w:rFonts w:eastAsia="標楷體" w:hint="eastAsia"/>
                <w:bCs/>
                <w:sz w:val="26"/>
                <w:szCs w:val="26"/>
              </w:rPr>
              <w:t>太克科技產品之主要功能</w:t>
            </w:r>
          </w:p>
        </w:tc>
      </w:tr>
    </w:tbl>
    <w:p w:rsidR="0032590C" w:rsidRDefault="00BC7ACC" w:rsidP="00965AF0">
      <w:pPr>
        <w:widowControl/>
        <w:numPr>
          <w:ilvl w:val="0"/>
          <w:numId w:val="64"/>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397F28">
        <w:rPr>
          <w:rFonts w:eastAsia="標楷體"/>
          <w:sz w:val="26"/>
          <w:szCs w:val="26"/>
        </w:rPr>
        <w:t>檢視財務資料充分性（</w:t>
      </w:r>
      <w:r w:rsidRPr="00397F28">
        <w:rPr>
          <w:rFonts w:eastAsia="標楷體"/>
          <w:sz w:val="26"/>
          <w:szCs w:val="26"/>
        </w:rPr>
        <w:t>Sufficient</w:t>
      </w:r>
      <w:r w:rsidRPr="00397F28">
        <w:rPr>
          <w:rFonts w:eastAsia="標楷體"/>
          <w:sz w:val="26"/>
          <w:szCs w:val="26"/>
        </w:rPr>
        <w:t>）及可用性（</w:t>
      </w:r>
      <w:r w:rsidRPr="00397F28">
        <w:rPr>
          <w:rFonts w:eastAsia="標楷體"/>
          <w:sz w:val="26"/>
          <w:szCs w:val="26"/>
        </w:rPr>
        <w:t>Viability</w:t>
      </w:r>
      <w:r w:rsidRPr="00397F28">
        <w:rPr>
          <w:rFonts w:eastAsia="標楷體"/>
          <w:sz w:val="26"/>
          <w:szCs w:val="26"/>
        </w:rPr>
        <w:t>）</w:t>
      </w:r>
    </w:p>
    <w:p w:rsidR="0032590C" w:rsidRDefault="00BC7ACC" w:rsidP="00965AF0">
      <w:pPr>
        <w:spacing w:beforeLines="50" w:before="120" w:afterLines="50" w:after="120" w:line="360" w:lineRule="auto"/>
        <w:ind w:leftChars="400" w:left="960" w:firstLineChars="200" w:firstLine="520"/>
        <w:jc w:val="both"/>
        <w:rPr>
          <w:rFonts w:eastAsia="標楷體"/>
          <w:bCs/>
          <w:color w:val="000000" w:themeColor="text1"/>
          <w:sz w:val="26"/>
          <w:szCs w:val="26"/>
        </w:rPr>
      </w:pPr>
      <w:r w:rsidRPr="00EE1413">
        <w:rPr>
          <w:rFonts w:eastAsia="標楷體" w:hint="eastAsia"/>
          <w:sz w:val="26"/>
          <w:szCs w:val="26"/>
        </w:rPr>
        <w:t>可比較利潤法要求可比</w:t>
      </w:r>
      <w:r w:rsidR="00DC4ACB" w:rsidRPr="00DC4ACB">
        <w:rPr>
          <w:rFonts w:eastAsia="標楷體" w:hint="eastAsia"/>
          <w:color w:val="000000" w:themeColor="text1"/>
          <w:sz w:val="26"/>
          <w:szCs w:val="26"/>
        </w:rPr>
        <w:t>較對象需具備最近三年財務資料，因截至本報告出具日，仍有部份樣本未將</w:t>
      </w:r>
      <w:r w:rsidR="00DC4ACB" w:rsidRPr="00DC4ACB">
        <w:rPr>
          <w:rFonts w:eastAsia="標楷體"/>
          <w:color w:val="000000" w:themeColor="text1"/>
          <w:sz w:val="26"/>
          <w:szCs w:val="26"/>
        </w:rPr>
        <w:t>10</w:t>
      </w:r>
      <w:r w:rsidR="00A70357">
        <w:rPr>
          <w:rFonts w:eastAsia="標楷體" w:hint="eastAsia"/>
          <w:color w:val="000000" w:themeColor="text1"/>
          <w:sz w:val="26"/>
          <w:szCs w:val="26"/>
        </w:rPr>
        <w:t>5</w:t>
      </w:r>
      <w:r w:rsidR="00DC4ACB" w:rsidRPr="00DC4ACB">
        <w:rPr>
          <w:rFonts w:eastAsia="標楷體" w:hint="eastAsia"/>
          <w:color w:val="000000" w:themeColor="text1"/>
          <w:sz w:val="26"/>
          <w:szCs w:val="26"/>
        </w:rPr>
        <w:t>年度財務資料上傳至</w:t>
      </w:r>
      <w:r w:rsidR="00DC4ACB" w:rsidRPr="00DC4ACB">
        <w:rPr>
          <w:rFonts w:eastAsia="標楷體"/>
          <w:color w:val="000000" w:themeColor="text1"/>
          <w:sz w:val="26"/>
          <w:szCs w:val="26"/>
        </w:rPr>
        <w:t>ONESOURCE</w:t>
      </w:r>
      <w:r w:rsidR="00DC4ACB" w:rsidRPr="00DC4ACB">
        <w:rPr>
          <w:rFonts w:eastAsia="標楷體" w:hint="eastAsia"/>
          <w:color w:val="000000" w:themeColor="text1"/>
          <w:sz w:val="26"/>
          <w:szCs w:val="26"/>
        </w:rPr>
        <w:t>資料庫，為避免樣本不足，</w:t>
      </w:r>
      <w:r w:rsidR="00DC4ACB" w:rsidRPr="00DC4ACB">
        <w:rPr>
          <w:rFonts w:eastAsia="標楷體" w:hint="eastAsia"/>
          <w:bCs/>
          <w:color w:val="000000" w:themeColor="text1"/>
          <w:sz w:val="26"/>
          <w:szCs w:val="26"/>
        </w:rPr>
        <w:t>本所要求樣本需具</w:t>
      </w:r>
      <w:r w:rsidR="00DC4ACB" w:rsidRPr="00DC4ACB">
        <w:rPr>
          <w:rFonts w:eastAsia="標楷體"/>
          <w:bCs/>
          <w:color w:val="000000" w:themeColor="text1"/>
          <w:sz w:val="26"/>
          <w:szCs w:val="26"/>
        </w:rPr>
        <w:t>10</w:t>
      </w:r>
      <w:r w:rsidR="00A70357">
        <w:rPr>
          <w:rFonts w:eastAsia="標楷體" w:hint="eastAsia"/>
          <w:bCs/>
          <w:color w:val="000000" w:themeColor="text1"/>
          <w:sz w:val="26"/>
          <w:szCs w:val="26"/>
        </w:rPr>
        <w:t>2</w:t>
      </w:r>
      <w:r w:rsidR="00DC4ACB" w:rsidRPr="00DC4ACB">
        <w:rPr>
          <w:rFonts w:eastAsia="標楷體" w:hint="eastAsia"/>
          <w:bCs/>
          <w:color w:val="000000" w:themeColor="text1"/>
          <w:sz w:val="26"/>
          <w:szCs w:val="26"/>
        </w:rPr>
        <w:t>至</w:t>
      </w:r>
      <w:r w:rsidR="00DC4ACB" w:rsidRPr="00DC4ACB">
        <w:rPr>
          <w:rFonts w:eastAsia="標楷體"/>
          <w:bCs/>
          <w:color w:val="000000" w:themeColor="text1"/>
          <w:sz w:val="26"/>
          <w:szCs w:val="26"/>
        </w:rPr>
        <w:t>10</w:t>
      </w:r>
      <w:r w:rsidR="00A70357">
        <w:rPr>
          <w:rFonts w:eastAsia="標楷體" w:hint="eastAsia"/>
          <w:bCs/>
          <w:color w:val="000000" w:themeColor="text1"/>
          <w:sz w:val="26"/>
          <w:szCs w:val="26"/>
        </w:rPr>
        <w:t>4</w:t>
      </w:r>
      <w:r w:rsidR="00DC4ACB" w:rsidRPr="00DC4ACB">
        <w:rPr>
          <w:rFonts w:eastAsia="標楷體" w:hint="eastAsia"/>
          <w:bCs/>
          <w:color w:val="000000" w:themeColor="text1"/>
          <w:sz w:val="26"/>
          <w:szCs w:val="26"/>
        </w:rPr>
        <w:t>年財務資訊。且樣本財務資料之年度認定係以會計年度結束日為</w:t>
      </w:r>
      <w:r w:rsidR="00DC4ACB" w:rsidRPr="00DC4ACB">
        <w:rPr>
          <w:rFonts w:eastAsia="標楷體"/>
          <w:bCs/>
          <w:color w:val="000000" w:themeColor="text1"/>
          <w:sz w:val="26"/>
          <w:szCs w:val="26"/>
        </w:rPr>
        <w:t>10</w:t>
      </w:r>
      <w:r w:rsidR="00A70357">
        <w:rPr>
          <w:rFonts w:eastAsia="標楷體" w:hint="eastAsia"/>
          <w:bCs/>
          <w:color w:val="000000" w:themeColor="text1"/>
          <w:sz w:val="26"/>
          <w:szCs w:val="26"/>
        </w:rPr>
        <w:t>4</w:t>
      </w:r>
      <w:r w:rsidR="00DC4ACB" w:rsidRPr="00DC4ACB">
        <w:rPr>
          <w:rFonts w:eastAsia="標楷體" w:hint="eastAsia"/>
          <w:bCs/>
          <w:color w:val="000000" w:themeColor="text1"/>
          <w:sz w:val="26"/>
          <w:szCs w:val="26"/>
        </w:rPr>
        <w:t>年</w:t>
      </w:r>
      <w:r w:rsidR="00DC4ACB" w:rsidRPr="00DC4ACB">
        <w:rPr>
          <w:rFonts w:eastAsia="標楷體"/>
          <w:bCs/>
          <w:color w:val="000000" w:themeColor="text1"/>
          <w:sz w:val="26"/>
          <w:szCs w:val="26"/>
        </w:rPr>
        <w:t>12</w:t>
      </w:r>
      <w:r w:rsidR="00DC4ACB" w:rsidRPr="00DC4ACB">
        <w:rPr>
          <w:rFonts w:eastAsia="標楷體" w:hint="eastAsia"/>
          <w:bCs/>
          <w:color w:val="000000" w:themeColor="text1"/>
          <w:sz w:val="26"/>
          <w:szCs w:val="26"/>
        </w:rPr>
        <w:t>月之前後半年為基準。</w:t>
      </w:r>
    </w:p>
    <w:p w:rsidR="0032590C" w:rsidRDefault="00DC4ACB" w:rsidP="00965AF0">
      <w:pPr>
        <w:spacing w:beforeLines="50" w:before="120" w:afterLines="50" w:after="120" w:line="360" w:lineRule="auto"/>
        <w:ind w:leftChars="400" w:left="960" w:firstLineChars="200" w:firstLine="520"/>
        <w:jc w:val="both"/>
        <w:rPr>
          <w:rFonts w:eastAsia="標楷體"/>
          <w:color w:val="000000" w:themeColor="text1"/>
          <w:sz w:val="26"/>
          <w:szCs w:val="26"/>
        </w:rPr>
      </w:pPr>
      <w:r w:rsidRPr="00DC4ACB">
        <w:rPr>
          <w:rFonts w:eastAsia="標楷體" w:hint="eastAsia"/>
          <w:color w:val="000000" w:themeColor="text1"/>
          <w:sz w:val="26"/>
          <w:szCs w:val="26"/>
        </w:rPr>
        <w:t>自</w:t>
      </w:r>
      <w:r w:rsidRPr="00DC4ACB">
        <w:rPr>
          <w:rFonts w:eastAsia="標楷體"/>
          <w:color w:val="000000" w:themeColor="text1"/>
          <w:sz w:val="26"/>
          <w:szCs w:val="26"/>
        </w:rPr>
        <w:t>SIC Codes</w:t>
      </w:r>
      <w:r w:rsidRPr="00DC4ACB">
        <w:rPr>
          <w:rFonts w:eastAsia="標楷體" w:hint="eastAsia"/>
          <w:color w:val="000000" w:themeColor="text1"/>
          <w:sz w:val="26"/>
          <w:szCs w:val="26"/>
        </w:rPr>
        <w:t>篩選出之樣本中，本所將上述關鍵字聯集作為條件，剔除企業敍述中不含上述關鍵字之樣本並排除不具備</w:t>
      </w:r>
      <w:r w:rsidRPr="00DC4ACB">
        <w:rPr>
          <w:rFonts w:eastAsia="標楷體"/>
          <w:color w:val="000000" w:themeColor="text1"/>
          <w:sz w:val="26"/>
          <w:szCs w:val="26"/>
        </w:rPr>
        <w:t>10</w:t>
      </w:r>
      <w:r w:rsidR="00A70357">
        <w:rPr>
          <w:rFonts w:eastAsia="標楷體" w:hint="eastAsia"/>
          <w:color w:val="000000" w:themeColor="text1"/>
          <w:sz w:val="26"/>
          <w:szCs w:val="26"/>
        </w:rPr>
        <w:t>2</w:t>
      </w:r>
      <w:r w:rsidRPr="00DC4ACB">
        <w:rPr>
          <w:rFonts w:eastAsia="標楷體" w:hint="eastAsia"/>
          <w:color w:val="000000" w:themeColor="text1"/>
          <w:sz w:val="26"/>
          <w:szCs w:val="26"/>
        </w:rPr>
        <w:t>至</w:t>
      </w:r>
      <w:r w:rsidRPr="00DC4ACB">
        <w:rPr>
          <w:rFonts w:eastAsia="標楷體"/>
          <w:color w:val="000000" w:themeColor="text1"/>
          <w:sz w:val="26"/>
          <w:szCs w:val="26"/>
        </w:rPr>
        <w:t>10</w:t>
      </w:r>
      <w:r w:rsidR="00A70357">
        <w:rPr>
          <w:rFonts w:eastAsia="標楷體" w:hint="eastAsia"/>
          <w:color w:val="000000" w:themeColor="text1"/>
          <w:sz w:val="26"/>
          <w:szCs w:val="26"/>
        </w:rPr>
        <w:t>4</w:t>
      </w:r>
      <w:r w:rsidRPr="00DC4ACB">
        <w:rPr>
          <w:rFonts w:eastAsia="標楷體" w:hint="eastAsia"/>
          <w:color w:val="000000" w:themeColor="text1"/>
          <w:sz w:val="26"/>
          <w:szCs w:val="26"/>
        </w:rPr>
        <w:t>年任一年度的財務資料樣本，經過初步篩選後，共計篩選出</w:t>
      </w:r>
      <w:r w:rsidR="00902E62">
        <w:rPr>
          <w:rFonts w:eastAsia="標楷體" w:hint="eastAsia"/>
          <w:color w:val="000000" w:themeColor="text1"/>
          <w:sz w:val="26"/>
          <w:szCs w:val="26"/>
        </w:rPr>
        <w:t>40</w:t>
      </w:r>
      <w:r w:rsidRPr="00DC4ACB">
        <w:rPr>
          <w:rFonts w:eastAsia="標楷體" w:hint="eastAsia"/>
          <w:color w:val="000000" w:themeColor="text1"/>
          <w:sz w:val="26"/>
          <w:szCs w:val="26"/>
        </w:rPr>
        <w:t>家樣本。</w:t>
      </w:r>
    </w:p>
    <w:p w:rsidR="0032590C" w:rsidRDefault="00BC7ACC" w:rsidP="00965AF0">
      <w:pPr>
        <w:widowControl/>
        <w:numPr>
          <w:ilvl w:val="0"/>
          <w:numId w:val="65"/>
        </w:numPr>
        <w:tabs>
          <w:tab w:val="left" w:pos="851"/>
        </w:tabs>
        <w:spacing w:beforeLines="50" w:before="120" w:afterLines="50" w:after="120" w:line="360" w:lineRule="auto"/>
        <w:jc w:val="both"/>
        <w:outlineLvl w:val="2"/>
        <w:rPr>
          <w:rFonts w:eastAsia="標楷體"/>
          <w:b/>
          <w:sz w:val="26"/>
          <w:szCs w:val="26"/>
        </w:rPr>
      </w:pPr>
      <w:r w:rsidRPr="00B01883">
        <w:rPr>
          <w:rFonts w:eastAsia="標楷體" w:hint="eastAsia"/>
          <w:b/>
          <w:sz w:val="26"/>
          <w:szCs w:val="26"/>
        </w:rPr>
        <w:t>定量篩選分析</w:t>
      </w:r>
    </w:p>
    <w:p w:rsidR="0032590C" w:rsidRDefault="00BC7ACC" w:rsidP="00BC13CF">
      <w:pPr>
        <w:widowControl/>
        <w:numPr>
          <w:ilvl w:val="0"/>
          <w:numId w:val="66"/>
        </w:numPr>
        <w:tabs>
          <w:tab w:val="left" w:pos="1200"/>
        </w:tabs>
        <w:spacing w:beforeLines="50" w:before="120" w:afterLines="50" w:after="120" w:line="360" w:lineRule="auto"/>
        <w:ind w:leftChars="300" w:left="1202" w:hanging="482"/>
        <w:jc w:val="both"/>
        <w:rPr>
          <w:rFonts w:eastAsia="標楷體"/>
          <w:sz w:val="26"/>
          <w:szCs w:val="26"/>
        </w:rPr>
      </w:pPr>
      <w:r w:rsidRPr="000C1246">
        <w:rPr>
          <w:rFonts w:eastAsia="標楷體" w:hint="eastAsia"/>
          <w:sz w:val="26"/>
          <w:szCs w:val="26"/>
        </w:rPr>
        <w:t>排除連續虧損企業</w:t>
      </w:r>
    </w:p>
    <w:p w:rsidR="0032590C" w:rsidRDefault="00BC7ACC" w:rsidP="00965AF0">
      <w:pPr>
        <w:tabs>
          <w:tab w:val="left" w:pos="1134"/>
        </w:tabs>
        <w:spacing w:beforeLines="50" w:before="120" w:afterLines="50" w:after="120" w:line="360" w:lineRule="auto"/>
        <w:ind w:leftChars="400" w:left="960" w:firstLineChars="200" w:firstLine="520"/>
        <w:jc w:val="both"/>
        <w:rPr>
          <w:rFonts w:eastAsia="標楷體"/>
          <w:color w:val="000000" w:themeColor="text1"/>
          <w:sz w:val="26"/>
          <w:szCs w:val="26"/>
        </w:rPr>
      </w:pPr>
      <w:r w:rsidRPr="00C615F2">
        <w:rPr>
          <w:rFonts w:eastAsia="標楷體" w:hint="eastAsia"/>
          <w:sz w:val="26"/>
          <w:szCs w:val="26"/>
        </w:rPr>
        <w:t>為排除財務異常之可比</w:t>
      </w:r>
      <w:r w:rsidR="00DC4ACB" w:rsidRPr="00DC4ACB">
        <w:rPr>
          <w:rFonts w:eastAsia="標楷體" w:hint="eastAsia"/>
          <w:color w:val="000000" w:themeColor="text1"/>
          <w:sz w:val="26"/>
          <w:szCs w:val="26"/>
        </w:rPr>
        <w:t>較對象，故要求可比較對象之財務資料不得連續三年虧損，經此步驟得出</w:t>
      </w:r>
      <w:r w:rsidR="00902E62">
        <w:rPr>
          <w:rFonts w:eastAsia="標楷體" w:hint="eastAsia"/>
          <w:color w:val="000000" w:themeColor="text1"/>
          <w:sz w:val="26"/>
          <w:szCs w:val="26"/>
        </w:rPr>
        <w:t>35</w:t>
      </w:r>
      <w:r w:rsidR="00DC4ACB" w:rsidRPr="00DC4ACB">
        <w:rPr>
          <w:rFonts w:eastAsia="標楷體" w:hint="eastAsia"/>
          <w:color w:val="000000" w:themeColor="text1"/>
          <w:sz w:val="26"/>
          <w:szCs w:val="26"/>
        </w:rPr>
        <w:t>個樣本。</w:t>
      </w:r>
    </w:p>
    <w:p w:rsidR="0032590C" w:rsidRPr="00BC13CF" w:rsidRDefault="00DC4ACB" w:rsidP="00BC13CF">
      <w:pPr>
        <w:widowControl/>
        <w:numPr>
          <w:ilvl w:val="0"/>
          <w:numId w:val="66"/>
        </w:numPr>
        <w:tabs>
          <w:tab w:val="left" w:pos="1200"/>
        </w:tabs>
        <w:spacing w:beforeLines="50" w:before="120" w:afterLines="50" w:after="120" w:line="360" w:lineRule="auto"/>
        <w:ind w:leftChars="300" w:left="1202" w:hanging="482"/>
        <w:jc w:val="both"/>
        <w:rPr>
          <w:rFonts w:eastAsia="標楷體"/>
          <w:sz w:val="26"/>
          <w:szCs w:val="26"/>
        </w:rPr>
      </w:pPr>
      <w:r w:rsidRPr="00BC13CF">
        <w:rPr>
          <w:rFonts w:eastAsia="標楷體" w:hint="eastAsia"/>
          <w:sz w:val="26"/>
          <w:szCs w:val="26"/>
        </w:rPr>
        <w:lastRenderedPageBreak/>
        <w:t>排除具有研發費用者</w:t>
      </w:r>
    </w:p>
    <w:p w:rsidR="0032590C" w:rsidRDefault="00DC4ACB" w:rsidP="00965AF0">
      <w:pPr>
        <w:tabs>
          <w:tab w:val="left" w:pos="1134"/>
        </w:tabs>
        <w:spacing w:beforeLines="50" w:before="120" w:afterLines="50" w:after="120" w:line="360" w:lineRule="auto"/>
        <w:ind w:leftChars="400" w:left="960" w:firstLineChars="200" w:firstLine="520"/>
        <w:jc w:val="both"/>
        <w:rPr>
          <w:rFonts w:eastAsia="標楷體"/>
          <w:color w:val="000000" w:themeColor="text1"/>
          <w:sz w:val="26"/>
          <w:szCs w:val="26"/>
        </w:rPr>
      </w:pPr>
      <w:r w:rsidRPr="00DC4ACB">
        <w:rPr>
          <w:rFonts w:eastAsia="標楷體" w:hint="eastAsia"/>
          <w:color w:val="000000" w:themeColor="text1"/>
          <w:sz w:val="26"/>
          <w:szCs w:val="26"/>
        </w:rPr>
        <w:t>因太克科技為有限功能配銷商，並無從事研究與發展活動，故應將具有研發功能之可比較對象加以剔除，經此步驟得出</w:t>
      </w:r>
      <w:r w:rsidR="00902E62">
        <w:rPr>
          <w:rFonts w:eastAsia="標楷體" w:hint="eastAsia"/>
          <w:color w:val="000000" w:themeColor="text1"/>
          <w:sz w:val="26"/>
          <w:szCs w:val="26"/>
        </w:rPr>
        <w:t>26</w:t>
      </w:r>
      <w:r w:rsidRPr="00DC4ACB">
        <w:rPr>
          <w:rFonts w:eastAsia="標楷體" w:hint="eastAsia"/>
          <w:color w:val="000000" w:themeColor="text1"/>
          <w:sz w:val="26"/>
          <w:szCs w:val="26"/>
        </w:rPr>
        <w:t>個樣本。</w:t>
      </w:r>
    </w:p>
    <w:p w:rsidR="0032590C" w:rsidRPr="00BC13CF" w:rsidRDefault="00DC4ACB" w:rsidP="00BC13CF">
      <w:pPr>
        <w:widowControl/>
        <w:numPr>
          <w:ilvl w:val="0"/>
          <w:numId w:val="66"/>
        </w:numPr>
        <w:tabs>
          <w:tab w:val="left" w:pos="1200"/>
        </w:tabs>
        <w:spacing w:beforeLines="50" w:before="120" w:afterLines="50" w:after="120" w:line="360" w:lineRule="auto"/>
        <w:ind w:leftChars="300" w:left="1202" w:hanging="482"/>
        <w:jc w:val="both"/>
        <w:rPr>
          <w:rFonts w:eastAsia="標楷體"/>
          <w:sz w:val="26"/>
          <w:szCs w:val="26"/>
        </w:rPr>
      </w:pPr>
      <w:r w:rsidRPr="00BC13CF">
        <w:rPr>
          <w:rFonts w:eastAsia="標楷體" w:hint="eastAsia"/>
          <w:sz w:val="26"/>
          <w:szCs w:val="26"/>
        </w:rPr>
        <w:t>排除業務說明</w:t>
      </w:r>
    </w:p>
    <w:p w:rsidR="0032590C" w:rsidRDefault="00DC4ACB" w:rsidP="00965AF0">
      <w:pPr>
        <w:tabs>
          <w:tab w:val="left" w:pos="1134"/>
        </w:tabs>
        <w:spacing w:beforeLines="50" w:before="120" w:afterLines="50" w:after="120" w:line="360" w:lineRule="auto"/>
        <w:ind w:leftChars="400" w:left="960" w:firstLineChars="200" w:firstLine="520"/>
        <w:jc w:val="both"/>
        <w:rPr>
          <w:rFonts w:eastAsia="標楷體"/>
          <w:color w:val="000000" w:themeColor="text1"/>
          <w:sz w:val="26"/>
          <w:szCs w:val="26"/>
        </w:rPr>
      </w:pPr>
      <w:r w:rsidRPr="00DC4ACB">
        <w:rPr>
          <w:rFonts w:eastAsia="標楷體" w:hint="eastAsia"/>
          <w:color w:val="000000" w:themeColor="text1"/>
          <w:sz w:val="26"/>
          <w:szCs w:val="26"/>
        </w:rPr>
        <w:t>為確定選出樣本之可比較性，故要求排除企業敘述中包含</w:t>
      </w:r>
      <w:r w:rsidRPr="00DC4ACB">
        <w:rPr>
          <w:rFonts w:eastAsia="標楷體"/>
          <w:color w:val="000000" w:themeColor="text1"/>
          <w:sz w:val="26"/>
          <w:szCs w:val="26"/>
        </w:rPr>
        <w:t>Manufacture</w:t>
      </w:r>
      <w:r w:rsidRPr="00DC4ACB">
        <w:rPr>
          <w:rFonts w:eastAsia="標楷體" w:hint="eastAsia"/>
          <w:color w:val="000000" w:themeColor="text1"/>
          <w:sz w:val="26"/>
          <w:szCs w:val="26"/>
        </w:rPr>
        <w:t>之字敘，經此步驟得出</w:t>
      </w:r>
      <w:r w:rsidR="00902E62">
        <w:rPr>
          <w:rFonts w:eastAsia="標楷體" w:hint="eastAsia"/>
          <w:color w:val="000000" w:themeColor="text1"/>
          <w:sz w:val="26"/>
          <w:szCs w:val="26"/>
        </w:rPr>
        <w:t>21</w:t>
      </w:r>
      <w:r w:rsidRPr="00DC4ACB">
        <w:rPr>
          <w:rFonts w:eastAsia="標楷體" w:hint="eastAsia"/>
          <w:color w:val="000000" w:themeColor="text1"/>
          <w:sz w:val="26"/>
          <w:szCs w:val="26"/>
        </w:rPr>
        <w:t>個樣本。</w:t>
      </w:r>
    </w:p>
    <w:p w:rsidR="0032590C" w:rsidRDefault="00DC4ACB" w:rsidP="00965AF0">
      <w:pPr>
        <w:widowControl/>
        <w:numPr>
          <w:ilvl w:val="0"/>
          <w:numId w:val="65"/>
        </w:numPr>
        <w:tabs>
          <w:tab w:val="left" w:pos="851"/>
        </w:tabs>
        <w:spacing w:beforeLines="50" w:before="120" w:afterLines="50" w:after="120" w:line="360" w:lineRule="auto"/>
        <w:jc w:val="both"/>
        <w:outlineLvl w:val="2"/>
        <w:rPr>
          <w:rFonts w:eastAsia="標楷體"/>
          <w:b/>
          <w:color w:val="000000" w:themeColor="text1"/>
          <w:sz w:val="26"/>
          <w:szCs w:val="26"/>
        </w:rPr>
      </w:pPr>
      <w:r w:rsidRPr="00DC4ACB">
        <w:rPr>
          <w:rFonts w:eastAsia="標楷體" w:hint="eastAsia"/>
          <w:b/>
          <w:color w:val="000000" w:themeColor="text1"/>
          <w:sz w:val="26"/>
          <w:szCs w:val="26"/>
        </w:rPr>
        <w:t>企業敘述篩選</w:t>
      </w:r>
    </w:p>
    <w:p w:rsidR="0032590C" w:rsidRDefault="00DC4ACB" w:rsidP="00965AF0">
      <w:pPr>
        <w:tabs>
          <w:tab w:val="left" w:pos="1134"/>
        </w:tabs>
        <w:spacing w:beforeLines="50" w:before="120" w:afterLines="50" w:after="120" w:line="360" w:lineRule="auto"/>
        <w:ind w:leftChars="400" w:left="960" w:firstLineChars="200" w:firstLine="520"/>
        <w:jc w:val="both"/>
        <w:rPr>
          <w:rFonts w:eastAsia="標楷體"/>
          <w:color w:val="000000" w:themeColor="text1"/>
          <w:sz w:val="26"/>
          <w:szCs w:val="26"/>
        </w:rPr>
      </w:pPr>
      <w:r w:rsidRPr="00DC4ACB">
        <w:rPr>
          <w:rFonts w:eastAsia="標楷體" w:hint="eastAsia"/>
          <w:color w:val="000000" w:themeColor="text1"/>
          <w:sz w:val="26"/>
          <w:szCs w:val="26"/>
        </w:rPr>
        <w:t>本所復檢視上述步驟選出樣本在</w:t>
      </w:r>
      <w:r w:rsidRPr="00DC4ACB">
        <w:rPr>
          <w:rFonts w:eastAsia="標楷體"/>
          <w:color w:val="000000" w:themeColor="text1"/>
          <w:sz w:val="26"/>
          <w:szCs w:val="26"/>
        </w:rPr>
        <w:t>ONESOURCE</w:t>
      </w:r>
      <w:r w:rsidRPr="00DC4ACB">
        <w:rPr>
          <w:rFonts w:eastAsia="標楷體" w:hint="eastAsia"/>
          <w:color w:val="000000" w:themeColor="text1"/>
          <w:sz w:val="26"/>
          <w:szCs w:val="26"/>
        </w:rPr>
        <w:t>資料庫中之企業敘述，分別剔除執行功能、產品及企業定位與太克科技差異太大者，最後得出</w:t>
      </w:r>
      <w:r w:rsidR="005E3E2B">
        <w:rPr>
          <w:rFonts w:eastAsia="標楷體" w:hint="eastAsia"/>
          <w:color w:val="000000" w:themeColor="text1"/>
          <w:sz w:val="26"/>
          <w:szCs w:val="26"/>
        </w:rPr>
        <w:t>8</w:t>
      </w:r>
      <w:r w:rsidRPr="00DC4ACB">
        <w:rPr>
          <w:rFonts w:eastAsia="標楷體" w:hint="eastAsia"/>
          <w:color w:val="000000" w:themeColor="text1"/>
          <w:sz w:val="26"/>
          <w:szCs w:val="26"/>
        </w:rPr>
        <w:t>家可比較對象（拒絕原因列表請見附件</w:t>
      </w:r>
      <w:r w:rsidRPr="00DC4ACB">
        <w:rPr>
          <w:rFonts w:eastAsia="標楷體"/>
          <w:color w:val="000000" w:themeColor="text1"/>
          <w:sz w:val="26"/>
          <w:szCs w:val="26"/>
        </w:rPr>
        <w:t>B</w:t>
      </w:r>
      <w:r w:rsidRPr="00DC4ACB">
        <w:rPr>
          <w:rFonts w:eastAsia="標楷體" w:hint="eastAsia"/>
          <w:color w:val="000000" w:themeColor="text1"/>
          <w:sz w:val="26"/>
          <w:szCs w:val="26"/>
        </w:rPr>
        <w:t>）。</w:t>
      </w:r>
    </w:p>
    <w:p w:rsidR="0032590C" w:rsidRDefault="00DC4ACB" w:rsidP="00965AF0">
      <w:pPr>
        <w:tabs>
          <w:tab w:val="left" w:pos="1134"/>
        </w:tabs>
        <w:spacing w:beforeLines="50" w:before="120" w:afterLines="50" w:after="120" w:line="360" w:lineRule="auto"/>
        <w:ind w:leftChars="400" w:left="960" w:firstLineChars="200" w:firstLine="520"/>
        <w:jc w:val="both"/>
        <w:rPr>
          <w:rFonts w:eastAsia="標楷體"/>
          <w:sz w:val="26"/>
          <w:szCs w:val="26"/>
        </w:rPr>
      </w:pPr>
      <w:r w:rsidRPr="00DC4ACB">
        <w:rPr>
          <w:rFonts w:eastAsia="標楷體" w:hint="eastAsia"/>
          <w:color w:val="000000" w:themeColor="text1"/>
          <w:sz w:val="26"/>
          <w:szCs w:val="26"/>
        </w:rPr>
        <w:t>因每一家公司都是獨一無二的，所以選擇下列</w:t>
      </w:r>
      <w:r w:rsidR="00A70357">
        <w:rPr>
          <w:rFonts w:eastAsia="標楷體" w:hint="eastAsia"/>
          <w:color w:val="000000" w:themeColor="text1"/>
          <w:sz w:val="26"/>
          <w:szCs w:val="26"/>
        </w:rPr>
        <w:t>8</w:t>
      </w:r>
      <w:r w:rsidRPr="00DC4ACB">
        <w:rPr>
          <w:rFonts w:eastAsia="標楷體" w:hint="eastAsia"/>
          <w:color w:val="000000" w:themeColor="text1"/>
          <w:sz w:val="26"/>
          <w:szCs w:val="26"/>
        </w:rPr>
        <w:t>家公司</w:t>
      </w:r>
      <w:r w:rsidR="00D8155F" w:rsidRPr="00B704E8">
        <w:rPr>
          <w:rFonts w:eastAsia="標楷體"/>
          <w:sz w:val="26"/>
          <w:szCs w:val="26"/>
        </w:rPr>
        <w:t>作為可比較對象之原因如下（可比較對象之企業敍述請見附件</w:t>
      </w:r>
      <w:r w:rsidR="00C0466C">
        <w:rPr>
          <w:rFonts w:eastAsia="標楷體" w:hint="eastAsia"/>
          <w:sz w:val="26"/>
          <w:szCs w:val="26"/>
        </w:rPr>
        <w:t>C</w:t>
      </w:r>
      <w:r w:rsidR="00D8155F" w:rsidRPr="00B704E8">
        <w:rPr>
          <w:rFonts w:eastAsia="標楷體"/>
          <w:sz w:val="26"/>
          <w:szCs w:val="26"/>
        </w:rPr>
        <w:t>）：</w:t>
      </w:r>
    </w:p>
    <w:tbl>
      <w:tblPr>
        <w:tblW w:w="7467" w:type="dxa"/>
        <w:tblInd w:w="1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28" w:type="dxa"/>
          <w:right w:w="28" w:type="dxa"/>
        </w:tblCellMar>
        <w:tblLook w:val="0000" w:firstRow="0" w:lastRow="0" w:firstColumn="0" w:lastColumn="0" w:noHBand="0" w:noVBand="0"/>
      </w:tblPr>
      <w:tblGrid>
        <w:gridCol w:w="896"/>
        <w:gridCol w:w="3245"/>
        <w:gridCol w:w="3326"/>
      </w:tblGrid>
      <w:tr w:rsidR="008F1422" w:rsidRPr="006B3AF5" w:rsidTr="006C3E2C">
        <w:trPr>
          <w:tblHeader/>
        </w:trPr>
        <w:tc>
          <w:tcPr>
            <w:tcW w:w="896" w:type="dxa"/>
            <w:tcBorders>
              <w:bottom w:val="double" w:sz="4" w:space="0" w:color="auto"/>
            </w:tcBorders>
            <w:shd w:val="clear" w:color="auto" w:fill="4F81BD"/>
            <w:vAlign w:val="center"/>
          </w:tcPr>
          <w:p w:rsidR="0032590C" w:rsidRDefault="008F1422" w:rsidP="00965AF0">
            <w:pPr>
              <w:pStyle w:val="a3"/>
              <w:spacing w:beforeLines="25" w:before="60" w:afterLines="25" w:after="60"/>
              <w:ind w:leftChars="0" w:left="0"/>
              <w:jc w:val="center"/>
              <w:rPr>
                <w:rFonts w:eastAsia="標楷體"/>
                <w:color w:val="FFFFFF"/>
                <w:sz w:val="26"/>
                <w:szCs w:val="26"/>
              </w:rPr>
            </w:pPr>
            <w:r w:rsidRPr="006B3AF5">
              <w:rPr>
                <w:rFonts w:eastAsia="標楷體"/>
                <w:color w:val="FFFFFF"/>
                <w:sz w:val="26"/>
                <w:szCs w:val="26"/>
              </w:rPr>
              <w:t>編號</w:t>
            </w:r>
          </w:p>
        </w:tc>
        <w:tc>
          <w:tcPr>
            <w:tcW w:w="3245" w:type="dxa"/>
            <w:tcBorders>
              <w:bottom w:val="double" w:sz="4" w:space="0" w:color="auto"/>
            </w:tcBorders>
            <w:shd w:val="clear" w:color="auto" w:fill="4F81BD"/>
            <w:vAlign w:val="center"/>
          </w:tcPr>
          <w:p w:rsidR="0032590C" w:rsidRDefault="008F1422" w:rsidP="00965AF0">
            <w:pPr>
              <w:pStyle w:val="a3"/>
              <w:spacing w:beforeLines="25" w:before="60" w:afterLines="25" w:after="60"/>
              <w:ind w:leftChars="0" w:left="0"/>
              <w:jc w:val="center"/>
              <w:rPr>
                <w:rFonts w:eastAsia="標楷體"/>
                <w:color w:val="FFFFFF"/>
                <w:sz w:val="26"/>
                <w:szCs w:val="26"/>
              </w:rPr>
            </w:pPr>
            <w:r w:rsidRPr="006B3AF5">
              <w:rPr>
                <w:rFonts w:eastAsia="標楷體"/>
                <w:color w:val="FFFFFF"/>
                <w:sz w:val="26"/>
                <w:szCs w:val="26"/>
              </w:rPr>
              <w:t>公司名稱</w:t>
            </w:r>
          </w:p>
        </w:tc>
        <w:tc>
          <w:tcPr>
            <w:tcW w:w="3326" w:type="dxa"/>
            <w:tcBorders>
              <w:bottom w:val="double" w:sz="4" w:space="0" w:color="auto"/>
            </w:tcBorders>
            <w:shd w:val="clear" w:color="auto" w:fill="4F81BD"/>
            <w:vAlign w:val="center"/>
          </w:tcPr>
          <w:p w:rsidR="0032590C" w:rsidRDefault="008F1422" w:rsidP="00965AF0">
            <w:pPr>
              <w:pStyle w:val="a3"/>
              <w:spacing w:beforeLines="25" w:before="60" w:afterLines="25" w:after="60"/>
              <w:ind w:leftChars="0" w:left="0"/>
              <w:jc w:val="center"/>
              <w:rPr>
                <w:rFonts w:eastAsia="標楷體"/>
                <w:color w:val="FFFFFF"/>
                <w:sz w:val="26"/>
                <w:szCs w:val="26"/>
              </w:rPr>
            </w:pPr>
            <w:r w:rsidRPr="006B3AF5">
              <w:rPr>
                <w:rFonts w:eastAsia="標楷體" w:hint="eastAsia"/>
                <w:color w:val="FFFFFF"/>
                <w:sz w:val="26"/>
                <w:szCs w:val="26"/>
              </w:rPr>
              <w:t>接受原因</w:t>
            </w:r>
          </w:p>
        </w:tc>
      </w:tr>
      <w:tr w:rsidR="00473298" w:rsidRPr="00EA272E" w:rsidTr="00BC13CF">
        <w:trPr>
          <w:trHeight w:val="567"/>
        </w:trPr>
        <w:tc>
          <w:tcPr>
            <w:tcW w:w="896" w:type="dxa"/>
            <w:tcBorders>
              <w:top w:val="double" w:sz="4" w:space="0" w:color="auto"/>
            </w:tcBorders>
            <w:vAlign w:val="center"/>
          </w:tcPr>
          <w:p w:rsidR="00473298" w:rsidRPr="00473298" w:rsidRDefault="00473298" w:rsidP="00473298">
            <w:pPr>
              <w:jc w:val="center"/>
              <w:rPr>
                <w:rFonts w:eastAsia="標楷體"/>
                <w:sz w:val="26"/>
                <w:szCs w:val="26"/>
              </w:rPr>
            </w:pPr>
            <w:r w:rsidRPr="00473298">
              <w:rPr>
                <w:rFonts w:eastAsia="標楷體"/>
                <w:sz w:val="26"/>
                <w:szCs w:val="26"/>
              </w:rPr>
              <w:t>1</w:t>
            </w:r>
          </w:p>
        </w:tc>
        <w:tc>
          <w:tcPr>
            <w:tcW w:w="3245" w:type="dxa"/>
            <w:tcBorders>
              <w:top w:val="double" w:sz="4" w:space="0" w:color="auto"/>
            </w:tcBorders>
            <w:vAlign w:val="center"/>
          </w:tcPr>
          <w:p w:rsidR="00473298" w:rsidRPr="00473298" w:rsidRDefault="00473298" w:rsidP="00473298">
            <w:pPr>
              <w:jc w:val="both"/>
              <w:rPr>
                <w:rFonts w:eastAsia="標楷體"/>
                <w:sz w:val="26"/>
                <w:szCs w:val="26"/>
              </w:rPr>
            </w:pPr>
            <w:r w:rsidRPr="00473298">
              <w:rPr>
                <w:rFonts w:eastAsia="標楷體"/>
                <w:sz w:val="26"/>
                <w:szCs w:val="26"/>
              </w:rPr>
              <w:t>Howteh Technology Co., Ltd.</w:t>
            </w:r>
          </w:p>
        </w:tc>
        <w:tc>
          <w:tcPr>
            <w:tcW w:w="3326" w:type="dxa"/>
            <w:tcBorders>
              <w:top w:val="double" w:sz="4" w:space="0" w:color="auto"/>
            </w:tcBorders>
            <w:vAlign w:val="center"/>
          </w:tcPr>
          <w:p w:rsidR="00473298" w:rsidRPr="00473298" w:rsidRDefault="00473298" w:rsidP="00473298">
            <w:pPr>
              <w:jc w:val="both"/>
              <w:rPr>
                <w:rFonts w:eastAsia="標楷體"/>
                <w:sz w:val="26"/>
                <w:szCs w:val="26"/>
              </w:rPr>
            </w:pPr>
            <w:r w:rsidRPr="00473298">
              <w:rPr>
                <w:rFonts w:eastAsia="標楷體"/>
                <w:sz w:val="26"/>
                <w:szCs w:val="26"/>
              </w:rPr>
              <w:t>提供半導體產業測試設備</w:t>
            </w:r>
          </w:p>
        </w:tc>
      </w:tr>
      <w:tr w:rsidR="00473298" w:rsidRPr="00EA272E" w:rsidTr="00BC13CF">
        <w:trPr>
          <w:trHeight w:val="567"/>
        </w:trPr>
        <w:tc>
          <w:tcPr>
            <w:tcW w:w="896" w:type="dxa"/>
            <w:vAlign w:val="center"/>
          </w:tcPr>
          <w:p w:rsidR="00473298" w:rsidRPr="00473298" w:rsidRDefault="00473298" w:rsidP="00473298">
            <w:pPr>
              <w:jc w:val="center"/>
              <w:rPr>
                <w:rFonts w:eastAsia="標楷體"/>
                <w:sz w:val="26"/>
                <w:szCs w:val="26"/>
              </w:rPr>
            </w:pPr>
            <w:r w:rsidRPr="00473298">
              <w:rPr>
                <w:rFonts w:eastAsia="標楷體"/>
                <w:sz w:val="26"/>
                <w:szCs w:val="26"/>
              </w:rPr>
              <w:t>2</w:t>
            </w:r>
          </w:p>
        </w:tc>
        <w:tc>
          <w:tcPr>
            <w:tcW w:w="3245" w:type="dxa"/>
            <w:vAlign w:val="center"/>
          </w:tcPr>
          <w:p w:rsidR="00473298" w:rsidRPr="00473298" w:rsidRDefault="00473298" w:rsidP="00473298">
            <w:pPr>
              <w:jc w:val="both"/>
              <w:rPr>
                <w:rFonts w:eastAsia="標楷體"/>
                <w:sz w:val="26"/>
                <w:szCs w:val="26"/>
              </w:rPr>
            </w:pPr>
            <w:r w:rsidRPr="00473298">
              <w:rPr>
                <w:rFonts w:eastAsia="標楷體"/>
                <w:sz w:val="26"/>
                <w:szCs w:val="26"/>
              </w:rPr>
              <w:t>Kyokuto Boeki Kaisha, Ltd.</w:t>
            </w:r>
          </w:p>
        </w:tc>
        <w:tc>
          <w:tcPr>
            <w:tcW w:w="3326" w:type="dxa"/>
            <w:vAlign w:val="center"/>
          </w:tcPr>
          <w:p w:rsidR="00473298" w:rsidRPr="00473298" w:rsidRDefault="00473298" w:rsidP="00473298">
            <w:pPr>
              <w:jc w:val="both"/>
              <w:rPr>
                <w:rFonts w:eastAsia="標楷體"/>
                <w:sz w:val="26"/>
                <w:szCs w:val="26"/>
              </w:rPr>
            </w:pPr>
            <w:r w:rsidRPr="00473298">
              <w:rPr>
                <w:rFonts w:eastAsia="標楷體"/>
                <w:sz w:val="26"/>
                <w:szCs w:val="26"/>
              </w:rPr>
              <w:t>從事電子儀器相關產品之批發及銷售。</w:t>
            </w:r>
          </w:p>
        </w:tc>
      </w:tr>
      <w:tr w:rsidR="00473298" w:rsidRPr="00EA272E" w:rsidTr="00BC13CF">
        <w:trPr>
          <w:trHeight w:val="567"/>
        </w:trPr>
        <w:tc>
          <w:tcPr>
            <w:tcW w:w="896" w:type="dxa"/>
            <w:vAlign w:val="center"/>
          </w:tcPr>
          <w:p w:rsidR="00473298" w:rsidRPr="00473298" w:rsidRDefault="00473298" w:rsidP="00473298">
            <w:pPr>
              <w:jc w:val="center"/>
              <w:rPr>
                <w:rFonts w:eastAsia="標楷體"/>
                <w:sz w:val="26"/>
                <w:szCs w:val="26"/>
              </w:rPr>
            </w:pPr>
            <w:r w:rsidRPr="00473298">
              <w:rPr>
                <w:rFonts w:eastAsia="標楷體"/>
                <w:sz w:val="26"/>
                <w:szCs w:val="26"/>
              </w:rPr>
              <w:t>3</w:t>
            </w:r>
          </w:p>
        </w:tc>
        <w:tc>
          <w:tcPr>
            <w:tcW w:w="3245" w:type="dxa"/>
            <w:vAlign w:val="center"/>
          </w:tcPr>
          <w:p w:rsidR="00473298" w:rsidRPr="00473298" w:rsidRDefault="00473298" w:rsidP="00473298">
            <w:pPr>
              <w:jc w:val="both"/>
              <w:rPr>
                <w:rFonts w:eastAsia="標楷體"/>
                <w:sz w:val="26"/>
                <w:szCs w:val="26"/>
              </w:rPr>
            </w:pPr>
            <w:r w:rsidRPr="00473298">
              <w:rPr>
                <w:rFonts w:eastAsia="標楷體"/>
                <w:sz w:val="26"/>
                <w:szCs w:val="26"/>
              </w:rPr>
              <w:t>MARUBUN CORPORATION</w:t>
            </w:r>
          </w:p>
        </w:tc>
        <w:tc>
          <w:tcPr>
            <w:tcW w:w="3326" w:type="dxa"/>
            <w:vAlign w:val="center"/>
          </w:tcPr>
          <w:p w:rsidR="00473298" w:rsidRPr="00473298" w:rsidRDefault="00473298" w:rsidP="00473298">
            <w:pPr>
              <w:jc w:val="both"/>
              <w:rPr>
                <w:rFonts w:eastAsia="標楷體"/>
                <w:sz w:val="26"/>
                <w:szCs w:val="26"/>
              </w:rPr>
            </w:pPr>
            <w:r w:rsidRPr="00473298">
              <w:rPr>
                <w:rFonts w:eastAsia="標楷體"/>
                <w:sz w:val="26"/>
                <w:szCs w:val="26"/>
              </w:rPr>
              <w:t>從事電子量測儀器相關產品之銷售。</w:t>
            </w:r>
          </w:p>
        </w:tc>
      </w:tr>
      <w:tr w:rsidR="00473298" w:rsidRPr="00EA272E" w:rsidTr="00BC13CF">
        <w:trPr>
          <w:trHeight w:val="567"/>
        </w:trPr>
        <w:tc>
          <w:tcPr>
            <w:tcW w:w="896" w:type="dxa"/>
            <w:vAlign w:val="center"/>
          </w:tcPr>
          <w:p w:rsidR="00473298" w:rsidRPr="00473298" w:rsidRDefault="00473298" w:rsidP="00473298">
            <w:pPr>
              <w:jc w:val="center"/>
              <w:rPr>
                <w:rFonts w:eastAsia="標楷體"/>
                <w:sz w:val="26"/>
                <w:szCs w:val="26"/>
              </w:rPr>
            </w:pPr>
            <w:r w:rsidRPr="00473298">
              <w:rPr>
                <w:rFonts w:eastAsia="標楷體"/>
                <w:sz w:val="26"/>
                <w:szCs w:val="26"/>
              </w:rPr>
              <w:t>4</w:t>
            </w:r>
          </w:p>
        </w:tc>
        <w:tc>
          <w:tcPr>
            <w:tcW w:w="3245" w:type="dxa"/>
            <w:vAlign w:val="center"/>
          </w:tcPr>
          <w:p w:rsidR="00473298" w:rsidRPr="00473298" w:rsidRDefault="00473298" w:rsidP="00473298">
            <w:pPr>
              <w:jc w:val="both"/>
              <w:rPr>
                <w:rFonts w:eastAsia="標楷體"/>
                <w:sz w:val="26"/>
                <w:szCs w:val="26"/>
              </w:rPr>
            </w:pPr>
            <w:r w:rsidRPr="00473298">
              <w:rPr>
                <w:rFonts w:eastAsia="標楷體"/>
                <w:sz w:val="26"/>
                <w:szCs w:val="26"/>
              </w:rPr>
              <w:t>NIHON DENKEI CO., LTD.</w:t>
            </w:r>
          </w:p>
        </w:tc>
        <w:tc>
          <w:tcPr>
            <w:tcW w:w="3326" w:type="dxa"/>
            <w:vAlign w:val="center"/>
          </w:tcPr>
          <w:p w:rsidR="00473298" w:rsidRPr="00473298" w:rsidRDefault="00473298" w:rsidP="00473298">
            <w:pPr>
              <w:jc w:val="both"/>
              <w:rPr>
                <w:rFonts w:eastAsia="標楷體"/>
                <w:sz w:val="26"/>
                <w:szCs w:val="26"/>
              </w:rPr>
            </w:pPr>
            <w:r w:rsidRPr="00473298">
              <w:rPr>
                <w:rFonts w:eastAsia="標楷體"/>
                <w:sz w:val="26"/>
                <w:szCs w:val="26"/>
              </w:rPr>
              <w:t>從事電子量測儀器相關產品之銷售。</w:t>
            </w:r>
          </w:p>
        </w:tc>
      </w:tr>
      <w:tr w:rsidR="00473298" w:rsidRPr="00EA272E" w:rsidTr="00BC13CF">
        <w:trPr>
          <w:trHeight w:val="567"/>
        </w:trPr>
        <w:tc>
          <w:tcPr>
            <w:tcW w:w="896" w:type="dxa"/>
            <w:vAlign w:val="center"/>
          </w:tcPr>
          <w:p w:rsidR="00473298" w:rsidRPr="00473298" w:rsidRDefault="00473298" w:rsidP="00473298">
            <w:pPr>
              <w:jc w:val="center"/>
              <w:rPr>
                <w:rFonts w:eastAsia="標楷體"/>
                <w:sz w:val="26"/>
                <w:szCs w:val="26"/>
              </w:rPr>
            </w:pPr>
            <w:r w:rsidRPr="00473298">
              <w:rPr>
                <w:rFonts w:eastAsia="標楷體"/>
                <w:sz w:val="26"/>
                <w:szCs w:val="26"/>
              </w:rPr>
              <w:t>5</w:t>
            </w:r>
          </w:p>
        </w:tc>
        <w:tc>
          <w:tcPr>
            <w:tcW w:w="3245" w:type="dxa"/>
            <w:vAlign w:val="center"/>
          </w:tcPr>
          <w:p w:rsidR="00473298" w:rsidRPr="00473298" w:rsidRDefault="00473298" w:rsidP="00473298">
            <w:pPr>
              <w:jc w:val="both"/>
              <w:rPr>
                <w:rFonts w:eastAsia="標楷體"/>
                <w:sz w:val="26"/>
                <w:szCs w:val="26"/>
              </w:rPr>
            </w:pPr>
            <w:r w:rsidRPr="00473298">
              <w:rPr>
                <w:rFonts w:eastAsia="標楷體"/>
                <w:sz w:val="26"/>
                <w:szCs w:val="26"/>
              </w:rPr>
              <w:t>Rexel SA</w:t>
            </w:r>
          </w:p>
        </w:tc>
        <w:tc>
          <w:tcPr>
            <w:tcW w:w="3326" w:type="dxa"/>
            <w:vAlign w:val="center"/>
          </w:tcPr>
          <w:p w:rsidR="00473298" w:rsidRPr="00473298" w:rsidRDefault="00473298" w:rsidP="00473298">
            <w:pPr>
              <w:jc w:val="both"/>
              <w:rPr>
                <w:rFonts w:eastAsia="標楷體"/>
                <w:sz w:val="26"/>
                <w:szCs w:val="26"/>
              </w:rPr>
            </w:pPr>
            <w:r w:rsidRPr="00473298">
              <w:rPr>
                <w:rFonts w:eastAsia="標楷體"/>
                <w:sz w:val="26"/>
                <w:szCs w:val="26"/>
              </w:rPr>
              <w:t>從事電子量測儀器之買賣。</w:t>
            </w:r>
          </w:p>
        </w:tc>
      </w:tr>
      <w:tr w:rsidR="00473298" w:rsidRPr="00EA272E" w:rsidTr="00BC13CF">
        <w:trPr>
          <w:trHeight w:val="567"/>
        </w:trPr>
        <w:tc>
          <w:tcPr>
            <w:tcW w:w="896" w:type="dxa"/>
            <w:vAlign w:val="center"/>
          </w:tcPr>
          <w:p w:rsidR="00473298" w:rsidRPr="00473298" w:rsidRDefault="00473298" w:rsidP="00473298">
            <w:pPr>
              <w:jc w:val="center"/>
              <w:rPr>
                <w:rFonts w:eastAsia="標楷體"/>
                <w:sz w:val="26"/>
                <w:szCs w:val="26"/>
              </w:rPr>
            </w:pPr>
            <w:r w:rsidRPr="00473298">
              <w:rPr>
                <w:rFonts w:eastAsia="標楷體"/>
                <w:sz w:val="26"/>
                <w:szCs w:val="26"/>
              </w:rPr>
              <w:t>6</w:t>
            </w:r>
          </w:p>
        </w:tc>
        <w:tc>
          <w:tcPr>
            <w:tcW w:w="3245" w:type="dxa"/>
            <w:vAlign w:val="center"/>
          </w:tcPr>
          <w:p w:rsidR="00473298" w:rsidRPr="00473298" w:rsidRDefault="00473298" w:rsidP="00473298">
            <w:pPr>
              <w:jc w:val="both"/>
              <w:rPr>
                <w:rFonts w:eastAsia="標楷體"/>
                <w:sz w:val="26"/>
                <w:szCs w:val="26"/>
              </w:rPr>
            </w:pPr>
            <w:r w:rsidRPr="00473298">
              <w:rPr>
                <w:rFonts w:eastAsia="標楷體"/>
                <w:sz w:val="26"/>
                <w:szCs w:val="26"/>
              </w:rPr>
              <w:t>SUN-WA TECHNOS CORPORATION</w:t>
            </w:r>
          </w:p>
        </w:tc>
        <w:tc>
          <w:tcPr>
            <w:tcW w:w="3326" w:type="dxa"/>
            <w:vAlign w:val="center"/>
          </w:tcPr>
          <w:p w:rsidR="00473298" w:rsidRPr="00473298" w:rsidRDefault="00473298" w:rsidP="00473298">
            <w:pPr>
              <w:jc w:val="both"/>
              <w:rPr>
                <w:rFonts w:eastAsia="標楷體"/>
                <w:sz w:val="26"/>
                <w:szCs w:val="26"/>
              </w:rPr>
            </w:pPr>
            <w:r w:rsidRPr="00473298">
              <w:rPr>
                <w:rFonts w:eastAsia="標楷體"/>
                <w:sz w:val="26"/>
                <w:szCs w:val="26"/>
              </w:rPr>
              <w:t>從事電子量測儀器之買賣。</w:t>
            </w:r>
          </w:p>
        </w:tc>
      </w:tr>
      <w:tr w:rsidR="00473298" w:rsidRPr="00EA272E" w:rsidTr="00BC13CF">
        <w:trPr>
          <w:trHeight w:val="567"/>
        </w:trPr>
        <w:tc>
          <w:tcPr>
            <w:tcW w:w="896" w:type="dxa"/>
            <w:vAlign w:val="center"/>
          </w:tcPr>
          <w:p w:rsidR="00473298" w:rsidRPr="00473298" w:rsidRDefault="00473298" w:rsidP="00473298">
            <w:pPr>
              <w:jc w:val="center"/>
              <w:rPr>
                <w:rFonts w:eastAsia="標楷體"/>
                <w:sz w:val="26"/>
                <w:szCs w:val="26"/>
              </w:rPr>
            </w:pPr>
            <w:r w:rsidRPr="00473298">
              <w:rPr>
                <w:rFonts w:eastAsia="標楷體"/>
                <w:sz w:val="26"/>
                <w:szCs w:val="26"/>
              </w:rPr>
              <w:t>7</w:t>
            </w:r>
          </w:p>
        </w:tc>
        <w:tc>
          <w:tcPr>
            <w:tcW w:w="3245" w:type="dxa"/>
            <w:vAlign w:val="center"/>
          </w:tcPr>
          <w:p w:rsidR="00473298" w:rsidRPr="00473298" w:rsidRDefault="00473298" w:rsidP="00473298">
            <w:pPr>
              <w:jc w:val="both"/>
              <w:rPr>
                <w:rFonts w:eastAsia="標楷體"/>
                <w:sz w:val="26"/>
                <w:szCs w:val="26"/>
              </w:rPr>
            </w:pPr>
            <w:r w:rsidRPr="00473298">
              <w:rPr>
                <w:rFonts w:eastAsia="標楷體"/>
                <w:sz w:val="26"/>
                <w:szCs w:val="26"/>
              </w:rPr>
              <w:t>TOMITA CO., LTD.</w:t>
            </w:r>
          </w:p>
        </w:tc>
        <w:tc>
          <w:tcPr>
            <w:tcW w:w="3326" w:type="dxa"/>
            <w:vAlign w:val="center"/>
          </w:tcPr>
          <w:p w:rsidR="00473298" w:rsidRPr="00473298" w:rsidRDefault="00473298" w:rsidP="00473298">
            <w:pPr>
              <w:jc w:val="both"/>
              <w:rPr>
                <w:rFonts w:eastAsia="標楷體"/>
                <w:sz w:val="26"/>
                <w:szCs w:val="26"/>
              </w:rPr>
            </w:pPr>
            <w:r w:rsidRPr="00473298">
              <w:rPr>
                <w:rFonts w:eastAsia="標楷體"/>
                <w:sz w:val="26"/>
                <w:szCs w:val="26"/>
              </w:rPr>
              <w:t>從事電子量測儀器之買賣。</w:t>
            </w:r>
          </w:p>
        </w:tc>
      </w:tr>
      <w:tr w:rsidR="00473298" w:rsidRPr="00EA272E" w:rsidTr="00BC13CF">
        <w:trPr>
          <w:trHeight w:val="567"/>
        </w:trPr>
        <w:tc>
          <w:tcPr>
            <w:tcW w:w="896" w:type="dxa"/>
            <w:vAlign w:val="center"/>
          </w:tcPr>
          <w:p w:rsidR="00473298" w:rsidRPr="00473298" w:rsidRDefault="00473298" w:rsidP="00473298">
            <w:pPr>
              <w:jc w:val="center"/>
              <w:rPr>
                <w:rFonts w:eastAsia="標楷體"/>
                <w:sz w:val="26"/>
                <w:szCs w:val="26"/>
              </w:rPr>
            </w:pPr>
            <w:r w:rsidRPr="00473298">
              <w:rPr>
                <w:rFonts w:eastAsia="標楷體"/>
                <w:sz w:val="26"/>
                <w:szCs w:val="26"/>
              </w:rPr>
              <w:lastRenderedPageBreak/>
              <w:t>8</w:t>
            </w:r>
          </w:p>
        </w:tc>
        <w:tc>
          <w:tcPr>
            <w:tcW w:w="3245" w:type="dxa"/>
            <w:vAlign w:val="center"/>
          </w:tcPr>
          <w:p w:rsidR="00473298" w:rsidRPr="00473298" w:rsidRDefault="00473298" w:rsidP="00473298">
            <w:pPr>
              <w:jc w:val="both"/>
              <w:rPr>
                <w:rFonts w:eastAsia="標楷體"/>
                <w:sz w:val="26"/>
                <w:szCs w:val="26"/>
              </w:rPr>
            </w:pPr>
            <w:r w:rsidRPr="00473298">
              <w:rPr>
                <w:rFonts w:eastAsia="標楷體"/>
                <w:sz w:val="26"/>
                <w:szCs w:val="26"/>
              </w:rPr>
              <w:t>YKT CORPORATION</w:t>
            </w:r>
          </w:p>
        </w:tc>
        <w:tc>
          <w:tcPr>
            <w:tcW w:w="3326" w:type="dxa"/>
            <w:vAlign w:val="center"/>
          </w:tcPr>
          <w:p w:rsidR="00473298" w:rsidRPr="00473298" w:rsidRDefault="00473298" w:rsidP="00473298">
            <w:pPr>
              <w:jc w:val="both"/>
              <w:rPr>
                <w:rFonts w:eastAsia="標楷體"/>
                <w:sz w:val="26"/>
                <w:szCs w:val="26"/>
              </w:rPr>
            </w:pPr>
            <w:r w:rsidRPr="00473298">
              <w:rPr>
                <w:rFonts w:eastAsia="標楷體"/>
                <w:sz w:val="26"/>
                <w:szCs w:val="26"/>
              </w:rPr>
              <w:t>從事電子量測儀器之買賣。</w:t>
            </w:r>
          </w:p>
        </w:tc>
      </w:tr>
    </w:tbl>
    <w:p w:rsidR="00B43040" w:rsidRDefault="00B43040" w:rsidP="00965AF0">
      <w:pPr>
        <w:spacing w:beforeLines="50" w:before="120" w:afterLines="50" w:after="120" w:line="360" w:lineRule="auto"/>
        <w:ind w:leftChars="200" w:left="480" w:firstLineChars="200" w:firstLine="520"/>
        <w:jc w:val="both"/>
        <w:rPr>
          <w:rFonts w:eastAsia="標楷體"/>
          <w:sz w:val="26"/>
          <w:szCs w:val="26"/>
        </w:rPr>
      </w:pPr>
      <w:r>
        <w:rPr>
          <w:rFonts w:eastAsia="標楷體"/>
          <w:sz w:val="26"/>
          <w:szCs w:val="26"/>
        </w:rPr>
        <w:br w:type="page"/>
      </w:r>
    </w:p>
    <w:p w:rsidR="00C73AAC" w:rsidRDefault="00C73AAC" w:rsidP="00965AF0">
      <w:pPr>
        <w:spacing w:beforeLines="50" w:before="120" w:afterLines="50" w:after="120" w:line="360" w:lineRule="auto"/>
        <w:ind w:leftChars="200" w:left="480" w:firstLineChars="200" w:firstLine="520"/>
        <w:jc w:val="both"/>
        <w:rPr>
          <w:rFonts w:eastAsia="標楷體"/>
          <w:sz w:val="26"/>
          <w:szCs w:val="26"/>
        </w:rPr>
      </w:pPr>
    </w:p>
    <w:p w:rsidR="0068427C" w:rsidRPr="0068427C" w:rsidRDefault="0068427C" w:rsidP="00965AF0">
      <w:pPr>
        <w:numPr>
          <w:ilvl w:val="0"/>
          <w:numId w:val="41"/>
        </w:numPr>
        <w:tabs>
          <w:tab w:val="left" w:pos="1134"/>
        </w:tabs>
        <w:spacing w:beforeLines="50" w:before="120" w:afterLines="50" w:after="120" w:line="360" w:lineRule="auto"/>
        <w:ind w:leftChars="250" w:left="1080"/>
        <w:jc w:val="both"/>
        <w:rPr>
          <w:rFonts w:eastAsia="標楷體"/>
          <w:b/>
          <w:sz w:val="28"/>
          <w:szCs w:val="26"/>
        </w:rPr>
        <w:sectPr w:rsidR="0068427C" w:rsidRPr="0068427C" w:rsidSect="00DD5AB2">
          <w:type w:val="oddPage"/>
          <w:pgSz w:w="11906" w:h="16838" w:code="9"/>
          <w:pgMar w:top="2160" w:right="1440" w:bottom="1814" w:left="1440" w:header="851" w:footer="567" w:gutter="567"/>
          <w:cols w:space="425"/>
          <w:docGrid w:linePitch="360"/>
        </w:sectPr>
      </w:pPr>
    </w:p>
    <w:bookmarkStart w:id="110" w:name="_Toc253154521"/>
    <w:bookmarkStart w:id="111" w:name="_Toc253154589"/>
    <w:bookmarkStart w:id="112" w:name="_Toc272326020"/>
    <w:bookmarkStart w:id="113" w:name="_Toc272326648"/>
    <w:bookmarkStart w:id="114" w:name="_Toc272326827"/>
    <w:bookmarkStart w:id="115" w:name="_Toc275960660"/>
    <w:bookmarkStart w:id="116" w:name="_Toc389223550"/>
    <w:p w:rsidR="00EC5E5A" w:rsidRPr="00EA272E" w:rsidRDefault="00965AF0" w:rsidP="00EC5E5A">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59776" behindDoc="0" locked="0" layoutInCell="1" allowOverlap="1">
                <wp:simplePos x="0" y="0"/>
                <wp:positionH relativeFrom="column">
                  <wp:posOffset>4667250</wp:posOffset>
                </wp:positionH>
                <wp:positionV relativeFrom="paragraph">
                  <wp:posOffset>0</wp:posOffset>
                </wp:positionV>
                <wp:extent cx="720090" cy="720090"/>
                <wp:effectExtent l="9525" t="9525" r="13335" b="13335"/>
                <wp:wrapNone/>
                <wp:docPr id="8"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4864D6" w:rsidRPr="0068427C" w:rsidRDefault="004864D6"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9" o:spid="_x0000_s1131" type="#_x0000_t202" style="position:absolute;left:0;text-align:left;margin-left:367.5pt;margin-top:0;width:56.7pt;height:56.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">
                <v:textbox>
                  <w:txbxContent>
                    <w:p w:rsidR="004864D6" w:rsidRPr="0068427C" w:rsidRDefault="004864D6" w:rsidP="0068427C">
                      <w:pPr>
                        <w:jc w:val="center"/>
                      </w:pPr>
                      <w:r>
                        <w:rPr>
                          <w:rFonts w:ascii="微軟正黑體" w:eastAsia="微軟正黑體" w:hAnsi="微軟正黑體"/>
                          <w:b/>
                          <w:sz w:val="56"/>
                          <w:szCs w:val="52"/>
                        </w:rPr>
                        <w:fldChar w:fldCharType="begin"/>
                      </w:r>
                      <w:r>
                        <w:rPr>
                          <w:rFonts w:ascii="微軟正黑體" w:eastAsia="微軟正黑體" w:hAnsi="微軟正黑體"/>
                          <w:b/>
                          <w:sz w:val="56"/>
                          <w:szCs w:val="52"/>
                        </w:rPr>
                        <w:instrText xml:space="preserve"> </w:instrText>
                      </w:r>
                      <w:r>
                        <w:rPr>
                          <w:rFonts w:ascii="微軟正黑體" w:eastAsia="微軟正黑體" w:hAnsi="微軟正黑體" w:hint="eastAsia"/>
                          <w:b/>
                          <w:sz w:val="56"/>
                          <w:szCs w:val="52"/>
                        </w:rPr>
                        <w:instrText>= 9 \* ROMAN</w:instrText>
                      </w:r>
                      <w:r>
                        <w:rPr>
                          <w:rFonts w:ascii="微軟正黑體" w:eastAsia="微軟正黑體" w:hAnsi="微軟正黑體"/>
                          <w:b/>
                          <w:sz w:val="56"/>
                          <w:szCs w:val="52"/>
                        </w:rPr>
                        <w:instrText xml:space="preserve"> </w:instrText>
                      </w:r>
                      <w:r>
                        <w:rPr>
                          <w:rFonts w:ascii="微軟正黑體" w:eastAsia="微軟正黑體" w:hAnsi="微軟正黑體"/>
                          <w:b/>
                          <w:sz w:val="56"/>
                          <w:szCs w:val="52"/>
                        </w:rPr>
                        <w:fldChar w:fldCharType="separate"/>
                      </w:r>
                      <w:r>
                        <w:rPr>
                          <w:rFonts w:ascii="微軟正黑體" w:eastAsia="微軟正黑體" w:hAnsi="微軟正黑體"/>
                          <w:b/>
                          <w:noProof/>
                          <w:sz w:val="56"/>
                          <w:szCs w:val="52"/>
                        </w:rPr>
                        <w:t>IX</w:t>
                      </w:r>
                      <w:r>
                        <w:rPr>
                          <w:rFonts w:ascii="微軟正黑體" w:eastAsia="微軟正黑體" w:hAnsi="微軟正黑體"/>
                          <w:b/>
                          <w:sz w:val="56"/>
                          <w:szCs w:val="52"/>
                        </w:rPr>
                        <w:fldChar w:fldCharType="end"/>
                      </w:r>
                    </w:p>
                  </w:txbxContent>
                </v:textbox>
              </v:shape>
            </w:pict>
          </mc:Fallback>
        </mc:AlternateContent>
      </w:r>
      <w:bookmarkEnd w:id="110"/>
      <w:bookmarkEnd w:id="111"/>
      <w:bookmarkEnd w:id="112"/>
      <w:bookmarkEnd w:id="113"/>
      <w:bookmarkEnd w:id="114"/>
      <w:bookmarkEnd w:id="115"/>
      <w:bookmarkEnd w:id="116"/>
    </w:p>
    <w:p w:rsidR="00EC5E5A" w:rsidRPr="00EA272E" w:rsidRDefault="00EC5E5A" w:rsidP="00EC5E5A">
      <w:pPr>
        <w:jc w:val="right"/>
        <w:rPr>
          <w:rFonts w:eastAsia="標楷體"/>
        </w:rPr>
      </w:pPr>
    </w:p>
    <w:p w:rsidR="00EC5E5A" w:rsidRPr="00EA272E" w:rsidRDefault="00EC5E5A" w:rsidP="00EC5E5A">
      <w:pPr>
        <w:jc w:val="right"/>
        <w:rPr>
          <w:rFonts w:eastAsia="標楷體"/>
        </w:rPr>
      </w:pPr>
    </w:p>
    <w:p w:rsidR="00567251" w:rsidRPr="00EA272E" w:rsidRDefault="00AC53CA" w:rsidP="00AC53CA">
      <w:pPr>
        <w:pStyle w:val="1"/>
        <w:spacing w:before="100" w:beforeAutospacing="1" w:after="100" w:afterAutospacing="1" w:line="360" w:lineRule="auto"/>
        <w:ind w:leftChars="300" w:left="720" w:firstLine="0"/>
        <w:jc w:val="right"/>
        <w:rPr>
          <w:rFonts w:ascii="Times New Roman" w:eastAsia="標楷體" w:hAnsi="Times New Roman"/>
          <w:sz w:val="56"/>
          <w:szCs w:val="56"/>
        </w:rPr>
      </w:pPr>
      <w:bookmarkStart w:id="117" w:name="_Toc389223551"/>
      <w:r w:rsidRPr="00EA272E">
        <w:rPr>
          <w:rFonts w:ascii="Times New Roman" w:eastAsia="標楷體" w:hAnsi="Times New Roman" w:hint="eastAsia"/>
          <w:sz w:val="56"/>
          <w:szCs w:val="56"/>
        </w:rPr>
        <w:t>受控交易</w:t>
      </w:r>
      <w:r w:rsidR="0068427C" w:rsidRPr="00EA272E">
        <w:rPr>
          <w:rFonts w:ascii="Times New Roman" w:eastAsia="標楷體" w:hAnsi="Times New Roman" w:hint="eastAsia"/>
          <w:sz w:val="56"/>
          <w:szCs w:val="56"/>
        </w:rPr>
        <w:t>評估</w:t>
      </w:r>
      <w:r w:rsidRPr="00EA272E">
        <w:rPr>
          <w:rFonts w:ascii="Times New Roman" w:eastAsia="標楷體" w:hAnsi="Times New Roman" w:hint="eastAsia"/>
          <w:sz w:val="56"/>
          <w:szCs w:val="56"/>
        </w:rPr>
        <w:t>結果</w:t>
      </w:r>
      <w:bookmarkEnd w:id="117"/>
    </w:p>
    <w:p w:rsidR="0032590C" w:rsidRDefault="00A2350C" w:rsidP="00965AF0">
      <w:pPr>
        <w:spacing w:beforeLines="50" w:before="120" w:afterLines="50" w:after="120" w:line="360" w:lineRule="auto"/>
        <w:ind w:firstLineChars="200" w:firstLine="520"/>
        <w:jc w:val="both"/>
        <w:rPr>
          <w:rFonts w:eastAsia="標楷體"/>
          <w:sz w:val="26"/>
          <w:szCs w:val="26"/>
        </w:rPr>
      </w:pPr>
      <w:bookmarkStart w:id="118" w:name="_Toc166242748"/>
      <w:r w:rsidRPr="00EE3DEE">
        <w:rPr>
          <w:rFonts w:eastAsia="標楷體" w:hint="eastAsia"/>
          <w:sz w:val="26"/>
          <w:szCs w:val="26"/>
        </w:rPr>
        <w:t>由本報告第柒章得知，『</w:t>
      </w:r>
      <w:r w:rsidR="00A13BC4" w:rsidRPr="00EE3DEE">
        <w:rPr>
          <w:rFonts w:eastAsia="標楷體" w:hint="eastAsia"/>
          <w:sz w:val="26"/>
          <w:szCs w:val="26"/>
        </w:rPr>
        <w:t>可比較利潤法</w:t>
      </w:r>
      <w:r w:rsidRPr="00EE3DEE">
        <w:rPr>
          <w:rFonts w:eastAsia="標楷體" w:hint="eastAsia"/>
          <w:sz w:val="26"/>
          <w:szCs w:val="26"/>
        </w:rPr>
        <w:t>』為評估</w:t>
      </w:r>
      <w:r w:rsidR="00BA7C8C" w:rsidRPr="00EE3DEE">
        <w:rPr>
          <w:rFonts w:eastAsia="標楷體" w:hint="eastAsia"/>
          <w:sz w:val="26"/>
          <w:szCs w:val="26"/>
        </w:rPr>
        <w:t>太克科技</w:t>
      </w:r>
      <w:r w:rsidR="00A13BC4" w:rsidRPr="00EE3DEE">
        <w:rPr>
          <w:rFonts w:eastAsia="標楷體" w:hint="eastAsia"/>
          <w:sz w:val="26"/>
          <w:szCs w:val="26"/>
        </w:rPr>
        <w:t>『有形資產之</w:t>
      </w:r>
      <w:r w:rsidR="00A13BC4" w:rsidRPr="0013778D">
        <w:rPr>
          <w:rFonts w:eastAsia="標楷體" w:hint="eastAsia"/>
          <w:sz w:val="26"/>
          <w:szCs w:val="26"/>
        </w:rPr>
        <w:t>移轉－進貨』及『服務之提供－</w:t>
      </w:r>
      <w:r w:rsidR="00A13BC4">
        <w:rPr>
          <w:rFonts w:eastAsia="標楷體" w:hint="eastAsia"/>
          <w:sz w:val="26"/>
          <w:szCs w:val="26"/>
        </w:rPr>
        <w:t>提供</w:t>
      </w:r>
      <w:r w:rsidR="00A13BC4" w:rsidRPr="0013778D">
        <w:rPr>
          <w:rFonts w:eastAsia="標楷體" w:hint="eastAsia"/>
          <w:sz w:val="26"/>
          <w:szCs w:val="26"/>
        </w:rPr>
        <w:t>產品服務』</w:t>
      </w:r>
      <w:r w:rsidR="00BD6FAE">
        <w:rPr>
          <w:rFonts w:eastAsia="標楷體" w:hint="eastAsia"/>
          <w:sz w:val="26"/>
          <w:szCs w:val="26"/>
        </w:rPr>
        <w:t>受控交易是否符合常規之最適常規方法</w:t>
      </w:r>
      <w:r w:rsidR="00BD6FAE" w:rsidRPr="00F76CCE">
        <w:rPr>
          <w:rFonts w:eastAsia="標楷體" w:hint="eastAsia"/>
          <w:sz w:val="26"/>
          <w:szCs w:val="26"/>
        </w:rPr>
        <w:t>。</w:t>
      </w:r>
    </w:p>
    <w:p w:rsidR="0032590C" w:rsidRDefault="00BD6FAE" w:rsidP="00965AF0">
      <w:pPr>
        <w:pStyle w:val="2"/>
        <w:numPr>
          <w:ilvl w:val="0"/>
          <w:numId w:val="44"/>
        </w:numPr>
        <w:tabs>
          <w:tab w:val="left" w:pos="567"/>
        </w:tabs>
        <w:spacing w:beforeLines="100" w:before="240" w:afterLines="100" w:after="240" w:line="360" w:lineRule="auto"/>
        <w:ind w:left="482" w:hanging="482"/>
        <w:rPr>
          <w:rFonts w:ascii="Times New Roman" w:eastAsia="標楷體" w:hAnsi="Times New Roman"/>
          <w:sz w:val="36"/>
          <w:szCs w:val="40"/>
        </w:rPr>
      </w:pPr>
      <w:r w:rsidRPr="009D2139">
        <w:rPr>
          <w:rFonts w:ascii="Times New Roman" w:eastAsia="標楷體" w:hAnsi="Times New Roman" w:hint="eastAsia"/>
          <w:sz w:val="36"/>
          <w:szCs w:val="40"/>
        </w:rPr>
        <w:t>以「可比較利潤法」為最適常規交易方法者</w:t>
      </w:r>
    </w:p>
    <w:p w:rsidR="0032590C" w:rsidRDefault="00A2350C" w:rsidP="00965AF0">
      <w:pPr>
        <w:spacing w:beforeLines="50" w:before="120" w:afterLines="50" w:after="120" w:line="360" w:lineRule="auto"/>
        <w:ind w:firstLineChars="200" w:firstLine="520"/>
        <w:jc w:val="both"/>
        <w:rPr>
          <w:rFonts w:eastAsia="標楷體"/>
          <w:sz w:val="26"/>
          <w:szCs w:val="26"/>
        </w:rPr>
      </w:pPr>
      <w:r w:rsidRPr="006B74CC">
        <w:rPr>
          <w:rFonts w:eastAsia="標楷體" w:hint="eastAsia"/>
          <w:sz w:val="26"/>
          <w:szCs w:val="26"/>
        </w:rPr>
        <w:t>由第捌章步驟選出可比較對象後，本所即根據移轉訂價查核準則第</w:t>
      </w:r>
      <w:r w:rsidRPr="006B74CC">
        <w:rPr>
          <w:rFonts w:eastAsia="標楷體"/>
          <w:sz w:val="26"/>
          <w:szCs w:val="26"/>
        </w:rPr>
        <w:t>18</w:t>
      </w:r>
      <w:r w:rsidRPr="006B74CC">
        <w:rPr>
          <w:rFonts w:eastAsia="標楷體" w:hint="eastAsia"/>
          <w:sz w:val="26"/>
          <w:szCs w:val="26"/>
        </w:rPr>
        <w:t>條規定，以可比較對象之利潤率（利潤指標之選定請見第</w:t>
      </w:r>
      <w:r w:rsidR="004C1BBD" w:rsidRPr="006B74CC">
        <w:rPr>
          <w:rFonts w:eastAsia="標楷體"/>
          <w:sz w:val="26"/>
          <w:szCs w:val="26"/>
        </w:rPr>
        <w:fldChar w:fldCharType="begin"/>
      </w:r>
      <w:r w:rsidRPr="006B74CC">
        <w:rPr>
          <w:rFonts w:eastAsia="標楷體"/>
          <w:sz w:val="26"/>
          <w:szCs w:val="26"/>
        </w:rPr>
        <w:instrText xml:space="preserve"> </w:instrText>
      </w:r>
      <w:r w:rsidRPr="006B74CC">
        <w:rPr>
          <w:rFonts w:eastAsia="標楷體" w:hint="eastAsia"/>
          <w:sz w:val="26"/>
          <w:szCs w:val="26"/>
        </w:rPr>
        <w:instrText>= 9 \* CHINESENUM2</w:instrText>
      </w:r>
      <w:r w:rsidRPr="006B74CC">
        <w:rPr>
          <w:rFonts w:eastAsia="標楷體"/>
          <w:sz w:val="26"/>
          <w:szCs w:val="26"/>
        </w:rPr>
        <w:instrText xml:space="preserve"> </w:instrText>
      </w:r>
      <w:r w:rsidR="004C1BBD" w:rsidRPr="006B74CC">
        <w:rPr>
          <w:rFonts w:eastAsia="標楷體"/>
          <w:sz w:val="26"/>
          <w:szCs w:val="26"/>
        </w:rPr>
        <w:fldChar w:fldCharType="separate"/>
      </w:r>
      <w:r w:rsidRPr="006B74CC">
        <w:rPr>
          <w:rFonts w:eastAsia="標楷體" w:hint="eastAsia"/>
          <w:sz w:val="26"/>
          <w:szCs w:val="26"/>
        </w:rPr>
        <w:t>玖</w:t>
      </w:r>
      <w:r w:rsidR="004C1BBD" w:rsidRPr="006B74CC">
        <w:rPr>
          <w:rFonts w:eastAsia="標楷體"/>
          <w:sz w:val="26"/>
          <w:szCs w:val="26"/>
        </w:rPr>
        <w:fldChar w:fldCharType="end"/>
      </w:r>
      <w:r w:rsidRPr="006B74CC">
        <w:rPr>
          <w:rFonts w:eastAsia="標楷體" w:hint="eastAsia"/>
          <w:sz w:val="26"/>
          <w:szCs w:val="26"/>
        </w:rPr>
        <w:t>章）建立常規交易</w:t>
      </w:r>
      <w:r w:rsidR="00BF1978">
        <w:rPr>
          <w:rFonts w:eastAsia="標楷體" w:hint="eastAsia"/>
          <w:sz w:val="26"/>
          <w:szCs w:val="26"/>
        </w:rPr>
        <w:t>範圍</w:t>
      </w:r>
      <w:r w:rsidRPr="006B74CC">
        <w:rPr>
          <w:rFonts w:eastAsia="標楷體" w:hint="eastAsia"/>
          <w:sz w:val="26"/>
          <w:szCs w:val="26"/>
        </w:rPr>
        <w:t>，據以決定受控交易之常規交易結果。</w:t>
      </w:r>
    </w:p>
    <w:p w:rsidR="0032590C" w:rsidRDefault="005522FA" w:rsidP="00965AF0">
      <w:pPr>
        <w:spacing w:beforeLines="50" w:before="120" w:afterLines="50" w:after="120" w:line="360" w:lineRule="auto"/>
        <w:ind w:firstLineChars="250" w:firstLine="650"/>
        <w:rPr>
          <w:rFonts w:eastAsia="標楷體"/>
          <w:color w:val="000000"/>
          <w:sz w:val="26"/>
          <w:szCs w:val="26"/>
        </w:rPr>
      </w:pPr>
      <w:r w:rsidRPr="00EA272E">
        <w:rPr>
          <w:rFonts w:eastAsia="標楷體" w:hint="eastAsia"/>
          <w:color w:val="000000"/>
          <w:sz w:val="26"/>
          <w:szCs w:val="26"/>
        </w:rPr>
        <w:t>以下步驟為本所依移轉訂價查核準則</w:t>
      </w:r>
      <w:r w:rsidRPr="00EA272E">
        <w:rPr>
          <w:rFonts w:eastAsia="標楷體" w:hint="eastAsia"/>
          <w:color w:val="000000"/>
          <w:sz w:val="26"/>
          <w:szCs w:val="26"/>
        </w:rPr>
        <w:t>18</w:t>
      </w:r>
      <w:r w:rsidRPr="00EA272E">
        <w:rPr>
          <w:rFonts w:eastAsia="標楷體" w:hint="eastAsia"/>
          <w:color w:val="000000"/>
          <w:sz w:val="26"/>
          <w:szCs w:val="26"/>
        </w:rPr>
        <w:t>條辦理情形：</w:t>
      </w:r>
    </w:p>
    <w:p w:rsidR="0032590C" w:rsidRDefault="00D70783" w:rsidP="00965AF0">
      <w:pPr>
        <w:pStyle w:val="3"/>
        <w:numPr>
          <w:ilvl w:val="0"/>
          <w:numId w:val="58"/>
        </w:numPr>
        <w:spacing w:beforeLines="50" w:before="120" w:afterLines="50" w:after="120" w:line="360" w:lineRule="auto"/>
        <w:jc w:val="both"/>
        <w:rPr>
          <w:rFonts w:ascii="Times New Roman" w:eastAsia="標楷體" w:hAnsi="Times New Roman"/>
          <w:sz w:val="32"/>
          <w:szCs w:val="26"/>
        </w:rPr>
      </w:pPr>
      <w:r w:rsidRPr="00A57745">
        <w:rPr>
          <w:rFonts w:ascii="Times New Roman" w:eastAsia="標楷體" w:hAnsi="Times New Roman" w:hint="eastAsia"/>
          <w:sz w:val="32"/>
          <w:szCs w:val="26"/>
        </w:rPr>
        <w:t>選定受測個體及受測活動</w:t>
      </w:r>
    </w:p>
    <w:p w:rsidR="0032590C" w:rsidRDefault="0056725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受測個體，應以受控交易之參與人中，能取得可信賴之可比較未受控交易資料，且於驗證應歸屬於該參與人之營業利潤時所需作之差異調整最少，其調整結果最可信賴者決定之；即應以參與人中複雜度最低，且未擁有高價值無形資產或特有資產，或雖擁有該資產但與可比較未受控交易所擁有之無形資產或特有資產類似之參與人，為最適之受測個體。受測活動，係指受測個體參與受控交易可細分至最小且可資辨認之營業活動。</w:t>
      </w:r>
    </w:p>
    <w:p w:rsidR="0032590C" w:rsidRDefault="00B508BC" w:rsidP="00965AF0">
      <w:pPr>
        <w:spacing w:beforeLines="100" w:before="24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茲將</w:t>
      </w:r>
      <w:r w:rsidR="0007600B" w:rsidRPr="00EA272E">
        <w:rPr>
          <w:rFonts w:eastAsia="標楷體" w:hint="eastAsia"/>
          <w:sz w:val="26"/>
          <w:szCs w:val="26"/>
        </w:rPr>
        <w:t>選用</w:t>
      </w:r>
      <w:r w:rsidRPr="00EA272E">
        <w:rPr>
          <w:rFonts w:eastAsia="標楷體" w:hint="eastAsia"/>
          <w:sz w:val="26"/>
          <w:szCs w:val="26"/>
        </w:rPr>
        <w:t>受測個體之理由</w:t>
      </w:r>
      <w:r w:rsidR="00A0162B" w:rsidRPr="00EA272E">
        <w:rPr>
          <w:rFonts w:eastAsia="標楷體" w:hint="eastAsia"/>
          <w:sz w:val="26"/>
          <w:szCs w:val="26"/>
        </w:rPr>
        <w:t>及受測活動</w:t>
      </w:r>
      <w:r w:rsidRPr="00EA272E">
        <w:rPr>
          <w:rFonts w:eastAsia="標楷體" w:hint="eastAsia"/>
          <w:sz w:val="26"/>
          <w:szCs w:val="26"/>
        </w:rPr>
        <w:t>說明如下：</w:t>
      </w:r>
    </w:p>
    <w:tbl>
      <w:tblPr>
        <w:tblW w:w="8179" w:type="dxa"/>
        <w:jc w:val="right"/>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33"/>
        <w:gridCol w:w="840"/>
        <w:gridCol w:w="1560"/>
        <w:gridCol w:w="1079"/>
        <w:gridCol w:w="3167"/>
      </w:tblGrid>
      <w:tr w:rsidR="00FB333A" w:rsidRPr="00A2350C" w:rsidTr="00BC13CF">
        <w:trPr>
          <w:trHeight w:val="706"/>
          <w:tblHeader/>
          <w:jc w:val="right"/>
        </w:trPr>
        <w:tc>
          <w:tcPr>
            <w:tcW w:w="3933" w:type="dxa"/>
            <w:gridSpan w:val="3"/>
            <w:shd w:val="clear" w:color="auto" w:fill="4F81BD"/>
            <w:vAlign w:val="center"/>
          </w:tcPr>
          <w:p w:rsidR="0032590C" w:rsidRDefault="00FB333A" w:rsidP="00965AF0">
            <w:pPr>
              <w:spacing w:beforeLines="25" w:before="60" w:afterLines="25" w:after="60"/>
              <w:jc w:val="center"/>
              <w:rPr>
                <w:rFonts w:eastAsia="標楷體"/>
                <w:color w:val="FFFFFF"/>
                <w:sz w:val="26"/>
                <w:szCs w:val="26"/>
              </w:rPr>
            </w:pPr>
            <w:r w:rsidRPr="00A2350C">
              <w:rPr>
                <w:rFonts w:eastAsia="標楷體" w:hint="eastAsia"/>
                <w:color w:val="FFFFFF"/>
                <w:sz w:val="26"/>
                <w:szCs w:val="26"/>
              </w:rPr>
              <w:lastRenderedPageBreak/>
              <w:t>受測活動</w:t>
            </w:r>
          </w:p>
        </w:tc>
        <w:tc>
          <w:tcPr>
            <w:tcW w:w="1079" w:type="dxa"/>
            <w:vMerge w:val="restart"/>
            <w:shd w:val="clear" w:color="auto" w:fill="4F81BD"/>
            <w:vAlign w:val="center"/>
          </w:tcPr>
          <w:p w:rsidR="0032590C" w:rsidRDefault="00FB333A" w:rsidP="00965AF0">
            <w:pPr>
              <w:spacing w:beforeLines="25" w:before="60" w:afterLines="25" w:after="60"/>
              <w:jc w:val="center"/>
              <w:rPr>
                <w:rFonts w:eastAsia="標楷體"/>
                <w:color w:val="FFFFFF"/>
                <w:sz w:val="26"/>
                <w:szCs w:val="26"/>
              </w:rPr>
            </w:pPr>
            <w:r w:rsidRPr="00A2350C">
              <w:rPr>
                <w:rFonts w:eastAsia="標楷體" w:hint="eastAsia"/>
                <w:color w:val="FFFFFF"/>
                <w:sz w:val="26"/>
                <w:szCs w:val="26"/>
              </w:rPr>
              <w:t>受測</w:t>
            </w:r>
          </w:p>
          <w:p w:rsidR="0032590C" w:rsidRDefault="00FB333A" w:rsidP="00965AF0">
            <w:pPr>
              <w:spacing w:beforeLines="25" w:before="60" w:afterLines="25" w:after="60"/>
              <w:jc w:val="center"/>
              <w:rPr>
                <w:rFonts w:eastAsia="標楷體"/>
                <w:color w:val="FFFFFF"/>
                <w:sz w:val="26"/>
                <w:szCs w:val="26"/>
              </w:rPr>
            </w:pPr>
            <w:r w:rsidRPr="00A2350C">
              <w:rPr>
                <w:rFonts w:eastAsia="標楷體" w:hint="eastAsia"/>
                <w:color w:val="FFFFFF"/>
                <w:sz w:val="26"/>
                <w:szCs w:val="26"/>
              </w:rPr>
              <w:t>個體</w:t>
            </w:r>
          </w:p>
        </w:tc>
        <w:tc>
          <w:tcPr>
            <w:tcW w:w="3167" w:type="dxa"/>
            <w:vMerge w:val="restart"/>
            <w:shd w:val="clear" w:color="auto" w:fill="4F81BD"/>
            <w:vAlign w:val="center"/>
          </w:tcPr>
          <w:p w:rsidR="0032590C" w:rsidRDefault="00FB333A" w:rsidP="00965AF0">
            <w:pPr>
              <w:spacing w:beforeLines="25" w:before="60" w:afterLines="25" w:after="60"/>
              <w:jc w:val="center"/>
              <w:rPr>
                <w:rFonts w:eastAsia="標楷體"/>
                <w:color w:val="FFFFFF"/>
                <w:sz w:val="26"/>
                <w:szCs w:val="26"/>
              </w:rPr>
            </w:pPr>
            <w:r w:rsidRPr="00A2350C">
              <w:rPr>
                <w:rFonts w:eastAsia="標楷體" w:hint="eastAsia"/>
                <w:color w:val="FFFFFF"/>
                <w:sz w:val="26"/>
                <w:szCs w:val="26"/>
              </w:rPr>
              <w:t>選用原因</w:t>
            </w:r>
          </w:p>
        </w:tc>
      </w:tr>
      <w:tr w:rsidR="00FB333A" w:rsidRPr="00A2350C">
        <w:trPr>
          <w:trHeight w:val="385"/>
          <w:tblHeader/>
          <w:jc w:val="right"/>
        </w:trPr>
        <w:tc>
          <w:tcPr>
            <w:tcW w:w="1533" w:type="dxa"/>
            <w:shd w:val="clear" w:color="auto" w:fill="4F81BD"/>
            <w:vAlign w:val="center"/>
          </w:tcPr>
          <w:p w:rsidR="0032590C" w:rsidRDefault="00FB333A" w:rsidP="00965AF0">
            <w:pPr>
              <w:spacing w:beforeLines="25" w:before="60" w:afterLines="25" w:after="60"/>
              <w:jc w:val="center"/>
              <w:rPr>
                <w:rFonts w:eastAsia="標楷體"/>
                <w:color w:val="FFFFFF"/>
                <w:sz w:val="26"/>
                <w:szCs w:val="26"/>
              </w:rPr>
            </w:pPr>
            <w:r w:rsidRPr="00A2350C">
              <w:rPr>
                <w:rFonts w:eastAsia="標楷體" w:hint="eastAsia"/>
                <w:color w:val="FFFFFF"/>
                <w:sz w:val="26"/>
                <w:szCs w:val="26"/>
              </w:rPr>
              <w:t>受控交易</w:t>
            </w:r>
          </w:p>
          <w:p w:rsidR="0032590C" w:rsidRDefault="00FB333A" w:rsidP="00965AF0">
            <w:pPr>
              <w:spacing w:beforeLines="25" w:before="60" w:afterLines="25" w:after="60"/>
              <w:jc w:val="center"/>
              <w:rPr>
                <w:rFonts w:eastAsia="標楷體"/>
                <w:color w:val="FFFFFF"/>
                <w:sz w:val="26"/>
                <w:szCs w:val="26"/>
              </w:rPr>
            </w:pPr>
            <w:r w:rsidRPr="00A2350C">
              <w:rPr>
                <w:rFonts w:eastAsia="標楷體" w:hint="eastAsia"/>
                <w:color w:val="FFFFFF"/>
                <w:sz w:val="26"/>
                <w:szCs w:val="26"/>
              </w:rPr>
              <w:t>類型</w:t>
            </w:r>
          </w:p>
        </w:tc>
        <w:tc>
          <w:tcPr>
            <w:tcW w:w="840" w:type="dxa"/>
            <w:shd w:val="clear" w:color="auto" w:fill="4F81BD"/>
            <w:vAlign w:val="center"/>
          </w:tcPr>
          <w:p w:rsidR="0032590C" w:rsidRDefault="00FB333A" w:rsidP="00965AF0">
            <w:pPr>
              <w:spacing w:beforeLines="25" w:before="60" w:afterLines="25" w:after="60"/>
              <w:jc w:val="center"/>
              <w:rPr>
                <w:rFonts w:eastAsia="標楷體"/>
                <w:color w:val="FFFFFF"/>
                <w:sz w:val="26"/>
                <w:szCs w:val="26"/>
              </w:rPr>
            </w:pPr>
            <w:r w:rsidRPr="00A2350C">
              <w:rPr>
                <w:rFonts w:eastAsia="標楷體" w:hint="eastAsia"/>
                <w:color w:val="FFFFFF"/>
                <w:sz w:val="26"/>
                <w:szCs w:val="26"/>
              </w:rPr>
              <w:t>明細</w:t>
            </w:r>
          </w:p>
        </w:tc>
        <w:tc>
          <w:tcPr>
            <w:tcW w:w="1560" w:type="dxa"/>
            <w:shd w:val="clear" w:color="auto" w:fill="4F81BD"/>
            <w:vAlign w:val="center"/>
          </w:tcPr>
          <w:p w:rsidR="0032590C" w:rsidRDefault="00FB333A" w:rsidP="00965AF0">
            <w:pPr>
              <w:spacing w:beforeLines="25" w:before="60" w:afterLines="25" w:after="60"/>
              <w:jc w:val="center"/>
              <w:rPr>
                <w:rFonts w:eastAsia="標楷體"/>
                <w:color w:val="FFFFFF"/>
                <w:sz w:val="26"/>
                <w:szCs w:val="26"/>
              </w:rPr>
            </w:pPr>
            <w:r w:rsidRPr="00A2350C">
              <w:rPr>
                <w:rFonts w:eastAsia="標楷體" w:hint="eastAsia"/>
                <w:color w:val="FFFFFF"/>
                <w:sz w:val="26"/>
                <w:szCs w:val="26"/>
              </w:rPr>
              <w:t>交易對象</w:t>
            </w:r>
          </w:p>
        </w:tc>
        <w:tc>
          <w:tcPr>
            <w:tcW w:w="1079" w:type="dxa"/>
            <w:vMerge/>
            <w:shd w:val="clear" w:color="auto" w:fill="4F81BD"/>
            <w:vAlign w:val="center"/>
          </w:tcPr>
          <w:p w:rsidR="0032590C" w:rsidRDefault="0032590C" w:rsidP="00965AF0">
            <w:pPr>
              <w:spacing w:beforeLines="25" w:before="60" w:afterLines="25" w:after="60"/>
              <w:jc w:val="center"/>
              <w:rPr>
                <w:rFonts w:eastAsia="標楷體"/>
                <w:color w:val="FFFFFF"/>
                <w:sz w:val="26"/>
                <w:szCs w:val="26"/>
              </w:rPr>
            </w:pPr>
          </w:p>
        </w:tc>
        <w:tc>
          <w:tcPr>
            <w:tcW w:w="3167" w:type="dxa"/>
            <w:vMerge/>
            <w:shd w:val="clear" w:color="auto" w:fill="4F81BD"/>
            <w:vAlign w:val="center"/>
          </w:tcPr>
          <w:p w:rsidR="0032590C" w:rsidRDefault="0032590C" w:rsidP="00965AF0">
            <w:pPr>
              <w:spacing w:beforeLines="25" w:before="60" w:afterLines="25" w:after="60"/>
              <w:jc w:val="center"/>
              <w:rPr>
                <w:rFonts w:eastAsia="標楷體"/>
                <w:color w:val="FFFFFF"/>
                <w:sz w:val="26"/>
                <w:szCs w:val="26"/>
              </w:rPr>
            </w:pPr>
          </w:p>
        </w:tc>
      </w:tr>
      <w:tr w:rsidR="00880A9F" w:rsidRPr="00EA272E">
        <w:trPr>
          <w:trHeight w:val="264"/>
          <w:tblHeader/>
          <w:jc w:val="right"/>
        </w:trPr>
        <w:tc>
          <w:tcPr>
            <w:tcW w:w="1533" w:type="dxa"/>
            <w:vMerge w:val="restart"/>
            <w:shd w:val="clear" w:color="auto" w:fill="FFFFFF"/>
            <w:vAlign w:val="center"/>
          </w:tcPr>
          <w:p w:rsidR="0032590C" w:rsidRDefault="00880A9F" w:rsidP="00965AF0">
            <w:pPr>
              <w:spacing w:beforeLines="25" w:before="60" w:afterLines="25" w:after="60"/>
              <w:jc w:val="center"/>
              <w:rPr>
                <w:rFonts w:eastAsia="標楷體"/>
                <w:sz w:val="26"/>
                <w:szCs w:val="26"/>
              </w:rPr>
            </w:pPr>
            <w:r w:rsidRPr="00D63483">
              <w:rPr>
                <w:rFonts w:eastAsia="標楷體" w:hint="eastAsia"/>
                <w:sz w:val="26"/>
                <w:szCs w:val="26"/>
              </w:rPr>
              <w:t>有形資產</w:t>
            </w:r>
          </w:p>
          <w:p w:rsidR="0032590C" w:rsidRDefault="00880A9F" w:rsidP="00965AF0">
            <w:pPr>
              <w:spacing w:beforeLines="25" w:before="60" w:afterLines="25" w:after="60"/>
              <w:jc w:val="center"/>
              <w:rPr>
                <w:rFonts w:eastAsia="標楷體"/>
                <w:sz w:val="26"/>
                <w:szCs w:val="26"/>
              </w:rPr>
            </w:pPr>
            <w:r w:rsidRPr="00D63483">
              <w:rPr>
                <w:rFonts w:eastAsia="標楷體" w:hint="eastAsia"/>
                <w:sz w:val="26"/>
                <w:szCs w:val="26"/>
              </w:rPr>
              <w:t>之移轉</w:t>
            </w:r>
          </w:p>
        </w:tc>
        <w:tc>
          <w:tcPr>
            <w:tcW w:w="840" w:type="dxa"/>
            <w:vMerge w:val="restart"/>
            <w:shd w:val="clear" w:color="auto" w:fill="FFFFFF"/>
            <w:vAlign w:val="center"/>
          </w:tcPr>
          <w:p w:rsidR="0032590C" w:rsidRDefault="00880A9F" w:rsidP="00965AF0">
            <w:pPr>
              <w:spacing w:beforeLines="25" w:before="60" w:afterLines="25" w:after="60"/>
              <w:jc w:val="center"/>
              <w:rPr>
                <w:rFonts w:eastAsia="標楷體"/>
                <w:sz w:val="26"/>
                <w:szCs w:val="26"/>
              </w:rPr>
            </w:pPr>
            <w:r w:rsidRPr="00D63483">
              <w:rPr>
                <w:rFonts w:eastAsia="標楷體" w:hint="eastAsia"/>
                <w:sz w:val="26"/>
                <w:szCs w:val="26"/>
              </w:rPr>
              <w:t>進貨</w:t>
            </w:r>
          </w:p>
        </w:tc>
        <w:tc>
          <w:tcPr>
            <w:tcW w:w="1560" w:type="dxa"/>
            <w:shd w:val="clear" w:color="auto" w:fill="FFFFFF"/>
            <w:vAlign w:val="center"/>
          </w:tcPr>
          <w:p w:rsidR="0032590C" w:rsidRDefault="00FC0AA3" w:rsidP="00965AF0">
            <w:pPr>
              <w:spacing w:beforeLines="25" w:before="60" w:afterLines="25" w:after="60"/>
              <w:jc w:val="center"/>
              <w:rPr>
                <w:rFonts w:eastAsia="標楷體"/>
                <w:color w:val="000000"/>
                <w:sz w:val="26"/>
                <w:szCs w:val="26"/>
              </w:rPr>
            </w:pPr>
            <w:r>
              <w:rPr>
                <w:rFonts w:eastAsia="標楷體" w:hint="eastAsia"/>
                <w:color w:val="000000"/>
                <w:sz w:val="26"/>
                <w:szCs w:val="26"/>
              </w:rPr>
              <w:t>TIS</w:t>
            </w:r>
          </w:p>
        </w:tc>
        <w:tc>
          <w:tcPr>
            <w:tcW w:w="1079" w:type="dxa"/>
            <w:vMerge w:val="restart"/>
            <w:shd w:val="clear" w:color="auto" w:fill="FFFFFF"/>
            <w:vAlign w:val="center"/>
          </w:tcPr>
          <w:p w:rsidR="0032590C" w:rsidRDefault="00880A9F" w:rsidP="00965AF0">
            <w:pPr>
              <w:spacing w:beforeLines="25" w:before="60" w:afterLines="25" w:after="60"/>
              <w:jc w:val="center"/>
              <w:rPr>
                <w:rFonts w:eastAsia="標楷體"/>
                <w:sz w:val="26"/>
                <w:szCs w:val="26"/>
              </w:rPr>
            </w:pPr>
            <w:r w:rsidRPr="00D63483">
              <w:rPr>
                <w:rFonts w:eastAsia="標楷體" w:hint="eastAsia"/>
                <w:sz w:val="26"/>
                <w:szCs w:val="26"/>
              </w:rPr>
              <w:t>太克</w:t>
            </w:r>
          </w:p>
          <w:p w:rsidR="0032590C" w:rsidRDefault="00880A9F" w:rsidP="00965AF0">
            <w:pPr>
              <w:spacing w:beforeLines="25" w:before="60" w:afterLines="25" w:after="60"/>
              <w:jc w:val="center"/>
              <w:rPr>
                <w:rFonts w:eastAsia="標楷體"/>
                <w:sz w:val="26"/>
                <w:szCs w:val="26"/>
              </w:rPr>
            </w:pPr>
            <w:r w:rsidRPr="00D63483">
              <w:rPr>
                <w:rFonts w:eastAsia="標楷體" w:hint="eastAsia"/>
                <w:sz w:val="26"/>
                <w:szCs w:val="26"/>
              </w:rPr>
              <w:t>科技</w:t>
            </w:r>
          </w:p>
        </w:tc>
        <w:tc>
          <w:tcPr>
            <w:tcW w:w="3167" w:type="dxa"/>
            <w:vMerge w:val="restart"/>
            <w:shd w:val="clear" w:color="auto" w:fill="FFFFFF"/>
            <w:vAlign w:val="center"/>
          </w:tcPr>
          <w:p w:rsidR="0032590C" w:rsidRDefault="00880A9F" w:rsidP="00965AF0">
            <w:pPr>
              <w:spacing w:beforeLines="25" w:before="60" w:afterLines="25" w:after="60"/>
              <w:jc w:val="both"/>
              <w:rPr>
                <w:rFonts w:eastAsia="標楷體"/>
                <w:sz w:val="26"/>
                <w:szCs w:val="26"/>
              </w:rPr>
            </w:pPr>
            <w:r>
              <w:rPr>
                <w:rFonts w:eastAsia="標楷體" w:hint="eastAsia"/>
                <w:sz w:val="26"/>
                <w:szCs w:val="26"/>
              </w:rPr>
              <w:t>太克科技</w:t>
            </w:r>
            <w:r w:rsidRPr="003D6CCD">
              <w:rPr>
                <w:rFonts w:eastAsia="標楷體" w:hint="eastAsia"/>
                <w:sz w:val="26"/>
                <w:szCs w:val="26"/>
              </w:rPr>
              <w:t>營業型態及執行功能較其他關係企業為不複雜，未擁有高價值之無形資產或特有資產，且為本國公司，財務資料經本國會計師查核簽證，可信度應較國外關係企業為高，所以被選為受測個體。</w:t>
            </w:r>
          </w:p>
        </w:tc>
      </w:tr>
      <w:tr w:rsidR="00880A9F" w:rsidRPr="00EA272E">
        <w:trPr>
          <w:trHeight w:val="275"/>
          <w:tblHeader/>
          <w:jc w:val="right"/>
        </w:trPr>
        <w:tc>
          <w:tcPr>
            <w:tcW w:w="1533" w:type="dxa"/>
            <w:vMerge/>
            <w:shd w:val="clear" w:color="auto" w:fill="FFFFFF"/>
            <w:vAlign w:val="center"/>
          </w:tcPr>
          <w:p w:rsidR="0032590C" w:rsidRDefault="0032590C" w:rsidP="00965AF0">
            <w:pPr>
              <w:spacing w:beforeLines="25" w:before="60" w:afterLines="25" w:after="60"/>
              <w:jc w:val="center"/>
              <w:rPr>
                <w:rFonts w:eastAsia="標楷體"/>
                <w:sz w:val="26"/>
                <w:szCs w:val="26"/>
              </w:rPr>
            </w:pPr>
          </w:p>
        </w:tc>
        <w:tc>
          <w:tcPr>
            <w:tcW w:w="840" w:type="dxa"/>
            <w:vMerge/>
            <w:shd w:val="clear" w:color="auto" w:fill="FFFFFF"/>
            <w:vAlign w:val="center"/>
          </w:tcPr>
          <w:p w:rsidR="0032590C" w:rsidRDefault="0032590C" w:rsidP="00965AF0">
            <w:pPr>
              <w:spacing w:beforeLines="25" w:before="60" w:afterLines="25" w:after="60"/>
              <w:jc w:val="center"/>
              <w:rPr>
                <w:rFonts w:eastAsia="標楷體"/>
                <w:sz w:val="26"/>
                <w:szCs w:val="26"/>
              </w:rPr>
            </w:pPr>
          </w:p>
        </w:tc>
        <w:tc>
          <w:tcPr>
            <w:tcW w:w="1560" w:type="dxa"/>
            <w:shd w:val="clear" w:color="auto" w:fill="FFFFFF"/>
            <w:vAlign w:val="center"/>
          </w:tcPr>
          <w:p w:rsidR="0032590C" w:rsidRDefault="00170E4C" w:rsidP="00965AF0">
            <w:pPr>
              <w:spacing w:beforeLines="25" w:before="60" w:afterLines="25" w:after="60"/>
              <w:jc w:val="center"/>
              <w:rPr>
                <w:rFonts w:eastAsia="標楷體"/>
                <w:color w:val="000000"/>
                <w:sz w:val="26"/>
                <w:szCs w:val="26"/>
              </w:rPr>
            </w:pPr>
            <w:r>
              <w:rPr>
                <w:rFonts w:eastAsia="標楷體" w:hint="eastAsia"/>
                <w:color w:val="000000"/>
                <w:sz w:val="26"/>
                <w:szCs w:val="26"/>
              </w:rPr>
              <w:t>TCT</w:t>
            </w:r>
          </w:p>
        </w:tc>
        <w:tc>
          <w:tcPr>
            <w:tcW w:w="1079" w:type="dxa"/>
            <w:vMerge/>
            <w:shd w:val="clear" w:color="auto" w:fill="FFFFFF"/>
            <w:vAlign w:val="center"/>
          </w:tcPr>
          <w:p w:rsidR="0032590C" w:rsidRDefault="0032590C" w:rsidP="00965AF0">
            <w:pPr>
              <w:spacing w:beforeLines="25" w:before="60" w:afterLines="25" w:after="60"/>
              <w:jc w:val="center"/>
              <w:rPr>
                <w:rFonts w:eastAsia="標楷體"/>
                <w:sz w:val="26"/>
                <w:szCs w:val="26"/>
              </w:rPr>
            </w:pPr>
          </w:p>
        </w:tc>
        <w:tc>
          <w:tcPr>
            <w:tcW w:w="3167" w:type="dxa"/>
            <w:vMerge/>
            <w:shd w:val="clear" w:color="auto" w:fill="FFFFFF"/>
            <w:vAlign w:val="center"/>
          </w:tcPr>
          <w:p w:rsidR="0032590C" w:rsidRDefault="0032590C" w:rsidP="00965AF0">
            <w:pPr>
              <w:spacing w:beforeLines="25" w:before="60" w:afterLines="25" w:after="60"/>
              <w:jc w:val="both"/>
              <w:rPr>
                <w:rFonts w:eastAsia="標楷體"/>
                <w:sz w:val="26"/>
                <w:szCs w:val="26"/>
              </w:rPr>
            </w:pPr>
          </w:p>
        </w:tc>
      </w:tr>
      <w:tr w:rsidR="00880A9F" w:rsidRPr="00EA272E">
        <w:trPr>
          <w:trHeight w:val="312"/>
          <w:tblHeader/>
          <w:jc w:val="right"/>
        </w:trPr>
        <w:tc>
          <w:tcPr>
            <w:tcW w:w="1533" w:type="dxa"/>
            <w:vMerge/>
            <w:shd w:val="clear" w:color="auto" w:fill="FFFFFF"/>
            <w:vAlign w:val="center"/>
          </w:tcPr>
          <w:p w:rsidR="0032590C" w:rsidRDefault="0032590C" w:rsidP="00965AF0">
            <w:pPr>
              <w:spacing w:beforeLines="25" w:before="60" w:afterLines="25" w:after="60"/>
              <w:jc w:val="center"/>
              <w:rPr>
                <w:rFonts w:eastAsia="標楷體"/>
                <w:sz w:val="26"/>
                <w:szCs w:val="26"/>
              </w:rPr>
            </w:pPr>
          </w:p>
        </w:tc>
        <w:tc>
          <w:tcPr>
            <w:tcW w:w="840" w:type="dxa"/>
            <w:vMerge/>
            <w:shd w:val="clear" w:color="auto" w:fill="FFFFFF"/>
            <w:vAlign w:val="center"/>
          </w:tcPr>
          <w:p w:rsidR="0032590C" w:rsidRDefault="0032590C" w:rsidP="00965AF0">
            <w:pPr>
              <w:spacing w:beforeLines="25" w:before="60" w:afterLines="25" w:after="60"/>
              <w:jc w:val="center"/>
              <w:rPr>
                <w:rFonts w:eastAsia="標楷體"/>
                <w:sz w:val="26"/>
                <w:szCs w:val="26"/>
              </w:rPr>
            </w:pPr>
          </w:p>
        </w:tc>
        <w:tc>
          <w:tcPr>
            <w:tcW w:w="1560" w:type="dxa"/>
            <w:shd w:val="clear" w:color="auto" w:fill="FFFFFF"/>
            <w:vAlign w:val="center"/>
          </w:tcPr>
          <w:p w:rsidR="0032590C" w:rsidRDefault="00675FCB" w:rsidP="00965AF0">
            <w:pPr>
              <w:spacing w:beforeLines="25" w:before="60" w:afterLines="25" w:after="60"/>
              <w:jc w:val="center"/>
              <w:rPr>
                <w:rFonts w:eastAsia="標楷體"/>
                <w:color w:val="000000"/>
                <w:sz w:val="26"/>
                <w:szCs w:val="26"/>
              </w:rPr>
            </w:pPr>
            <w:r>
              <w:rPr>
                <w:rFonts w:eastAsia="標楷體" w:hint="eastAsia"/>
                <w:sz w:val="26"/>
                <w:szCs w:val="26"/>
              </w:rPr>
              <w:t>Fluke SEA</w:t>
            </w:r>
          </w:p>
        </w:tc>
        <w:tc>
          <w:tcPr>
            <w:tcW w:w="1079" w:type="dxa"/>
            <w:vMerge/>
            <w:shd w:val="clear" w:color="auto" w:fill="FFFFFF"/>
            <w:vAlign w:val="center"/>
          </w:tcPr>
          <w:p w:rsidR="0032590C" w:rsidRDefault="0032590C" w:rsidP="00965AF0">
            <w:pPr>
              <w:spacing w:beforeLines="25" w:before="60" w:afterLines="25" w:after="60"/>
              <w:jc w:val="center"/>
              <w:rPr>
                <w:rFonts w:eastAsia="標楷體"/>
                <w:sz w:val="26"/>
                <w:szCs w:val="26"/>
              </w:rPr>
            </w:pPr>
          </w:p>
        </w:tc>
        <w:tc>
          <w:tcPr>
            <w:tcW w:w="3167" w:type="dxa"/>
            <w:vMerge/>
            <w:shd w:val="clear" w:color="auto" w:fill="FFFFFF"/>
            <w:vAlign w:val="center"/>
          </w:tcPr>
          <w:p w:rsidR="0032590C" w:rsidRDefault="0032590C" w:rsidP="00965AF0">
            <w:pPr>
              <w:spacing w:beforeLines="25" w:before="60" w:afterLines="25" w:after="60"/>
              <w:jc w:val="both"/>
              <w:rPr>
                <w:rFonts w:eastAsia="標楷體"/>
                <w:sz w:val="26"/>
                <w:szCs w:val="26"/>
              </w:rPr>
            </w:pPr>
          </w:p>
        </w:tc>
      </w:tr>
      <w:tr w:rsidR="00880A9F" w:rsidRPr="00EA272E">
        <w:trPr>
          <w:trHeight w:val="185"/>
          <w:tblHeader/>
          <w:jc w:val="right"/>
        </w:trPr>
        <w:tc>
          <w:tcPr>
            <w:tcW w:w="1533" w:type="dxa"/>
            <w:vMerge/>
            <w:shd w:val="clear" w:color="auto" w:fill="FFFFFF"/>
            <w:vAlign w:val="center"/>
          </w:tcPr>
          <w:p w:rsidR="0032590C" w:rsidRDefault="0032590C" w:rsidP="00965AF0">
            <w:pPr>
              <w:spacing w:beforeLines="25" w:before="60" w:afterLines="25" w:after="60"/>
              <w:jc w:val="center"/>
              <w:rPr>
                <w:rFonts w:eastAsia="標楷體"/>
                <w:sz w:val="26"/>
                <w:szCs w:val="26"/>
              </w:rPr>
            </w:pPr>
          </w:p>
        </w:tc>
        <w:tc>
          <w:tcPr>
            <w:tcW w:w="840" w:type="dxa"/>
            <w:vMerge/>
            <w:shd w:val="clear" w:color="auto" w:fill="FFFFFF"/>
            <w:vAlign w:val="center"/>
          </w:tcPr>
          <w:p w:rsidR="0032590C" w:rsidRDefault="0032590C" w:rsidP="00965AF0">
            <w:pPr>
              <w:spacing w:beforeLines="25" w:before="60" w:afterLines="25" w:after="60"/>
              <w:jc w:val="center"/>
              <w:rPr>
                <w:rFonts w:eastAsia="標楷體"/>
                <w:sz w:val="26"/>
                <w:szCs w:val="26"/>
              </w:rPr>
            </w:pPr>
          </w:p>
        </w:tc>
        <w:tc>
          <w:tcPr>
            <w:tcW w:w="1560" w:type="dxa"/>
            <w:shd w:val="clear" w:color="auto" w:fill="FFFFFF"/>
            <w:vAlign w:val="center"/>
          </w:tcPr>
          <w:p w:rsidR="0032590C" w:rsidRDefault="009E4EFA" w:rsidP="00965AF0">
            <w:pPr>
              <w:spacing w:beforeLines="25" w:before="60" w:afterLines="25" w:after="60"/>
              <w:jc w:val="center"/>
              <w:rPr>
                <w:rFonts w:eastAsia="標楷體"/>
                <w:color w:val="000000"/>
                <w:sz w:val="26"/>
                <w:szCs w:val="26"/>
              </w:rPr>
            </w:pPr>
            <w:r w:rsidRPr="00D63483">
              <w:rPr>
                <w:rFonts w:eastAsia="標楷體" w:hint="eastAsia"/>
                <w:color w:val="000000"/>
                <w:sz w:val="26"/>
                <w:szCs w:val="26"/>
              </w:rPr>
              <w:t>TII</w:t>
            </w:r>
          </w:p>
        </w:tc>
        <w:tc>
          <w:tcPr>
            <w:tcW w:w="1079" w:type="dxa"/>
            <w:vMerge/>
            <w:shd w:val="clear" w:color="auto" w:fill="FFFFFF"/>
            <w:vAlign w:val="center"/>
          </w:tcPr>
          <w:p w:rsidR="0032590C" w:rsidRDefault="0032590C" w:rsidP="00965AF0">
            <w:pPr>
              <w:spacing w:beforeLines="25" w:before="60" w:afterLines="25" w:after="60"/>
              <w:jc w:val="center"/>
              <w:rPr>
                <w:rFonts w:eastAsia="標楷體"/>
                <w:sz w:val="26"/>
                <w:szCs w:val="26"/>
              </w:rPr>
            </w:pPr>
          </w:p>
        </w:tc>
        <w:tc>
          <w:tcPr>
            <w:tcW w:w="3167" w:type="dxa"/>
            <w:vMerge/>
            <w:shd w:val="clear" w:color="auto" w:fill="FFFFFF"/>
            <w:vAlign w:val="center"/>
          </w:tcPr>
          <w:p w:rsidR="0032590C" w:rsidRDefault="0032590C" w:rsidP="00965AF0">
            <w:pPr>
              <w:spacing w:beforeLines="25" w:before="60" w:afterLines="25" w:after="60"/>
              <w:jc w:val="both"/>
              <w:rPr>
                <w:rFonts w:eastAsia="標楷體"/>
                <w:sz w:val="26"/>
                <w:szCs w:val="26"/>
              </w:rPr>
            </w:pPr>
          </w:p>
        </w:tc>
      </w:tr>
      <w:tr w:rsidR="00880A9F" w:rsidRPr="00EA272E">
        <w:trPr>
          <w:trHeight w:val="903"/>
          <w:tblHeader/>
          <w:jc w:val="right"/>
        </w:trPr>
        <w:tc>
          <w:tcPr>
            <w:tcW w:w="1533" w:type="dxa"/>
            <w:shd w:val="clear" w:color="auto" w:fill="FFFFFF"/>
            <w:vAlign w:val="center"/>
          </w:tcPr>
          <w:p w:rsidR="0032590C" w:rsidRDefault="00880A9F" w:rsidP="00965AF0">
            <w:pPr>
              <w:spacing w:beforeLines="25" w:before="60" w:afterLines="25" w:after="60"/>
              <w:jc w:val="center"/>
              <w:rPr>
                <w:rFonts w:eastAsia="標楷體"/>
                <w:sz w:val="26"/>
                <w:szCs w:val="26"/>
              </w:rPr>
            </w:pPr>
            <w:r w:rsidRPr="00D63483">
              <w:rPr>
                <w:rFonts w:eastAsia="標楷體" w:hint="eastAsia"/>
                <w:sz w:val="26"/>
                <w:szCs w:val="26"/>
              </w:rPr>
              <w:t>服務之提供</w:t>
            </w:r>
          </w:p>
        </w:tc>
        <w:tc>
          <w:tcPr>
            <w:tcW w:w="840" w:type="dxa"/>
            <w:shd w:val="clear" w:color="auto" w:fill="FFFFFF"/>
            <w:vAlign w:val="center"/>
          </w:tcPr>
          <w:p w:rsidR="0032590C" w:rsidRDefault="00880A9F" w:rsidP="00965AF0">
            <w:pPr>
              <w:spacing w:beforeLines="25" w:before="60" w:afterLines="25" w:after="60"/>
              <w:jc w:val="center"/>
              <w:rPr>
                <w:rFonts w:eastAsia="標楷體"/>
                <w:sz w:val="26"/>
                <w:szCs w:val="26"/>
              </w:rPr>
            </w:pPr>
            <w:r>
              <w:rPr>
                <w:rFonts w:eastAsia="標楷體" w:hint="eastAsia"/>
                <w:color w:val="000000"/>
                <w:sz w:val="26"/>
                <w:szCs w:val="26"/>
              </w:rPr>
              <w:t>提供產品服務</w:t>
            </w:r>
          </w:p>
        </w:tc>
        <w:tc>
          <w:tcPr>
            <w:tcW w:w="1560" w:type="dxa"/>
            <w:shd w:val="clear" w:color="auto" w:fill="FFFFFF"/>
            <w:vAlign w:val="center"/>
          </w:tcPr>
          <w:p w:rsidR="0032590C" w:rsidRDefault="00880A9F" w:rsidP="00965AF0">
            <w:pPr>
              <w:spacing w:beforeLines="25" w:before="60" w:afterLines="25" w:after="60"/>
              <w:jc w:val="center"/>
              <w:rPr>
                <w:rFonts w:eastAsia="標楷體"/>
                <w:sz w:val="26"/>
                <w:szCs w:val="26"/>
              </w:rPr>
            </w:pPr>
            <w:r w:rsidRPr="00D63483">
              <w:rPr>
                <w:rFonts w:eastAsia="標楷體" w:hint="eastAsia"/>
                <w:sz w:val="26"/>
                <w:szCs w:val="26"/>
              </w:rPr>
              <w:t>母公司</w:t>
            </w:r>
          </w:p>
        </w:tc>
        <w:tc>
          <w:tcPr>
            <w:tcW w:w="1079" w:type="dxa"/>
            <w:vMerge/>
            <w:shd w:val="clear" w:color="auto" w:fill="FFFFFF"/>
            <w:vAlign w:val="center"/>
          </w:tcPr>
          <w:p w:rsidR="0032590C" w:rsidRDefault="0032590C" w:rsidP="00965AF0">
            <w:pPr>
              <w:spacing w:beforeLines="25" w:before="60" w:afterLines="25" w:after="60"/>
              <w:jc w:val="center"/>
              <w:rPr>
                <w:rFonts w:eastAsia="標楷體"/>
                <w:sz w:val="26"/>
                <w:szCs w:val="26"/>
              </w:rPr>
            </w:pPr>
          </w:p>
        </w:tc>
        <w:tc>
          <w:tcPr>
            <w:tcW w:w="3167" w:type="dxa"/>
            <w:vMerge/>
            <w:shd w:val="clear" w:color="auto" w:fill="FFFFFF"/>
            <w:vAlign w:val="center"/>
          </w:tcPr>
          <w:p w:rsidR="0032590C" w:rsidRDefault="0032590C" w:rsidP="00965AF0">
            <w:pPr>
              <w:spacing w:beforeLines="25" w:before="60" w:afterLines="25" w:after="60"/>
              <w:jc w:val="both"/>
              <w:rPr>
                <w:rFonts w:eastAsia="標楷體"/>
                <w:sz w:val="26"/>
                <w:szCs w:val="26"/>
              </w:rPr>
            </w:pPr>
          </w:p>
        </w:tc>
      </w:tr>
    </w:tbl>
    <w:p w:rsidR="0032590C" w:rsidRDefault="00051C9B" w:rsidP="00965AF0">
      <w:pPr>
        <w:pStyle w:val="3"/>
        <w:numPr>
          <w:ilvl w:val="0"/>
          <w:numId w:val="58"/>
        </w:numPr>
        <w:spacing w:beforeLines="50" w:before="120" w:afterLines="50" w:after="120" w:line="360" w:lineRule="auto"/>
        <w:jc w:val="both"/>
        <w:rPr>
          <w:rFonts w:ascii="Times New Roman" w:eastAsia="標楷體" w:hAnsi="Times New Roman"/>
          <w:sz w:val="32"/>
          <w:szCs w:val="26"/>
        </w:rPr>
      </w:pPr>
      <w:r w:rsidRPr="00A57745">
        <w:rPr>
          <w:rFonts w:ascii="Times New Roman" w:eastAsia="標楷體" w:hAnsi="Times New Roman" w:hint="eastAsia"/>
          <w:sz w:val="32"/>
          <w:szCs w:val="26"/>
        </w:rPr>
        <w:t>選定與受測個體及受測活動相似之可比較未受控交易</w:t>
      </w:r>
    </w:p>
    <w:p w:rsidR="0032590C" w:rsidRDefault="00A2350C" w:rsidP="00965AF0">
      <w:pPr>
        <w:spacing w:beforeLines="50" w:before="120" w:afterLines="50" w:after="120" w:line="360" w:lineRule="auto"/>
        <w:ind w:leftChars="200" w:left="480" w:firstLineChars="200" w:firstLine="520"/>
        <w:jc w:val="both"/>
        <w:rPr>
          <w:rFonts w:eastAsia="標楷體"/>
          <w:sz w:val="26"/>
          <w:szCs w:val="26"/>
        </w:rPr>
      </w:pPr>
      <w:r w:rsidRPr="006B74CC">
        <w:rPr>
          <w:rFonts w:eastAsia="標楷體" w:hint="eastAsia"/>
          <w:sz w:val="26"/>
          <w:szCs w:val="26"/>
        </w:rPr>
        <w:t>本步驟之執行已於本報告第捌章依移轉訂價查核準則規定辦理。</w:t>
      </w:r>
    </w:p>
    <w:p w:rsidR="0032590C" w:rsidRDefault="00A2350C" w:rsidP="00965AF0">
      <w:pPr>
        <w:pStyle w:val="32"/>
        <w:spacing w:beforeLines="50" w:before="120" w:afterLines="50" w:after="120" w:line="360" w:lineRule="auto"/>
        <w:ind w:leftChars="200" w:left="480" w:firstLineChars="200" w:firstLine="520"/>
        <w:jc w:val="both"/>
        <w:rPr>
          <w:szCs w:val="26"/>
        </w:rPr>
      </w:pPr>
      <w:r w:rsidRPr="00A2350C">
        <w:rPr>
          <w:rFonts w:hint="eastAsia"/>
          <w:szCs w:val="26"/>
        </w:rPr>
        <w:t>可比較利潤法對產品本身的可比較性要求遠小於可比較未受控價格</w:t>
      </w:r>
      <w:r w:rsidR="0053574B" w:rsidRPr="00576284">
        <w:rPr>
          <w:rFonts w:hint="eastAsia"/>
          <w:szCs w:val="26"/>
        </w:rPr>
        <w:t>/</w:t>
      </w:r>
      <w:r w:rsidR="0053574B" w:rsidRPr="00576284">
        <w:rPr>
          <w:rFonts w:hint="eastAsia"/>
          <w:szCs w:val="26"/>
        </w:rPr>
        <w:t>交易</w:t>
      </w:r>
      <w:r w:rsidRPr="00576284">
        <w:rPr>
          <w:rFonts w:hint="eastAsia"/>
          <w:szCs w:val="26"/>
        </w:rPr>
        <w:t>法</w:t>
      </w:r>
      <w:r w:rsidR="0053574B" w:rsidRPr="00576284">
        <w:rPr>
          <w:rFonts w:hint="eastAsia"/>
          <w:color w:val="000000"/>
          <w:szCs w:val="26"/>
        </w:rPr>
        <w:t>、再售價格法與成本加價法等傳統</w:t>
      </w:r>
      <w:r w:rsidR="00576284" w:rsidRPr="00576284">
        <w:rPr>
          <w:rFonts w:hint="eastAsia"/>
          <w:color w:val="000000"/>
          <w:szCs w:val="26"/>
        </w:rPr>
        <w:t>交易</w:t>
      </w:r>
      <w:r w:rsidR="0053574B" w:rsidRPr="00576284">
        <w:rPr>
          <w:rFonts w:hint="eastAsia"/>
          <w:color w:val="000000"/>
          <w:szCs w:val="26"/>
        </w:rPr>
        <w:t>法</w:t>
      </w:r>
      <w:r w:rsidRPr="00A2350C">
        <w:rPr>
          <w:rFonts w:hint="eastAsia"/>
          <w:szCs w:val="26"/>
        </w:rPr>
        <w:t>，對於可比較對象執行功能及承擔風險之可比較性要求也較低。本所依</w:t>
      </w:r>
      <w:r w:rsidRPr="00D86529">
        <w:rPr>
          <w:rFonts w:hint="eastAsia"/>
          <w:szCs w:val="26"/>
        </w:rPr>
        <w:t>受測個體於受控交易中之企業個體角色，為其於資料庫中蒐尋可比較對象</w:t>
      </w:r>
      <w:r w:rsidRPr="00A2350C">
        <w:rPr>
          <w:rFonts w:hint="eastAsia"/>
          <w:szCs w:val="26"/>
        </w:rPr>
        <w:t>。</w:t>
      </w:r>
    </w:p>
    <w:tbl>
      <w:tblPr>
        <w:tblW w:w="8206" w:type="dxa"/>
        <w:jc w:val="right"/>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687"/>
        <w:gridCol w:w="1432"/>
        <w:gridCol w:w="2041"/>
        <w:gridCol w:w="1320"/>
        <w:gridCol w:w="1726"/>
      </w:tblGrid>
      <w:tr w:rsidR="00F21A8C" w:rsidRPr="00A2350C">
        <w:trPr>
          <w:trHeight w:val="268"/>
          <w:tblHeader/>
          <w:jc w:val="right"/>
        </w:trPr>
        <w:tc>
          <w:tcPr>
            <w:tcW w:w="5160" w:type="dxa"/>
            <w:gridSpan w:val="3"/>
            <w:shd w:val="clear" w:color="auto" w:fill="4F81BD"/>
            <w:vAlign w:val="center"/>
          </w:tcPr>
          <w:p w:rsidR="00457408" w:rsidRDefault="00F21A8C" w:rsidP="004718FB">
            <w:pPr>
              <w:spacing w:before="60" w:after="60"/>
              <w:jc w:val="center"/>
              <w:rPr>
                <w:rFonts w:eastAsia="標楷體"/>
                <w:color w:val="FFFFFF"/>
                <w:sz w:val="26"/>
                <w:szCs w:val="26"/>
              </w:rPr>
            </w:pPr>
            <w:r w:rsidRPr="00A2350C">
              <w:rPr>
                <w:rFonts w:eastAsia="標楷體" w:hint="eastAsia"/>
                <w:color w:val="FFFFFF"/>
                <w:sz w:val="26"/>
                <w:szCs w:val="26"/>
              </w:rPr>
              <w:t>受測活動</w:t>
            </w:r>
          </w:p>
        </w:tc>
        <w:tc>
          <w:tcPr>
            <w:tcW w:w="1320" w:type="dxa"/>
            <w:vMerge w:val="restart"/>
            <w:shd w:val="clear" w:color="auto" w:fill="4F81BD"/>
            <w:vAlign w:val="center"/>
          </w:tcPr>
          <w:p w:rsidR="00457408" w:rsidRDefault="00F21A8C" w:rsidP="004718FB">
            <w:pPr>
              <w:spacing w:before="60" w:after="60"/>
              <w:jc w:val="center"/>
              <w:rPr>
                <w:rFonts w:eastAsia="標楷體"/>
                <w:color w:val="FFFFFF"/>
                <w:sz w:val="26"/>
                <w:szCs w:val="26"/>
              </w:rPr>
            </w:pPr>
            <w:r w:rsidRPr="00A2350C">
              <w:rPr>
                <w:rFonts w:eastAsia="標楷體" w:hint="eastAsia"/>
                <w:color w:val="FFFFFF"/>
                <w:sz w:val="26"/>
                <w:szCs w:val="26"/>
              </w:rPr>
              <w:t>受測</w:t>
            </w:r>
          </w:p>
          <w:p w:rsidR="00457408" w:rsidRDefault="00F21A8C" w:rsidP="004718FB">
            <w:pPr>
              <w:spacing w:before="60" w:after="60"/>
              <w:jc w:val="center"/>
              <w:rPr>
                <w:rFonts w:eastAsia="標楷體"/>
                <w:color w:val="FFFFFF"/>
                <w:sz w:val="26"/>
                <w:szCs w:val="26"/>
              </w:rPr>
            </w:pPr>
            <w:r w:rsidRPr="00A2350C">
              <w:rPr>
                <w:rFonts w:eastAsia="標楷體" w:hint="eastAsia"/>
                <w:color w:val="FFFFFF"/>
                <w:sz w:val="26"/>
                <w:szCs w:val="26"/>
              </w:rPr>
              <w:t>個體</w:t>
            </w:r>
          </w:p>
        </w:tc>
        <w:tc>
          <w:tcPr>
            <w:tcW w:w="1726" w:type="dxa"/>
            <w:vMerge w:val="restart"/>
            <w:shd w:val="clear" w:color="auto" w:fill="4F81BD"/>
            <w:vAlign w:val="center"/>
          </w:tcPr>
          <w:p w:rsidR="00457408" w:rsidRDefault="00F21A8C" w:rsidP="004718FB">
            <w:pPr>
              <w:spacing w:before="60" w:after="60"/>
              <w:jc w:val="center"/>
              <w:rPr>
                <w:rFonts w:eastAsia="標楷體"/>
                <w:color w:val="FFFFFF"/>
                <w:sz w:val="26"/>
                <w:szCs w:val="26"/>
              </w:rPr>
            </w:pPr>
            <w:r>
              <w:rPr>
                <w:rFonts w:eastAsia="標楷體" w:hint="eastAsia"/>
                <w:color w:val="FFFFFF"/>
                <w:sz w:val="26"/>
                <w:szCs w:val="26"/>
              </w:rPr>
              <w:t>企業定位</w:t>
            </w:r>
          </w:p>
        </w:tc>
      </w:tr>
      <w:tr w:rsidR="00F21A8C" w:rsidRPr="00A2350C">
        <w:trPr>
          <w:trHeight w:val="385"/>
          <w:tblHeader/>
          <w:jc w:val="right"/>
        </w:trPr>
        <w:tc>
          <w:tcPr>
            <w:tcW w:w="1687" w:type="dxa"/>
            <w:shd w:val="clear" w:color="auto" w:fill="4F81BD"/>
            <w:vAlign w:val="center"/>
          </w:tcPr>
          <w:p w:rsidR="00457408" w:rsidRDefault="00F21A8C" w:rsidP="004718FB">
            <w:pPr>
              <w:spacing w:before="60" w:after="60"/>
              <w:jc w:val="center"/>
              <w:rPr>
                <w:rFonts w:eastAsia="標楷體"/>
                <w:color w:val="FFFFFF"/>
                <w:sz w:val="26"/>
                <w:szCs w:val="26"/>
              </w:rPr>
            </w:pPr>
            <w:r w:rsidRPr="00A2350C">
              <w:rPr>
                <w:rFonts w:eastAsia="標楷體" w:hint="eastAsia"/>
                <w:color w:val="FFFFFF"/>
                <w:sz w:val="26"/>
                <w:szCs w:val="26"/>
              </w:rPr>
              <w:t>受控交易</w:t>
            </w:r>
          </w:p>
          <w:p w:rsidR="00457408" w:rsidRDefault="00F21A8C" w:rsidP="004718FB">
            <w:pPr>
              <w:spacing w:before="60" w:after="60"/>
              <w:jc w:val="center"/>
              <w:rPr>
                <w:rFonts w:eastAsia="標楷體"/>
                <w:color w:val="FFFFFF"/>
                <w:sz w:val="26"/>
                <w:szCs w:val="26"/>
              </w:rPr>
            </w:pPr>
            <w:r w:rsidRPr="00A2350C">
              <w:rPr>
                <w:rFonts w:eastAsia="標楷體" w:hint="eastAsia"/>
                <w:color w:val="FFFFFF"/>
                <w:sz w:val="26"/>
                <w:szCs w:val="26"/>
              </w:rPr>
              <w:t>類型</w:t>
            </w:r>
          </w:p>
        </w:tc>
        <w:tc>
          <w:tcPr>
            <w:tcW w:w="1432" w:type="dxa"/>
            <w:shd w:val="clear" w:color="auto" w:fill="4F81BD"/>
            <w:vAlign w:val="center"/>
          </w:tcPr>
          <w:p w:rsidR="00457408" w:rsidRDefault="00F21A8C" w:rsidP="004718FB">
            <w:pPr>
              <w:spacing w:before="60" w:after="60"/>
              <w:jc w:val="center"/>
              <w:rPr>
                <w:rFonts w:eastAsia="標楷體"/>
                <w:color w:val="FFFFFF"/>
                <w:sz w:val="26"/>
                <w:szCs w:val="26"/>
              </w:rPr>
            </w:pPr>
            <w:r w:rsidRPr="00A2350C">
              <w:rPr>
                <w:rFonts w:eastAsia="標楷體" w:hint="eastAsia"/>
                <w:color w:val="FFFFFF"/>
                <w:sz w:val="26"/>
                <w:szCs w:val="26"/>
              </w:rPr>
              <w:t>明細</w:t>
            </w:r>
          </w:p>
        </w:tc>
        <w:tc>
          <w:tcPr>
            <w:tcW w:w="2041" w:type="dxa"/>
            <w:shd w:val="clear" w:color="auto" w:fill="4F81BD"/>
            <w:vAlign w:val="center"/>
          </w:tcPr>
          <w:p w:rsidR="00457408" w:rsidRDefault="00F21A8C" w:rsidP="004718FB">
            <w:pPr>
              <w:spacing w:before="60" w:after="60"/>
              <w:jc w:val="center"/>
              <w:rPr>
                <w:rFonts w:eastAsia="標楷體"/>
                <w:color w:val="FFFFFF"/>
                <w:sz w:val="26"/>
                <w:szCs w:val="26"/>
              </w:rPr>
            </w:pPr>
            <w:r w:rsidRPr="00A2350C">
              <w:rPr>
                <w:rFonts w:eastAsia="標楷體" w:hint="eastAsia"/>
                <w:color w:val="FFFFFF"/>
                <w:sz w:val="26"/>
                <w:szCs w:val="26"/>
              </w:rPr>
              <w:t>交易對象</w:t>
            </w:r>
          </w:p>
        </w:tc>
        <w:tc>
          <w:tcPr>
            <w:tcW w:w="1320" w:type="dxa"/>
            <w:vMerge/>
            <w:shd w:val="clear" w:color="auto" w:fill="4F81BD"/>
            <w:vAlign w:val="center"/>
          </w:tcPr>
          <w:p w:rsidR="00457408" w:rsidRDefault="00457408" w:rsidP="004718FB">
            <w:pPr>
              <w:spacing w:before="60" w:after="60"/>
              <w:jc w:val="center"/>
              <w:rPr>
                <w:rFonts w:eastAsia="標楷體"/>
                <w:color w:val="FFFFFF"/>
                <w:sz w:val="26"/>
                <w:szCs w:val="26"/>
              </w:rPr>
            </w:pPr>
          </w:p>
        </w:tc>
        <w:tc>
          <w:tcPr>
            <w:tcW w:w="1726" w:type="dxa"/>
            <w:vMerge/>
            <w:shd w:val="clear" w:color="auto" w:fill="4F81BD"/>
            <w:vAlign w:val="center"/>
          </w:tcPr>
          <w:p w:rsidR="00457408" w:rsidRDefault="00457408" w:rsidP="004718FB">
            <w:pPr>
              <w:spacing w:before="60" w:after="60"/>
              <w:jc w:val="center"/>
              <w:rPr>
                <w:rFonts w:eastAsia="標楷體"/>
                <w:color w:val="FFFFFF"/>
                <w:sz w:val="26"/>
                <w:szCs w:val="26"/>
              </w:rPr>
            </w:pPr>
          </w:p>
        </w:tc>
      </w:tr>
      <w:tr w:rsidR="00FA50BE" w:rsidRPr="00EA272E">
        <w:trPr>
          <w:trHeight w:val="569"/>
          <w:tblHeader/>
          <w:jc w:val="right"/>
        </w:trPr>
        <w:tc>
          <w:tcPr>
            <w:tcW w:w="1687" w:type="dxa"/>
            <w:vMerge w:val="restart"/>
            <w:shd w:val="clear" w:color="auto" w:fill="FFFFFF"/>
            <w:vAlign w:val="center"/>
          </w:tcPr>
          <w:p w:rsidR="00FA50BE" w:rsidRPr="00D63483" w:rsidRDefault="00FA50BE" w:rsidP="00965AF0">
            <w:pPr>
              <w:spacing w:beforeLines="25" w:before="60" w:afterLines="25" w:after="60"/>
              <w:jc w:val="center"/>
              <w:rPr>
                <w:rFonts w:eastAsia="標楷體"/>
                <w:color w:val="000000"/>
                <w:sz w:val="26"/>
                <w:szCs w:val="26"/>
              </w:rPr>
            </w:pPr>
            <w:r w:rsidRPr="00D63483">
              <w:rPr>
                <w:rFonts w:eastAsia="標楷體" w:hint="eastAsia"/>
                <w:color w:val="000000"/>
                <w:sz w:val="26"/>
                <w:szCs w:val="26"/>
              </w:rPr>
              <w:t>有形資產之移轉</w:t>
            </w:r>
          </w:p>
        </w:tc>
        <w:tc>
          <w:tcPr>
            <w:tcW w:w="1432" w:type="dxa"/>
            <w:vMerge w:val="restart"/>
            <w:shd w:val="clear" w:color="auto" w:fill="FFFFFF"/>
            <w:vAlign w:val="center"/>
          </w:tcPr>
          <w:p w:rsidR="0032590C" w:rsidRDefault="00FA50BE" w:rsidP="00965AF0">
            <w:pPr>
              <w:spacing w:beforeLines="25" w:before="60" w:afterLines="25" w:after="60"/>
              <w:jc w:val="center"/>
              <w:rPr>
                <w:rFonts w:eastAsia="標楷體"/>
                <w:color w:val="000000"/>
                <w:sz w:val="26"/>
                <w:szCs w:val="26"/>
              </w:rPr>
            </w:pPr>
            <w:r w:rsidRPr="00D63483">
              <w:rPr>
                <w:rFonts w:eastAsia="標楷體" w:hint="eastAsia"/>
                <w:color w:val="000000"/>
                <w:sz w:val="26"/>
                <w:szCs w:val="26"/>
              </w:rPr>
              <w:t>進貨</w:t>
            </w:r>
          </w:p>
        </w:tc>
        <w:tc>
          <w:tcPr>
            <w:tcW w:w="2041" w:type="dxa"/>
            <w:shd w:val="clear" w:color="auto" w:fill="FFFFFF"/>
            <w:vAlign w:val="center"/>
          </w:tcPr>
          <w:p w:rsidR="0032590C" w:rsidRDefault="00FA50BE" w:rsidP="00965AF0">
            <w:pPr>
              <w:spacing w:beforeLines="25" w:before="60" w:afterLines="25" w:after="60"/>
              <w:jc w:val="center"/>
              <w:rPr>
                <w:rFonts w:eastAsia="標楷體"/>
                <w:color w:val="000000"/>
                <w:sz w:val="26"/>
                <w:szCs w:val="26"/>
              </w:rPr>
            </w:pPr>
            <w:r>
              <w:rPr>
                <w:rFonts w:eastAsia="標楷體" w:hint="eastAsia"/>
                <w:color w:val="000000"/>
                <w:sz w:val="26"/>
                <w:szCs w:val="26"/>
              </w:rPr>
              <w:t>TIS</w:t>
            </w:r>
          </w:p>
        </w:tc>
        <w:tc>
          <w:tcPr>
            <w:tcW w:w="1320" w:type="dxa"/>
            <w:vMerge w:val="restart"/>
            <w:shd w:val="clear" w:color="auto" w:fill="FFFFFF"/>
            <w:vAlign w:val="center"/>
          </w:tcPr>
          <w:p w:rsidR="0032590C" w:rsidRDefault="00FA50BE" w:rsidP="00965AF0">
            <w:pPr>
              <w:spacing w:beforeLines="25" w:before="60" w:afterLines="25" w:after="60"/>
              <w:jc w:val="center"/>
              <w:rPr>
                <w:rFonts w:eastAsia="標楷體"/>
                <w:color w:val="000000"/>
                <w:sz w:val="26"/>
                <w:szCs w:val="26"/>
              </w:rPr>
            </w:pPr>
            <w:r w:rsidRPr="00D63483">
              <w:rPr>
                <w:rFonts w:eastAsia="標楷體" w:hint="eastAsia"/>
                <w:color w:val="000000"/>
                <w:sz w:val="26"/>
                <w:szCs w:val="26"/>
              </w:rPr>
              <w:t>太克</w:t>
            </w:r>
          </w:p>
          <w:p w:rsidR="0032590C" w:rsidRDefault="00FA50BE" w:rsidP="00965AF0">
            <w:pPr>
              <w:spacing w:beforeLines="25" w:before="60" w:afterLines="25" w:after="60"/>
              <w:jc w:val="center"/>
              <w:rPr>
                <w:rFonts w:eastAsia="標楷體"/>
                <w:color w:val="000000"/>
                <w:sz w:val="26"/>
                <w:szCs w:val="26"/>
              </w:rPr>
            </w:pPr>
            <w:r w:rsidRPr="00D63483">
              <w:rPr>
                <w:rFonts w:eastAsia="標楷體" w:hint="eastAsia"/>
                <w:color w:val="000000"/>
                <w:sz w:val="26"/>
                <w:szCs w:val="26"/>
              </w:rPr>
              <w:t>科技</w:t>
            </w:r>
          </w:p>
        </w:tc>
        <w:tc>
          <w:tcPr>
            <w:tcW w:w="1726" w:type="dxa"/>
            <w:vMerge w:val="restart"/>
            <w:shd w:val="clear" w:color="auto" w:fill="FFFFFF"/>
            <w:vAlign w:val="center"/>
          </w:tcPr>
          <w:p w:rsidR="0032590C" w:rsidRDefault="00FA50BE" w:rsidP="00965AF0">
            <w:pPr>
              <w:spacing w:beforeLines="25" w:before="60" w:afterLines="25" w:after="60"/>
              <w:jc w:val="center"/>
              <w:rPr>
                <w:rFonts w:eastAsia="標楷體"/>
                <w:color w:val="000000"/>
                <w:sz w:val="26"/>
                <w:szCs w:val="26"/>
              </w:rPr>
            </w:pPr>
            <w:r w:rsidRPr="00D63483">
              <w:rPr>
                <w:rFonts w:eastAsia="標楷體" w:hint="eastAsia"/>
                <w:color w:val="000000"/>
                <w:sz w:val="26"/>
                <w:szCs w:val="26"/>
              </w:rPr>
              <w:t>有限功能</w:t>
            </w:r>
          </w:p>
          <w:p w:rsidR="0032590C" w:rsidRDefault="00FA50BE" w:rsidP="00965AF0">
            <w:pPr>
              <w:spacing w:beforeLines="25" w:before="60" w:afterLines="25" w:after="60"/>
              <w:jc w:val="center"/>
              <w:rPr>
                <w:rFonts w:eastAsia="標楷體"/>
                <w:color w:val="000000"/>
                <w:sz w:val="26"/>
                <w:szCs w:val="26"/>
              </w:rPr>
            </w:pPr>
            <w:r w:rsidRPr="00D63483">
              <w:rPr>
                <w:rFonts w:eastAsia="標楷體" w:hint="eastAsia"/>
                <w:color w:val="000000"/>
                <w:sz w:val="26"/>
                <w:szCs w:val="26"/>
              </w:rPr>
              <w:t>配銷商</w:t>
            </w:r>
          </w:p>
        </w:tc>
      </w:tr>
      <w:tr w:rsidR="00FA50BE" w:rsidRPr="00EA272E">
        <w:trPr>
          <w:trHeight w:val="140"/>
          <w:tblHeader/>
          <w:jc w:val="right"/>
        </w:trPr>
        <w:tc>
          <w:tcPr>
            <w:tcW w:w="1687" w:type="dxa"/>
            <w:vMerge/>
            <w:shd w:val="clear" w:color="auto" w:fill="FFFFFF"/>
            <w:vAlign w:val="center"/>
          </w:tcPr>
          <w:p w:rsidR="0032590C" w:rsidRDefault="0032590C" w:rsidP="00965AF0">
            <w:pPr>
              <w:spacing w:beforeLines="25" w:before="60" w:afterLines="25" w:after="60"/>
              <w:jc w:val="center"/>
              <w:rPr>
                <w:rFonts w:eastAsia="標楷體"/>
                <w:color w:val="000000"/>
                <w:sz w:val="26"/>
                <w:szCs w:val="26"/>
              </w:rPr>
            </w:pPr>
          </w:p>
        </w:tc>
        <w:tc>
          <w:tcPr>
            <w:tcW w:w="1432" w:type="dxa"/>
            <w:vMerge/>
            <w:shd w:val="clear" w:color="auto" w:fill="FFFFFF"/>
            <w:vAlign w:val="center"/>
          </w:tcPr>
          <w:p w:rsidR="0032590C" w:rsidRDefault="0032590C" w:rsidP="00965AF0">
            <w:pPr>
              <w:spacing w:beforeLines="25" w:before="60" w:afterLines="25" w:after="60"/>
              <w:jc w:val="center"/>
              <w:rPr>
                <w:rFonts w:eastAsia="標楷體"/>
                <w:color w:val="000000"/>
                <w:sz w:val="26"/>
                <w:szCs w:val="26"/>
              </w:rPr>
            </w:pPr>
          </w:p>
        </w:tc>
        <w:tc>
          <w:tcPr>
            <w:tcW w:w="2041" w:type="dxa"/>
            <w:shd w:val="clear" w:color="auto" w:fill="FFFFFF"/>
            <w:vAlign w:val="center"/>
          </w:tcPr>
          <w:p w:rsidR="0032590C" w:rsidRDefault="00170E4C" w:rsidP="00965AF0">
            <w:pPr>
              <w:spacing w:beforeLines="25" w:before="60" w:afterLines="25" w:after="60"/>
              <w:jc w:val="center"/>
              <w:rPr>
                <w:rFonts w:eastAsia="標楷體"/>
                <w:color w:val="000000"/>
                <w:sz w:val="26"/>
                <w:szCs w:val="26"/>
              </w:rPr>
            </w:pPr>
            <w:r>
              <w:rPr>
                <w:rFonts w:eastAsia="標楷體" w:hint="eastAsia"/>
                <w:color w:val="000000"/>
                <w:sz w:val="26"/>
                <w:szCs w:val="26"/>
              </w:rPr>
              <w:t>TCT</w:t>
            </w:r>
          </w:p>
        </w:tc>
        <w:tc>
          <w:tcPr>
            <w:tcW w:w="1320" w:type="dxa"/>
            <w:vMerge/>
            <w:shd w:val="clear" w:color="auto" w:fill="FFFFFF"/>
            <w:vAlign w:val="center"/>
          </w:tcPr>
          <w:p w:rsidR="0032590C" w:rsidRDefault="0032590C" w:rsidP="00965AF0">
            <w:pPr>
              <w:spacing w:beforeLines="25" w:before="60" w:afterLines="25" w:after="60"/>
              <w:jc w:val="center"/>
              <w:rPr>
                <w:rFonts w:eastAsia="標楷體"/>
                <w:color w:val="000000"/>
                <w:sz w:val="26"/>
                <w:szCs w:val="26"/>
              </w:rPr>
            </w:pPr>
          </w:p>
        </w:tc>
        <w:tc>
          <w:tcPr>
            <w:tcW w:w="1726" w:type="dxa"/>
            <w:vMerge/>
            <w:shd w:val="clear" w:color="auto" w:fill="FFFFFF"/>
            <w:vAlign w:val="center"/>
          </w:tcPr>
          <w:p w:rsidR="0032590C" w:rsidRDefault="0032590C" w:rsidP="00965AF0">
            <w:pPr>
              <w:spacing w:beforeLines="25" w:before="60" w:afterLines="25" w:after="60"/>
              <w:jc w:val="center"/>
              <w:rPr>
                <w:rFonts w:eastAsia="標楷體"/>
                <w:color w:val="000000"/>
                <w:sz w:val="26"/>
                <w:szCs w:val="26"/>
              </w:rPr>
            </w:pPr>
          </w:p>
        </w:tc>
      </w:tr>
      <w:tr w:rsidR="00FA50BE" w:rsidRPr="00EA272E">
        <w:trPr>
          <w:trHeight w:val="140"/>
          <w:tblHeader/>
          <w:jc w:val="right"/>
        </w:trPr>
        <w:tc>
          <w:tcPr>
            <w:tcW w:w="1687" w:type="dxa"/>
            <w:vMerge/>
            <w:shd w:val="clear" w:color="auto" w:fill="FFFFFF"/>
            <w:vAlign w:val="center"/>
          </w:tcPr>
          <w:p w:rsidR="0032590C" w:rsidRDefault="0032590C" w:rsidP="00965AF0">
            <w:pPr>
              <w:spacing w:beforeLines="25" w:before="60" w:afterLines="25" w:after="60"/>
              <w:jc w:val="center"/>
              <w:rPr>
                <w:rFonts w:eastAsia="標楷體"/>
                <w:color w:val="000000"/>
                <w:sz w:val="26"/>
                <w:szCs w:val="26"/>
              </w:rPr>
            </w:pPr>
          </w:p>
        </w:tc>
        <w:tc>
          <w:tcPr>
            <w:tcW w:w="1432" w:type="dxa"/>
            <w:vMerge/>
            <w:shd w:val="clear" w:color="auto" w:fill="FFFFFF"/>
            <w:vAlign w:val="center"/>
          </w:tcPr>
          <w:p w:rsidR="0032590C" w:rsidRDefault="0032590C" w:rsidP="00965AF0">
            <w:pPr>
              <w:spacing w:beforeLines="25" w:before="60" w:afterLines="25" w:after="60"/>
              <w:jc w:val="center"/>
              <w:rPr>
                <w:rFonts w:eastAsia="標楷體"/>
                <w:color w:val="000000"/>
                <w:sz w:val="26"/>
                <w:szCs w:val="26"/>
              </w:rPr>
            </w:pPr>
          </w:p>
        </w:tc>
        <w:tc>
          <w:tcPr>
            <w:tcW w:w="2041" w:type="dxa"/>
            <w:shd w:val="clear" w:color="auto" w:fill="FFFFFF"/>
            <w:vAlign w:val="center"/>
          </w:tcPr>
          <w:p w:rsidR="0032590C" w:rsidRDefault="00675FCB" w:rsidP="00965AF0">
            <w:pPr>
              <w:spacing w:beforeLines="25" w:before="60" w:afterLines="25" w:after="60"/>
              <w:jc w:val="center"/>
              <w:rPr>
                <w:rFonts w:eastAsia="標楷體"/>
                <w:color w:val="000000"/>
                <w:sz w:val="26"/>
                <w:szCs w:val="26"/>
              </w:rPr>
            </w:pPr>
            <w:r>
              <w:rPr>
                <w:rFonts w:eastAsia="標楷體" w:hint="eastAsia"/>
                <w:sz w:val="26"/>
                <w:szCs w:val="26"/>
              </w:rPr>
              <w:t>Fluke SEA</w:t>
            </w:r>
          </w:p>
        </w:tc>
        <w:tc>
          <w:tcPr>
            <w:tcW w:w="1320" w:type="dxa"/>
            <w:vMerge/>
            <w:shd w:val="clear" w:color="auto" w:fill="FFFFFF"/>
            <w:vAlign w:val="center"/>
          </w:tcPr>
          <w:p w:rsidR="0032590C" w:rsidRDefault="0032590C" w:rsidP="00965AF0">
            <w:pPr>
              <w:spacing w:beforeLines="25" w:before="60" w:afterLines="25" w:after="60"/>
              <w:jc w:val="center"/>
              <w:rPr>
                <w:rFonts w:eastAsia="標楷體"/>
                <w:color w:val="000000"/>
                <w:sz w:val="26"/>
                <w:szCs w:val="26"/>
              </w:rPr>
            </w:pPr>
          </w:p>
        </w:tc>
        <w:tc>
          <w:tcPr>
            <w:tcW w:w="1726" w:type="dxa"/>
            <w:vMerge/>
            <w:shd w:val="clear" w:color="auto" w:fill="FFFFFF"/>
            <w:vAlign w:val="center"/>
          </w:tcPr>
          <w:p w:rsidR="0032590C" w:rsidRDefault="0032590C" w:rsidP="00965AF0">
            <w:pPr>
              <w:spacing w:beforeLines="25" w:before="60" w:afterLines="25" w:after="60"/>
              <w:jc w:val="center"/>
              <w:rPr>
                <w:rFonts w:eastAsia="標楷體"/>
                <w:color w:val="000000"/>
                <w:sz w:val="26"/>
                <w:szCs w:val="26"/>
              </w:rPr>
            </w:pPr>
          </w:p>
        </w:tc>
      </w:tr>
      <w:tr w:rsidR="00FA50BE" w:rsidRPr="00EA272E">
        <w:trPr>
          <w:trHeight w:val="140"/>
          <w:tblHeader/>
          <w:jc w:val="right"/>
        </w:trPr>
        <w:tc>
          <w:tcPr>
            <w:tcW w:w="1687" w:type="dxa"/>
            <w:vMerge/>
            <w:shd w:val="clear" w:color="auto" w:fill="FFFFFF"/>
            <w:vAlign w:val="center"/>
          </w:tcPr>
          <w:p w:rsidR="0032590C" w:rsidRDefault="0032590C" w:rsidP="00965AF0">
            <w:pPr>
              <w:spacing w:beforeLines="25" w:before="60" w:afterLines="25" w:after="60"/>
              <w:jc w:val="center"/>
              <w:rPr>
                <w:rFonts w:eastAsia="標楷體"/>
                <w:color w:val="000000"/>
                <w:sz w:val="26"/>
                <w:szCs w:val="26"/>
              </w:rPr>
            </w:pPr>
          </w:p>
        </w:tc>
        <w:tc>
          <w:tcPr>
            <w:tcW w:w="1432" w:type="dxa"/>
            <w:vMerge/>
            <w:shd w:val="clear" w:color="auto" w:fill="FFFFFF"/>
            <w:vAlign w:val="center"/>
          </w:tcPr>
          <w:p w:rsidR="0032590C" w:rsidRDefault="0032590C" w:rsidP="00965AF0">
            <w:pPr>
              <w:spacing w:beforeLines="25" w:before="60" w:afterLines="25" w:after="60"/>
              <w:jc w:val="center"/>
              <w:rPr>
                <w:rFonts w:eastAsia="標楷體"/>
                <w:color w:val="000000"/>
                <w:sz w:val="26"/>
                <w:szCs w:val="26"/>
              </w:rPr>
            </w:pPr>
          </w:p>
        </w:tc>
        <w:tc>
          <w:tcPr>
            <w:tcW w:w="2041" w:type="dxa"/>
            <w:shd w:val="clear" w:color="auto" w:fill="FFFFFF"/>
            <w:vAlign w:val="center"/>
          </w:tcPr>
          <w:p w:rsidR="0032590C" w:rsidRDefault="00FA50BE" w:rsidP="00965AF0">
            <w:pPr>
              <w:spacing w:beforeLines="25" w:before="60" w:afterLines="25" w:after="60"/>
              <w:jc w:val="center"/>
              <w:rPr>
                <w:rFonts w:eastAsia="標楷體"/>
                <w:color w:val="000000"/>
                <w:sz w:val="26"/>
                <w:szCs w:val="26"/>
              </w:rPr>
            </w:pPr>
            <w:r w:rsidRPr="00D63483">
              <w:rPr>
                <w:rFonts w:eastAsia="標楷體" w:hint="eastAsia"/>
                <w:color w:val="000000"/>
                <w:sz w:val="26"/>
                <w:szCs w:val="26"/>
              </w:rPr>
              <w:t>TII</w:t>
            </w:r>
          </w:p>
        </w:tc>
        <w:tc>
          <w:tcPr>
            <w:tcW w:w="1320" w:type="dxa"/>
            <w:vMerge/>
            <w:shd w:val="clear" w:color="auto" w:fill="FFFFFF"/>
            <w:vAlign w:val="center"/>
          </w:tcPr>
          <w:p w:rsidR="0032590C" w:rsidRDefault="0032590C" w:rsidP="00965AF0">
            <w:pPr>
              <w:spacing w:beforeLines="25" w:before="60" w:afterLines="25" w:after="60"/>
              <w:jc w:val="center"/>
              <w:rPr>
                <w:rFonts w:eastAsia="標楷體"/>
                <w:color w:val="000000"/>
                <w:sz w:val="26"/>
                <w:szCs w:val="26"/>
              </w:rPr>
            </w:pPr>
          </w:p>
        </w:tc>
        <w:tc>
          <w:tcPr>
            <w:tcW w:w="1726" w:type="dxa"/>
            <w:vMerge/>
            <w:shd w:val="clear" w:color="auto" w:fill="FFFFFF"/>
            <w:vAlign w:val="center"/>
          </w:tcPr>
          <w:p w:rsidR="0032590C" w:rsidRDefault="0032590C" w:rsidP="00965AF0">
            <w:pPr>
              <w:spacing w:beforeLines="25" w:before="60" w:afterLines="25" w:after="60"/>
              <w:jc w:val="center"/>
              <w:rPr>
                <w:rFonts w:eastAsia="標楷體"/>
                <w:color w:val="000000"/>
                <w:sz w:val="26"/>
                <w:szCs w:val="26"/>
              </w:rPr>
            </w:pPr>
          </w:p>
        </w:tc>
      </w:tr>
      <w:tr w:rsidR="00F21A8C" w:rsidRPr="00EA272E">
        <w:trPr>
          <w:trHeight w:val="385"/>
          <w:tblHeader/>
          <w:jc w:val="right"/>
        </w:trPr>
        <w:tc>
          <w:tcPr>
            <w:tcW w:w="1687" w:type="dxa"/>
            <w:shd w:val="clear" w:color="auto" w:fill="FFFFFF"/>
            <w:vAlign w:val="center"/>
          </w:tcPr>
          <w:p w:rsidR="00F21A8C" w:rsidRPr="00D63483" w:rsidRDefault="00F21A8C" w:rsidP="00965AF0">
            <w:pPr>
              <w:spacing w:beforeLines="25" w:before="60" w:afterLines="25" w:after="60"/>
              <w:jc w:val="center"/>
              <w:rPr>
                <w:rFonts w:eastAsia="標楷體"/>
                <w:color w:val="000000"/>
                <w:sz w:val="26"/>
                <w:szCs w:val="26"/>
              </w:rPr>
            </w:pPr>
            <w:r w:rsidRPr="00D63483">
              <w:rPr>
                <w:rFonts w:eastAsia="標楷體" w:hint="eastAsia"/>
                <w:color w:val="000000"/>
                <w:sz w:val="26"/>
                <w:szCs w:val="26"/>
              </w:rPr>
              <w:t>服務之提供</w:t>
            </w:r>
          </w:p>
        </w:tc>
        <w:tc>
          <w:tcPr>
            <w:tcW w:w="1432" w:type="dxa"/>
            <w:shd w:val="clear" w:color="auto" w:fill="FFFFFF"/>
            <w:vAlign w:val="center"/>
          </w:tcPr>
          <w:p w:rsidR="0032590C" w:rsidRDefault="00F21A8C" w:rsidP="00965AF0">
            <w:pPr>
              <w:spacing w:beforeLines="25" w:before="60" w:afterLines="25" w:after="60"/>
              <w:jc w:val="center"/>
              <w:rPr>
                <w:rFonts w:eastAsia="標楷體"/>
                <w:color w:val="000000"/>
                <w:sz w:val="26"/>
                <w:szCs w:val="26"/>
              </w:rPr>
            </w:pPr>
            <w:r>
              <w:rPr>
                <w:rFonts w:eastAsia="標楷體" w:hint="eastAsia"/>
                <w:color w:val="000000"/>
                <w:sz w:val="26"/>
                <w:szCs w:val="26"/>
              </w:rPr>
              <w:t>提供產品服務</w:t>
            </w:r>
          </w:p>
        </w:tc>
        <w:tc>
          <w:tcPr>
            <w:tcW w:w="2041" w:type="dxa"/>
            <w:shd w:val="clear" w:color="auto" w:fill="FFFFFF"/>
            <w:vAlign w:val="center"/>
          </w:tcPr>
          <w:p w:rsidR="0032590C" w:rsidRDefault="00F21A8C" w:rsidP="00965AF0">
            <w:pPr>
              <w:spacing w:beforeLines="25" w:before="60" w:afterLines="25" w:after="60"/>
              <w:jc w:val="center"/>
              <w:rPr>
                <w:rFonts w:eastAsia="標楷體"/>
                <w:color w:val="000000"/>
                <w:sz w:val="26"/>
                <w:szCs w:val="26"/>
              </w:rPr>
            </w:pPr>
            <w:r w:rsidRPr="00D63483">
              <w:rPr>
                <w:rFonts w:eastAsia="標楷體" w:hint="eastAsia"/>
                <w:color w:val="000000"/>
                <w:sz w:val="26"/>
                <w:szCs w:val="26"/>
              </w:rPr>
              <w:t>母公司</w:t>
            </w:r>
          </w:p>
        </w:tc>
        <w:tc>
          <w:tcPr>
            <w:tcW w:w="1320" w:type="dxa"/>
            <w:vMerge/>
            <w:shd w:val="clear" w:color="auto" w:fill="FFFFFF"/>
            <w:vAlign w:val="center"/>
          </w:tcPr>
          <w:p w:rsidR="0032590C" w:rsidRDefault="0032590C" w:rsidP="00965AF0">
            <w:pPr>
              <w:spacing w:beforeLines="25" w:before="60" w:afterLines="25" w:after="60"/>
              <w:rPr>
                <w:rFonts w:eastAsia="標楷體"/>
                <w:color w:val="000000"/>
                <w:sz w:val="26"/>
                <w:szCs w:val="26"/>
              </w:rPr>
            </w:pPr>
          </w:p>
        </w:tc>
        <w:tc>
          <w:tcPr>
            <w:tcW w:w="1726" w:type="dxa"/>
            <w:vMerge/>
            <w:shd w:val="clear" w:color="auto" w:fill="FFFFFF"/>
            <w:vAlign w:val="center"/>
          </w:tcPr>
          <w:p w:rsidR="0032590C" w:rsidRDefault="0032590C" w:rsidP="00965AF0">
            <w:pPr>
              <w:spacing w:beforeLines="25" w:before="60" w:afterLines="25" w:after="60"/>
              <w:jc w:val="center"/>
              <w:rPr>
                <w:rFonts w:eastAsia="標楷體"/>
                <w:color w:val="000000"/>
                <w:sz w:val="26"/>
                <w:szCs w:val="26"/>
              </w:rPr>
            </w:pPr>
          </w:p>
        </w:tc>
      </w:tr>
    </w:tbl>
    <w:p w:rsidR="00051C9B" w:rsidRPr="00EA272E" w:rsidRDefault="00051C9B"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color w:val="000000"/>
          <w:sz w:val="26"/>
          <w:szCs w:val="26"/>
        </w:rPr>
        <w:t>本報告第捌章已說明可比較對象經過重重篩選所以被接受之原因，</w:t>
      </w:r>
      <w:r w:rsidRPr="00EA272E">
        <w:rPr>
          <w:rFonts w:eastAsia="標楷體"/>
          <w:color w:val="000000"/>
          <w:sz w:val="26"/>
          <w:szCs w:val="26"/>
        </w:rPr>
        <w:lastRenderedPageBreak/>
        <w:t>正因為每一家公司都是獨一無二</w:t>
      </w:r>
      <w:r w:rsidR="008B3796" w:rsidRPr="00EA272E">
        <w:rPr>
          <w:rFonts w:eastAsia="標楷體" w:hint="eastAsia"/>
          <w:color w:val="000000"/>
          <w:sz w:val="26"/>
          <w:szCs w:val="26"/>
        </w:rPr>
        <w:t>的</w:t>
      </w:r>
      <w:r w:rsidRPr="00EA272E">
        <w:rPr>
          <w:rFonts w:eastAsia="標楷體"/>
          <w:color w:val="000000"/>
          <w:sz w:val="26"/>
          <w:szCs w:val="26"/>
        </w:rPr>
        <w:t>，實際上無法找出與</w:t>
      </w:r>
      <w:r w:rsidR="007B277C" w:rsidRPr="00EA272E">
        <w:rPr>
          <w:rFonts w:eastAsia="標楷體" w:hint="eastAsia"/>
          <w:color w:val="000000"/>
          <w:spacing w:val="-2"/>
          <w:sz w:val="26"/>
          <w:szCs w:val="26"/>
        </w:rPr>
        <w:t>受測個體</w:t>
      </w:r>
      <w:r w:rsidRPr="00EA272E">
        <w:rPr>
          <w:rFonts w:eastAsia="標楷體"/>
          <w:color w:val="000000"/>
          <w:sz w:val="26"/>
          <w:szCs w:val="26"/>
        </w:rPr>
        <w:t>百分之百相同之公司。可比較對象所以勝選之原因在於其主要執行之功能與</w:t>
      </w:r>
      <w:r w:rsidR="007B277C" w:rsidRPr="00EA272E">
        <w:rPr>
          <w:rFonts w:eastAsia="標楷體" w:hint="eastAsia"/>
          <w:color w:val="000000"/>
          <w:spacing w:val="-2"/>
          <w:sz w:val="26"/>
          <w:szCs w:val="26"/>
        </w:rPr>
        <w:t>受測個體</w:t>
      </w:r>
      <w:r w:rsidR="0017771E" w:rsidRPr="00EA272E">
        <w:rPr>
          <w:rFonts w:eastAsia="標楷體"/>
          <w:color w:val="000000"/>
          <w:sz w:val="26"/>
          <w:szCs w:val="26"/>
        </w:rPr>
        <w:t>執行之功能</w:t>
      </w:r>
      <w:r w:rsidR="0017771E" w:rsidRPr="00EA272E">
        <w:rPr>
          <w:rFonts w:eastAsia="標楷體" w:hint="eastAsia"/>
          <w:color w:val="000000"/>
          <w:sz w:val="26"/>
          <w:szCs w:val="26"/>
        </w:rPr>
        <w:t>、</w:t>
      </w:r>
      <w:r w:rsidRPr="00EA272E">
        <w:rPr>
          <w:rFonts w:eastAsia="標楷體"/>
          <w:color w:val="000000"/>
          <w:sz w:val="26"/>
          <w:szCs w:val="26"/>
        </w:rPr>
        <w:t>銷售之產品</w:t>
      </w:r>
      <w:r w:rsidR="0017771E" w:rsidRPr="00EA272E">
        <w:rPr>
          <w:rFonts w:eastAsia="標楷體" w:hint="eastAsia"/>
          <w:color w:val="000000"/>
          <w:sz w:val="26"/>
          <w:szCs w:val="26"/>
        </w:rPr>
        <w:t>或提供之服務</w:t>
      </w:r>
      <w:r w:rsidRPr="00EA272E">
        <w:rPr>
          <w:rFonts w:eastAsia="標楷體"/>
          <w:color w:val="000000"/>
          <w:sz w:val="26"/>
          <w:szCs w:val="26"/>
        </w:rPr>
        <w:t>相類似。由於可比較利潤法對產品或服務本身的可比較性要求相較於其他方法較有彈性，是故可比較對象只要執行之功能大致與受測個體相似即可。</w:t>
      </w:r>
    </w:p>
    <w:p w:rsidR="0032590C" w:rsidRDefault="00005C24" w:rsidP="00965AF0">
      <w:pPr>
        <w:pStyle w:val="3"/>
        <w:numPr>
          <w:ilvl w:val="0"/>
          <w:numId w:val="58"/>
        </w:numPr>
        <w:spacing w:beforeLines="50" w:before="120" w:afterLines="50" w:after="120" w:line="360" w:lineRule="auto"/>
        <w:jc w:val="both"/>
        <w:rPr>
          <w:rFonts w:ascii="Times New Roman" w:eastAsia="標楷體" w:hAnsi="Times New Roman"/>
          <w:sz w:val="32"/>
          <w:szCs w:val="26"/>
        </w:rPr>
      </w:pPr>
      <w:r w:rsidRPr="00A57745">
        <w:rPr>
          <w:rFonts w:ascii="Times New Roman" w:eastAsia="標楷體" w:hAnsi="Times New Roman" w:hint="eastAsia"/>
          <w:sz w:val="32"/>
          <w:szCs w:val="26"/>
        </w:rPr>
        <w:t>選定</w:t>
      </w:r>
      <w:r w:rsidR="00BF6515" w:rsidRPr="00A57745">
        <w:rPr>
          <w:rFonts w:ascii="Times New Roman" w:eastAsia="標楷體" w:hAnsi="Times New Roman" w:hint="eastAsia"/>
          <w:sz w:val="32"/>
          <w:szCs w:val="26"/>
        </w:rPr>
        <w:t>利潤率指標</w:t>
      </w:r>
    </w:p>
    <w:p w:rsidR="0032590C" w:rsidRDefault="00567251" w:rsidP="00965AF0">
      <w:pPr>
        <w:numPr>
          <w:ilvl w:val="0"/>
          <w:numId w:val="4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A57745">
        <w:rPr>
          <w:rFonts w:eastAsia="標楷體"/>
          <w:b/>
          <w:sz w:val="28"/>
          <w:szCs w:val="26"/>
        </w:rPr>
        <w:t>利潤率指標公式</w:t>
      </w:r>
    </w:p>
    <w:p w:rsidR="0032590C" w:rsidRDefault="002D5918"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可比較利潤法所使用之利潤率指標，根據同</w:t>
      </w:r>
      <w:r w:rsidR="000605B9" w:rsidRPr="00EA272E">
        <w:rPr>
          <w:rFonts w:eastAsia="標楷體" w:hint="eastAsia"/>
          <w:sz w:val="26"/>
          <w:szCs w:val="26"/>
        </w:rPr>
        <w:t>條第</w:t>
      </w:r>
      <w:r w:rsidR="000605B9" w:rsidRPr="00EA272E">
        <w:rPr>
          <w:rFonts w:eastAsia="標楷體"/>
          <w:sz w:val="26"/>
          <w:szCs w:val="26"/>
        </w:rPr>
        <w:t>4</w:t>
      </w:r>
      <w:r w:rsidR="000605B9" w:rsidRPr="00EA272E">
        <w:rPr>
          <w:rFonts w:eastAsia="標楷體" w:hint="eastAsia"/>
          <w:sz w:val="26"/>
          <w:szCs w:val="26"/>
        </w:rPr>
        <w:t>項，包括：</w:t>
      </w:r>
    </w:p>
    <w:p w:rsidR="007E089A" w:rsidRPr="00EA272E" w:rsidRDefault="007F445B"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EA272E">
        <w:rPr>
          <w:rFonts w:ascii="Times New Roman" w:eastAsia="標楷體" w:hAnsi="Times New Roman"/>
          <w:position w:val="-32"/>
          <w:sz w:val="26"/>
          <w:szCs w:val="26"/>
        </w:rPr>
        <w:object w:dxaOrig="586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3pt;height:36.75pt" o:ole="">
            <v:imagedata r:id="rId30" o:title=""/>
          </v:shape>
          <o:OLEObject Type="Embed" ProgID="Equation.3" ShapeID="_x0000_i1025" DrawAspect="Content" ObjectID="_1558965037" r:id="rId31"/>
        </w:object>
      </w:r>
    </w:p>
    <w:p w:rsidR="007E089A" w:rsidRPr="00EA272E" w:rsidRDefault="00BF6515"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EA272E">
        <w:rPr>
          <w:rFonts w:ascii="Times New Roman" w:eastAsia="標楷體" w:hAnsi="Times New Roman"/>
          <w:position w:val="-32"/>
          <w:sz w:val="26"/>
          <w:szCs w:val="26"/>
        </w:rPr>
        <w:object w:dxaOrig="5280" w:dyaOrig="740">
          <v:shape id="_x0000_i1026" type="#_x0000_t75" style="width:264pt;height:36.75pt" o:ole="">
            <v:imagedata r:id="rId32" o:title=""/>
          </v:shape>
          <o:OLEObject Type="Embed" ProgID="Equation.3" ShapeID="_x0000_i1026" DrawAspect="Content" ObjectID="_1558965038" r:id="rId33"/>
        </w:object>
      </w:r>
    </w:p>
    <w:p w:rsidR="007E089A" w:rsidRPr="00EA272E" w:rsidRDefault="00404901"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sz w:val="26"/>
          <w:szCs w:val="26"/>
        </w:rPr>
      </w:pPr>
      <w:r w:rsidRPr="00404901">
        <w:rPr>
          <w:rFonts w:ascii="Times New Roman" w:eastAsia="標楷體" w:hAnsi="Times New Roman"/>
          <w:position w:val="-30"/>
        </w:rPr>
        <w:object w:dxaOrig="5899" w:dyaOrig="720">
          <v:shape id="_x0000_i1027" type="#_x0000_t75" style="width:294.05pt;height:36.75pt" o:ole="">
            <v:imagedata r:id="rId34" o:title=""/>
          </v:shape>
          <o:OLEObject Type="Embed" ProgID="Equation.3" ShapeID="_x0000_i1027" DrawAspect="Content" ObjectID="_1558965039" r:id="rId35"/>
        </w:object>
      </w:r>
    </w:p>
    <w:p w:rsidR="00F052EC" w:rsidRDefault="00BF6515" w:rsidP="00A57745">
      <w:pPr>
        <w:pStyle w:val="5"/>
        <w:keepNext w:val="0"/>
        <w:numPr>
          <w:ilvl w:val="0"/>
          <w:numId w:val="5"/>
        </w:numPr>
        <w:tabs>
          <w:tab w:val="clear" w:pos="480"/>
          <w:tab w:val="num" w:pos="851"/>
        </w:tabs>
        <w:spacing w:before="100" w:beforeAutospacing="1" w:after="100" w:afterAutospacing="1" w:line="360" w:lineRule="auto"/>
        <w:ind w:leftChars="300" w:left="777" w:hanging="57"/>
        <w:rPr>
          <w:rFonts w:ascii="Times New Roman" w:eastAsia="標楷體" w:hAnsi="Times New Roman"/>
        </w:rPr>
      </w:pPr>
      <w:r w:rsidRPr="00EA272E">
        <w:rPr>
          <w:rFonts w:ascii="Times New Roman" w:eastAsia="標楷體" w:hAnsi="Times New Roman"/>
          <w:position w:val="-12"/>
        </w:rPr>
        <w:object w:dxaOrig="5420" w:dyaOrig="360">
          <v:shape id="_x0000_i1028" type="#_x0000_t75" style="width:271.55pt;height:18.75pt" o:ole="">
            <v:imagedata r:id="rId36" o:title=""/>
          </v:shape>
          <o:OLEObject Type="Embed" ProgID="Equation.3" ShapeID="_x0000_i1028" DrawAspect="Content" ObjectID="_1558965040" r:id="rId37"/>
        </w:object>
      </w:r>
    </w:p>
    <w:p w:rsidR="00F052EC" w:rsidRPr="00F052EC" w:rsidRDefault="006527D3" w:rsidP="00337437">
      <w:pPr>
        <w:tabs>
          <w:tab w:val="num" w:pos="851"/>
        </w:tabs>
        <w:ind w:hanging="54"/>
        <w:jc w:val="right"/>
      </w:pPr>
      <w:r w:rsidRPr="00EA272E">
        <w:rPr>
          <w:rFonts w:eastAsia="標楷體"/>
          <w:position w:val="-32"/>
        </w:rPr>
        <w:object w:dxaOrig="8199" w:dyaOrig="740">
          <v:shape id="_x0000_i1029" type="#_x0000_t75" style="width:423.05pt;height:36.75pt" o:ole="">
            <v:imagedata r:id="rId38" o:title=""/>
          </v:shape>
          <o:OLEObject Type="Embed" ProgID="Equation.3" ShapeID="_x0000_i1029" DrawAspect="Content" ObjectID="_1558965041" r:id="rId39"/>
        </w:object>
      </w:r>
    </w:p>
    <w:p w:rsidR="0032590C" w:rsidRDefault="00F052EC" w:rsidP="00965AF0">
      <w:pPr>
        <w:pStyle w:val="5"/>
        <w:keepNext w:val="0"/>
        <w:numPr>
          <w:ilvl w:val="0"/>
          <w:numId w:val="5"/>
        </w:numPr>
        <w:tabs>
          <w:tab w:val="clear" w:pos="480"/>
          <w:tab w:val="num" w:pos="851"/>
        </w:tabs>
        <w:spacing w:beforeLines="100" w:before="240" w:afterLines="50" w:after="120" w:line="360" w:lineRule="auto"/>
        <w:ind w:leftChars="300" w:left="777" w:hanging="57"/>
        <w:rPr>
          <w:rFonts w:ascii="Times New Roman" w:eastAsia="標楷體" w:hAnsi="Times New Roman"/>
          <w:b w:val="0"/>
          <w:sz w:val="26"/>
          <w:szCs w:val="26"/>
        </w:rPr>
      </w:pPr>
      <w:r w:rsidRPr="00F052EC">
        <w:rPr>
          <w:rFonts w:ascii="Times New Roman" w:eastAsia="標楷體" w:hAnsi="Times New Roman"/>
          <w:b w:val="0"/>
          <w:sz w:val="26"/>
          <w:szCs w:val="26"/>
        </w:rPr>
        <w:t>其他經財政部核定之利潤率指標</w:t>
      </w:r>
    </w:p>
    <w:p w:rsidR="0032590C" w:rsidRDefault="00567251" w:rsidP="00965AF0">
      <w:pPr>
        <w:numPr>
          <w:ilvl w:val="0"/>
          <w:numId w:val="4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A57745">
        <w:rPr>
          <w:rFonts w:eastAsia="標楷體"/>
          <w:b/>
          <w:sz w:val="28"/>
          <w:szCs w:val="26"/>
        </w:rPr>
        <w:t>使用之變數定義</w:t>
      </w:r>
    </w:p>
    <w:p w:rsidR="0032590C" w:rsidRDefault="00567251" w:rsidP="00965AF0">
      <w:pPr>
        <w:spacing w:beforeLines="50" w:before="120" w:afterLines="50" w:after="120" w:line="360" w:lineRule="auto"/>
        <w:ind w:leftChars="200" w:left="480" w:firstLineChars="200" w:firstLine="520"/>
        <w:rPr>
          <w:rFonts w:eastAsia="標楷體"/>
          <w:sz w:val="26"/>
          <w:szCs w:val="26"/>
        </w:rPr>
      </w:pPr>
      <w:r w:rsidRPr="00EA272E">
        <w:rPr>
          <w:rFonts w:eastAsia="標楷體"/>
          <w:sz w:val="26"/>
          <w:szCs w:val="26"/>
        </w:rPr>
        <w:t>同條第</w:t>
      </w:r>
      <w:r w:rsidRPr="00EA272E">
        <w:rPr>
          <w:rFonts w:eastAsia="標楷體"/>
          <w:sz w:val="26"/>
          <w:szCs w:val="26"/>
        </w:rPr>
        <w:t>5</w:t>
      </w:r>
      <w:r w:rsidRPr="00EA272E">
        <w:rPr>
          <w:rFonts w:eastAsia="標楷體"/>
          <w:sz w:val="26"/>
          <w:szCs w:val="26"/>
        </w:rPr>
        <w:t>項對上述公式所運用之變數定義如下：</w:t>
      </w:r>
    </w:p>
    <w:p w:rsidR="0032590C" w:rsidRDefault="00567251" w:rsidP="00965AF0">
      <w:pPr>
        <w:numPr>
          <w:ilvl w:val="0"/>
          <w:numId w:val="43"/>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A57745">
        <w:rPr>
          <w:rFonts w:eastAsia="標楷體"/>
          <w:sz w:val="26"/>
          <w:szCs w:val="26"/>
        </w:rPr>
        <w:t>營業淨利</w:t>
      </w:r>
    </w:p>
    <w:p w:rsidR="0032590C" w:rsidRDefault="00567251" w:rsidP="00965AF0">
      <w:pPr>
        <w:spacing w:beforeLines="50" w:before="120" w:afterLines="50" w:after="120" w:line="360" w:lineRule="auto"/>
        <w:ind w:leftChars="400" w:left="960" w:firstLineChars="200" w:firstLine="520"/>
        <w:jc w:val="both"/>
        <w:rPr>
          <w:rFonts w:eastAsia="標楷體"/>
          <w:sz w:val="26"/>
          <w:szCs w:val="26"/>
        </w:rPr>
      </w:pPr>
      <w:r w:rsidRPr="00A57745">
        <w:rPr>
          <w:rFonts w:eastAsia="標楷體"/>
          <w:sz w:val="26"/>
          <w:szCs w:val="26"/>
        </w:rPr>
        <w:t>係指營業毛利減除營業費用後之金額，不包括非屬受測活動之所得及與受測個體繼續經營無關之非常損益。</w:t>
      </w:r>
    </w:p>
    <w:p w:rsidR="0032590C" w:rsidRDefault="00567251" w:rsidP="00965AF0">
      <w:pPr>
        <w:numPr>
          <w:ilvl w:val="0"/>
          <w:numId w:val="43"/>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A57745">
        <w:rPr>
          <w:rFonts w:eastAsia="標楷體"/>
          <w:sz w:val="26"/>
          <w:szCs w:val="26"/>
        </w:rPr>
        <w:lastRenderedPageBreak/>
        <w:t>營業資產</w:t>
      </w:r>
    </w:p>
    <w:p w:rsidR="0032590C" w:rsidRDefault="00567251" w:rsidP="00965AF0">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係指受測個體於相關營業活動所使用之資產，包括固定資產及流動</w:t>
      </w:r>
      <w:r w:rsidRPr="00A57745">
        <w:rPr>
          <w:rFonts w:eastAsia="標楷體"/>
          <w:sz w:val="26"/>
          <w:szCs w:val="26"/>
        </w:rPr>
        <w:t>資產，但不包括超額現金、短期投資、長期投資、閒置資產及與該營業活動無關之資產。</w:t>
      </w:r>
    </w:p>
    <w:p w:rsidR="0032590C" w:rsidRDefault="00567251" w:rsidP="00965AF0">
      <w:pPr>
        <w:numPr>
          <w:ilvl w:val="0"/>
          <w:numId w:val="43"/>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A57745">
        <w:rPr>
          <w:rFonts w:eastAsia="標楷體"/>
          <w:sz w:val="26"/>
          <w:szCs w:val="26"/>
        </w:rPr>
        <w:t>營業費用</w:t>
      </w:r>
    </w:p>
    <w:p w:rsidR="0032590C" w:rsidRDefault="00567251" w:rsidP="00965AF0">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係指不包括非屬經營本業之利息費用、所得稅及與受測活動無關之費用。</w:t>
      </w:r>
    </w:p>
    <w:p w:rsidR="0032590C" w:rsidRDefault="00EF7229" w:rsidP="00965AF0">
      <w:pPr>
        <w:numPr>
          <w:ilvl w:val="0"/>
          <w:numId w:val="4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A57745">
        <w:rPr>
          <w:rFonts w:eastAsia="標楷體" w:hint="eastAsia"/>
          <w:b/>
          <w:sz w:val="28"/>
          <w:szCs w:val="26"/>
        </w:rPr>
        <w:t>選擇時應考量之因素</w:t>
      </w:r>
    </w:p>
    <w:p w:rsidR="0032590C" w:rsidRDefault="00567251"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依同條第</w:t>
      </w:r>
      <w:r w:rsidRPr="00EA272E">
        <w:rPr>
          <w:rFonts w:eastAsia="標楷體"/>
          <w:sz w:val="26"/>
          <w:szCs w:val="26"/>
        </w:rPr>
        <w:t>6</w:t>
      </w:r>
      <w:r w:rsidRPr="00EA272E">
        <w:rPr>
          <w:rFonts w:eastAsia="標楷體"/>
          <w:sz w:val="26"/>
          <w:szCs w:val="26"/>
        </w:rPr>
        <w:t>項則規定選擇利潤率指標時，應以受測個體之受測活動為基礎，並考量下列因素：</w:t>
      </w:r>
    </w:p>
    <w:p w:rsidR="0032590C" w:rsidRDefault="00EF7229" w:rsidP="00965AF0">
      <w:pPr>
        <w:numPr>
          <w:ilvl w:val="0"/>
          <w:numId w:val="51"/>
        </w:numPr>
        <w:tabs>
          <w:tab w:val="left" w:pos="1440"/>
        </w:tabs>
        <w:spacing w:beforeLines="50" w:before="120" w:afterLines="50" w:after="120" w:line="360" w:lineRule="auto"/>
        <w:ind w:leftChars="300" w:left="1202" w:hanging="482"/>
        <w:jc w:val="both"/>
        <w:rPr>
          <w:rFonts w:eastAsia="標楷體"/>
          <w:sz w:val="26"/>
          <w:szCs w:val="26"/>
        </w:rPr>
      </w:pPr>
      <w:r w:rsidRPr="00A57745">
        <w:rPr>
          <w:rFonts w:eastAsia="標楷體" w:hint="eastAsia"/>
          <w:sz w:val="26"/>
          <w:szCs w:val="26"/>
        </w:rPr>
        <w:t>受測</w:t>
      </w:r>
      <w:r w:rsidR="00567251" w:rsidRPr="00A57745">
        <w:rPr>
          <w:rFonts w:eastAsia="標楷體"/>
          <w:sz w:val="26"/>
          <w:szCs w:val="26"/>
        </w:rPr>
        <w:t>個體之活動性質</w:t>
      </w:r>
    </w:p>
    <w:p w:rsidR="0032590C" w:rsidRDefault="0010197A" w:rsidP="00965AF0">
      <w:pPr>
        <w:spacing w:beforeLines="50" w:before="120" w:afterLines="50" w:after="120" w:line="360" w:lineRule="auto"/>
        <w:ind w:leftChars="400" w:left="960" w:firstLineChars="200" w:firstLine="520"/>
        <w:jc w:val="both"/>
        <w:rPr>
          <w:rFonts w:eastAsia="標楷體"/>
          <w:sz w:val="26"/>
          <w:szCs w:val="26"/>
        </w:rPr>
      </w:pPr>
      <w:r w:rsidRPr="00F052EC">
        <w:rPr>
          <w:rFonts w:eastAsia="標楷體"/>
          <w:sz w:val="26"/>
          <w:szCs w:val="26"/>
        </w:rPr>
        <w:t>包括</w:t>
      </w:r>
      <w:r w:rsidR="00F1056E" w:rsidRPr="00F052EC">
        <w:rPr>
          <w:rFonts w:eastAsia="標楷體"/>
          <w:sz w:val="26"/>
          <w:szCs w:val="26"/>
        </w:rPr>
        <w:t>『</w:t>
      </w:r>
      <w:r w:rsidR="00F1056E" w:rsidRPr="00460554">
        <w:rPr>
          <w:rFonts w:eastAsia="標楷體" w:hint="eastAsia"/>
          <w:sz w:val="26"/>
          <w:szCs w:val="26"/>
        </w:rPr>
        <w:t>有形資產之移轉</w:t>
      </w:r>
      <w:r w:rsidR="00F1056E">
        <w:rPr>
          <w:rFonts w:eastAsia="標楷體" w:hint="eastAsia"/>
          <w:sz w:val="26"/>
          <w:szCs w:val="26"/>
        </w:rPr>
        <w:t>－進</w:t>
      </w:r>
      <w:r w:rsidR="00F1056E" w:rsidRPr="00460554">
        <w:rPr>
          <w:rFonts w:eastAsia="標楷體" w:hint="eastAsia"/>
          <w:sz w:val="26"/>
          <w:szCs w:val="26"/>
        </w:rPr>
        <w:t>貨</w:t>
      </w:r>
      <w:r w:rsidR="00F1056E" w:rsidRPr="00F052EC">
        <w:rPr>
          <w:rFonts w:eastAsia="標楷體" w:hint="eastAsia"/>
          <w:sz w:val="26"/>
          <w:szCs w:val="26"/>
        </w:rPr>
        <w:t>』及</w:t>
      </w:r>
      <w:r w:rsidR="00F1056E" w:rsidRPr="00F052EC">
        <w:rPr>
          <w:rFonts w:eastAsia="標楷體"/>
          <w:sz w:val="26"/>
          <w:szCs w:val="26"/>
        </w:rPr>
        <w:t>『</w:t>
      </w:r>
      <w:r w:rsidR="00F1056E" w:rsidRPr="00460554">
        <w:rPr>
          <w:rFonts w:eastAsia="標楷體" w:hint="eastAsia"/>
          <w:sz w:val="26"/>
          <w:szCs w:val="26"/>
        </w:rPr>
        <w:t>服務之提供</w:t>
      </w:r>
      <w:r w:rsidR="00F1056E">
        <w:rPr>
          <w:rFonts w:eastAsia="標楷體" w:hint="eastAsia"/>
          <w:sz w:val="26"/>
          <w:szCs w:val="26"/>
        </w:rPr>
        <w:t>－提供</w:t>
      </w:r>
      <w:r w:rsidR="00F1056E" w:rsidRPr="00460554">
        <w:rPr>
          <w:rFonts w:eastAsia="標楷體" w:hint="eastAsia"/>
          <w:sz w:val="26"/>
          <w:szCs w:val="26"/>
        </w:rPr>
        <w:t>產品服務</w:t>
      </w:r>
      <w:r w:rsidR="00F1056E" w:rsidRPr="00F052EC">
        <w:rPr>
          <w:rFonts w:eastAsia="標楷體" w:hint="eastAsia"/>
          <w:sz w:val="26"/>
          <w:szCs w:val="26"/>
        </w:rPr>
        <w:t>』</w:t>
      </w:r>
      <w:r w:rsidRPr="00F052EC">
        <w:rPr>
          <w:rFonts w:eastAsia="標楷體" w:hint="eastAsia"/>
          <w:sz w:val="26"/>
          <w:szCs w:val="26"/>
        </w:rPr>
        <w:t>等</w:t>
      </w:r>
      <w:r w:rsidR="00725ECD" w:rsidRPr="00F052EC">
        <w:rPr>
          <w:rFonts w:eastAsia="標楷體" w:hint="eastAsia"/>
          <w:sz w:val="26"/>
          <w:szCs w:val="26"/>
        </w:rPr>
        <w:t>交易</w:t>
      </w:r>
      <w:r w:rsidRPr="00F052EC">
        <w:rPr>
          <w:rFonts w:eastAsia="標楷體" w:hint="eastAsia"/>
          <w:sz w:val="26"/>
          <w:szCs w:val="26"/>
        </w:rPr>
        <w:t>活動</w:t>
      </w:r>
      <w:r w:rsidRPr="00F052EC">
        <w:rPr>
          <w:rFonts w:eastAsia="標楷體"/>
          <w:sz w:val="26"/>
          <w:szCs w:val="26"/>
        </w:rPr>
        <w:t>。</w:t>
      </w:r>
    </w:p>
    <w:p w:rsidR="0032590C" w:rsidRDefault="00EF7229" w:rsidP="00965AF0">
      <w:pPr>
        <w:numPr>
          <w:ilvl w:val="0"/>
          <w:numId w:val="51"/>
        </w:numPr>
        <w:tabs>
          <w:tab w:val="left" w:pos="1440"/>
        </w:tabs>
        <w:spacing w:beforeLines="50" w:before="120" w:afterLines="50" w:after="120" w:line="360" w:lineRule="auto"/>
        <w:ind w:leftChars="300" w:left="1418" w:hanging="698"/>
        <w:jc w:val="both"/>
        <w:rPr>
          <w:rFonts w:eastAsia="標楷體"/>
          <w:sz w:val="26"/>
          <w:szCs w:val="26"/>
        </w:rPr>
      </w:pPr>
      <w:r w:rsidRPr="00A57745">
        <w:rPr>
          <w:rFonts w:eastAsia="標楷體" w:hint="eastAsia"/>
          <w:sz w:val="26"/>
          <w:szCs w:val="26"/>
        </w:rPr>
        <w:t>所</w:t>
      </w:r>
      <w:r w:rsidR="00567251" w:rsidRPr="00A57745">
        <w:rPr>
          <w:rFonts w:eastAsia="標楷體"/>
          <w:sz w:val="26"/>
          <w:szCs w:val="26"/>
        </w:rPr>
        <w:t>取得未受控交易資料之可比較程度及其所使用資料與假設之品質</w:t>
      </w:r>
    </w:p>
    <w:p w:rsidR="0032590C" w:rsidRDefault="00F1056E" w:rsidP="00965AF0">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本報告第捌章已詳述可比較對象所以被選出之過程、原因及選擇時所用資</w:t>
      </w:r>
      <w:r>
        <w:rPr>
          <w:rFonts w:eastAsia="標楷體"/>
          <w:sz w:val="26"/>
          <w:szCs w:val="26"/>
        </w:rPr>
        <w:t>料與假設之品質</w:t>
      </w:r>
      <w:r>
        <w:rPr>
          <w:rFonts w:eastAsia="標楷體" w:hint="eastAsia"/>
          <w:sz w:val="26"/>
          <w:szCs w:val="26"/>
        </w:rPr>
        <w:t>，</w:t>
      </w:r>
      <w:r>
        <w:rPr>
          <w:rFonts w:eastAsia="標楷體"/>
          <w:sz w:val="26"/>
          <w:szCs w:val="26"/>
        </w:rPr>
        <w:t>其所使用可比較未受控交易資料均來自</w:t>
      </w:r>
      <w:r w:rsidR="0064685D">
        <w:rPr>
          <w:rFonts w:eastAsia="標楷體" w:hint="eastAsia"/>
          <w:sz w:val="26"/>
          <w:szCs w:val="26"/>
        </w:rPr>
        <w:t>ONESOURCE</w:t>
      </w:r>
      <w:r w:rsidRPr="006D4613">
        <w:rPr>
          <w:rFonts w:eastAsia="標楷體" w:hint="eastAsia"/>
          <w:sz w:val="26"/>
          <w:szCs w:val="26"/>
        </w:rPr>
        <w:t>資料庫</w:t>
      </w:r>
      <w:r w:rsidRPr="006D4613">
        <w:rPr>
          <w:rFonts w:eastAsia="標楷體"/>
          <w:sz w:val="26"/>
          <w:szCs w:val="26"/>
        </w:rPr>
        <w:t>。</w:t>
      </w:r>
    </w:p>
    <w:p w:rsidR="0032590C" w:rsidRDefault="00567251" w:rsidP="00965AF0">
      <w:pPr>
        <w:numPr>
          <w:ilvl w:val="0"/>
          <w:numId w:val="51"/>
        </w:numPr>
        <w:tabs>
          <w:tab w:val="left" w:pos="1440"/>
        </w:tabs>
        <w:spacing w:beforeLines="50" w:before="120" w:afterLines="50" w:after="120" w:line="360" w:lineRule="auto"/>
        <w:ind w:leftChars="300" w:left="1202" w:hanging="482"/>
        <w:jc w:val="both"/>
        <w:rPr>
          <w:rFonts w:eastAsia="標楷體"/>
          <w:sz w:val="26"/>
          <w:szCs w:val="26"/>
        </w:rPr>
      </w:pPr>
      <w:r w:rsidRPr="00A57745">
        <w:rPr>
          <w:rFonts w:eastAsia="標楷體"/>
          <w:sz w:val="26"/>
          <w:szCs w:val="26"/>
        </w:rPr>
        <w:t>該指標用以衡量受測個體常規營業利潤之可信賴程度</w:t>
      </w:r>
    </w:p>
    <w:p w:rsidR="0032590C" w:rsidRDefault="00567251" w:rsidP="00965AF0">
      <w:pPr>
        <w:spacing w:beforeLines="50" w:before="120" w:afterLines="50" w:after="120" w:line="360" w:lineRule="auto"/>
        <w:ind w:leftChars="400" w:left="960" w:firstLineChars="200" w:firstLine="520"/>
        <w:jc w:val="both"/>
        <w:rPr>
          <w:rFonts w:eastAsia="標楷體"/>
          <w:sz w:val="26"/>
          <w:szCs w:val="26"/>
        </w:rPr>
      </w:pPr>
      <w:r w:rsidRPr="00EA272E">
        <w:rPr>
          <w:rFonts w:eastAsia="標楷體"/>
          <w:sz w:val="26"/>
          <w:szCs w:val="26"/>
        </w:rPr>
        <w:t>利潤</w:t>
      </w:r>
      <w:r w:rsidR="00EF7229" w:rsidRPr="00EA272E">
        <w:rPr>
          <w:rFonts w:eastAsia="標楷體" w:hint="eastAsia"/>
          <w:sz w:val="26"/>
          <w:szCs w:val="26"/>
        </w:rPr>
        <w:t>率</w:t>
      </w:r>
      <w:r w:rsidRPr="00EA272E">
        <w:rPr>
          <w:rFonts w:eastAsia="標楷體"/>
          <w:sz w:val="26"/>
          <w:szCs w:val="26"/>
        </w:rPr>
        <w:t>指標</w:t>
      </w:r>
      <w:r w:rsidR="00EF7229" w:rsidRPr="00EA272E">
        <w:rPr>
          <w:rFonts w:eastAsia="標楷體" w:hint="eastAsia"/>
          <w:sz w:val="26"/>
          <w:szCs w:val="26"/>
        </w:rPr>
        <w:t>為</w:t>
      </w:r>
      <w:r w:rsidRPr="00EA272E">
        <w:rPr>
          <w:rFonts w:eastAsia="標楷體"/>
          <w:sz w:val="26"/>
          <w:szCs w:val="26"/>
        </w:rPr>
        <w:t>衡量利潤與賺得利潤所產生成本間之關係。利潤</w:t>
      </w:r>
      <w:r w:rsidR="00725ECD" w:rsidRPr="00EA272E">
        <w:rPr>
          <w:rFonts w:eastAsia="標楷體" w:hint="eastAsia"/>
          <w:sz w:val="26"/>
          <w:szCs w:val="26"/>
        </w:rPr>
        <w:t>率</w:t>
      </w:r>
      <w:r w:rsidRPr="00EA272E">
        <w:rPr>
          <w:rFonts w:eastAsia="標楷體"/>
          <w:sz w:val="26"/>
          <w:szCs w:val="26"/>
        </w:rPr>
        <w:t>指標之適用視情況而定，其與受測個體所從事之活動、由可比較未受控對象蒐集</w:t>
      </w:r>
      <w:r w:rsidR="00725ECD" w:rsidRPr="00EA272E">
        <w:rPr>
          <w:rFonts w:eastAsia="標楷體" w:hint="eastAsia"/>
          <w:sz w:val="26"/>
          <w:szCs w:val="26"/>
        </w:rPr>
        <w:t>而</w:t>
      </w:r>
      <w:r w:rsidRPr="00EA272E">
        <w:rPr>
          <w:rFonts w:eastAsia="標楷體"/>
          <w:sz w:val="26"/>
          <w:szCs w:val="26"/>
        </w:rPr>
        <w:t>得之資料以及使用該指標是否可以得到值得信賴之常規交易結果均息息相關。</w:t>
      </w:r>
    </w:p>
    <w:p w:rsidR="0032590C" w:rsidRDefault="00516533" w:rsidP="00965AF0">
      <w:pPr>
        <w:numPr>
          <w:ilvl w:val="0"/>
          <w:numId w:val="51"/>
        </w:numPr>
        <w:tabs>
          <w:tab w:val="left" w:pos="1440"/>
          <w:tab w:val="left" w:pos="1560"/>
        </w:tabs>
        <w:spacing w:beforeLines="50" w:before="120" w:afterLines="50" w:after="120" w:line="360" w:lineRule="auto"/>
        <w:ind w:leftChars="300" w:left="1202" w:hanging="482"/>
        <w:jc w:val="both"/>
        <w:rPr>
          <w:rFonts w:eastAsia="標楷體"/>
          <w:sz w:val="26"/>
          <w:szCs w:val="26"/>
        </w:rPr>
      </w:pPr>
      <w:r w:rsidRPr="00A57745">
        <w:rPr>
          <w:rFonts w:eastAsia="標楷體"/>
          <w:sz w:val="26"/>
          <w:szCs w:val="26"/>
        </w:rPr>
        <w:lastRenderedPageBreak/>
        <w:t>該指標</w:t>
      </w:r>
      <w:r w:rsidR="00366491" w:rsidRPr="00A57745">
        <w:rPr>
          <w:rFonts w:eastAsia="標楷體"/>
          <w:sz w:val="26"/>
          <w:szCs w:val="26"/>
        </w:rPr>
        <w:t>應包括交易當年度及前二年度之連續三年度資料</w:t>
      </w:r>
    </w:p>
    <w:p w:rsidR="0032590C" w:rsidRDefault="00567251" w:rsidP="00965AF0">
      <w:pPr>
        <w:spacing w:beforeLines="50" w:before="120" w:afterLines="50" w:after="120" w:line="360" w:lineRule="auto"/>
        <w:ind w:leftChars="400" w:left="960" w:firstLineChars="200" w:firstLine="520"/>
        <w:jc w:val="both"/>
        <w:rPr>
          <w:rFonts w:eastAsia="標楷體"/>
          <w:color w:val="000000" w:themeColor="text1"/>
          <w:sz w:val="26"/>
          <w:szCs w:val="26"/>
        </w:rPr>
      </w:pPr>
      <w:r w:rsidRPr="00EA272E">
        <w:rPr>
          <w:rFonts w:eastAsia="標楷體"/>
          <w:sz w:val="26"/>
          <w:szCs w:val="26"/>
        </w:rPr>
        <w:t>為確定所取得未受控交易資料</w:t>
      </w:r>
      <w:r w:rsidR="007C3E33" w:rsidRPr="00EA272E">
        <w:rPr>
          <w:rFonts w:eastAsia="標楷體"/>
          <w:sz w:val="26"/>
          <w:szCs w:val="26"/>
        </w:rPr>
        <w:t>之</w:t>
      </w:r>
      <w:r w:rsidRPr="00EA272E">
        <w:rPr>
          <w:rFonts w:eastAsia="標楷體"/>
          <w:sz w:val="26"/>
          <w:szCs w:val="26"/>
        </w:rPr>
        <w:t>可比較程度及其所使用資料與假設之品質，該資料所涵蓋之期間需足以反映可比較未受控交易之合理報酬，</w:t>
      </w:r>
      <w:r w:rsidR="001223EC" w:rsidRPr="00EA272E">
        <w:rPr>
          <w:rFonts w:eastAsia="標楷體" w:hint="eastAsia"/>
          <w:sz w:val="26"/>
          <w:szCs w:val="26"/>
        </w:rPr>
        <w:t>其</w:t>
      </w:r>
      <w:r w:rsidRPr="00EA272E">
        <w:rPr>
          <w:rFonts w:eastAsia="標楷體"/>
          <w:sz w:val="26"/>
          <w:szCs w:val="26"/>
        </w:rPr>
        <w:t>至少應包括交易當年度及前二年度之連續三年度資料。營利事業於辦理交易當年度營利事業所得稅結算申報時，未能取得交易當年度可比較未受控交易資料者，得以不包括當年度之至</w:t>
      </w:r>
      <w:r w:rsidR="00DC4ACB" w:rsidRPr="00DC4ACB">
        <w:rPr>
          <w:rFonts w:eastAsia="標楷體" w:hint="eastAsia"/>
          <w:color w:val="000000" w:themeColor="text1"/>
          <w:sz w:val="26"/>
          <w:szCs w:val="26"/>
        </w:rPr>
        <w:t>少連續前三年度資料為基礎。</w:t>
      </w:r>
    </w:p>
    <w:p w:rsidR="0032590C" w:rsidRDefault="00DC4ACB" w:rsidP="00965AF0">
      <w:pPr>
        <w:spacing w:beforeLines="50" w:before="120" w:afterLines="50" w:after="120" w:line="360" w:lineRule="auto"/>
        <w:ind w:leftChars="400" w:left="960" w:firstLineChars="200" w:firstLine="520"/>
        <w:jc w:val="both"/>
        <w:rPr>
          <w:rFonts w:eastAsia="標楷體"/>
          <w:color w:val="000000" w:themeColor="text1"/>
          <w:sz w:val="26"/>
          <w:szCs w:val="26"/>
        </w:rPr>
      </w:pPr>
      <w:r w:rsidRPr="00DC4ACB">
        <w:rPr>
          <w:rFonts w:eastAsia="標楷體" w:hint="eastAsia"/>
          <w:color w:val="000000" w:themeColor="text1"/>
          <w:sz w:val="26"/>
          <w:szCs w:val="26"/>
        </w:rPr>
        <w:t>因取樣之</w:t>
      </w:r>
      <w:r w:rsidRPr="00DC4ACB">
        <w:rPr>
          <w:rFonts w:eastAsia="標楷體"/>
          <w:color w:val="000000" w:themeColor="text1"/>
          <w:sz w:val="26"/>
          <w:szCs w:val="26"/>
        </w:rPr>
        <w:t>ONESOURCE</w:t>
      </w:r>
      <w:r w:rsidRPr="00DC4ACB">
        <w:rPr>
          <w:rFonts w:eastAsia="標楷體" w:hint="eastAsia"/>
          <w:color w:val="000000" w:themeColor="text1"/>
          <w:sz w:val="26"/>
          <w:szCs w:val="26"/>
        </w:rPr>
        <w:t>資料庫</w:t>
      </w:r>
      <w:r w:rsidRPr="00DC4ACB">
        <w:rPr>
          <w:rFonts w:eastAsia="標楷體"/>
          <w:color w:val="000000" w:themeColor="text1"/>
          <w:sz w:val="26"/>
          <w:szCs w:val="26"/>
        </w:rPr>
        <w:t>2015</w:t>
      </w:r>
      <w:r w:rsidRPr="00DC4ACB">
        <w:rPr>
          <w:rFonts w:eastAsia="標楷體" w:hint="eastAsia"/>
          <w:color w:val="000000" w:themeColor="text1"/>
          <w:sz w:val="26"/>
          <w:szCs w:val="26"/>
        </w:rPr>
        <w:t>年</w:t>
      </w:r>
      <w:r w:rsidRPr="00DC4ACB">
        <w:rPr>
          <w:rFonts w:eastAsia="標楷體"/>
          <w:color w:val="000000" w:themeColor="text1"/>
          <w:sz w:val="26"/>
          <w:szCs w:val="26"/>
        </w:rPr>
        <w:t>12</w:t>
      </w:r>
      <w:r w:rsidRPr="00DC4ACB">
        <w:rPr>
          <w:rFonts w:eastAsia="標楷體" w:hint="eastAsia"/>
          <w:color w:val="000000" w:themeColor="text1"/>
          <w:sz w:val="26"/>
          <w:szCs w:val="26"/>
        </w:rPr>
        <w:t>月版本中仍有部分公司未將民國</w:t>
      </w:r>
      <w:r w:rsidRPr="00DC4ACB">
        <w:rPr>
          <w:rFonts w:eastAsia="標楷體"/>
          <w:color w:val="000000" w:themeColor="text1"/>
          <w:sz w:val="26"/>
          <w:szCs w:val="26"/>
        </w:rPr>
        <w:t>104</w:t>
      </w:r>
      <w:r w:rsidRPr="00DC4ACB">
        <w:rPr>
          <w:rFonts w:eastAsia="標楷體" w:hint="eastAsia"/>
          <w:color w:val="000000" w:themeColor="text1"/>
          <w:sz w:val="26"/>
          <w:szCs w:val="26"/>
        </w:rPr>
        <w:t>當年度之財務報表上傳至資料庫，為求取該資料所涵蓋之期間能足以反映可比較未受控交易之合理報酬，故本所要求樣本至少需具</w:t>
      </w:r>
      <w:r w:rsidRPr="00DC4ACB">
        <w:rPr>
          <w:rFonts w:eastAsia="標楷體"/>
          <w:color w:val="000000" w:themeColor="text1"/>
          <w:sz w:val="26"/>
          <w:szCs w:val="26"/>
        </w:rPr>
        <w:t>101</w:t>
      </w:r>
      <w:r w:rsidRPr="00DC4ACB">
        <w:rPr>
          <w:rFonts w:eastAsia="標楷體" w:hint="eastAsia"/>
          <w:color w:val="000000" w:themeColor="text1"/>
          <w:sz w:val="26"/>
          <w:szCs w:val="26"/>
        </w:rPr>
        <w:t>至</w:t>
      </w:r>
      <w:r w:rsidRPr="00DC4ACB">
        <w:rPr>
          <w:rFonts w:eastAsia="標楷體"/>
          <w:color w:val="000000" w:themeColor="text1"/>
          <w:sz w:val="26"/>
          <w:szCs w:val="26"/>
        </w:rPr>
        <w:t>103</w:t>
      </w:r>
      <w:r w:rsidRPr="00DC4ACB">
        <w:rPr>
          <w:rFonts w:eastAsia="標楷體" w:hint="eastAsia"/>
          <w:color w:val="000000" w:themeColor="text1"/>
          <w:sz w:val="26"/>
          <w:szCs w:val="26"/>
        </w:rPr>
        <w:t>年度連續三年度之財務資料。</w:t>
      </w:r>
    </w:p>
    <w:p w:rsidR="0032590C" w:rsidRDefault="00F51243" w:rsidP="00965AF0">
      <w:pPr>
        <w:numPr>
          <w:ilvl w:val="0"/>
          <w:numId w:val="42"/>
        </w:numPr>
        <w:tabs>
          <w:tab w:val="left" w:pos="960"/>
          <w:tab w:val="left" w:pos="1134"/>
        </w:tabs>
        <w:spacing w:beforeLines="50" w:before="120" w:afterLines="50" w:after="120" w:line="360" w:lineRule="auto"/>
        <w:ind w:leftChars="200" w:left="962" w:hanging="482"/>
        <w:jc w:val="both"/>
        <w:rPr>
          <w:rFonts w:eastAsia="標楷體"/>
          <w:b/>
          <w:sz w:val="28"/>
          <w:szCs w:val="26"/>
        </w:rPr>
      </w:pPr>
      <w:r w:rsidRPr="00A57745">
        <w:rPr>
          <w:rFonts w:eastAsia="標楷體" w:hint="eastAsia"/>
          <w:b/>
          <w:sz w:val="28"/>
          <w:szCs w:val="26"/>
        </w:rPr>
        <w:t>為受測個體選定利潤率指標</w:t>
      </w:r>
    </w:p>
    <w:p w:rsidR="0032590C" w:rsidRDefault="00F51243" w:rsidP="00965AF0">
      <w:pPr>
        <w:spacing w:beforeLines="50" w:before="120" w:afterLines="50" w:after="120" w:line="360" w:lineRule="auto"/>
        <w:ind w:leftChars="200" w:left="480" w:firstLineChars="200" w:firstLine="520"/>
        <w:jc w:val="both"/>
        <w:rPr>
          <w:rFonts w:eastAsia="標楷體"/>
          <w:sz w:val="26"/>
          <w:szCs w:val="26"/>
        </w:rPr>
      </w:pPr>
      <w:r w:rsidRPr="00266521">
        <w:rPr>
          <w:rFonts w:eastAsia="標楷體"/>
          <w:sz w:val="26"/>
          <w:szCs w:val="26"/>
        </w:rPr>
        <w:t>因為利潤</w:t>
      </w:r>
      <w:r w:rsidR="00725ECD" w:rsidRPr="00266521">
        <w:rPr>
          <w:rFonts w:eastAsia="標楷體" w:hint="eastAsia"/>
          <w:sz w:val="26"/>
          <w:szCs w:val="26"/>
        </w:rPr>
        <w:t>率</w:t>
      </w:r>
      <w:r w:rsidRPr="00266521">
        <w:rPr>
          <w:rFonts w:eastAsia="標楷體"/>
          <w:sz w:val="26"/>
          <w:szCs w:val="26"/>
        </w:rPr>
        <w:t>指標為衡量受測個體為賺得一定利潤所需花費之成本或所需使用資源之比率，是以選用利潤</w:t>
      </w:r>
      <w:r w:rsidR="00725ECD" w:rsidRPr="00266521">
        <w:rPr>
          <w:rFonts w:eastAsia="標楷體" w:hint="eastAsia"/>
          <w:sz w:val="26"/>
          <w:szCs w:val="26"/>
        </w:rPr>
        <w:t>率</w:t>
      </w:r>
      <w:r w:rsidRPr="00266521">
        <w:rPr>
          <w:rFonts w:eastAsia="標楷體"/>
          <w:sz w:val="26"/>
          <w:szCs w:val="26"/>
        </w:rPr>
        <w:t>指標時必須考慮利潤與使用資源之關係。若受測個體之利潤主要由營業資產之使用而得致，則以營業資產報酬率做為利潤</w:t>
      </w:r>
      <w:r w:rsidR="00A076ED" w:rsidRPr="00266521">
        <w:rPr>
          <w:rFonts w:eastAsia="標楷體" w:hint="eastAsia"/>
          <w:sz w:val="26"/>
          <w:szCs w:val="26"/>
        </w:rPr>
        <w:t>率</w:t>
      </w:r>
      <w:r w:rsidRPr="00266521">
        <w:rPr>
          <w:rFonts w:eastAsia="標楷體"/>
          <w:sz w:val="26"/>
          <w:szCs w:val="26"/>
        </w:rPr>
        <w:t>指標最為合適；若欲衡量營運成本（</w:t>
      </w:r>
      <w:r w:rsidRPr="00266521">
        <w:rPr>
          <w:rFonts w:eastAsia="標楷體"/>
          <w:sz w:val="26"/>
          <w:szCs w:val="26"/>
        </w:rPr>
        <w:t>Operating Cost</w:t>
      </w:r>
      <w:r w:rsidRPr="00266521">
        <w:rPr>
          <w:rFonts w:eastAsia="標楷體"/>
          <w:sz w:val="26"/>
          <w:szCs w:val="26"/>
        </w:rPr>
        <w:t>）報酬率，</w:t>
      </w:r>
      <w:r w:rsidR="00A076ED" w:rsidRPr="00266521">
        <w:rPr>
          <w:rFonts w:eastAsia="標楷體" w:hint="eastAsia"/>
          <w:sz w:val="26"/>
          <w:szCs w:val="26"/>
        </w:rPr>
        <w:t>則</w:t>
      </w:r>
      <w:r w:rsidRPr="00266521">
        <w:rPr>
          <w:rFonts w:eastAsia="標楷體"/>
          <w:sz w:val="26"/>
          <w:szCs w:val="26"/>
        </w:rPr>
        <w:t>採用貝里比率</w:t>
      </w:r>
      <w:r w:rsidRPr="00266521">
        <w:rPr>
          <w:rFonts w:eastAsia="標楷體" w:hint="eastAsia"/>
          <w:sz w:val="26"/>
          <w:szCs w:val="26"/>
        </w:rPr>
        <w:t>或成本及營業費用淨利率為</w:t>
      </w:r>
      <w:r w:rsidRPr="00266521">
        <w:rPr>
          <w:rFonts w:eastAsia="標楷體"/>
          <w:sz w:val="26"/>
          <w:szCs w:val="26"/>
        </w:rPr>
        <w:t>利潤</w:t>
      </w:r>
      <w:r w:rsidR="00A076ED" w:rsidRPr="00266521">
        <w:rPr>
          <w:rFonts w:eastAsia="標楷體" w:hint="eastAsia"/>
          <w:sz w:val="26"/>
          <w:szCs w:val="26"/>
        </w:rPr>
        <w:t>率</w:t>
      </w:r>
      <w:r w:rsidRPr="00266521">
        <w:rPr>
          <w:rFonts w:eastAsia="標楷體"/>
          <w:sz w:val="26"/>
          <w:szCs w:val="26"/>
        </w:rPr>
        <w:t>指標；若欲衡量淨利與銷貨間之關係，</w:t>
      </w:r>
      <w:r w:rsidR="00A076ED" w:rsidRPr="00266521">
        <w:rPr>
          <w:rFonts w:eastAsia="標楷體" w:hint="eastAsia"/>
          <w:sz w:val="26"/>
          <w:szCs w:val="26"/>
        </w:rPr>
        <w:t>則</w:t>
      </w:r>
      <w:r w:rsidRPr="00266521">
        <w:rPr>
          <w:rFonts w:eastAsia="標楷體"/>
          <w:sz w:val="26"/>
          <w:szCs w:val="26"/>
        </w:rPr>
        <w:t>採用</w:t>
      </w:r>
      <w:r w:rsidRPr="00266521">
        <w:rPr>
          <w:rFonts w:eastAsia="標楷體" w:hint="eastAsia"/>
          <w:sz w:val="26"/>
          <w:szCs w:val="26"/>
        </w:rPr>
        <w:t>營業</w:t>
      </w:r>
      <w:r w:rsidRPr="00266521">
        <w:rPr>
          <w:rFonts w:eastAsia="標楷體"/>
          <w:sz w:val="26"/>
          <w:szCs w:val="26"/>
        </w:rPr>
        <w:t>淨利率為利潤</w:t>
      </w:r>
      <w:r w:rsidR="00A076ED" w:rsidRPr="00266521">
        <w:rPr>
          <w:rFonts w:eastAsia="標楷體" w:hint="eastAsia"/>
          <w:sz w:val="26"/>
          <w:szCs w:val="26"/>
        </w:rPr>
        <w:t>率</w:t>
      </w:r>
      <w:r w:rsidRPr="00266521">
        <w:rPr>
          <w:rFonts w:eastAsia="標楷體"/>
          <w:sz w:val="26"/>
          <w:szCs w:val="26"/>
        </w:rPr>
        <w:t>指標</w:t>
      </w:r>
      <w:r w:rsidR="00266521" w:rsidRPr="006B74CC">
        <w:rPr>
          <w:rFonts w:eastAsia="標楷體" w:hint="eastAsia"/>
          <w:sz w:val="26"/>
          <w:szCs w:val="26"/>
        </w:rPr>
        <w:t>；若受測個體產出績效與投入之成本及營業費用密切相關，則適用成本及營業費用淨利率。</w:t>
      </w:r>
    </w:p>
    <w:p w:rsidR="0032590C" w:rsidRDefault="00F51243"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sz w:val="26"/>
          <w:szCs w:val="26"/>
        </w:rPr>
        <w:t>一般而言，採用營業資產報酬率做為利潤</w:t>
      </w:r>
      <w:r w:rsidR="00A076ED" w:rsidRPr="00EA272E">
        <w:rPr>
          <w:rFonts w:eastAsia="標楷體" w:hint="eastAsia"/>
          <w:sz w:val="26"/>
          <w:szCs w:val="26"/>
        </w:rPr>
        <w:t>率</w:t>
      </w:r>
      <w:r w:rsidRPr="00EA272E">
        <w:rPr>
          <w:rFonts w:eastAsia="標楷體"/>
          <w:sz w:val="26"/>
          <w:szCs w:val="26"/>
        </w:rPr>
        <w:t>指標者為製造商，採用貝里比率為比較營業毛利與營運成本間之關係，大多用於服務提供者或功能僅限</w:t>
      </w:r>
      <w:r w:rsidR="00A076ED" w:rsidRPr="00EA272E">
        <w:rPr>
          <w:rFonts w:eastAsia="標楷體"/>
          <w:sz w:val="26"/>
          <w:szCs w:val="26"/>
        </w:rPr>
        <w:t>於銷售活動為例行性且所售產品同質性高之配銷商。</w:t>
      </w:r>
      <w:r w:rsidR="00A076ED" w:rsidRPr="00EA272E">
        <w:rPr>
          <w:rFonts w:eastAsia="標楷體" w:hint="eastAsia"/>
          <w:sz w:val="26"/>
          <w:szCs w:val="26"/>
        </w:rPr>
        <w:t>倘</w:t>
      </w:r>
      <w:r w:rsidR="00A076ED" w:rsidRPr="00EA272E">
        <w:rPr>
          <w:rFonts w:eastAsia="標楷體"/>
          <w:sz w:val="26"/>
          <w:szCs w:val="26"/>
        </w:rPr>
        <w:t>若無法將</w:t>
      </w:r>
      <w:r w:rsidRPr="00EA272E">
        <w:rPr>
          <w:rFonts w:eastAsia="標楷體"/>
          <w:sz w:val="26"/>
          <w:szCs w:val="26"/>
        </w:rPr>
        <w:t>利潤與其所運用之資源或花費之營業成本清楚區分，一般均採用</w:t>
      </w:r>
      <w:r w:rsidRPr="00EA272E">
        <w:rPr>
          <w:rFonts w:eastAsia="標楷體" w:hint="eastAsia"/>
          <w:sz w:val="26"/>
          <w:szCs w:val="26"/>
        </w:rPr>
        <w:t>營業</w:t>
      </w:r>
      <w:r w:rsidRPr="00EA272E">
        <w:rPr>
          <w:rFonts w:eastAsia="標楷體"/>
          <w:sz w:val="26"/>
          <w:szCs w:val="26"/>
        </w:rPr>
        <w:lastRenderedPageBreak/>
        <w:t>淨利率</w:t>
      </w:r>
      <w:r w:rsidRPr="00EA272E">
        <w:rPr>
          <w:rFonts w:eastAsia="標楷體" w:hint="eastAsia"/>
          <w:sz w:val="26"/>
          <w:szCs w:val="26"/>
        </w:rPr>
        <w:t>或成本及營業費用淨利率</w:t>
      </w:r>
      <w:r w:rsidRPr="00EA272E">
        <w:rPr>
          <w:rFonts w:eastAsia="標楷體"/>
          <w:sz w:val="26"/>
          <w:szCs w:val="26"/>
        </w:rPr>
        <w:t>作為利潤</w:t>
      </w:r>
      <w:r w:rsidR="00A076ED" w:rsidRPr="00EA272E">
        <w:rPr>
          <w:rFonts w:eastAsia="標楷體" w:hint="eastAsia"/>
          <w:sz w:val="26"/>
          <w:szCs w:val="26"/>
        </w:rPr>
        <w:t>率</w:t>
      </w:r>
      <w:r w:rsidRPr="00EA272E">
        <w:rPr>
          <w:rFonts w:eastAsia="標楷體"/>
          <w:sz w:val="26"/>
          <w:szCs w:val="26"/>
        </w:rPr>
        <w:t>指標。</w:t>
      </w:r>
    </w:p>
    <w:p w:rsidR="0032590C" w:rsidRDefault="00A076ED" w:rsidP="00965AF0">
      <w:pPr>
        <w:spacing w:beforeLines="50" w:before="120" w:afterLines="50" w:after="120" w:line="360" w:lineRule="auto"/>
        <w:ind w:leftChars="200" w:left="480" w:firstLineChars="200" w:firstLine="520"/>
        <w:jc w:val="both"/>
        <w:rPr>
          <w:rFonts w:eastAsia="標楷體"/>
          <w:sz w:val="26"/>
          <w:szCs w:val="26"/>
        </w:rPr>
      </w:pPr>
      <w:r w:rsidRPr="00EA272E">
        <w:rPr>
          <w:rFonts w:eastAsia="標楷體" w:hint="eastAsia"/>
          <w:sz w:val="26"/>
          <w:szCs w:val="26"/>
        </w:rPr>
        <w:t>茲將分析各受控交易所採</w:t>
      </w:r>
      <w:r w:rsidR="00F51243" w:rsidRPr="00EA272E">
        <w:rPr>
          <w:rFonts w:eastAsia="標楷體" w:hint="eastAsia"/>
          <w:sz w:val="26"/>
          <w:szCs w:val="26"/>
        </w:rPr>
        <w:t>用之利潤</w:t>
      </w:r>
      <w:r w:rsidRPr="00EA272E">
        <w:rPr>
          <w:rFonts w:eastAsia="標楷體" w:hint="eastAsia"/>
          <w:sz w:val="26"/>
          <w:szCs w:val="26"/>
        </w:rPr>
        <w:t>率</w:t>
      </w:r>
      <w:r w:rsidR="00F51243" w:rsidRPr="00EA272E">
        <w:rPr>
          <w:rFonts w:eastAsia="標楷體" w:hint="eastAsia"/>
          <w:sz w:val="26"/>
          <w:szCs w:val="26"/>
        </w:rPr>
        <w:t>指標理由說明如下：</w:t>
      </w:r>
    </w:p>
    <w:p w:rsidR="0032590C" w:rsidRDefault="004F275B" w:rsidP="00965AF0">
      <w:pPr>
        <w:numPr>
          <w:ilvl w:val="0"/>
          <w:numId w:val="50"/>
        </w:numPr>
        <w:tabs>
          <w:tab w:val="left" w:pos="840"/>
        </w:tabs>
        <w:spacing w:beforeLines="50" w:before="120" w:afterLines="50" w:after="120" w:line="360" w:lineRule="auto"/>
        <w:ind w:leftChars="200" w:left="1444" w:hanging="964"/>
        <w:jc w:val="both"/>
        <w:rPr>
          <w:rFonts w:eastAsia="標楷體"/>
          <w:b/>
          <w:sz w:val="26"/>
          <w:szCs w:val="26"/>
        </w:rPr>
      </w:pPr>
      <w:r w:rsidRPr="00601A95">
        <w:rPr>
          <w:rFonts w:eastAsia="標楷體" w:hint="eastAsia"/>
          <w:b/>
          <w:sz w:val="26"/>
          <w:szCs w:val="26"/>
        </w:rPr>
        <w:t>「有形資產之移轉－進貨」及「服務之提供－提供產品服務」</w:t>
      </w:r>
    </w:p>
    <w:p w:rsidR="0032590C" w:rsidRDefault="004F275B" w:rsidP="00965AF0">
      <w:pPr>
        <w:spacing w:beforeLines="50" w:before="120" w:afterLines="50" w:after="120" w:line="360" w:lineRule="auto"/>
        <w:ind w:leftChars="200" w:left="480" w:firstLineChars="200" w:firstLine="520"/>
        <w:jc w:val="both"/>
        <w:rPr>
          <w:rFonts w:eastAsia="標楷體"/>
          <w:sz w:val="26"/>
          <w:szCs w:val="26"/>
        </w:rPr>
      </w:pPr>
      <w:r w:rsidRPr="00601A95">
        <w:rPr>
          <w:rFonts w:eastAsia="標楷體"/>
          <w:sz w:val="26"/>
          <w:szCs w:val="26"/>
        </w:rPr>
        <w:t>評估</w:t>
      </w:r>
      <w:r w:rsidRPr="00601A95">
        <w:rPr>
          <w:rFonts w:eastAsia="標楷體" w:hint="eastAsia"/>
          <w:sz w:val="26"/>
          <w:szCs w:val="26"/>
        </w:rPr>
        <w:t>此</w:t>
      </w:r>
      <w:r w:rsidRPr="00601A95">
        <w:rPr>
          <w:rFonts w:eastAsia="標楷體"/>
          <w:sz w:val="26"/>
          <w:szCs w:val="26"/>
        </w:rPr>
        <w:t>受控交易時，</w:t>
      </w:r>
      <w:r w:rsidRPr="00601A95">
        <w:rPr>
          <w:rFonts w:eastAsia="標楷體" w:hint="eastAsia"/>
          <w:sz w:val="26"/>
          <w:szCs w:val="26"/>
        </w:rPr>
        <w:t>太克科技</w:t>
      </w:r>
      <w:r w:rsidRPr="00601A95">
        <w:rPr>
          <w:rFonts w:eastAsia="標楷體"/>
          <w:sz w:val="26"/>
          <w:szCs w:val="26"/>
        </w:rPr>
        <w:t>為</w:t>
      </w:r>
      <w:r w:rsidRPr="00601A95">
        <w:rPr>
          <w:rFonts w:eastAsia="標楷體" w:hint="eastAsia"/>
          <w:sz w:val="26"/>
          <w:szCs w:val="26"/>
        </w:rPr>
        <w:t>銷售</w:t>
      </w:r>
      <w:r>
        <w:rPr>
          <w:rFonts w:eastAsia="標楷體" w:hint="eastAsia"/>
          <w:sz w:val="26"/>
          <w:szCs w:val="26"/>
        </w:rPr>
        <w:t>精</w:t>
      </w:r>
      <w:r w:rsidRPr="00601A95">
        <w:rPr>
          <w:rFonts w:eastAsia="標楷體" w:hint="eastAsia"/>
          <w:sz w:val="26"/>
          <w:szCs w:val="26"/>
        </w:rPr>
        <w:t>密量測儀器之配銷</w:t>
      </w:r>
      <w:r w:rsidRPr="00601A95">
        <w:rPr>
          <w:rFonts w:eastAsia="標楷體"/>
          <w:sz w:val="26"/>
          <w:szCs w:val="26"/>
        </w:rPr>
        <w:t>商，故不選用適</w:t>
      </w:r>
      <w:r w:rsidRPr="00601A95">
        <w:rPr>
          <w:rFonts w:eastAsia="標楷體" w:hint="eastAsia"/>
          <w:sz w:val="26"/>
          <w:szCs w:val="26"/>
        </w:rPr>
        <w:t>合</w:t>
      </w:r>
      <w:r w:rsidRPr="00601A95">
        <w:rPr>
          <w:rFonts w:eastAsia="標楷體"/>
          <w:sz w:val="26"/>
          <w:szCs w:val="26"/>
        </w:rPr>
        <w:t>評估製造</w:t>
      </w:r>
      <w:r w:rsidRPr="00601A95">
        <w:rPr>
          <w:rFonts w:eastAsia="標楷體" w:hint="eastAsia"/>
          <w:sz w:val="26"/>
          <w:szCs w:val="26"/>
        </w:rPr>
        <w:t>商</w:t>
      </w:r>
      <w:r w:rsidRPr="00601A95">
        <w:rPr>
          <w:rFonts w:eastAsia="標楷體"/>
          <w:sz w:val="26"/>
          <w:szCs w:val="26"/>
        </w:rPr>
        <w:t>之營業資產報酬率為利潤</w:t>
      </w:r>
      <w:r w:rsidRPr="00601A95">
        <w:rPr>
          <w:rFonts w:eastAsia="標楷體" w:hint="eastAsia"/>
          <w:sz w:val="26"/>
          <w:szCs w:val="26"/>
        </w:rPr>
        <w:t>率</w:t>
      </w:r>
      <w:r w:rsidRPr="00601A95">
        <w:rPr>
          <w:rFonts w:eastAsia="標楷體"/>
          <w:sz w:val="26"/>
          <w:szCs w:val="26"/>
        </w:rPr>
        <w:t>指標</w:t>
      </w:r>
      <w:r w:rsidRPr="00601A95">
        <w:rPr>
          <w:rFonts w:eastAsia="標楷體" w:hint="eastAsia"/>
          <w:sz w:val="26"/>
          <w:szCs w:val="26"/>
        </w:rPr>
        <w:t>；</w:t>
      </w:r>
      <w:r w:rsidR="00880A9F" w:rsidRPr="00300AD7">
        <w:rPr>
          <w:rFonts w:ascii="標楷體" w:eastAsia="標楷體" w:hAnsi="標楷體" w:hint="eastAsia"/>
          <w:sz w:val="26"/>
          <w:szCs w:val="26"/>
        </w:rPr>
        <w:t>因</w:t>
      </w:r>
      <w:r w:rsidR="00D24175" w:rsidRPr="00601A95">
        <w:rPr>
          <w:rFonts w:eastAsia="標楷體" w:hint="eastAsia"/>
          <w:sz w:val="26"/>
          <w:szCs w:val="26"/>
        </w:rPr>
        <w:t>太克科技</w:t>
      </w:r>
      <w:r w:rsidR="00880A9F" w:rsidRPr="00300AD7">
        <w:rPr>
          <w:rFonts w:ascii="標楷體" w:eastAsia="標楷體" w:hAnsi="標楷體" w:hint="eastAsia"/>
          <w:sz w:val="26"/>
          <w:szCs w:val="26"/>
        </w:rPr>
        <w:t>進貨及提供產品服務受控交易具有關聯之特性，本報告將兩者合併進行分析，</w:t>
      </w:r>
      <w:r w:rsidR="00300AD7" w:rsidRPr="007A3F28">
        <w:rPr>
          <w:rFonts w:eastAsia="標楷體" w:hint="eastAsia"/>
          <w:sz w:val="26"/>
          <w:szCs w:val="26"/>
        </w:rPr>
        <w:t>在考量利潤指標不得以受控交易為計算基礎之前提下，不選用</w:t>
      </w:r>
      <w:r w:rsidR="00300AD7">
        <w:rPr>
          <w:rFonts w:eastAsia="標楷體" w:hint="eastAsia"/>
          <w:sz w:val="26"/>
          <w:szCs w:val="26"/>
        </w:rPr>
        <w:t>「成本及費用淨利率」及「</w:t>
      </w:r>
      <w:r w:rsidR="00300AD7" w:rsidRPr="007A3F28">
        <w:rPr>
          <w:rFonts w:eastAsia="標楷體" w:hint="eastAsia"/>
          <w:sz w:val="26"/>
          <w:szCs w:val="26"/>
        </w:rPr>
        <w:t>營業</w:t>
      </w:r>
      <w:r w:rsidR="00300AD7" w:rsidRPr="007A3F28">
        <w:rPr>
          <w:rFonts w:eastAsia="標楷體"/>
          <w:sz w:val="26"/>
          <w:szCs w:val="26"/>
        </w:rPr>
        <w:t>淨利率</w:t>
      </w:r>
      <w:r w:rsidR="00300AD7">
        <w:rPr>
          <w:rFonts w:eastAsia="標楷體" w:hint="eastAsia"/>
          <w:sz w:val="26"/>
          <w:szCs w:val="26"/>
        </w:rPr>
        <w:t>」</w:t>
      </w:r>
      <w:r w:rsidR="00300AD7" w:rsidRPr="007A3F28">
        <w:rPr>
          <w:rFonts w:eastAsia="標楷體"/>
          <w:sz w:val="26"/>
          <w:szCs w:val="26"/>
        </w:rPr>
        <w:t>進行評估</w:t>
      </w:r>
      <w:r w:rsidR="00300AD7">
        <w:rPr>
          <w:rFonts w:eastAsia="標楷體" w:hint="eastAsia"/>
          <w:sz w:val="26"/>
          <w:szCs w:val="26"/>
        </w:rPr>
        <w:t>；</w:t>
      </w:r>
      <w:r w:rsidR="00680604" w:rsidRPr="00601A95">
        <w:rPr>
          <w:rFonts w:eastAsia="標楷體" w:hint="eastAsia"/>
          <w:sz w:val="26"/>
          <w:szCs w:val="26"/>
        </w:rPr>
        <w:t>太克科</w:t>
      </w:r>
      <w:r w:rsidR="00680604" w:rsidRPr="00780DF6">
        <w:rPr>
          <w:rFonts w:eastAsia="標楷體" w:hint="eastAsia"/>
          <w:bCs/>
          <w:kern w:val="0"/>
          <w:sz w:val="26"/>
          <w:szCs w:val="26"/>
        </w:rPr>
        <w:t>提供接單、行銷、維修及保固等產品服務</w:t>
      </w:r>
      <w:r w:rsidR="00680604">
        <w:rPr>
          <w:rFonts w:eastAsia="標楷體" w:hint="eastAsia"/>
          <w:sz w:val="26"/>
          <w:szCs w:val="26"/>
        </w:rPr>
        <w:t>予</w:t>
      </w:r>
      <w:r w:rsidR="00680604" w:rsidRPr="009C734C">
        <w:rPr>
          <w:rFonts w:eastAsia="標楷體" w:hint="eastAsia"/>
          <w:sz w:val="26"/>
          <w:szCs w:val="26"/>
        </w:rPr>
        <w:t>關係企業</w:t>
      </w:r>
      <w:r w:rsidR="00D13466">
        <w:rPr>
          <w:rFonts w:eastAsia="標楷體" w:hint="eastAsia"/>
          <w:sz w:val="26"/>
          <w:szCs w:val="26"/>
        </w:rPr>
        <w:t>並向關係企業</w:t>
      </w:r>
      <w:r w:rsidR="00D13466" w:rsidRPr="00F81C66">
        <w:rPr>
          <w:rFonts w:eastAsia="標楷體" w:hint="eastAsia"/>
          <w:bCs/>
          <w:kern w:val="0"/>
          <w:sz w:val="26"/>
          <w:szCs w:val="26"/>
        </w:rPr>
        <w:t>購入電子測量儀器</w:t>
      </w:r>
      <w:r w:rsidR="00680604">
        <w:rPr>
          <w:rFonts w:eastAsia="標楷體" w:hint="eastAsia"/>
          <w:sz w:val="26"/>
          <w:szCs w:val="26"/>
        </w:rPr>
        <w:t>，因</w:t>
      </w:r>
      <w:r w:rsidR="00680604" w:rsidRPr="00E15773">
        <w:rPr>
          <w:rFonts w:eastAsia="標楷體" w:hint="eastAsia"/>
          <w:sz w:val="26"/>
          <w:szCs w:val="26"/>
        </w:rPr>
        <w:t>該活動為例行性且產品同質性高，</w:t>
      </w:r>
      <w:r w:rsidR="00680604">
        <w:rPr>
          <w:rFonts w:eastAsia="標楷體" w:hint="eastAsia"/>
          <w:sz w:val="26"/>
          <w:szCs w:val="26"/>
        </w:rPr>
        <w:t>故</w:t>
      </w:r>
      <w:r w:rsidR="00680604" w:rsidRPr="00E15773">
        <w:rPr>
          <w:rFonts w:eastAsia="標楷體" w:hint="eastAsia"/>
          <w:sz w:val="26"/>
          <w:szCs w:val="26"/>
        </w:rPr>
        <w:t>本所採用</w:t>
      </w:r>
      <w:r w:rsidR="00680604" w:rsidRPr="009C734C">
        <w:rPr>
          <w:rFonts w:eastAsia="標楷體" w:hint="eastAsia"/>
          <w:sz w:val="26"/>
          <w:szCs w:val="26"/>
        </w:rPr>
        <w:t>貝里比率</w:t>
      </w:r>
      <w:r w:rsidR="00D24175">
        <w:rPr>
          <w:rFonts w:eastAsia="標楷體" w:hint="eastAsia"/>
          <w:sz w:val="26"/>
          <w:szCs w:val="26"/>
        </w:rPr>
        <w:t>進行評估</w:t>
      </w:r>
      <w:r w:rsidR="00680604" w:rsidRPr="009C734C">
        <w:rPr>
          <w:rFonts w:eastAsia="標楷體" w:hint="eastAsia"/>
          <w:sz w:val="26"/>
          <w:szCs w:val="26"/>
        </w:rPr>
        <w:t>。</w:t>
      </w:r>
    </w:p>
    <w:p w:rsidR="0032590C" w:rsidRDefault="000E7614" w:rsidP="00965AF0">
      <w:pPr>
        <w:pStyle w:val="3"/>
        <w:numPr>
          <w:ilvl w:val="0"/>
          <w:numId w:val="58"/>
        </w:numPr>
        <w:spacing w:beforeLines="50" w:before="120" w:afterLines="50" w:after="120" w:line="360" w:lineRule="auto"/>
        <w:jc w:val="both"/>
        <w:rPr>
          <w:rFonts w:ascii="Times New Roman" w:eastAsia="標楷體" w:hAnsi="Times New Roman"/>
          <w:sz w:val="32"/>
          <w:szCs w:val="26"/>
        </w:rPr>
      </w:pPr>
      <w:r w:rsidRPr="00D70783">
        <w:rPr>
          <w:rFonts w:ascii="Times New Roman" w:eastAsia="標楷體" w:hAnsi="Times New Roman" w:hint="eastAsia"/>
          <w:sz w:val="32"/>
          <w:szCs w:val="26"/>
        </w:rPr>
        <w:t>可比較</w:t>
      </w:r>
      <w:r w:rsidR="003C5E39" w:rsidRPr="00D70783">
        <w:rPr>
          <w:rFonts w:ascii="Times New Roman" w:eastAsia="標楷體" w:hAnsi="Times New Roman" w:hint="eastAsia"/>
          <w:sz w:val="32"/>
          <w:szCs w:val="26"/>
        </w:rPr>
        <w:t>對象</w:t>
      </w:r>
      <w:r w:rsidR="001070FF" w:rsidRPr="00D70783">
        <w:rPr>
          <w:rFonts w:ascii="Times New Roman" w:eastAsia="標楷體" w:hAnsi="Times New Roman" w:hint="eastAsia"/>
          <w:sz w:val="32"/>
          <w:szCs w:val="26"/>
        </w:rPr>
        <w:t>之</w:t>
      </w:r>
      <w:r w:rsidRPr="00D70783">
        <w:rPr>
          <w:rFonts w:ascii="Times New Roman" w:eastAsia="標楷體" w:hAnsi="Times New Roman" w:hint="eastAsia"/>
          <w:sz w:val="32"/>
          <w:szCs w:val="26"/>
        </w:rPr>
        <w:t>常規交易範圍</w:t>
      </w:r>
    </w:p>
    <w:p w:rsidR="0032590C" w:rsidRDefault="001F0EC4" w:rsidP="00965AF0">
      <w:pPr>
        <w:numPr>
          <w:ilvl w:val="0"/>
          <w:numId w:val="44"/>
        </w:numPr>
        <w:tabs>
          <w:tab w:val="left" w:pos="1134"/>
        </w:tabs>
        <w:spacing w:beforeLines="50" w:before="120" w:afterLines="50" w:after="120" w:line="360" w:lineRule="auto"/>
        <w:ind w:leftChars="300" w:left="1145" w:hanging="425"/>
        <w:jc w:val="both"/>
        <w:rPr>
          <w:rFonts w:eastAsia="標楷體"/>
          <w:b/>
          <w:sz w:val="28"/>
          <w:szCs w:val="26"/>
        </w:rPr>
      </w:pPr>
      <w:r>
        <w:rPr>
          <w:rFonts w:eastAsia="標楷體" w:hint="eastAsia"/>
          <w:b/>
          <w:sz w:val="28"/>
          <w:szCs w:val="26"/>
        </w:rPr>
        <w:t>ONESOURCE</w:t>
      </w:r>
      <w:r w:rsidR="00397F28">
        <w:rPr>
          <w:rFonts w:eastAsia="標楷體" w:hint="eastAsia"/>
          <w:b/>
          <w:sz w:val="28"/>
          <w:szCs w:val="26"/>
        </w:rPr>
        <w:t>資料庫</w:t>
      </w:r>
    </w:p>
    <w:p w:rsidR="0032590C" w:rsidRDefault="00300832" w:rsidP="00965AF0">
      <w:pPr>
        <w:tabs>
          <w:tab w:val="left" w:pos="1134"/>
        </w:tabs>
        <w:spacing w:beforeLines="50" w:before="120" w:afterLines="50" w:after="120" w:line="360" w:lineRule="auto"/>
        <w:ind w:leftChars="400" w:left="960" w:firstLineChars="200" w:firstLine="520"/>
        <w:jc w:val="both"/>
        <w:rPr>
          <w:rFonts w:eastAsia="標楷體"/>
          <w:sz w:val="26"/>
          <w:szCs w:val="26"/>
        </w:rPr>
      </w:pPr>
      <w:r w:rsidRPr="00300832">
        <w:rPr>
          <w:rFonts w:eastAsia="標楷體" w:hint="eastAsia"/>
          <w:sz w:val="26"/>
          <w:szCs w:val="26"/>
        </w:rPr>
        <w:t>受測個體太克科技為有限功能配銷商之可比較對象</w:t>
      </w:r>
      <w:r w:rsidR="00D923B3" w:rsidRPr="00300832">
        <w:rPr>
          <w:rFonts w:eastAsia="標楷體" w:hint="eastAsia"/>
          <w:sz w:val="26"/>
          <w:szCs w:val="26"/>
        </w:rPr>
        <w:t>10</w:t>
      </w:r>
      <w:r w:rsidR="00A70357">
        <w:rPr>
          <w:rFonts w:eastAsia="標楷體" w:hint="eastAsia"/>
          <w:sz w:val="26"/>
          <w:szCs w:val="26"/>
        </w:rPr>
        <w:t>2</w:t>
      </w:r>
      <w:r w:rsidRPr="00300832">
        <w:rPr>
          <w:rFonts w:eastAsia="標楷體" w:hint="eastAsia"/>
          <w:sz w:val="26"/>
          <w:szCs w:val="26"/>
        </w:rPr>
        <w:t>至</w:t>
      </w:r>
      <w:r w:rsidR="00D923B3" w:rsidRPr="00300832">
        <w:rPr>
          <w:rFonts w:eastAsia="標楷體" w:hint="eastAsia"/>
          <w:sz w:val="26"/>
          <w:szCs w:val="26"/>
        </w:rPr>
        <w:t>10</w:t>
      </w:r>
      <w:r w:rsidR="00A70357">
        <w:rPr>
          <w:rFonts w:eastAsia="標楷體" w:hint="eastAsia"/>
          <w:sz w:val="26"/>
          <w:szCs w:val="26"/>
        </w:rPr>
        <w:t>4</w:t>
      </w:r>
      <w:r w:rsidRPr="00300832">
        <w:rPr>
          <w:rFonts w:eastAsia="標楷體" w:hint="eastAsia"/>
          <w:sz w:val="26"/>
          <w:szCs w:val="26"/>
        </w:rPr>
        <w:t>年度</w:t>
      </w:r>
      <w:r w:rsidRPr="00300832">
        <w:rPr>
          <w:rFonts w:eastAsia="標楷體"/>
          <w:sz w:val="26"/>
          <w:szCs w:val="26"/>
        </w:rPr>
        <w:t>貝里比率</w:t>
      </w:r>
      <w:r w:rsidRPr="00300832">
        <w:rPr>
          <w:rFonts w:eastAsia="標楷體" w:hint="eastAsia"/>
          <w:sz w:val="26"/>
          <w:szCs w:val="26"/>
        </w:rPr>
        <w:t>（請參見附件</w:t>
      </w:r>
      <w:r w:rsidRPr="00300832">
        <w:rPr>
          <w:rFonts w:eastAsia="標楷體" w:hint="eastAsia"/>
          <w:sz w:val="26"/>
          <w:szCs w:val="26"/>
        </w:rPr>
        <w:t>E</w:t>
      </w:r>
      <w:r w:rsidRPr="00300832">
        <w:rPr>
          <w:rFonts w:eastAsia="標楷體" w:hint="eastAsia"/>
          <w:sz w:val="26"/>
          <w:szCs w:val="26"/>
        </w:rPr>
        <w:t>）整理如下：</w:t>
      </w:r>
    </w:p>
    <w:tbl>
      <w:tblPr>
        <w:tblW w:w="7654" w:type="dxa"/>
        <w:tblInd w:w="1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567"/>
        <w:gridCol w:w="3118"/>
        <w:gridCol w:w="992"/>
        <w:gridCol w:w="992"/>
        <w:gridCol w:w="992"/>
        <w:gridCol w:w="993"/>
      </w:tblGrid>
      <w:tr w:rsidR="00300832" w:rsidRPr="00E5363D" w:rsidTr="00456832">
        <w:trPr>
          <w:cantSplit/>
          <w:trHeight w:val="556"/>
          <w:tblHeader/>
        </w:trPr>
        <w:tc>
          <w:tcPr>
            <w:tcW w:w="567" w:type="dxa"/>
            <w:vMerge w:val="restart"/>
            <w:shd w:val="clear" w:color="auto" w:fill="4F81BD"/>
            <w:vAlign w:val="center"/>
          </w:tcPr>
          <w:p w:rsidR="0032590C" w:rsidRPr="00E5363D" w:rsidRDefault="00300832" w:rsidP="00965AF0">
            <w:pPr>
              <w:spacing w:beforeLines="25" w:before="60" w:afterLines="25" w:after="60" w:line="0" w:lineRule="atLeast"/>
              <w:jc w:val="center"/>
              <w:rPr>
                <w:rFonts w:eastAsia="標楷體"/>
                <w:color w:val="FFFFFF"/>
                <w:sz w:val="26"/>
                <w:szCs w:val="26"/>
              </w:rPr>
            </w:pPr>
            <w:r w:rsidRPr="00E5363D">
              <w:rPr>
                <w:rFonts w:eastAsia="標楷體"/>
                <w:color w:val="FFFFFF"/>
                <w:sz w:val="26"/>
                <w:szCs w:val="26"/>
              </w:rPr>
              <w:t>編號</w:t>
            </w:r>
          </w:p>
        </w:tc>
        <w:tc>
          <w:tcPr>
            <w:tcW w:w="3118" w:type="dxa"/>
            <w:shd w:val="clear" w:color="auto" w:fill="4F81BD"/>
            <w:vAlign w:val="center"/>
          </w:tcPr>
          <w:p w:rsidR="0032590C" w:rsidRPr="00E5363D" w:rsidRDefault="00300832" w:rsidP="00965AF0">
            <w:pPr>
              <w:spacing w:beforeLines="25" w:before="60" w:afterLines="25" w:after="60" w:line="0" w:lineRule="atLeast"/>
              <w:jc w:val="center"/>
              <w:rPr>
                <w:rFonts w:eastAsia="標楷體"/>
                <w:color w:val="FFFFFF"/>
                <w:sz w:val="26"/>
                <w:szCs w:val="26"/>
              </w:rPr>
            </w:pPr>
            <w:r w:rsidRPr="00E5363D">
              <w:rPr>
                <w:rFonts w:eastAsia="標楷體"/>
                <w:color w:val="FFFFFF"/>
                <w:sz w:val="26"/>
                <w:szCs w:val="26"/>
              </w:rPr>
              <w:t>可比較對象</w:t>
            </w:r>
          </w:p>
        </w:tc>
        <w:tc>
          <w:tcPr>
            <w:tcW w:w="3969" w:type="dxa"/>
            <w:gridSpan w:val="4"/>
            <w:shd w:val="clear" w:color="auto" w:fill="4F81BD"/>
            <w:vAlign w:val="center"/>
          </w:tcPr>
          <w:p w:rsidR="0032590C" w:rsidRPr="00E5363D" w:rsidRDefault="00300832" w:rsidP="00965AF0">
            <w:pPr>
              <w:spacing w:beforeLines="25" w:before="60" w:afterLines="25" w:after="60" w:line="0" w:lineRule="atLeast"/>
              <w:jc w:val="center"/>
              <w:rPr>
                <w:rFonts w:eastAsia="標楷體"/>
                <w:color w:val="FFFFFF"/>
                <w:sz w:val="26"/>
                <w:szCs w:val="26"/>
              </w:rPr>
            </w:pPr>
            <w:r w:rsidRPr="00E5363D">
              <w:rPr>
                <w:rFonts w:eastAsia="標楷體"/>
                <w:color w:val="FFFFFF"/>
                <w:sz w:val="26"/>
                <w:szCs w:val="26"/>
              </w:rPr>
              <w:t>貝里比率（</w:t>
            </w:r>
            <w:r w:rsidRPr="00E5363D">
              <w:rPr>
                <w:rFonts w:eastAsia="標楷體"/>
                <w:color w:val="FFFFFF"/>
                <w:sz w:val="26"/>
                <w:szCs w:val="26"/>
              </w:rPr>
              <w:t>%</w:t>
            </w:r>
            <w:r w:rsidRPr="00E5363D">
              <w:rPr>
                <w:rFonts w:eastAsia="標楷體"/>
                <w:color w:val="FFFFFF"/>
                <w:sz w:val="26"/>
                <w:szCs w:val="26"/>
              </w:rPr>
              <w:t>）</w:t>
            </w:r>
          </w:p>
        </w:tc>
      </w:tr>
      <w:tr w:rsidR="00300832" w:rsidRPr="00E5363D" w:rsidTr="00456832">
        <w:trPr>
          <w:cantSplit/>
          <w:trHeight w:val="424"/>
          <w:tblHeader/>
        </w:trPr>
        <w:tc>
          <w:tcPr>
            <w:tcW w:w="567" w:type="dxa"/>
            <w:vMerge/>
            <w:tcBorders>
              <w:bottom w:val="double" w:sz="4" w:space="0" w:color="auto"/>
            </w:tcBorders>
            <w:shd w:val="clear" w:color="auto" w:fill="4F81BD"/>
            <w:vAlign w:val="center"/>
          </w:tcPr>
          <w:p w:rsidR="0032590C" w:rsidRPr="00E5363D" w:rsidRDefault="0032590C" w:rsidP="00965AF0">
            <w:pPr>
              <w:spacing w:beforeLines="25" w:before="60" w:afterLines="25" w:after="60" w:line="0" w:lineRule="atLeast"/>
              <w:jc w:val="center"/>
              <w:rPr>
                <w:rFonts w:eastAsia="標楷體"/>
                <w:color w:val="FFFFFF"/>
                <w:sz w:val="26"/>
                <w:szCs w:val="26"/>
              </w:rPr>
            </w:pPr>
          </w:p>
        </w:tc>
        <w:tc>
          <w:tcPr>
            <w:tcW w:w="3118" w:type="dxa"/>
            <w:tcBorders>
              <w:bottom w:val="double" w:sz="4" w:space="0" w:color="auto"/>
            </w:tcBorders>
            <w:shd w:val="clear" w:color="auto" w:fill="4F81BD"/>
            <w:vAlign w:val="center"/>
          </w:tcPr>
          <w:p w:rsidR="0032590C" w:rsidRPr="00E5363D" w:rsidRDefault="00300832" w:rsidP="00965AF0">
            <w:pPr>
              <w:spacing w:beforeLines="25" w:before="60" w:afterLines="25" w:after="60" w:line="0" w:lineRule="atLeast"/>
              <w:jc w:val="center"/>
              <w:rPr>
                <w:rFonts w:eastAsia="標楷體"/>
                <w:color w:val="FFFFFF"/>
                <w:sz w:val="26"/>
                <w:szCs w:val="26"/>
              </w:rPr>
            </w:pPr>
            <w:r w:rsidRPr="00E5363D">
              <w:rPr>
                <w:rFonts w:eastAsia="標楷體"/>
                <w:color w:val="FFFFFF"/>
                <w:sz w:val="26"/>
                <w:szCs w:val="26"/>
              </w:rPr>
              <w:t>資料年度</w:t>
            </w:r>
          </w:p>
        </w:tc>
        <w:tc>
          <w:tcPr>
            <w:tcW w:w="992" w:type="dxa"/>
            <w:tcBorders>
              <w:bottom w:val="double" w:sz="4" w:space="0" w:color="auto"/>
            </w:tcBorders>
            <w:shd w:val="clear" w:color="auto" w:fill="4F81BD"/>
            <w:vAlign w:val="center"/>
          </w:tcPr>
          <w:p w:rsidR="00300832" w:rsidRPr="00E5363D" w:rsidRDefault="00DC4ACB" w:rsidP="00A70357">
            <w:pPr>
              <w:spacing w:line="0" w:lineRule="atLeast"/>
              <w:jc w:val="center"/>
              <w:rPr>
                <w:rFonts w:eastAsia="標楷體"/>
                <w:color w:val="FFFFFF" w:themeColor="background1"/>
                <w:sz w:val="26"/>
                <w:szCs w:val="26"/>
              </w:rPr>
            </w:pPr>
            <w:r w:rsidRPr="00E5363D">
              <w:rPr>
                <w:rFonts w:eastAsia="標楷體"/>
                <w:color w:val="FFFFFF" w:themeColor="background1"/>
                <w:sz w:val="26"/>
                <w:szCs w:val="26"/>
              </w:rPr>
              <w:t>1</w:t>
            </w:r>
            <w:r w:rsidR="00A70357" w:rsidRPr="00E5363D">
              <w:rPr>
                <w:rFonts w:eastAsia="標楷體"/>
                <w:color w:val="FFFFFF" w:themeColor="background1"/>
                <w:sz w:val="26"/>
                <w:szCs w:val="26"/>
              </w:rPr>
              <w:t>02</w:t>
            </w:r>
            <w:r w:rsidRPr="00E5363D">
              <w:rPr>
                <w:rFonts w:eastAsia="標楷體"/>
                <w:color w:val="FFFFFF" w:themeColor="background1"/>
                <w:sz w:val="26"/>
                <w:szCs w:val="26"/>
              </w:rPr>
              <w:t>年</w:t>
            </w:r>
          </w:p>
        </w:tc>
        <w:tc>
          <w:tcPr>
            <w:tcW w:w="992" w:type="dxa"/>
            <w:tcBorders>
              <w:bottom w:val="double" w:sz="4" w:space="0" w:color="auto"/>
            </w:tcBorders>
            <w:shd w:val="clear" w:color="auto" w:fill="4F81BD"/>
            <w:vAlign w:val="center"/>
          </w:tcPr>
          <w:p w:rsidR="00300832" w:rsidRPr="00E5363D" w:rsidRDefault="00A70357" w:rsidP="00A70357">
            <w:pPr>
              <w:spacing w:line="0" w:lineRule="atLeast"/>
              <w:jc w:val="center"/>
              <w:rPr>
                <w:rFonts w:eastAsia="標楷體"/>
                <w:color w:val="FFFFFF" w:themeColor="background1"/>
                <w:sz w:val="26"/>
                <w:szCs w:val="26"/>
              </w:rPr>
            </w:pPr>
            <w:r w:rsidRPr="00E5363D">
              <w:rPr>
                <w:rFonts w:eastAsia="標楷體"/>
                <w:color w:val="FFFFFF" w:themeColor="background1"/>
                <w:sz w:val="26"/>
                <w:szCs w:val="26"/>
              </w:rPr>
              <w:t>103</w:t>
            </w:r>
            <w:r w:rsidR="00DC4ACB" w:rsidRPr="00E5363D">
              <w:rPr>
                <w:rFonts w:eastAsia="標楷體"/>
                <w:color w:val="FFFFFF" w:themeColor="background1"/>
                <w:sz w:val="26"/>
                <w:szCs w:val="26"/>
              </w:rPr>
              <w:t>年</w:t>
            </w:r>
          </w:p>
        </w:tc>
        <w:tc>
          <w:tcPr>
            <w:tcW w:w="992" w:type="dxa"/>
            <w:tcBorders>
              <w:bottom w:val="double" w:sz="4" w:space="0" w:color="auto"/>
            </w:tcBorders>
            <w:shd w:val="clear" w:color="auto" w:fill="4F81BD"/>
            <w:vAlign w:val="center"/>
          </w:tcPr>
          <w:p w:rsidR="00300832" w:rsidRPr="00E5363D" w:rsidRDefault="00DC4ACB" w:rsidP="00A70357">
            <w:pPr>
              <w:spacing w:line="0" w:lineRule="atLeast"/>
              <w:jc w:val="center"/>
              <w:rPr>
                <w:rFonts w:eastAsia="標楷體"/>
                <w:color w:val="FFFFFF" w:themeColor="background1"/>
                <w:sz w:val="26"/>
                <w:szCs w:val="26"/>
              </w:rPr>
            </w:pPr>
            <w:r w:rsidRPr="00E5363D">
              <w:rPr>
                <w:rFonts w:eastAsia="標楷體"/>
                <w:color w:val="FFFFFF" w:themeColor="background1"/>
                <w:sz w:val="26"/>
                <w:szCs w:val="26"/>
              </w:rPr>
              <w:t>10</w:t>
            </w:r>
            <w:r w:rsidR="00A70357" w:rsidRPr="00E5363D">
              <w:rPr>
                <w:rFonts w:eastAsia="標楷體"/>
                <w:color w:val="FFFFFF" w:themeColor="background1"/>
                <w:sz w:val="26"/>
                <w:szCs w:val="26"/>
              </w:rPr>
              <w:t>4</w:t>
            </w:r>
            <w:r w:rsidRPr="00E5363D">
              <w:rPr>
                <w:rFonts w:eastAsia="標楷體"/>
                <w:color w:val="FFFFFF" w:themeColor="background1"/>
                <w:sz w:val="26"/>
                <w:szCs w:val="26"/>
              </w:rPr>
              <w:t>年</w:t>
            </w:r>
          </w:p>
        </w:tc>
        <w:tc>
          <w:tcPr>
            <w:tcW w:w="993" w:type="dxa"/>
            <w:tcBorders>
              <w:bottom w:val="double" w:sz="4" w:space="0" w:color="auto"/>
            </w:tcBorders>
            <w:shd w:val="clear" w:color="auto" w:fill="4F81BD"/>
            <w:vAlign w:val="center"/>
          </w:tcPr>
          <w:p w:rsidR="00300832" w:rsidRPr="00E5363D" w:rsidRDefault="00300832" w:rsidP="00965AF0">
            <w:pPr>
              <w:spacing w:beforeLines="25" w:before="60" w:afterLines="25" w:after="60" w:line="0" w:lineRule="atLeast"/>
              <w:jc w:val="center"/>
              <w:rPr>
                <w:rFonts w:eastAsia="標楷體"/>
                <w:color w:val="FFFFFF"/>
                <w:sz w:val="26"/>
                <w:szCs w:val="26"/>
              </w:rPr>
            </w:pPr>
            <w:r w:rsidRPr="00E5363D">
              <w:rPr>
                <w:rFonts w:eastAsia="標楷體"/>
                <w:color w:val="FFFFFF"/>
                <w:sz w:val="26"/>
                <w:szCs w:val="26"/>
              </w:rPr>
              <w:t>平均</w:t>
            </w:r>
          </w:p>
        </w:tc>
      </w:tr>
      <w:tr w:rsidR="00A70357" w:rsidRPr="00E5363D" w:rsidTr="00BC13CF">
        <w:trPr>
          <w:trHeight w:val="567"/>
        </w:trPr>
        <w:tc>
          <w:tcPr>
            <w:tcW w:w="567" w:type="dxa"/>
            <w:tcBorders>
              <w:top w:val="double" w:sz="4" w:space="0" w:color="auto"/>
            </w:tcBorders>
            <w:vAlign w:val="center"/>
          </w:tcPr>
          <w:p w:rsidR="00A70357" w:rsidRPr="00E5363D" w:rsidRDefault="00A70357" w:rsidP="00965AF0">
            <w:pPr>
              <w:pStyle w:val="a3"/>
              <w:spacing w:beforeLines="25" w:before="60" w:afterLines="25" w:after="60" w:line="0" w:lineRule="atLeast"/>
              <w:ind w:leftChars="0" w:left="0" w:rightChars="-11" w:right="-26"/>
              <w:jc w:val="center"/>
              <w:rPr>
                <w:rFonts w:eastAsia="標楷體"/>
                <w:sz w:val="26"/>
                <w:szCs w:val="26"/>
              </w:rPr>
            </w:pPr>
            <w:r w:rsidRPr="00E5363D">
              <w:rPr>
                <w:rFonts w:eastAsia="標楷體"/>
                <w:sz w:val="26"/>
                <w:szCs w:val="26"/>
              </w:rPr>
              <w:t>1</w:t>
            </w:r>
          </w:p>
        </w:tc>
        <w:tc>
          <w:tcPr>
            <w:tcW w:w="3118" w:type="dxa"/>
            <w:tcBorders>
              <w:top w:val="double" w:sz="4" w:space="0" w:color="auto"/>
            </w:tcBorders>
            <w:vAlign w:val="center"/>
          </w:tcPr>
          <w:p w:rsidR="00A70357" w:rsidRPr="00E5363D" w:rsidRDefault="00A70357">
            <w:pPr>
              <w:rPr>
                <w:color w:val="000000"/>
                <w:sz w:val="26"/>
                <w:szCs w:val="26"/>
              </w:rPr>
            </w:pPr>
            <w:r w:rsidRPr="00E5363D">
              <w:rPr>
                <w:color w:val="000000"/>
                <w:sz w:val="26"/>
                <w:szCs w:val="26"/>
              </w:rPr>
              <w:t>Howteh Technology Co., Ltd.</w:t>
            </w:r>
          </w:p>
        </w:tc>
        <w:tc>
          <w:tcPr>
            <w:tcW w:w="992" w:type="dxa"/>
            <w:tcBorders>
              <w:top w:val="double" w:sz="4" w:space="0" w:color="auto"/>
            </w:tcBorders>
            <w:vAlign w:val="center"/>
          </w:tcPr>
          <w:p w:rsidR="00A70357" w:rsidRPr="00E5363D" w:rsidRDefault="00A70357">
            <w:pPr>
              <w:jc w:val="right"/>
              <w:rPr>
                <w:color w:val="000000"/>
                <w:sz w:val="26"/>
                <w:szCs w:val="26"/>
              </w:rPr>
            </w:pPr>
            <w:r w:rsidRPr="00E5363D">
              <w:rPr>
                <w:color w:val="000000"/>
                <w:sz w:val="26"/>
                <w:szCs w:val="26"/>
              </w:rPr>
              <w:t>111.64%</w:t>
            </w:r>
          </w:p>
        </w:tc>
        <w:tc>
          <w:tcPr>
            <w:tcW w:w="992" w:type="dxa"/>
            <w:tcBorders>
              <w:top w:val="double" w:sz="4" w:space="0" w:color="auto"/>
            </w:tcBorders>
            <w:vAlign w:val="center"/>
          </w:tcPr>
          <w:p w:rsidR="00A70357" w:rsidRPr="00E5363D" w:rsidRDefault="00A70357">
            <w:pPr>
              <w:jc w:val="right"/>
              <w:rPr>
                <w:color w:val="000000"/>
                <w:sz w:val="26"/>
                <w:szCs w:val="26"/>
              </w:rPr>
            </w:pPr>
            <w:r w:rsidRPr="00E5363D">
              <w:rPr>
                <w:color w:val="000000"/>
                <w:sz w:val="26"/>
                <w:szCs w:val="26"/>
              </w:rPr>
              <w:t>119.91%</w:t>
            </w:r>
          </w:p>
        </w:tc>
        <w:tc>
          <w:tcPr>
            <w:tcW w:w="992" w:type="dxa"/>
            <w:tcBorders>
              <w:top w:val="double" w:sz="4" w:space="0" w:color="auto"/>
            </w:tcBorders>
            <w:vAlign w:val="center"/>
          </w:tcPr>
          <w:p w:rsidR="00A70357" w:rsidRPr="00E5363D" w:rsidRDefault="00A70357">
            <w:pPr>
              <w:jc w:val="right"/>
              <w:rPr>
                <w:color w:val="000000"/>
                <w:sz w:val="26"/>
                <w:szCs w:val="26"/>
              </w:rPr>
            </w:pPr>
            <w:r w:rsidRPr="00E5363D">
              <w:rPr>
                <w:color w:val="000000"/>
                <w:sz w:val="26"/>
                <w:szCs w:val="26"/>
              </w:rPr>
              <w:t>125.82%</w:t>
            </w:r>
          </w:p>
        </w:tc>
        <w:tc>
          <w:tcPr>
            <w:tcW w:w="993" w:type="dxa"/>
            <w:tcBorders>
              <w:top w:val="double" w:sz="4" w:space="0" w:color="auto"/>
            </w:tcBorders>
            <w:vAlign w:val="center"/>
          </w:tcPr>
          <w:p w:rsidR="00A70357" w:rsidRPr="00E5363D" w:rsidRDefault="00A70357">
            <w:pPr>
              <w:jc w:val="right"/>
              <w:rPr>
                <w:color w:val="000000"/>
                <w:sz w:val="26"/>
                <w:szCs w:val="26"/>
              </w:rPr>
            </w:pPr>
            <w:r w:rsidRPr="00E5363D">
              <w:rPr>
                <w:color w:val="000000"/>
                <w:sz w:val="26"/>
                <w:szCs w:val="26"/>
              </w:rPr>
              <w:t>119.54%</w:t>
            </w:r>
          </w:p>
        </w:tc>
      </w:tr>
      <w:tr w:rsidR="00A70357" w:rsidRPr="00E5363D" w:rsidTr="00BC13CF">
        <w:trPr>
          <w:trHeight w:val="567"/>
        </w:trPr>
        <w:tc>
          <w:tcPr>
            <w:tcW w:w="567" w:type="dxa"/>
            <w:vAlign w:val="center"/>
          </w:tcPr>
          <w:p w:rsidR="00A70357" w:rsidRPr="00E5363D" w:rsidRDefault="00A70357" w:rsidP="00965AF0">
            <w:pPr>
              <w:pStyle w:val="a3"/>
              <w:spacing w:beforeLines="25" w:before="60" w:afterLines="25" w:after="60" w:line="0" w:lineRule="atLeast"/>
              <w:ind w:leftChars="0" w:left="0" w:rightChars="-11" w:right="-26"/>
              <w:jc w:val="center"/>
              <w:rPr>
                <w:rFonts w:eastAsia="標楷體"/>
                <w:sz w:val="26"/>
                <w:szCs w:val="26"/>
              </w:rPr>
            </w:pPr>
            <w:r w:rsidRPr="00E5363D">
              <w:rPr>
                <w:rFonts w:eastAsia="標楷體"/>
                <w:sz w:val="26"/>
                <w:szCs w:val="26"/>
              </w:rPr>
              <w:t>2</w:t>
            </w:r>
          </w:p>
        </w:tc>
        <w:tc>
          <w:tcPr>
            <w:tcW w:w="3118" w:type="dxa"/>
            <w:vAlign w:val="center"/>
          </w:tcPr>
          <w:p w:rsidR="00A70357" w:rsidRPr="00E5363D" w:rsidRDefault="00A70357">
            <w:pPr>
              <w:rPr>
                <w:color w:val="000000"/>
                <w:sz w:val="26"/>
                <w:szCs w:val="26"/>
              </w:rPr>
            </w:pPr>
            <w:r w:rsidRPr="00E5363D">
              <w:rPr>
                <w:color w:val="000000"/>
                <w:sz w:val="26"/>
                <w:szCs w:val="26"/>
              </w:rPr>
              <w:t>Kyokuto Boeki Kaisha, Ltd.</w:t>
            </w:r>
          </w:p>
        </w:tc>
        <w:tc>
          <w:tcPr>
            <w:tcW w:w="992" w:type="dxa"/>
            <w:vAlign w:val="center"/>
          </w:tcPr>
          <w:p w:rsidR="00A70357" w:rsidRPr="00E5363D" w:rsidRDefault="00A70357">
            <w:pPr>
              <w:jc w:val="right"/>
              <w:rPr>
                <w:color w:val="000000"/>
                <w:sz w:val="26"/>
                <w:szCs w:val="26"/>
              </w:rPr>
            </w:pPr>
            <w:r w:rsidRPr="00E5363D">
              <w:rPr>
                <w:color w:val="000000"/>
                <w:sz w:val="26"/>
                <w:szCs w:val="26"/>
              </w:rPr>
              <w:t>116.98%</w:t>
            </w:r>
          </w:p>
        </w:tc>
        <w:tc>
          <w:tcPr>
            <w:tcW w:w="992" w:type="dxa"/>
            <w:vAlign w:val="center"/>
          </w:tcPr>
          <w:p w:rsidR="00A70357" w:rsidRPr="00E5363D" w:rsidRDefault="00A70357">
            <w:pPr>
              <w:jc w:val="right"/>
              <w:rPr>
                <w:color w:val="000000"/>
                <w:sz w:val="26"/>
                <w:szCs w:val="26"/>
              </w:rPr>
            </w:pPr>
            <w:r w:rsidRPr="00E5363D">
              <w:rPr>
                <w:color w:val="000000"/>
                <w:sz w:val="26"/>
                <w:szCs w:val="26"/>
              </w:rPr>
              <w:t>110.37%</w:t>
            </w:r>
          </w:p>
        </w:tc>
        <w:tc>
          <w:tcPr>
            <w:tcW w:w="992" w:type="dxa"/>
            <w:vAlign w:val="center"/>
          </w:tcPr>
          <w:p w:rsidR="00A70357" w:rsidRPr="00E5363D" w:rsidRDefault="00A70357">
            <w:pPr>
              <w:jc w:val="right"/>
              <w:rPr>
                <w:color w:val="000000"/>
                <w:sz w:val="26"/>
                <w:szCs w:val="26"/>
              </w:rPr>
            </w:pPr>
            <w:r w:rsidRPr="00E5363D">
              <w:rPr>
                <w:color w:val="000000"/>
                <w:sz w:val="26"/>
                <w:szCs w:val="26"/>
              </w:rPr>
              <w:t>116.21%</w:t>
            </w:r>
          </w:p>
        </w:tc>
        <w:tc>
          <w:tcPr>
            <w:tcW w:w="993" w:type="dxa"/>
            <w:vAlign w:val="center"/>
          </w:tcPr>
          <w:p w:rsidR="00A70357" w:rsidRPr="00E5363D" w:rsidRDefault="00A70357">
            <w:pPr>
              <w:jc w:val="right"/>
              <w:rPr>
                <w:color w:val="000000"/>
                <w:sz w:val="26"/>
                <w:szCs w:val="26"/>
              </w:rPr>
            </w:pPr>
            <w:r w:rsidRPr="00E5363D">
              <w:rPr>
                <w:color w:val="000000"/>
                <w:sz w:val="26"/>
                <w:szCs w:val="26"/>
              </w:rPr>
              <w:t>114.77%</w:t>
            </w:r>
          </w:p>
        </w:tc>
      </w:tr>
      <w:tr w:rsidR="00A70357" w:rsidRPr="00E5363D" w:rsidTr="00BC13CF">
        <w:trPr>
          <w:trHeight w:val="567"/>
        </w:trPr>
        <w:tc>
          <w:tcPr>
            <w:tcW w:w="567" w:type="dxa"/>
            <w:vAlign w:val="center"/>
          </w:tcPr>
          <w:p w:rsidR="00A70357" w:rsidRPr="00E5363D" w:rsidRDefault="00A70357" w:rsidP="00965AF0">
            <w:pPr>
              <w:pStyle w:val="a3"/>
              <w:spacing w:beforeLines="25" w:before="60" w:afterLines="25" w:after="60" w:line="0" w:lineRule="atLeast"/>
              <w:ind w:leftChars="0" w:left="0" w:rightChars="-11" w:right="-26"/>
              <w:jc w:val="center"/>
              <w:rPr>
                <w:rFonts w:eastAsia="標楷體"/>
                <w:sz w:val="26"/>
                <w:szCs w:val="26"/>
              </w:rPr>
            </w:pPr>
            <w:r w:rsidRPr="00E5363D">
              <w:rPr>
                <w:rFonts w:eastAsia="標楷體"/>
                <w:sz w:val="26"/>
                <w:szCs w:val="26"/>
              </w:rPr>
              <w:t>3</w:t>
            </w:r>
          </w:p>
        </w:tc>
        <w:tc>
          <w:tcPr>
            <w:tcW w:w="3118" w:type="dxa"/>
            <w:vAlign w:val="center"/>
          </w:tcPr>
          <w:p w:rsidR="00A70357" w:rsidRPr="00E5363D" w:rsidRDefault="00A70357">
            <w:pPr>
              <w:rPr>
                <w:color w:val="000000"/>
                <w:sz w:val="26"/>
                <w:szCs w:val="26"/>
              </w:rPr>
            </w:pPr>
            <w:r w:rsidRPr="00E5363D">
              <w:rPr>
                <w:color w:val="000000"/>
                <w:sz w:val="26"/>
                <w:szCs w:val="26"/>
              </w:rPr>
              <w:t>MARUBUN CORPORATION</w:t>
            </w:r>
          </w:p>
        </w:tc>
        <w:tc>
          <w:tcPr>
            <w:tcW w:w="992" w:type="dxa"/>
            <w:vAlign w:val="center"/>
          </w:tcPr>
          <w:p w:rsidR="00A70357" w:rsidRPr="00E5363D" w:rsidRDefault="00A70357">
            <w:pPr>
              <w:jc w:val="right"/>
              <w:rPr>
                <w:color w:val="000000"/>
                <w:sz w:val="26"/>
                <w:szCs w:val="26"/>
              </w:rPr>
            </w:pPr>
            <w:r w:rsidRPr="00E5363D">
              <w:rPr>
                <w:color w:val="000000"/>
                <w:sz w:val="26"/>
                <w:szCs w:val="26"/>
              </w:rPr>
              <w:t>126.21%</w:t>
            </w:r>
          </w:p>
        </w:tc>
        <w:tc>
          <w:tcPr>
            <w:tcW w:w="992" w:type="dxa"/>
            <w:vAlign w:val="center"/>
          </w:tcPr>
          <w:p w:rsidR="00A70357" w:rsidRPr="00E5363D" w:rsidRDefault="00A70357">
            <w:pPr>
              <w:jc w:val="right"/>
              <w:rPr>
                <w:color w:val="000000"/>
                <w:sz w:val="26"/>
                <w:szCs w:val="26"/>
              </w:rPr>
            </w:pPr>
            <w:r w:rsidRPr="00E5363D">
              <w:rPr>
                <w:color w:val="000000"/>
                <w:sz w:val="26"/>
                <w:szCs w:val="26"/>
              </w:rPr>
              <w:t>131.20%</w:t>
            </w:r>
          </w:p>
        </w:tc>
        <w:tc>
          <w:tcPr>
            <w:tcW w:w="992" w:type="dxa"/>
            <w:vAlign w:val="center"/>
          </w:tcPr>
          <w:p w:rsidR="00A70357" w:rsidRPr="00E5363D" w:rsidRDefault="00A70357">
            <w:pPr>
              <w:jc w:val="right"/>
              <w:rPr>
                <w:color w:val="000000"/>
                <w:sz w:val="26"/>
                <w:szCs w:val="26"/>
              </w:rPr>
            </w:pPr>
            <w:r w:rsidRPr="00E5363D">
              <w:rPr>
                <w:color w:val="000000"/>
                <w:sz w:val="26"/>
                <w:szCs w:val="26"/>
              </w:rPr>
              <w:t>121.27%</w:t>
            </w:r>
          </w:p>
        </w:tc>
        <w:tc>
          <w:tcPr>
            <w:tcW w:w="993" w:type="dxa"/>
            <w:vAlign w:val="center"/>
          </w:tcPr>
          <w:p w:rsidR="00A70357" w:rsidRPr="00E5363D" w:rsidRDefault="00A70357">
            <w:pPr>
              <w:jc w:val="right"/>
              <w:rPr>
                <w:color w:val="000000"/>
                <w:sz w:val="26"/>
                <w:szCs w:val="26"/>
              </w:rPr>
            </w:pPr>
            <w:r w:rsidRPr="00E5363D">
              <w:rPr>
                <w:color w:val="000000"/>
                <w:sz w:val="26"/>
                <w:szCs w:val="26"/>
              </w:rPr>
              <w:t>126.17%</w:t>
            </w:r>
          </w:p>
        </w:tc>
      </w:tr>
      <w:tr w:rsidR="00A70357" w:rsidRPr="00E5363D" w:rsidTr="00BC13CF">
        <w:trPr>
          <w:trHeight w:val="567"/>
        </w:trPr>
        <w:tc>
          <w:tcPr>
            <w:tcW w:w="567" w:type="dxa"/>
            <w:vAlign w:val="center"/>
          </w:tcPr>
          <w:p w:rsidR="00A70357" w:rsidRPr="00E5363D" w:rsidRDefault="00A70357" w:rsidP="00965AF0">
            <w:pPr>
              <w:pStyle w:val="a3"/>
              <w:spacing w:beforeLines="25" w:before="60" w:afterLines="25" w:after="60" w:line="0" w:lineRule="atLeast"/>
              <w:ind w:leftChars="0" w:left="0" w:rightChars="-11" w:right="-26"/>
              <w:jc w:val="center"/>
              <w:rPr>
                <w:rFonts w:eastAsia="標楷體"/>
                <w:sz w:val="26"/>
                <w:szCs w:val="26"/>
              </w:rPr>
            </w:pPr>
            <w:r w:rsidRPr="00E5363D">
              <w:rPr>
                <w:rFonts w:eastAsia="標楷體"/>
                <w:sz w:val="26"/>
                <w:szCs w:val="26"/>
              </w:rPr>
              <w:t>4</w:t>
            </w:r>
          </w:p>
        </w:tc>
        <w:tc>
          <w:tcPr>
            <w:tcW w:w="3118" w:type="dxa"/>
            <w:vAlign w:val="center"/>
          </w:tcPr>
          <w:p w:rsidR="00A70357" w:rsidRPr="00E5363D" w:rsidRDefault="00A70357">
            <w:pPr>
              <w:rPr>
                <w:color w:val="000000"/>
                <w:sz w:val="26"/>
                <w:szCs w:val="26"/>
              </w:rPr>
            </w:pPr>
            <w:r w:rsidRPr="00E5363D">
              <w:rPr>
                <w:color w:val="000000"/>
                <w:sz w:val="26"/>
                <w:szCs w:val="26"/>
              </w:rPr>
              <w:t>NIHON DENKEI CO., LTD.</w:t>
            </w:r>
          </w:p>
        </w:tc>
        <w:tc>
          <w:tcPr>
            <w:tcW w:w="992" w:type="dxa"/>
            <w:vAlign w:val="center"/>
          </w:tcPr>
          <w:p w:rsidR="00A70357" w:rsidRPr="00E5363D" w:rsidRDefault="00A70357">
            <w:pPr>
              <w:jc w:val="right"/>
              <w:rPr>
                <w:color w:val="000000"/>
                <w:sz w:val="26"/>
                <w:szCs w:val="26"/>
              </w:rPr>
            </w:pPr>
            <w:r w:rsidRPr="00E5363D">
              <w:rPr>
                <w:color w:val="000000"/>
                <w:sz w:val="26"/>
                <w:szCs w:val="26"/>
              </w:rPr>
              <w:t>130.97%</w:t>
            </w:r>
          </w:p>
        </w:tc>
        <w:tc>
          <w:tcPr>
            <w:tcW w:w="992" w:type="dxa"/>
            <w:vAlign w:val="center"/>
          </w:tcPr>
          <w:p w:rsidR="00A70357" w:rsidRPr="00E5363D" w:rsidRDefault="00A70357">
            <w:pPr>
              <w:jc w:val="right"/>
              <w:rPr>
                <w:color w:val="000000"/>
                <w:sz w:val="26"/>
                <w:szCs w:val="26"/>
              </w:rPr>
            </w:pPr>
            <w:r w:rsidRPr="00E5363D">
              <w:rPr>
                <w:color w:val="000000"/>
                <w:sz w:val="26"/>
                <w:szCs w:val="26"/>
              </w:rPr>
              <w:t>137.70%</w:t>
            </w:r>
          </w:p>
        </w:tc>
        <w:tc>
          <w:tcPr>
            <w:tcW w:w="992" w:type="dxa"/>
            <w:vAlign w:val="center"/>
          </w:tcPr>
          <w:p w:rsidR="00A70357" w:rsidRPr="00E5363D" w:rsidRDefault="00A70357">
            <w:pPr>
              <w:jc w:val="right"/>
              <w:rPr>
                <w:color w:val="000000"/>
                <w:sz w:val="26"/>
                <w:szCs w:val="26"/>
              </w:rPr>
            </w:pPr>
            <w:r w:rsidRPr="00E5363D">
              <w:rPr>
                <w:color w:val="000000"/>
                <w:sz w:val="26"/>
                <w:szCs w:val="26"/>
              </w:rPr>
              <w:t>138.75%</w:t>
            </w:r>
          </w:p>
        </w:tc>
        <w:tc>
          <w:tcPr>
            <w:tcW w:w="993" w:type="dxa"/>
            <w:vAlign w:val="center"/>
          </w:tcPr>
          <w:p w:rsidR="00A70357" w:rsidRPr="00E5363D" w:rsidRDefault="00A70357">
            <w:pPr>
              <w:jc w:val="right"/>
              <w:rPr>
                <w:color w:val="000000"/>
                <w:sz w:val="26"/>
                <w:szCs w:val="26"/>
              </w:rPr>
            </w:pPr>
            <w:r w:rsidRPr="00E5363D">
              <w:rPr>
                <w:color w:val="000000"/>
                <w:sz w:val="26"/>
                <w:szCs w:val="26"/>
              </w:rPr>
              <w:t>135.99%</w:t>
            </w:r>
          </w:p>
        </w:tc>
      </w:tr>
      <w:tr w:rsidR="00A70357" w:rsidRPr="00E5363D" w:rsidTr="00BC13CF">
        <w:trPr>
          <w:trHeight w:val="567"/>
        </w:trPr>
        <w:tc>
          <w:tcPr>
            <w:tcW w:w="567" w:type="dxa"/>
            <w:vAlign w:val="center"/>
          </w:tcPr>
          <w:p w:rsidR="00A70357" w:rsidRPr="00E5363D" w:rsidRDefault="00A70357" w:rsidP="00965AF0">
            <w:pPr>
              <w:pStyle w:val="a3"/>
              <w:spacing w:beforeLines="25" w:before="60" w:afterLines="25" w:after="60" w:line="0" w:lineRule="atLeast"/>
              <w:ind w:leftChars="0" w:left="0" w:rightChars="-11" w:right="-26"/>
              <w:jc w:val="center"/>
              <w:rPr>
                <w:rFonts w:eastAsia="標楷體"/>
                <w:sz w:val="26"/>
                <w:szCs w:val="26"/>
              </w:rPr>
            </w:pPr>
            <w:r w:rsidRPr="00E5363D">
              <w:rPr>
                <w:rFonts w:eastAsia="標楷體"/>
                <w:sz w:val="26"/>
                <w:szCs w:val="26"/>
              </w:rPr>
              <w:t>5</w:t>
            </w:r>
          </w:p>
        </w:tc>
        <w:tc>
          <w:tcPr>
            <w:tcW w:w="3118" w:type="dxa"/>
            <w:vAlign w:val="center"/>
          </w:tcPr>
          <w:p w:rsidR="00A70357" w:rsidRPr="00E5363D" w:rsidRDefault="00A70357">
            <w:pPr>
              <w:rPr>
                <w:color w:val="000000"/>
                <w:sz w:val="26"/>
                <w:szCs w:val="26"/>
              </w:rPr>
            </w:pPr>
            <w:r w:rsidRPr="00E5363D">
              <w:rPr>
                <w:color w:val="000000"/>
                <w:sz w:val="26"/>
                <w:szCs w:val="26"/>
              </w:rPr>
              <w:t>Rexel SA</w:t>
            </w:r>
          </w:p>
        </w:tc>
        <w:tc>
          <w:tcPr>
            <w:tcW w:w="992" w:type="dxa"/>
            <w:vAlign w:val="center"/>
          </w:tcPr>
          <w:p w:rsidR="00A70357" w:rsidRPr="00E5363D" w:rsidRDefault="00A70357">
            <w:pPr>
              <w:jc w:val="right"/>
              <w:rPr>
                <w:color w:val="000000"/>
                <w:sz w:val="26"/>
                <w:szCs w:val="26"/>
              </w:rPr>
            </w:pPr>
            <w:r w:rsidRPr="00E5363D">
              <w:rPr>
                <w:color w:val="000000"/>
                <w:sz w:val="26"/>
                <w:szCs w:val="26"/>
              </w:rPr>
              <w:t>134.75%</w:t>
            </w:r>
          </w:p>
        </w:tc>
        <w:tc>
          <w:tcPr>
            <w:tcW w:w="992" w:type="dxa"/>
            <w:vAlign w:val="center"/>
          </w:tcPr>
          <w:p w:rsidR="00A70357" w:rsidRPr="00E5363D" w:rsidRDefault="00A70357">
            <w:pPr>
              <w:jc w:val="right"/>
              <w:rPr>
                <w:color w:val="000000"/>
                <w:sz w:val="26"/>
                <w:szCs w:val="26"/>
              </w:rPr>
            </w:pPr>
            <w:r w:rsidRPr="00E5363D">
              <w:rPr>
                <w:color w:val="000000"/>
                <w:sz w:val="26"/>
                <w:szCs w:val="26"/>
              </w:rPr>
              <w:t>133.46%</w:t>
            </w:r>
          </w:p>
        </w:tc>
        <w:tc>
          <w:tcPr>
            <w:tcW w:w="992" w:type="dxa"/>
            <w:vAlign w:val="center"/>
          </w:tcPr>
          <w:p w:rsidR="00A70357" w:rsidRPr="00E5363D" w:rsidRDefault="00A70357">
            <w:pPr>
              <w:jc w:val="right"/>
              <w:rPr>
                <w:color w:val="000000"/>
                <w:sz w:val="26"/>
                <w:szCs w:val="26"/>
              </w:rPr>
            </w:pPr>
            <w:r w:rsidRPr="00E5363D">
              <w:rPr>
                <w:color w:val="000000"/>
                <w:sz w:val="26"/>
                <w:szCs w:val="26"/>
              </w:rPr>
              <w:t>127.41%</w:t>
            </w:r>
          </w:p>
        </w:tc>
        <w:tc>
          <w:tcPr>
            <w:tcW w:w="993" w:type="dxa"/>
            <w:vAlign w:val="center"/>
          </w:tcPr>
          <w:p w:rsidR="00A70357" w:rsidRPr="00E5363D" w:rsidRDefault="00A70357">
            <w:pPr>
              <w:jc w:val="right"/>
              <w:rPr>
                <w:color w:val="000000"/>
                <w:sz w:val="26"/>
                <w:szCs w:val="26"/>
              </w:rPr>
            </w:pPr>
            <w:r w:rsidRPr="00E5363D">
              <w:rPr>
                <w:color w:val="000000"/>
                <w:sz w:val="26"/>
                <w:szCs w:val="26"/>
              </w:rPr>
              <w:t>131.78%</w:t>
            </w:r>
          </w:p>
        </w:tc>
      </w:tr>
      <w:tr w:rsidR="00A70357" w:rsidRPr="00E5363D" w:rsidTr="00BC13CF">
        <w:trPr>
          <w:trHeight w:val="567"/>
        </w:trPr>
        <w:tc>
          <w:tcPr>
            <w:tcW w:w="567" w:type="dxa"/>
            <w:vAlign w:val="center"/>
          </w:tcPr>
          <w:p w:rsidR="00A70357" w:rsidRPr="00E5363D" w:rsidRDefault="00A70357" w:rsidP="00965AF0">
            <w:pPr>
              <w:pStyle w:val="a3"/>
              <w:spacing w:beforeLines="25" w:before="60" w:afterLines="25" w:after="60" w:line="0" w:lineRule="atLeast"/>
              <w:ind w:leftChars="0" w:left="0" w:rightChars="-11" w:right="-26"/>
              <w:jc w:val="center"/>
              <w:rPr>
                <w:rFonts w:eastAsia="標楷體"/>
                <w:sz w:val="26"/>
                <w:szCs w:val="26"/>
              </w:rPr>
            </w:pPr>
            <w:r w:rsidRPr="00E5363D">
              <w:rPr>
                <w:rFonts w:eastAsia="標楷體"/>
                <w:sz w:val="26"/>
                <w:szCs w:val="26"/>
              </w:rPr>
              <w:t>6</w:t>
            </w:r>
          </w:p>
        </w:tc>
        <w:tc>
          <w:tcPr>
            <w:tcW w:w="3118" w:type="dxa"/>
            <w:vAlign w:val="center"/>
          </w:tcPr>
          <w:p w:rsidR="00A70357" w:rsidRPr="00E5363D" w:rsidRDefault="00A70357">
            <w:pPr>
              <w:rPr>
                <w:color w:val="000000"/>
                <w:sz w:val="26"/>
                <w:szCs w:val="26"/>
              </w:rPr>
            </w:pPr>
            <w:r w:rsidRPr="00E5363D">
              <w:rPr>
                <w:color w:val="000000"/>
                <w:sz w:val="26"/>
                <w:szCs w:val="26"/>
              </w:rPr>
              <w:t>SUN-WA TECHNOS CORPORATION</w:t>
            </w:r>
          </w:p>
        </w:tc>
        <w:tc>
          <w:tcPr>
            <w:tcW w:w="992" w:type="dxa"/>
            <w:vAlign w:val="center"/>
          </w:tcPr>
          <w:p w:rsidR="00A70357" w:rsidRPr="00E5363D" w:rsidRDefault="00A70357">
            <w:pPr>
              <w:jc w:val="right"/>
              <w:rPr>
                <w:color w:val="000000"/>
                <w:sz w:val="26"/>
                <w:szCs w:val="26"/>
              </w:rPr>
            </w:pPr>
            <w:r w:rsidRPr="00E5363D">
              <w:rPr>
                <w:color w:val="000000"/>
                <w:sz w:val="26"/>
                <w:szCs w:val="26"/>
              </w:rPr>
              <w:t>133.92%</w:t>
            </w:r>
          </w:p>
        </w:tc>
        <w:tc>
          <w:tcPr>
            <w:tcW w:w="992" w:type="dxa"/>
            <w:vAlign w:val="center"/>
          </w:tcPr>
          <w:p w:rsidR="00A70357" w:rsidRPr="00E5363D" w:rsidRDefault="00A70357">
            <w:pPr>
              <w:jc w:val="right"/>
              <w:rPr>
                <w:color w:val="000000"/>
                <w:sz w:val="26"/>
                <w:szCs w:val="26"/>
              </w:rPr>
            </w:pPr>
            <w:r w:rsidRPr="00E5363D">
              <w:rPr>
                <w:color w:val="000000"/>
                <w:sz w:val="26"/>
                <w:szCs w:val="26"/>
              </w:rPr>
              <w:t>133.03%</w:t>
            </w:r>
          </w:p>
        </w:tc>
        <w:tc>
          <w:tcPr>
            <w:tcW w:w="992" w:type="dxa"/>
            <w:vAlign w:val="center"/>
          </w:tcPr>
          <w:p w:rsidR="00A70357" w:rsidRPr="00E5363D" w:rsidRDefault="00A70357">
            <w:pPr>
              <w:jc w:val="right"/>
              <w:rPr>
                <w:color w:val="000000"/>
                <w:sz w:val="26"/>
                <w:szCs w:val="26"/>
              </w:rPr>
            </w:pPr>
            <w:r w:rsidRPr="00E5363D">
              <w:rPr>
                <w:color w:val="000000"/>
                <w:sz w:val="26"/>
                <w:szCs w:val="26"/>
              </w:rPr>
              <w:t>122.61%</w:t>
            </w:r>
          </w:p>
        </w:tc>
        <w:tc>
          <w:tcPr>
            <w:tcW w:w="993" w:type="dxa"/>
            <w:vAlign w:val="center"/>
          </w:tcPr>
          <w:p w:rsidR="00A70357" w:rsidRPr="00E5363D" w:rsidRDefault="00A70357">
            <w:pPr>
              <w:jc w:val="right"/>
              <w:rPr>
                <w:color w:val="000000"/>
                <w:sz w:val="26"/>
                <w:szCs w:val="26"/>
              </w:rPr>
            </w:pPr>
            <w:r w:rsidRPr="00E5363D">
              <w:rPr>
                <w:color w:val="000000"/>
                <w:sz w:val="26"/>
                <w:szCs w:val="26"/>
              </w:rPr>
              <w:t>129.65%</w:t>
            </w:r>
          </w:p>
        </w:tc>
      </w:tr>
      <w:tr w:rsidR="00A70357" w:rsidRPr="00E5363D" w:rsidTr="00BC13CF">
        <w:trPr>
          <w:trHeight w:val="567"/>
        </w:trPr>
        <w:tc>
          <w:tcPr>
            <w:tcW w:w="567" w:type="dxa"/>
            <w:vAlign w:val="center"/>
          </w:tcPr>
          <w:p w:rsidR="00A70357" w:rsidRPr="00E5363D" w:rsidRDefault="00A70357" w:rsidP="00965AF0">
            <w:pPr>
              <w:pStyle w:val="a3"/>
              <w:spacing w:beforeLines="25" w:before="60" w:afterLines="25" w:after="60" w:line="0" w:lineRule="atLeast"/>
              <w:ind w:leftChars="0" w:left="0" w:rightChars="-11" w:right="-26"/>
              <w:jc w:val="center"/>
              <w:rPr>
                <w:rFonts w:eastAsia="標楷體"/>
                <w:sz w:val="26"/>
                <w:szCs w:val="26"/>
              </w:rPr>
            </w:pPr>
            <w:r w:rsidRPr="00E5363D">
              <w:rPr>
                <w:rFonts w:eastAsia="標楷體"/>
                <w:sz w:val="26"/>
                <w:szCs w:val="26"/>
              </w:rPr>
              <w:lastRenderedPageBreak/>
              <w:t>7</w:t>
            </w:r>
          </w:p>
        </w:tc>
        <w:tc>
          <w:tcPr>
            <w:tcW w:w="3118" w:type="dxa"/>
            <w:vAlign w:val="center"/>
          </w:tcPr>
          <w:p w:rsidR="00A70357" w:rsidRPr="00E5363D" w:rsidRDefault="00A70357">
            <w:pPr>
              <w:rPr>
                <w:color w:val="000000"/>
                <w:sz w:val="26"/>
                <w:szCs w:val="26"/>
              </w:rPr>
            </w:pPr>
            <w:r w:rsidRPr="00E5363D">
              <w:rPr>
                <w:color w:val="000000"/>
                <w:sz w:val="26"/>
                <w:szCs w:val="26"/>
              </w:rPr>
              <w:t>TOMITA CO., LTD.</w:t>
            </w:r>
          </w:p>
        </w:tc>
        <w:tc>
          <w:tcPr>
            <w:tcW w:w="992" w:type="dxa"/>
            <w:vAlign w:val="center"/>
          </w:tcPr>
          <w:p w:rsidR="00A70357" w:rsidRPr="00E5363D" w:rsidRDefault="00A70357">
            <w:pPr>
              <w:jc w:val="right"/>
              <w:rPr>
                <w:color w:val="000000"/>
                <w:sz w:val="26"/>
                <w:szCs w:val="26"/>
              </w:rPr>
            </w:pPr>
            <w:r w:rsidRPr="00E5363D">
              <w:rPr>
                <w:color w:val="000000"/>
                <w:sz w:val="26"/>
                <w:szCs w:val="26"/>
              </w:rPr>
              <w:t>144.16%</w:t>
            </w:r>
          </w:p>
        </w:tc>
        <w:tc>
          <w:tcPr>
            <w:tcW w:w="992" w:type="dxa"/>
            <w:vAlign w:val="center"/>
          </w:tcPr>
          <w:p w:rsidR="00A70357" w:rsidRPr="00E5363D" w:rsidRDefault="00A70357">
            <w:pPr>
              <w:jc w:val="right"/>
              <w:rPr>
                <w:color w:val="000000"/>
                <w:sz w:val="26"/>
                <w:szCs w:val="26"/>
              </w:rPr>
            </w:pPr>
            <w:r w:rsidRPr="00E5363D">
              <w:rPr>
                <w:color w:val="000000"/>
                <w:sz w:val="26"/>
                <w:szCs w:val="26"/>
              </w:rPr>
              <w:t>140.08%</w:t>
            </w:r>
          </w:p>
        </w:tc>
        <w:tc>
          <w:tcPr>
            <w:tcW w:w="992" w:type="dxa"/>
            <w:vAlign w:val="center"/>
          </w:tcPr>
          <w:p w:rsidR="00A70357" w:rsidRPr="00E5363D" w:rsidRDefault="00A70357">
            <w:pPr>
              <w:jc w:val="right"/>
              <w:rPr>
                <w:color w:val="000000"/>
                <w:sz w:val="26"/>
                <w:szCs w:val="26"/>
              </w:rPr>
            </w:pPr>
            <w:r w:rsidRPr="00E5363D">
              <w:rPr>
                <w:color w:val="000000"/>
                <w:sz w:val="26"/>
                <w:szCs w:val="26"/>
              </w:rPr>
              <w:t>146.44%</w:t>
            </w:r>
          </w:p>
        </w:tc>
        <w:tc>
          <w:tcPr>
            <w:tcW w:w="993" w:type="dxa"/>
            <w:vAlign w:val="center"/>
          </w:tcPr>
          <w:p w:rsidR="00A70357" w:rsidRPr="00E5363D" w:rsidRDefault="00A70357">
            <w:pPr>
              <w:jc w:val="right"/>
              <w:rPr>
                <w:color w:val="000000"/>
                <w:sz w:val="26"/>
                <w:szCs w:val="26"/>
              </w:rPr>
            </w:pPr>
            <w:r w:rsidRPr="00E5363D">
              <w:rPr>
                <w:color w:val="000000"/>
                <w:sz w:val="26"/>
                <w:szCs w:val="26"/>
              </w:rPr>
              <w:t>143.61%</w:t>
            </w:r>
          </w:p>
        </w:tc>
      </w:tr>
      <w:tr w:rsidR="00A70357" w:rsidRPr="00E5363D" w:rsidTr="00BC13CF">
        <w:trPr>
          <w:trHeight w:val="567"/>
        </w:trPr>
        <w:tc>
          <w:tcPr>
            <w:tcW w:w="567" w:type="dxa"/>
            <w:vAlign w:val="center"/>
          </w:tcPr>
          <w:p w:rsidR="00A70357" w:rsidRPr="00E5363D" w:rsidRDefault="00A70357" w:rsidP="00965AF0">
            <w:pPr>
              <w:pStyle w:val="a3"/>
              <w:spacing w:beforeLines="25" w:before="60" w:afterLines="25" w:after="60" w:line="0" w:lineRule="atLeast"/>
              <w:ind w:leftChars="0" w:left="0" w:rightChars="-11" w:right="-26"/>
              <w:jc w:val="center"/>
              <w:rPr>
                <w:rFonts w:eastAsia="標楷體"/>
                <w:sz w:val="26"/>
                <w:szCs w:val="26"/>
              </w:rPr>
            </w:pPr>
            <w:r w:rsidRPr="00E5363D">
              <w:rPr>
                <w:rFonts w:eastAsia="標楷體"/>
                <w:sz w:val="26"/>
                <w:szCs w:val="26"/>
              </w:rPr>
              <w:t>8</w:t>
            </w:r>
          </w:p>
        </w:tc>
        <w:tc>
          <w:tcPr>
            <w:tcW w:w="3118" w:type="dxa"/>
            <w:vAlign w:val="center"/>
          </w:tcPr>
          <w:p w:rsidR="00A70357" w:rsidRPr="00E5363D" w:rsidRDefault="00A70357">
            <w:pPr>
              <w:rPr>
                <w:color w:val="000000"/>
                <w:sz w:val="26"/>
                <w:szCs w:val="26"/>
              </w:rPr>
            </w:pPr>
            <w:r w:rsidRPr="00E5363D">
              <w:rPr>
                <w:color w:val="000000"/>
                <w:sz w:val="26"/>
                <w:szCs w:val="26"/>
              </w:rPr>
              <w:t>YKT CORPORATION</w:t>
            </w:r>
          </w:p>
        </w:tc>
        <w:tc>
          <w:tcPr>
            <w:tcW w:w="992" w:type="dxa"/>
            <w:vAlign w:val="center"/>
          </w:tcPr>
          <w:p w:rsidR="00A70357" w:rsidRPr="00E5363D" w:rsidRDefault="00A70357">
            <w:pPr>
              <w:jc w:val="right"/>
              <w:rPr>
                <w:color w:val="000000"/>
                <w:sz w:val="26"/>
                <w:szCs w:val="26"/>
              </w:rPr>
            </w:pPr>
            <w:r w:rsidRPr="00E5363D">
              <w:rPr>
                <w:color w:val="000000"/>
                <w:sz w:val="26"/>
                <w:szCs w:val="26"/>
              </w:rPr>
              <w:t>86.65%</w:t>
            </w:r>
          </w:p>
        </w:tc>
        <w:tc>
          <w:tcPr>
            <w:tcW w:w="992" w:type="dxa"/>
            <w:vAlign w:val="center"/>
          </w:tcPr>
          <w:p w:rsidR="00A70357" w:rsidRPr="00E5363D" w:rsidRDefault="00A70357">
            <w:pPr>
              <w:jc w:val="right"/>
              <w:rPr>
                <w:color w:val="000000"/>
                <w:sz w:val="26"/>
                <w:szCs w:val="26"/>
              </w:rPr>
            </w:pPr>
            <w:r w:rsidRPr="00E5363D">
              <w:rPr>
                <w:color w:val="000000"/>
                <w:sz w:val="26"/>
                <w:szCs w:val="26"/>
              </w:rPr>
              <w:t>101.22%</w:t>
            </w:r>
          </w:p>
        </w:tc>
        <w:tc>
          <w:tcPr>
            <w:tcW w:w="992" w:type="dxa"/>
            <w:vAlign w:val="center"/>
          </w:tcPr>
          <w:p w:rsidR="00A70357" w:rsidRPr="00E5363D" w:rsidRDefault="00A70357">
            <w:pPr>
              <w:jc w:val="right"/>
              <w:rPr>
                <w:color w:val="000000"/>
                <w:sz w:val="26"/>
                <w:szCs w:val="26"/>
              </w:rPr>
            </w:pPr>
            <w:r w:rsidRPr="00E5363D">
              <w:rPr>
                <w:color w:val="000000"/>
                <w:sz w:val="26"/>
                <w:szCs w:val="26"/>
              </w:rPr>
              <w:t>119.77%</w:t>
            </w:r>
          </w:p>
        </w:tc>
        <w:tc>
          <w:tcPr>
            <w:tcW w:w="993" w:type="dxa"/>
            <w:vAlign w:val="center"/>
          </w:tcPr>
          <w:p w:rsidR="00A70357" w:rsidRPr="00E5363D" w:rsidRDefault="00A70357">
            <w:pPr>
              <w:jc w:val="right"/>
              <w:rPr>
                <w:color w:val="000000"/>
                <w:sz w:val="26"/>
                <w:szCs w:val="26"/>
              </w:rPr>
            </w:pPr>
            <w:r w:rsidRPr="00E5363D">
              <w:rPr>
                <w:color w:val="000000"/>
                <w:sz w:val="26"/>
                <w:szCs w:val="26"/>
              </w:rPr>
              <w:t>103.57%</w:t>
            </w:r>
          </w:p>
        </w:tc>
      </w:tr>
      <w:tr w:rsidR="00300832" w:rsidRPr="00E5363D" w:rsidTr="00BC13CF">
        <w:trPr>
          <w:trHeight w:val="567"/>
        </w:trPr>
        <w:tc>
          <w:tcPr>
            <w:tcW w:w="7654" w:type="dxa"/>
            <w:gridSpan w:val="6"/>
            <w:shd w:val="clear" w:color="auto" w:fill="4F81BD"/>
            <w:vAlign w:val="center"/>
          </w:tcPr>
          <w:p w:rsidR="0032590C" w:rsidRPr="00E5363D" w:rsidRDefault="00B34B9F" w:rsidP="00965AF0">
            <w:pPr>
              <w:spacing w:beforeLines="25" w:before="60" w:afterLines="25" w:after="60"/>
              <w:jc w:val="center"/>
              <w:rPr>
                <w:rFonts w:eastAsia="標楷體"/>
                <w:outline/>
                <w:noProof/>
                <w:color w:val="FFFFFF" w:themeColor="background1"/>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pPr>
            <w:r w:rsidRPr="00E5363D">
              <w:rPr>
                <w:rFonts w:eastAsia="標楷體"/>
                <w:color w:val="FFFFFF"/>
                <w:sz w:val="26"/>
                <w:szCs w:val="26"/>
              </w:rPr>
              <w:t>常規交易範圍（四分位區間）</w:t>
            </w:r>
          </w:p>
        </w:tc>
      </w:tr>
      <w:tr w:rsidR="00A70357" w:rsidRPr="00E5363D" w:rsidTr="00BC13CF">
        <w:trPr>
          <w:trHeight w:val="567"/>
        </w:trPr>
        <w:tc>
          <w:tcPr>
            <w:tcW w:w="3685" w:type="dxa"/>
            <w:gridSpan w:val="2"/>
            <w:vAlign w:val="center"/>
          </w:tcPr>
          <w:p w:rsidR="00A70357" w:rsidRPr="00E5363D" w:rsidRDefault="00A70357" w:rsidP="00965AF0">
            <w:pPr>
              <w:spacing w:beforeLines="25" w:before="60" w:afterLines="25" w:after="60"/>
              <w:jc w:val="center"/>
              <w:rPr>
                <w:rFonts w:eastAsia="標楷體"/>
                <w:noProof/>
                <w:color w:val="000000"/>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5363D">
              <w:rPr>
                <w:rFonts w:eastAsia="標楷體"/>
                <w:color w:val="000000"/>
                <w:sz w:val="26"/>
                <w:szCs w:val="26"/>
              </w:rPr>
              <w:t>第</w:t>
            </w:r>
            <w:r w:rsidRPr="00E5363D">
              <w:rPr>
                <w:sz w:val="26"/>
                <w:szCs w:val="26"/>
              </w:rPr>
              <w:t>25</w:t>
            </w:r>
            <w:r w:rsidRPr="00E5363D">
              <w:rPr>
                <w:rFonts w:eastAsia="標楷體"/>
                <w:color w:val="000000"/>
                <w:sz w:val="26"/>
                <w:szCs w:val="26"/>
              </w:rPr>
              <w:t>百分位數</w:t>
            </w:r>
          </w:p>
        </w:tc>
        <w:tc>
          <w:tcPr>
            <w:tcW w:w="992" w:type="dxa"/>
            <w:vAlign w:val="center"/>
          </w:tcPr>
          <w:p w:rsidR="00A70357" w:rsidRPr="00E5363D" w:rsidRDefault="00A70357">
            <w:pPr>
              <w:jc w:val="right"/>
              <w:rPr>
                <w:color w:val="000000"/>
                <w:sz w:val="26"/>
                <w:szCs w:val="26"/>
              </w:rPr>
            </w:pPr>
            <w:r w:rsidRPr="00E5363D">
              <w:rPr>
                <w:color w:val="000000"/>
                <w:sz w:val="26"/>
                <w:szCs w:val="26"/>
              </w:rPr>
              <w:t>114.31%</w:t>
            </w:r>
          </w:p>
        </w:tc>
        <w:tc>
          <w:tcPr>
            <w:tcW w:w="992" w:type="dxa"/>
            <w:vAlign w:val="center"/>
          </w:tcPr>
          <w:p w:rsidR="00A70357" w:rsidRPr="00E5363D" w:rsidRDefault="00A70357">
            <w:pPr>
              <w:jc w:val="right"/>
              <w:rPr>
                <w:color w:val="000000"/>
                <w:sz w:val="26"/>
                <w:szCs w:val="26"/>
              </w:rPr>
            </w:pPr>
            <w:r w:rsidRPr="00E5363D">
              <w:rPr>
                <w:color w:val="000000"/>
                <w:sz w:val="26"/>
                <w:szCs w:val="26"/>
              </w:rPr>
              <w:t>115.14%</w:t>
            </w:r>
          </w:p>
        </w:tc>
        <w:tc>
          <w:tcPr>
            <w:tcW w:w="992" w:type="dxa"/>
            <w:vAlign w:val="center"/>
          </w:tcPr>
          <w:p w:rsidR="00A70357" w:rsidRPr="00E5363D" w:rsidRDefault="00A70357">
            <w:pPr>
              <w:jc w:val="right"/>
              <w:rPr>
                <w:color w:val="000000"/>
                <w:sz w:val="26"/>
                <w:szCs w:val="26"/>
              </w:rPr>
            </w:pPr>
            <w:r w:rsidRPr="00E5363D">
              <w:rPr>
                <w:color w:val="000000"/>
                <w:sz w:val="26"/>
                <w:szCs w:val="26"/>
              </w:rPr>
              <w:t>120.52%</w:t>
            </w:r>
          </w:p>
        </w:tc>
        <w:tc>
          <w:tcPr>
            <w:tcW w:w="993" w:type="dxa"/>
            <w:vAlign w:val="center"/>
          </w:tcPr>
          <w:p w:rsidR="00A70357" w:rsidRPr="00E5363D" w:rsidRDefault="00A70357">
            <w:pPr>
              <w:jc w:val="right"/>
              <w:rPr>
                <w:color w:val="000000"/>
                <w:sz w:val="26"/>
                <w:szCs w:val="26"/>
              </w:rPr>
            </w:pPr>
            <w:r w:rsidRPr="00E5363D">
              <w:rPr>
                <w:color w:val="000000"/>
                <w:sz w:val="26"/>
                <w:szCs w:val="26"/>
              </w:rPr>
              <w:t>117.15%</w:t>
            </w:r>
          </w:p>
        </w:tc>
      </w:tr>
      <w:tr w:rsidR="00A70357" w:rsidRPr="00E5363D" w:rsidTr="00BC13CF">
        <w:trPr>
          <w:trHeight w:val="567"/>
        </w:trPr>
        <w:tc>
          <w:tcPr>
            <w:tcW w:w="3685" w:type="dxa"/>
            <w:gridSpan w:val="2"/>
            <w:vAlign w:val="center"/>
          </w:tcPr>
          <w:p w:rsidR="00A70357" w:rsidRPr="00E5363D" w:rsidRDefault="00A70357" w:rsidP="00965AF0">
            <w:pPr>
              <w:spacing w:beforeLines="25" w:before="60" w:afterLines="25" w:after="60"/>
              <w:jc w:val="center"/>
              <w:rPr>
                <w:rFonts w:eastAsia="標楷體"/>
                <w:noProof/>
                <w:color w:val="000000"/>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5363D">
              <w:rPr>
                <w:rFonts w:eastAsia="標楷體"/>
                <w:color w:val="000000"/>
                <w:sz w:val="26"/>
                <w:szCs w:val="26"/>
              </w:rPr>
              <w:t>中位數</w:t>
            </w:r>
          </w:p>
        </w:tc>
        <w:tc>
          <w:tcPr>
            <w:tcW w:w="992" w:type="dxa"/>
            <w:vAlign w:val="center"/>
          </w:tcPr>
          <w:p w:rsidR="00A70357" w:rsidRPr="00E5363D" w:rsidRDefault="00A70357">
            <w:pPr>
              <w:jc w:val="right"/>
              <w:rPr>
                <w:color w:val="000000"/>
                <w:sz w:val="26"/>
                <w:szCs w:val="26"/>
              </w:rPr>
            </w:pPr>
            <w:r w:rsidRPr="00E5363D">
              <w:rPr>
                <w:color w:val="000000"/>
                <w:sz w:val="26"/>
                <w:szCs w:val="26"/>
              </w:rPr>
              <w:t>128.59%</w:t>
            </w:r>
          </w:p>
        </w:tc>
        <w:tc>
          <w:tcPr>
            <w:tcW w:w="992" w:type="dxa"/>
            <w:vAlign w:val="center"/>
          </w:tcPr>
          <w:p w:rsidR="00A70357" w:rsidRPr="00E5363D" w:rsidRDefault="00A70357">
            <w:pPr>
              <w:jc w:val="right"/>
              <w:rPr>
                <w:color w:val="000000"/>
                <w:sz w:val="26"/>
                <w:szCs w:val="26"/>
              </w:rPr>
            </w:pPr>
            <w:r w:rsidRPr="00E5363D">
              <w:rPr>
                <w:color w:val="000000"/>
                <w:sz w:val="26"/>
                <w:szCs w:val="26"/>
              </w:rPr>
              <w:t>132.11%</w:t>
            </w:r>
          </w:p>
        </w:tc>
        <w:tc>
          <w:tcPr>
            <w:tcW w:w="992" w:type="dxa"/>
            <w:vAlign w:val="center"/>
          </w:tcPr>
          <w:p w:rsidR="00A70357" w:rsidRPr="00E5363D" w:rsidRDefault="00A70357">
            <w:pPr>
              <w:jc w:val="right"/>
              <w:rPr>
                <w:color w:val="000000"/>
                <w:sz w:val="26"/>
                <w:szCs w:val="26"/>
              </w:rPr>
            </w:pPr>
            <w:r w:rsidRPr="00E5363D">
              <w:rPr>
                <w:color w:val="000000"/>
                <w:sz w:val="26"/>
                <w:szCs w:val="26"/>
              </w:rPr>
              <w:t>124.22%</w:t>
            </w:r>
          </w:p>
        </w:tc>
        <w:tc>
          <w:tcPr>
            <w:tcW w:w="993" w:type="dxa"/>
            <w:vAlign w:val="center"/>
          </w:tcPr>
          <w:p w:rsidR="00A70357" w:rsidRPr="00E5363D" w:rsidRDefault="00A70357">
            <w:pPr>
              <w:jc w:val="right"/>
              <w:rPr>
                <w:color w:val="000000"/>
                <w:sz w:val="26"/>
                <w:szCs w:val="26"/>
              </w:rPr>
            </w:pPr>
            <w:r w:rsidRPr="00E5363D">
              <w:rPr>
                <w:color w:val="000000"/>
                <w:sz w:val="26"/>
                <w:szCs w:val="26"/>
              </w:rPr>
              <w:t>127.91%</w:t>
            </w:r>
          </w:p>
        </w:tc>
      </w:tr>
      <w:tr w:rsidR="00A70357" w:rsidRPr="00E5363D" w:rsidTr="00BC13CF">
        <w:trPr>
          <w:trHeight w:val="567"/>
        </w:trPr>
        <w:tc>
          <w:tcPr>
            <w:tcW w:w="3685" w:type="dxa"/>
            <w:gridSpan w:val="2"/>
            <w:vAlign w:val="center"/>
          </w:tcPr>
          <w:p w:rsidR="00A70357" w:rsidRPr="00E5363D" w:rsidRDefault="00A70357" w:rsidP="00965AF0">
            <w:pPr>
              <w:spacing w:beforeLines="25" w:before="60" w:afterLines="25" w:after="60"/>
              <w:jc w:val="center"/>
              <w:rPr>
                <w:rFonts w:eastAsia="標楷體"/>
                <w:noProof/>
                <w:color w:val="000000"/>
                <w:sz w:val="26"/>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5363D">
              <w:rPr>
                <w:rFonts w:eastAsia="標楷體"/>
                <w:color w:val="000000"/>
                <w:sz w:val="26"/>
                <w:szCs w:val="26"/>
              </w:rPr>
              <w:t>第</w:t>
            </w:r>
            <w:r w:rsidRPr="00E5363D">
              <w:rPr>
                <w:sz w:val="26"/>
                <w:szCs w:val="26"/>
              </w:rPr>
              <w:t>75</w:t>
            </w:r>
            <w:r w:rsidRPr="00E5363D">
              <w:rPr>
                <w:rFonts w:eastAsia="標楷體"/>
                <w:color w:val="000000"/>
                <w:sz w:val="26"/>
                <w:szCs w:val="26"/>
              </w:rPr>
              <w:t>百分位數</w:t>
            </w:r>
          </w:p>
        </w:tc>
        <w:tc>
          <w:tcPr>
            <w:tcW w:w="992" w:type="dxa"/>
            <w:vAlign w:val="center"/>
          </w:tcPr>
          <w:p w:rsidR="00A70357" w:rsidRPr="00E5363D" w:rsidRDefault="00A70357">
            <w:pPr>
              <w:jc w:val="right"/>
              <w:rPr>
                <w:color w:val="000000"/>
                <w:sz w:val="26"/>
                <w:szCs w:val="26"/>
              </w:rPr>
            </w:pPr>
            <w:r w:rsidRPr="00E5363D">
              <w:rPr>
                <w:color w:val="000000"/>
                <w:sz w:val="26"/>
                <w:szCs w:val="26"/>
              </w:rPr>
              <w:t>134.33%</w:t>
            </w:r>
          </w:p>
        </w:tc>
        <w:tc>
          <w:tcPr>
            <w:tcW w:w="992" w:type="dxa"/>
            <w:vAlign w:val="center"/>
          </w:tcPr>
          <w:p w:rsidR="00A70357" w:rsidRPr="00E5363D" w:rsidRDefault="00A70357">
            <w:pPr>
              <w:jc w:val="right"/>
              <w:rPr>
                <w:color w:val="000000"/>
                <w:sz w:val="26"/>
                <w:szCs w:val="26"/>
              </w:rPr>
            </w:pPr>
            <w:r w:rsidRPr="00E5363D">
              <w:rPr>
                <w:color w:val="000000"/>
                <w:sz w:val="26"/>
                <w:szCs w:val="26"/>
              </w:rPr>
              <w:t>135.58%</w:t>
            </w:r>
          </w:p>
        </w:tc>
        <w:tc>
          <w:tcPr>
            <w:tcW w:w="992" w:type="dxa"/>
            <w:vAlign w:val="center"/>
          </w:tcPr>
          <w:p w:rsidR="00A70357" w:rsidRPr="00E5363D" w:rsidRDefault="00A70357">
            <w:pPr>
              <w:jc w:val="right"/>
              <w:rPr>
                <w:color w:val="000000"/>
                <w:sz w:val="26"/>
                <w:szCs w:val="26"/>
              </w:rPr>
            </w:pPr>
            <w:r w:rsidRPr="00E5363D">
              <w:rPr>
                <w:color w:val="000000"/>
                <w:sz w:val="26"/>
                <w:szCs w:val="26"/>
              </w:rPr>
              <w:t>133.08%</w:t>
            </w:r>
          </w:p>
        </w:tc>
        <w:tc>
          <w:tcPr>
            <w:tcW w:w="993" w:type="dxa"/>
            <w:vAlign w:val="center"/>
          </w:tcPr>
          <w:p w:rsidR="00A70357" w:rsidRPr="00E5363D" w:rsidRDefault="00A70357">
            <w:pPr>
              <w:jc w:val="right"/>
              <w:rPr>
                <w:color w:val="000000"/>
                <w:sz w:val="26"/>
                <w:szCs w:val="26"/>
              </w:rPr>
            </w:pPr>
            <w:r w:rsidRPr="00E5363D">
              <w:rPr>
                <w:color w:val="000000"/>
                <w:sz w:val="26"/>
                <w:szCs w:val="26"/>
              </w:rPr>
              <w:t>133.89%</w:t>
            </w:r>
          </w:p>
        </w:tc>
      </w:tr>
    </w:tbl>
    <w:p w:rsidR="00300832" w:rsidRPr="00300832" w:rsidRDefault="00300832" w:rsidP="00300832"/>
    <w:p w:rsidR="0032590C" w:rsidRDefault="001223EC" w:rsidP="00965AF0">
      <w:pPr>
        <w:pStyle w:val="3"/>
        <w:numPr>
          <w:ilvl w:val="0"/>
          <w:numId w:val="58"/>
        </w:numPr>
        <w:spacing w:beforeLines="50" w:before="120" w:afterLines="50" w:after="120" w:line="360" w:lineRule="auto"/>
        <w:jc w:val="both"/>
        <w:rPr>
          <w:rFonts w:ascii="Times New Roman" w:eastAsia="標楷體" w:hAnsi="Times New Roman"/>
          <w:sz w:val="32"/>
          <w:szCs w:val="26"/>
        </w:rPr>
      </w:pPr>
      <w:r w:rsidRPr="003261CE">
        <w:rPr>
          <w:rFonts w:ascii="Times New Roman" w:eastAsia="標楷體" w:hAnsi="Times New Roman"/>
          <w:sz w:val="32"/>
          <w:szCs w:val="26"/>
        </w:rPr>
        <w:t>受測個體</w:t>
      </w:r>
      <w:r w:rsidR="001070FF" w:rsidRPr="003261CE">
        <w:rPr>
          <w:rFonts w:ascii="Times New Roman" w:eastAsia="標楷體" w:hAnsi="Times New Roman" w:hint="eastAsia"/>
          <w:sz w:val="32"/>
          <w:szCs w:val="26"/>
        </w:rPr>
        <w:t>之平均利潤率</w:t>
      </w:r>
    </w:p>
    <w:p w:rsidR="00DF2E3D" w:rsidRPr="00A14B7D" w:rsidRDefault="00DF2E3D" w:rsidP="000F21BD">
      <w:pPr>
        <w:widowControl/>
        <w:numPr>
          <w:ilvl w:val="0"/>
          <w:numId w:val="59"/>
        </w:numPr>
        <w:spacing w:line="360" w:lineRule="auto"/>
        <w:rPr>
          <w:rFonts w:eastAsia="標楷體"/>
          <w:b/>
          <w:sz w:val="30"/>
          <w:szCs w:val="30"/>
        </w:rPr>
      </w:pPr>
      <w:r w:rsidRPr="00AE498F">
        <w:rPr>
          <w:rFonts w:eastAsia="標楷體"/>
          <w:b/>
          <w:sz w:val="30"/>
          <w:szCs w:val="30"/>
        </w:rPr>
        <w:t>「有形資產之移轉－進貨」及「服務之提供－提供產品服務」</w:t>
      </w:r>
    </w:p>
    <w:p w:rsidR="0032590C" w:rsidRDefault="00DC4ACB" w:rsidP="00965AF0">
      <w:pPr>
        <w:autoSpaceDE w:val="0"/>
        <w:autoSpaceDN w:val="0"/>
        <w:adjustRightInd w:val="0"/>
        <w:spacing w:beforeLines="50" w:before="120" w:afterLines="50" w:after="120" w:line="360" w:lineRule="auto"/>
        <w:ind w:leftChars="200" w:left="480" w:firstLineChars="200" w:firstLine="520"/>
        <w:jc w:val="both"/>
        <w:rPr>
          <w:rFonts w:eastAsia="標楷體"/>
          <w:sz w:val="26"/>
          <w:szCs w:val="26"/>
        </w:rPr>
      </w:pPr>
      <w:r w:rsidRPr="00DC4ACB">
        <w:rPr>
          <w:rFonts w:eastAsia="標楷體"/>
          <w:sz w:val="26"/>
          <w:szCs w:val="26"/>
        </w:rPr>
        <w:t>10</w:t>
      </w:r>
      <w:r w:rsidR="00A70357">
        <w:rPr>
          <w:rFonts w:eastAsia="標楷體" w:hint="eastAsia"/>
          <w:sz w:val="26"/>
          <w:szCs w:val="26"/>
        </w:rPr>
        <w:t>3</w:t>
      </w:r>
      <w:r w:rsidRPr="00DC4ACB">
        <w:rPr>
          <w:rFonts w:eastAsia="標楷體" w:hint="eastAsia"/>
          <w:sz w:val="26"/>
          <w:szCs w:val="26"/>
        </w:rPr>
        <w:t>～</w:t>
      </w:r>
      <w:r w:rsidRPr="00DC4ACB">
        <w:rPr>
          <w:rFonts w:eastAsia="標楷體"/>
          <w:sz w:val="26"/>
          <w:szCs w:val="26"/>
        </w:rPr>
        <w:t>10</w:t>
      </w:r>
      <w:r w:rsidR="00A70357">
        <w:rPr>
          <w:rFonts w:eastAsia="標楷體" w:hint="eastAsia"/>
          <w:sz w:val="26"/>
          <w:szCs w:val="26"/>
        </w:rPr>
        <w:t>5</w:t>
      </w:r>
      <w:r w:rsidRPr="00DC4ACB">
        <w:rPr>
          <w:rFonts w:eastAsia="標楷體" w:hint="eastAsia"/>
          <w:sz w:val="26"/>
          <w:szCs w:val="26"/>
        </w:rPr>
        <w:t>會計年度與太克科技與受控交易有關損益資料</w:t>
      </w:r>
      <w:r w:rsidRPr="00DC4ACB">
        <w:rPr>
          <w:rFonts w:eastAsia="標楷體" w:hAnsi="標楷體"/>
          <w:sz w:val="26"/>
          <w:szCs w:val="26"/>
        </w:rPr>
        <w:t>如下：</w:t>
      </w:r>
    </w:p>
    <w:p w:rsidR="001223EC" w:rsidRPr="00B94F8B" w:rsidRDefault="00AD7EE2" w:rsidP="001223EC">
      <w:pPr>
        <w:pStyle w:val="32"/>
        <w:spacing w:line="0" w:lineRule="atLeast"/>
        <w:ind w:rightChars="74" w:right="178"/>
        <w:jc w:val="right"/>
        <w:rPr>
          <w:rFonts w:asciiTheme="minorEastAsia" w:eastAsiaTheme="minorEastAsia" w:hAnsiTheme="minorEastAsia"/>
          <w:color w:val="0070C0"/>
          <w:sz w:val="20"/>
          <w:szCs w:val="20"/>
        </w:rPr>
      </w:pPr>
      <w:r w:rsidRPr="00AD7EE2">
        <w:rPr>
          <w:rFonts w:asciiTheme="minorEastAsia" w:eastAsiaTheme="minorEastAsia" w:hAnsiTheme="minorEastAsia" w:hint="eastAsia"/>
          <w:sz w:val="20"/>
          <w:szCs w:val="20"/>
        </w:rPr>
        <w:t>單位：新台幣元</w:t>
      </w:r>
    </w:p>
    <w:tbl>
      <w:tblPr>
        <w:tblW w:w="8000" w:type="dxa"/>
        <w:tblInd w:w="67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A0" w:firstRow="1" w:lastRow="0" w:firstColumn="1" w:lastColumn="0" w:noHBand="0" w:noVBand="0"/>
      </w:tblPr>
      <w:tblGrid>
        <w:gridCol w:w="1600"/>
        <w:gridCol w:w="1600"/>
        <w:gridCol w:w="1600"/>
        <w:gridCol w:w="1600"/>
        <w:gridCol w:w="1600"/>
      </w:tblGrid>
      <w:tr w:rsidR="00407CDA" w:rsidRPr="00BB4352" w:rsidTr="00F6367F">
        <w:trPr>
          <w:trHeight w:val="493"/>
          <w:tblHeader/>
        </w:trPr>
        <w:tc>
          <w:tcPr>
            <w:tcW w:w="1600" w:type="dxa"/>
            <w:tcBorders>
              <w:bottom w:val="double" w:sz="4" w:space="0" w:color="auto"/>
            </w:tcBorders>
            <w:shd w:val="clear" w:color="auto" w:fill="4F81BD"/>
            <w:vAlign w:val="center"/>
          </w:tcPr>
          <w:p w:rsidR="00407CDA" w:rsidRDefault="00407CDA" w:rsidP="00965AF0">
            <w:pPr>
              <w:spacing w:beforeLines="25" w:before="60" w:afterLines="25" w:after="60"/>
              <w:jc w:val="center"/>
              <w:rPr>
                <w:rFonts w:eastAsia="標楷體" w:cs="新細明體"/>
                <w:bCs/>
                <w:color w:val="FFFFFF"/>
                <w:sz w:val="26"/>
                <w:szCs w:val="26"/>
              </w:rPr>
            </w:pPr>
            <w:r w:rsidRPr="00BB4352">
              <w:rPr>
                <w:rFonts w:eastAsia="標楷體" w:hint="eastAsia"/>
                <w:bCs/>
                <w:color w:val="FFFFFF"/>
                <w:sz w:val="26"/>
                <w:szCs w:val="26"/>
              </w:rPr>
              <w:t>損益科目</w:t>
            </w:r>
          </w:p>
        </w:tc>
        <w:tc>
          <w:tcPr>
            <w:tcW w:w="1600" w:type="dxa"/>
            <w:tcBorders>
              <w:bottom w:val="double" w:sz="4" w:space="0" w:color="auto"/>
            </w:tcBorders>
            <w:shd w:val="clear" w:color="auto" w:fill="4F81BD"/>
            <w:vAlign w:val="center"/>
          </w:tcPr>
          <w:p w:rsidR="00407CDA" w:rsidRDefault="00407CDA" w:rsidP="00F6367F">
            <w:pPr>
              <w:spacing w:beforeLines="25" w:before="60" w:afterLines="25" w:after="60"/>
              <w:jc w:val="center"/>
              <w:rPr>
                <w:rFonts w:eastAsia="標楷體"/>
                <w:bCs/>
                <w:color w:val="FFFFFF"/>
                <w:sz w:val="26"/>
                <w:szCs w:val="26"/>
              </w:rPr>
            </w:pPr>
            <w:r>
              <w:rPr>
                <w:rFonts w:eastAsia="標楷體" w:hint="eastAsia"/>
                <w:bCs/>
                <w:color w:val="FFFFFF"/>
                <w:sz w:val="26"/>
                <w:szCs w:val="26"/>
              </w:rPr>
              <w:t>103</w:t>
            </w:r>
            <w:r>
              <w:rPr>
                <w:rFonts w:eastAsia="標楷體" w:hint="eastAsia"/>
                <w:bCs/>
                <w:color w:val="FFFFFF"/>
                <w:sz w:val="26"/>
                <w:szCs w:val="26"/>
              </w:rPr>
              <w:t>年度</w:t>
            </w:r>
          </w:p>
        </w:tc>
        <w:tc>
          <w:tcPr>
            <w:tcW w:w="1600" w:type="dxa"/>
            <w:tcBorders>
              <w:bottom w:val="double" w:sz="4" w:space="0" w:color="auto"/>
            </w:tcBorders>
            <w:shd w:val="clear" w:color="auto" w:fill="4F81BD"/>
            <w:vAlign w:val="center"/>
          </w:tcPr>
          <w:p w:rsidR="00407CDA" w:rsidRDefault="00407CDA" w:rsidP="00F6367F">
            <w:pPr>
              <w:spacing w:beforeLines="25" w:before="60" w:afterLines="25" w:after="60"/>
              <w:jc w:val="center"/>
              <w:rPr>
                <w:rFonts w:eastAsia="標楷體"/>
                <w:bCs/>
                <w:color w:val="FFFFFF"/>
                <w:sz w:val="26"/>
                <w:szCs w:val="26"/>
              </w:rPr>
            </w:pPr>
            <w:r>
              <w:rPr>
                <w:rFonts w:eastAsia="標楷體" w:hint="eastAsia"/>
                <w:bCs/>
                <w:color w:val="FFFFFF"/>
                <w:sz w:val="26"/>
                <w:szCs w:val="26"/>
              </w:rPr>
              <w:t>104</w:t>
            </w:r>
            <w:r>
              <w:rPr>
                <w:rFonts w:eastAsia="標楷體" w:hint="eastAsia"/>
                <w:bCs/>
                <w:color w:val="FFFFFF"/>
                <w:sz w:val="26"/>
                <w:szCs w:val="26"/>
              </w:rPr>
              <w:t>年度</w:t>
            </w:r>
          </w:p>
        </w:tc>
        <w:tc>
          <w:tcPr>
            <w:tcW w:w="1600" w:type="dxa"/>
            <w:tcBorders>
              <w:bottom w:val="double" w:sz="4" w:space="0" w:color="auto"/>
            </w:tcBorders>
            <w:shd w:val="clear" w:color="auto" w:fill="4F81BD"/>
            <w:vAlign w:val="center"/>
          </w:tcPr>
          <w:p w:rsidR="00407CDA" w:rsidRDefault="00407CDA" w:rsidP="00965AF0">
            <w:pPr>
              <w:spacing w:beforeLines="25" w:before="60" w:afterLines="25" w:after="60"/>
              <w:jc w:val="center"/>
              <w:rPr>
                <w:rFonts w:eastAsia="標楷體"/>
                <w:bCs/>
                <w:color w:val="FFFFFF"/>
                <w:sz w:val="26"/>
                <w:szCs w:val="26"/>
              </w:rPr>
            </w:pPr>
            <w:r>
              <w:rPr>
                <w:rFonts w:eastAsia="標楷體" w:hint="eastAsia"/>
                <w:bCs/>
                <w:color w:val="FFFFFF"/>
                <w:sz w:val="26"/>
                <w:szCs w:val="26"/>
              </w:rPr>
              <w:t>105</w:t>
            </w:r>
            <w:r>
              <w:rPr>
                <w:rFonts w:eastAsia="標楷體" w:hint="eastAsia"/>
                <w:bCs/>
                <w:color w:val="FFFFFF"/>
                <w:sz w:val="26"/>
                <w:szCs w:val="26"/>
              </w:rPr>
              <w:t>年度</w:t>
            </w:r>
          </w:p>
        </w:tc>
        <w:tc>
          <w:tcPr>
            <w:tcW w:w="1600" w:type="dxa"/>
            <w:tcBorders>
              <w:bottom w:val="double" w:sz="4" w:space="0" w:color="auto"/>
            </w:tcBorders>
            <w:shd w:val="clear" w:color="auto" w:fill="4F81BD"/>
            <w:vAlign w:val="center"/>
          </w:tcPr>
          <w:p w:rsidR="00407CDA" w:rsidRDefault="00407CDA" w:rsidP="00965AF0">
            <w:pPr>
              <w:spacing w:beforeLines="25" w:before="60" w:afterLines="25" w:after="60"/>
              <w:jc w:val="center"/>
              <w:rPr>
                <w:rFonts w:eastAsia="標楷體" w:cs="新細明體"/>
                <w:bCs/>
                <w:color w:val="FFFFFF"/>
                <w:sz w:val="26"/>
                <w:szCs w:val="26"/>
              </w:rPr>
            </w:pPr>
            <w:r w:rsidRPr="00BB4352">
              <w:rPr>
                <w:rFonts w:eastAsia="標楷體" w:hint="eastAsia"/>
                <w:bCs/>
                <w:color w:val="FFFFFF"/>
                <w:sz w:val="26"/>
                <w:szCs w:val="26"/>
              </w:rPr>
              <w:t>三年平均</w:t>
            </w:r>
          </w:p>
        </w:tc>
      </w:tr>
      <w:tr w:rsidR="00FA2E37" w:rsidRPr="00BB4352" w:rsidTr="00BC13CF">
        <w:trPr>
          <w:trHeight w:val="567"/>
        </w:trPr>
        <w:tc>
          <w:tcPr>
            <w:tcW w:w="1600" w:type="dxa"/>
            <w:tcBorders>
              <w:top w:val="double" w:sz="4" w:space="0" w:color="auto"/>
            </w:tcBorders>
          </w:tcPr>
          <w:p w:rsidR="00FA2E37" w:rsidRDefault="00FA2E37" w:rsidP="00965AF0">
            <w:pPr>
              <w:spacing w:beforeLines="25" w:before="60" w:afterLines="25" w:after="60"/>
              <w:jc w:val="center"/>
              <w:rPr>
                <w:rFonts w:eastAsia="標楷體"/>
                <w:sz w:val="26"/>
                <w:szCs w:val="26"/>
              </w:rPr>
            </w:pPr>
            <w:r w:rsidRPr="0079071A">
              <w:rPr>
                <w:rFonts w:eastAsia="標楷體" w:hint="eastAsia"/>
                <w:sz w:val="26"/>
                <w:szCs w:val="26"/>
              </w:rPr>
              <w:t>營收淨額</w:t>
            </w:r>
          </w:p>
        </w:tc>
        <w:tc>
          <w:tcPr>
            <w:tcW w:w="1600" w:type="dxa"/>
            <w:tcBorders>
              <w:top w:val="double" w:sz="4" w:space="0" w:color="auto"/>
            </w:tcBorders>
            <w:vAlign w:val="center"/>
          </w:tcPr>
          <w:p w:rsidR="00FA2E37" w:rsidDel="00D923B3" w:rsidRDefault="00FA2E37" w:rsidP="00F6367F">
            <w:pPr>
              <w:jc w:val="right"/>
              <w:rPr>
                <w:sz w:val="26"/>
                <w:szCs w:val="26"/>
              </w:rPr>
            </w:pPr>
            <w:r>
              <w:rPr>
                <w:color w:val="000000"/>
                <w:sz w:val="26"/>
                <w:szCs w:val="26"/>
              </w:rPr>
              <w:t>262,328,730</w:t>
            </w:r>
          </w:p>
        </w:tc>
        <w:tc>
          <w:tcPr>
            <w:tcW w:w="1600" w:type="dxa"/>
            <w:tcBorders>
              <w:top w:val="double" w:sz="4" w:space="0" w:color="auto"/>
            </w:tcBorders>
            <w:vAlign w:val="center"/>
          </w:tcPr>
          <w:p w:rsidR="00FA2E37" w:rsidRDefault="00FA2E37" w:rsidP="00F6367F">
            <w:pPr>
              <w:jc w:val="right"/>
              <w:rPr>
                <w:sz w:val="26"/>
                <w:szCs w:val="26"/>
              </w:rPr>
            </w:pPr>
            <w:r>
              <w:rPr>
                <w:color w:val="000000"/>
                <w:sz w:val="26"/>
                <w:szCs w:val="26"/>
              </w:rPr>
              <w:t>431,553,986</w:t>
            </w:r>
          </w:p>
        </w:tc>
        <w:tc>
          <w:tcPr>
            <w:tcW w:w="1600" w:type="dxa"/>
            <w:tcBorders>
              <w:top w:val="double" w:sz="4" w:space="0" w:color="auto"/>
            </w:tcBorders>
            <w:vAlign w:val="center"/>
          </w:tcPr>
          <w:p w:rsidR="00FA2E37" w:rsidRPr="00FA2E37" w:rsidRDefault="00FA2E37" w:rsidP="00FA2E37">
            <w:pPr>
              <w:jc w:val="right"/>
              <w:rPr>
                <w:color w:val="000000"/>
                <w:sz w:val="26"/>
                <w:szCs w:val="26"/>
              </w:rPr>
            </w:pPr>
            <w:r w:rsidRPr="00FA2E37">
              <w:rPr>
                <w:color w:val="000000"/>
                <w:sz w:val="26"/>
                <w:szCs w:val="26"/>
              </w:rPr>
              <w:t>527,703,794</w:t>
            </w:r>
          </w:p>
        </w:tc>
        <w:tc>
          <w:tcPr>
            <w:tcW w:w="1600" w:type="dxa"/>
            <w:tcBorders>
              <w:top w:val="double" w:sz="4" w:space="0" w:color="auto"/>
            </w:tcBorders>
            <w:vAlign w:val="center"/>
          </w:tcPr>
          <w:p w:rsidR="00FA2E37" w:rsidRPr="00FA2E37" w:rsidRDefault="00FA2E37" w:rsidP="00FA2E37">
            <w:pPr>
              <w:jc w:val="right"/>
              <w:rPr>
                <w:color w:val="000000"/>
                <w:sz w:val="26"/>
                <w:szCs w:val="26"/>
              </w:rPr>
            </w:pPr>
            <w:r w:rsidRPr="00FA2E37">
              <w:rPr>
                <w:color w:val="000000"/>
                <w:sz w:val="26"/>
                <w:szCs w:val="26"/>
              </w:rPr>
              <w:t>407,195,503</w:t>
            </w:r>
          </w:p>
        </w:tc>
      </w:tr>
      <w:tr w:rsidR="00FA2E37" w:rsidRPr="00BB4352" w:rsidTr="00BC13CF">
        <w:trPr>
          <w:trHeight w:val="567"/>
        </w:trPr>
        <w:tc>
          <w:tcPr>
            <w:tcW w:w="1600" w:type="dxa"/>
          </w:tcPr>
          <w:p w:rsidR="00FA2E37" w:rsidRDefault="00FA2E37" w:rsidP="00965AF0">
            <w:pPr>
              <w:spacing w:beforeLines="25" w:before="60" w:afterLines="25" w:after="60"/>
              <w:jc w:val="center"/>
              <w:rPr>
                <w:rFonts w:eastAsia="標楷體"/>
                <w:sz w:val="26"/>
                <w:szCs w:val="26"/>
              </w:rPr>
            </w:pPr>
            <w:r w:rsidRPr="0079071A">
              <w:rPr>
                <w:rFonts w:eastAsia="標楷體" w:hint="eastAsia"/>
                <w:sz w:val="26"/>
                <w:szCs w:val="26"/>
              </w:rPr>
              <w:t>營業成本</w:t>
            </w:r>
          </w:p>
        </w:tc>
        <w:tc>
          <w:tcPr>
            <w:tcW w:w="1600" w:type="dxa"/>
            <w:vAlign w:val="center"/>
          </w:tcPr>
          <w:p w:rsidR="00FA2E37" w:rsidDel="00D923B3" w:rsidRDefault="00FA2E37" w:rsidP="00F6367F">
            <w:pPr>
              <w:jc w:val="right"/>
              <w:rPr>
                <w:sz w:val="26"/>
                <w:szCs w:val="26"/>
              </w:rPr>
            </w:pPr>
            <w:r>
              <w:rPr>
                <w:color w:val="000000"/>
                <w:sz w:val="26"/>
                <w:szCs w:val="26"/>
              </w:rPr>
              <w:t>101,127,292</w:t>
            </w:r>
          </w:p>
        </w:tc>
        <w:tc>
          <w:tcPr>
            <w:tcW w:w="1600" w:type="dxa"/>
            <w:vAlign w:val="center"/>
          </w:tcPr>
          <w:p w:rsidR="00FA2E37" w:rsidRDefault="00FA2E37" w:rsidP="00F6367F">
            <w:pPr>
              <w:jc w:val="right"/>
              <w:rPr>
                <w:sz w:val="26"/>
                <w:szCs w:val="26"/>
              </w:rPr>
            </w:pPr>
            <w:r>
              <w:rPr>
                <w:color w:val="000000"/>
                <w:sz w:val="26"/>
                <w:szCs w:val="26"/>
              </w:rPr>
              <w:t>275,930,952</w:t>
            </w:r>
          </w:p>
        </w:tc>
        <w:tc>
          <w:tcPr>
            <w:tcW w:w="1600" w:type="dxa"/>
            <w:vAlign w:val="center"/>
          </w:tcPr>
          <w:p w:rsidR="00FA2E37" w:rsidRPr="00FA2E37" w:rsidRDefault="00FA2E37" w:rsidP="00FA2E37">
            <w:pPr>
              <w:jc w:val="right"/>
              <w:rPr>
                <w:color w:val="000000"/>
                <w:sz w:val="26"/>
                <w:szCs w:val="26"/>
              </w:rPr>
            </w:pPr>
            <w:r w:rsidRPr="00FA2E37">
              <w:rPr>
                <w:color w:val="000000"/>
                <w:sz w:val="26"/>
                <w:szCs w:val="26"/>
              </w:rPr>
              <w:t>350,972,057</w:t>
            </w:r>
          </w:p>
        </w:tc>
        <w:tc>
          <w:tcPr>
            <w:tcW w:w="1600" w:type="dxa"/>
            <w:vAlign w:val="center"/>
          </w:tcPr>
          <w:p w:rsidR="00FA2E37" w:rsidRPr="00FA2E37" w:rsidRDefault="00FA2E37" w:rsidP="00FA2E37">
            <w:pPr>
              <w:jc w:val="right"/>
              <w:rPr>
                <w:color w:val="000000"/>
                <w:sz w:val="26"/>
                <w:szCs w:val="26"/>
              </w:rPr>
            </w:pPr>
            <w:r w:rsidRPr="00FA2E37">
              <w:rPr>
                <w:color w:val="000000"/>
                <w:sz w:val="26"/>
                <w:szCs w:val="26"/>
              </w:rPr>
              <w:t>242,676,767</w:t>
            </w:r>
          </w:p>
        </w:tc>
      </w:tr>
      <w:tr w:rsidR="00FA2E37" w:rsidRPr="00BB4352" w:rsidTr="00BC13CF">
        <w:trPr>
          <w:trHeight w:val="567"/>
        </w:trPr>
        <w:tc>
          <w:tcPr>
            <w:tcW w:w="1600" w:type="dxa"/>
          </w:tcPr>
          <w:p w:rsidR="00FA2E37" w:rsidRDefault="00FA2E37" w:rsidP="00965AF0">
            <w:pPr>
              <w:spacing w:beforeLines="25" w:before="60" w:afterLines="25" w:after="60"/>
              <w:jc w:val="center"/>
              <w:rPr>
                <w:rFonts w:eastAsia="標楷體"/>
                <w:sz w:val="26"/>
                <w:szCs w:val="26"/>
              </w:rPr>
            </w:pPr>
            <w:r w:rsidRPr="0079071A">
              <w:rPr>
                <w:rFonts w:eastAsia="標楷體" w:hint="eastAsia"/>
                <w:sz w:val="26"/>
                <w:szCs w:val="26"/>
              </w:rPr>
              <w:t>營業毛利</w:t>
            </w:r>
          </w:p>
        </w:tc>
        <w:tc>
          <w:tcPr>
            <w:tcW w:w="1600" w:type="dxa"/>
            <w:vAlign w:val="center"/>
          </w:tcPr>
          <w:p w:rsidR="00FA2E37" w:rsidDel="00D923B3" w:rsidRDefault="00FA2E37" w:rsidP="00F6367F">
            <w:pPr>
              <w:jc w:val="right"/>
              <w:rPr>
                <w:sz w:val="26"/>
                <w:szCs w:val="26"/>
              </w:rPr>
            </w:pPr>
            <w:r>
              <w:rPr>
                <w:color w:val="000000"/>
                <w:sz w:val="26"/>
                <w:szCs w:val="26"/>
              </w:rPr>
              <w:t>161,201,438</w:t>
            </w:r>
          </w:p>
        </w:tc>
        <w:tc>
          <w:tcPr>
            <w:tcW w:w="1600" w:type="dxa"/>
            <w:vAlign w:val="center"/>
          </w:tcPr>
          <w:p w:rsidR="00FA2E37" w:rsidRDefault="00FA2E37" w:rsidP="00F6367F">
            <w:pPr>
              <w:jc w:val="right"/>
              <w:rPr>
                <w:sz w:val="26"/>
                <w:szCs w:val="26"/>
              </w:rPr>
            </w:pPr>
            <w:r>
              <w:rPr>
                <w:color w:val="000000"/>
                <w:sz w:val="26"/>
                <w:szCs w:val="26"/>
              </w:rPr>
              <w:t>155,623,034</w:t>
            </w:r>
          </w:p>
        </w:tc>
        <w:tc>
          <w:tcPr>
            <w:tcW w:w="1600" w:type="dxa"/>
            <w:vAlign w:val="center"/>
          </w:tcPr>
          <w:p w:rsidR="00FA2E37" w:rsidRPr="00FA2E37" w:rsidRDefault="00FA2E37" w:rsidP="00FA2E37">
            <w:pPr>
              <w:jc w:val="right"/>
              <w:rPr>
                <w:color w:val="000000"/>
                <w:sz w:val="26"/>
                <w:szCs w:val="26"/>
              </w:rPr>
            </w:pPr>
            <w:r w:rsidRPr="00FA2E37">
              <w:rPr>
                <w:color w:val="000000"/>
                <w:sz w:val="26"/>
                <w:szCs w:val="26"/>
              </w:rPr>
              <w:t>176,731,737</w:t>
            </w:r>
          </w:p>
        </w:tc>
        <w:tc>
          <w:tcPr>
            <w:tcW w:w="1600" w:type="dxa"/>
            <w:vAlign w:val="center"/>
          </w:tcPr>
          <w:p w:rsidR="00FA2E37" w:rsidRPr="00FA2E37" w:rsidRDefault="00FA2E37" w:rsidP="00FA2E37">
            <w:pPr>
              <w:jc w:val="right"/>
              <w:rPr>
                <w:color w:val="000000"/>
                <w:sz w:val="26"/>
                <w:szCs w:val="26"/>
              </w:rPr>
            </w:pPr>
            <w:r w:rsidRPr="00FA2E37">
              <w:rPr>
                <w:color w:val="000000"/>
                <w:sz w:val="26"/>
                <w:szCs w:val="26"/>
              </w:rPr>
              <w:t>164,518,736</w:t>
            </w:r>
          </w:p>
        </w:tc>
      </w:tr>
      <w:tr w:rsidR="00FA2E37" w:rsidRPr="00BB4352" w:rsidTr="00BC13CF">
        <w:trPr>
          <w:trHeight w:val="567"/>
        </w:trPr>
        <w:tc>
          <w:tcPr>
            <w:tcW w:w="1600" w:type="dxa"/>
          </w:tcPr>
          <w:p w:rsidR="00FA2E37" w:rsidRDefault="00FA2E37" w:rsidP="00965AF0">
            <w:pPr>
              <w:spacing w:beforeLines="25" w:before="60" w:afterLines="25" w:after="60"/>
              <w:jc w:val="center"/>
              <w:rPr>
                <w:rFonts w:eastAsia="標楷體"/>
                <w:sz w:val="26"/>
                <w:szCs w:val="26"/>
              </w:rPr>
            </w:pPr>
            <w:r w:rsidRPr="0079071A">
              <w:rPr>
                <w:rFonts w:eastAsia="標楷體" w:hint="eastAsia"/>
                <w:sz w:val="26"/>
                <w:szCs w:val="26"/>
              </w:rPr>
              <w:t>營業費用</w:t>
            </w:r>
          </w:p>
        </w:tc>
        <w:tc>
          <w:tcPr>
            <w:tcW w:w="1600" w:type="dxa"/>
            <w:vAlign w:val="center"/>
          </w:tcPr>
          <w:p w:rsidR="00FA2E37" w:rsidDel="00D923B3" w:rsidRDefault="00FA2E37" w:rsidP="00F6367F">
            <w:pPr>
              <w:jc w:val="right"/>
              <w:rPr>
                <w:sz w:val="26"/>
                <w:szCs w:val="26"/>
              </w:rPr>
            </w:pPr>
            <w:r>
              <w:rPr>
                <w:color w:val="000000"/>
                <w:sz w:val="26"/>
                <w:szCs w:val="26"/>
              </w:rPr>
              <w:t>105,386,210</w:t>
            </w:r>
          </w:p>
        </w:tc>
        <w:tc>
          <w:tcPr>
            <w:tcW w:w="1600" w:type="dxa"/>
            <w:vAlign w:val="center"/>
          </w:tcPr>
          <w:p w:rsidR="00FA2E37" w:rsidRDefault="00FA2E37" w:rsidP="00F6367F">
            <w:pPr>
              <w:jc w:val="right"/>
              <w:rPr>
                <w:sz w:val="26"/>
                <w:szCs w:val="26"/>
              </w:rPr>
            </w:pPr>
            <w:r>
              <w:rPr>
                <w:color w:val="000000"/>
                <w:sz w:val="26"/>
                <w:szCs w:val="26"/>
              </w:rPr>
              <w:t>107,832,110</w:t>
            </w:r>
          </w:p>
        </w:tc>
        <w:tc>
          <w:tcPr>
            <w:tcW w:w="1600" w:type="dxa"/>
            <w:vAlign w:val="center"/>
          </w:tcPr>
          <w:p w:rsidR="00FA2E37" w:rsidRPr="00FA2E37" w:rsidRDefault="00FA2E37" w:rsidP="00FA2E37">
            <w:pPr>
              <w:jc w:val="right"/>
              <w:rPr>
                <w:color w:val="000000"/>
                <w:sz w:val="26"/>
                <w:szCs w:val="26"/>
              </w:rPr>
            </w:pPr>
            <w:r w:rsidRPr="00FA2E37">
              <w:rPr>
                <w:color w:val="000000"/>
                <w:sz w:val="26"/>
                <w:szCs w:val="26"/>
              </w:rPr>
              <w:t>109,147,140</w:t>
            </w:r>
          </w:p>
        </w:tc>
        <w:tc>
          <w:tcPr>
            <w:tcW w:w="1600" w:type="dxa"/>
            <w:vAlign w:val="center"/>
          </w:tcPr>
          <w:p w:rsidR="00FA2E37" w:rsidRPr="00FA2E37" w:rsidRDefault="00FA2E37" w:rsidP="00FA2E37">
            <w:pPr>
              <w:jc w:val="right"/>
              <w:rPr>
                <w:color w:val="000000"/>
                <w:sz w:val="26"/>
                <w:szCs w:val="26"/>
              </w:rPr>
            </w:pPr>
            <w:r w:rsidRPr="00FA2E37">
              <w:rPr>
                <w:color w:val="000000"/>
                <w:sz w:val="26"/>
                <w:szCs w:val="26"/>
              </w:rPr>
              <w:t>107,455,153</w:t>
            </w:r>
          </w:p>
        </w:tc>
      </w:tr>
      <w:tr w:rsidR="00FA2E37" w:rsidRPr="00BB4352" w:rsidTr="00BC13CF">
        <w:trPr>
          <w:trHeight w:val="567"/>
        </w:trPr>
        <w:tc>
          <w:tcPr>
            <w:tcW w:w="1600" w:type="dxa"/>
            <w:vAlign w:val="center"/>
          </w:tcPr>
          <w:p w:rsidR="00FA2E37" w:rsidRDefault="00FA2E37" w:rsidP="00965AF0">
            <w:pPr>
              <w:spacing w:beforeLines="25" w:before="60" w:afterLines="25" w:after="60"/>
              <w:jc w:val="center"/>
              <w:rPr>
                <w:rFonts w:eastAsia="標楷體"/>
                <w:sz w:val="26"/>
                <w:szCs w:val="26"/>
              </w:rPr>
            </w:pPr>
            <w:r w:rsidRPr="0079071A">
              <w:rPr>
                <w:rFonts w:eastAsia="標楷體" w:hint="eastAsia"/>
                <w:sz w:val="26"/>
                <w:szCs w:val="26"/>
              </w:rPr>
              <w:t>營業淨利</w:t>
            </w:r>
          </w:p>
        </w:tc>
        <w:tc>
          <w:tcPr>
            <w:tcW w:w="1600" w:type="dxa"/>
            <w:vAlign w:val="center"/>
          </w:tcPr>
          <w:p w:rsidR="00FA2E37" w:rsidDel="00D923B3" w:rsidRDefault="00FA2E37" w:rsidP="00F6367F">
            <w:pPr>
              <w:jc w:val="right"/>
              <w:rPr>
                <w:sz w:val="26"/>
                <w:szCs w:val="26"/>
              </w:rPr>
            </w:pPr>
            <w:r>
              <w:rPr>
                <w:color w:val="000000"/>
                <w:sz w:val="26"/>
                <w:szCs w:val="26"/>
              </w:rPr>
              <w:t>55,815,228</w:t>
            </w:r>
          </w:p>
        </w:tc>
        <w:tc>
          <w:tcPr>
            <w:tcW w:w="1600" w:type="dxa"/>
            <w:vAlign w:val="center"/>
          </w:tcPr>
          <w:p w:rsidR="00FA2E37" w:rsidRDefault="00FA2E37" w:rsidP="00F6367F">
            <w:pPr>
              <w:jc w:val="right"/>
              <w:rPr>
                <w:sz w:val="26"/>
                <w:szCs w:val="26"/>
              </w:rPr>
            </w:pPr>
            <w:r>
              <w:rPr>
                <w:color w:val="000000"/>
                <w:sz w:val="26"/>
                <w:szCs w:val="26"/>
              </w:rPr>
              <w:t>47,790,924</w:t>
            </w:r>
          </w:p>
        </w:tc>
        <w:tc>
          <w:tcPr>
            <w:tcW w:w="1600" w:type="dxa"/>
            <w:vAlign w:val="center"/>
          </w:tcPr>
          <w:p w:rsidR="00FA2E37" w:rsidRPr="00FA2E37" w:rsidRDefault="00FA2E37" w:rsidP="00FA2E37">
            <w:pPr>
              <w:jc w:val="right"/>
              <w:rPr>
                <w:color w:val="000000"/>
                <w:sz w:val="26"/>
                <w:szCs w:val="26"/>
              </w:rPr>
            </w:pPr>
            <w:r w:rsidRPr="00FA2E37">
              <w:rPr>
                <w:color w:val="000000"/>
                <w:sz w:val="26"/>
                <w:szCs w:val="26"/>
              </w:rPr>
              <w:t>67,584,597</w:t>
            </w:r>
          </w:p>
        </w:tc>
        <w:tc>
          <w:tcPr>
            <w:tcW w:w="1600" w:type="dxa"/>
            <w:vAlign w:val="center"/>
          </w:tcPr>
          <w:p w:rsidR="00FA2E37" w:rsidRPr="00FA2E37" w:rsidRDefault="00FA2E37" w:rsidP="00FA2E37">
            <w:pPr>
              <w:jc w:val="right"/>
              <w:rPr>
                <w:color w:val="000000"/>
                <w:sz w:val="26"/>
                <w:szCs w:val="26"/>
              </w:rPr>
            </w:pPr>
            <w:r w:rsidRPr="00FA2E37">
              <w:rPr>
                <w:color w:val="000000"/>
                <w:sz w:val="26"/>
                <w:szCs w:val="26"/>
              </w:rPr>
              <w:t>57,063,583</w:t>
            </w:r>
          </w:p>
        </w:tc>
      </w:tr>
      <w:tr w:rsidR="00FA2E37" w:rsidRPr="00BB4352" w:rsidTr="00BC13CF">
        <w:trPr>
          <w:trHeight w:val="567"/>
        </w:trPr>
        <w:tc>
          <w:tcPr>
            <w:tcW w:w="1600" w:type="dxa"/>
            <w:vAlign w:val="center"/>
          </w:tcPr>
          <w:p w:rsidR="00FA2E37" w:rsidRDefault="00FA2E37" w:rsidP="00965AF0">
            <w:pPr>
              <w:spacing w:beforeLines="25" w:before="60" w:afterLines="25" w:after="60"/>
              <w:jc w:val="center"/>
              <w:rPr>
                <w:rFonts w:eastAsia="標楷體"/>
                <w:sz w:val="26"/>
                <w:szCs w:val="26"/>
              </w:rPr>
            </w:pPr>
            <w:r w:rsidRPr="0079071A">
              <w:rPr>
                <w:rFonts w:eastAsia="標楷體" w:hint="eastAsia"/>
                <w:sz w:val="26"/>
                <w:szCs w:val="26"/>
              </w:rPr>
              <w:t>貝里比率</w:t>
            </w:r>
          </w:p>
        </w:tc>
        <w:tc>
          <w:tcPr>
            <w:tcW w:w="1600" w:type="dxa"/>
            <w:vAlign w:val="center"/>
          </w:tcPr>
          <w:p w:rsidR="00FA2E37" w:rsidDel="00D923B3" w:rsidRDefault="00FA2E37" w:rsidP="00F6367F">
            <w:pPr>
              <w:jc w:val="right"/>
              <w:rPr>
                <w:sz w:val="26"/>
                <w:szCs w:val="26"/>
              </w:rPr>
            </w:pPr>
            <w:r>
              <w:rPr>
                <w:color w:val="000000"/>
              </w:rPr>
              <w:t>152.96%</w:t>
            </w:r>
          </w:p>
        </w:tc>
        <w:tc>
          <w:tcPr>
            <w:tcW w:w="1600" w:type="dxa"/>
            <w:vAlign w:val="center"/>
          </w:tcPr>
          <w:p w:rsidR="00FA2E37" w:rsidRDefault="00FA2E37" w:rsidP="00F6367F">
            <w:pPr>
              <w:jc w:val="right"/>
              <w:rPr>
                <w:sz w:val="26"/>
                <w:szCs w:val="26"/>
              </w:rPr>
            </w:pPr>
            <w:r>
              <w:rPr>
                <w:color w:val="000000"/>
              </w:rPr>
              <w:t>144.32%</w:t>
            </w:r>
          </w:p>
        </w:tc>
        <w:tc>
          <w:tcPr>
            <w:tcW w:w="1600" w:type="dxa"/>
            <w:vAlign w:val="center"/>
          </w:tcPr>
          <w:p w:rsidR="00FA2E37" w:rsidRPr="00FA2E37" w:rsidRDefault="00FA2E37" w:rsidP="00FA2E37">
            <w:pPr>
              <w:jc w:val="right"/>
              <w:rPr>
                <w:color w:val="000000"/>
                <w:sz w:val="26"/>
                <w:szCs w:val="26"/>
              </w:rPr>
            </w:pPr>
            <w:r w:rsidRPr="00FA2E37">
              <w:rPr>
                <w:color w:val="000000"/>
                <w:sz w:val="26"/>
                <w:szCs w:val="26"/>
              </w:rPr>
              <w:t>161.92%</w:t>
            </w:r>
          </w:p>
        </w:tc>
        <w:tc>
          <w:tcPr>
            <w:tcW w:w="1600" w:type="dxa"/>
            <w:vAlign w:val="center"/>
          </w:tcPr>
          <w:p w:rsidR="00FA2E37" w:rsidRPr="00FA2E37" w:rsidRDefault="00FA2E37" w:rsidP="00FA2E37">
            <w:pPr>
              <w:jc w:val="right"/>
              <w:rPr>
                <w:color w:val="000000"/>
                <w:sz w:val="26"/>
                <w:szCs w:val="26"/>
              </w:rPr>
            </w:pPr>
            <w:r w:rsidRPr="00FA2E37">
              <w:rPr>
                <w:color w:val="000000"/>
                <w:sz w:val="26"/>
                <w:szCs w:val="26"/>
              </w:rPr>
              <w:t>153.10%</w:t>
            </w:r>
          </w:p>
        </w:tc>
      </w:tr>
    </w:tbl>
    <w:p w:rsidR="0032590C" w:rsidRDefault="003F0E27" w:rsidP="00965AF0">
      <w:pPr>
        <w:pStyle w:val="2"/>
        <w:numPr>
          <w:ilvl w:val="0"/>
          <w:numId w:val="58"/>
        </w:numPr>
        <w:tabs>
          <w:tab w:val="left" w:pos="756"/>
        </w:tabs>
        <w:spacing w:beforeLines="100" w:before="240" w:afterLines="100" w:after="240" w:line="360" w:lineRule="auto"/>
        <w:ind w:left="238" w:firstLine="0"/>
        <w:rPr>
          <w:rFonts w:ascii="Times New Roman" w:eastAsia="標楷體" w:hAnsi="Times New Roman"/>
          <w:sz w:val="36"/>
          <w:szCs w:val="40"/>
        </w:rPr>
      </w:pPr>
      <w:r w:rsidRPr="001B7B19">
        <w:rPr>
          <w:rFonts w:ascii="Times New Roman" w:eastAsia="標楷體" w:hAnsi="Times New Roman"/>
          <w:sz w:val="36"/>
          <w:szCs w:val="40"/>
        </w:rPr>
        <w:lastRenderedPageBreak/>
        <w:t>評估受控交易</w:t>
      </w:r>
      <w:r w:rsidRPr="001B7B19">
        <w:rPr>
          <w:rFonts w:ascii="Times New Roman" w:eastAsia="標楷體" w:hAnsi="Times New Roman" w:hint="eastAsia"/>
          <w:sz w:val="36"/>
          <w:szCs w:val="40"/>
        </w:rPr>
        <w:t>之常規交易</w:t>
      </w:r>
      <w:r w:rsidRPr="001B7B19">
        <w:rPr>
          <w:rFonts w:ascii="Times New Roman" w:eastAsia="標楷體" w:hAnsi="Times New Roman"/>
          <w:sz w:val="36"/>
          <w:szCs w:val="40"/>
        </w:rPr>
        <w:t>結果</w:t>
      </w:r>
    </w:p>
    <w:p w:rsidR="0032590C" w:rsidRDefault="003F0E27" w:rsidP="00965AF0">
      <w:pPr>
        <w:numPr>
          <w:ilvl w:val="0"/>
          <w:numId w:val="59"/>
        </w:numPr>
        <w:tabs>
          <w:tab w:val="left" w:pos="1134"/>
        </w:tabs>
        <w:spacing w:beforeLines="50" w:before="120" w:afterLines="50" w:after="120" w:line="360" w:lineRule="auto"/>
        <w:jc w:val="both"/>
        <w:rPr>
          <w:rFonts w:eastAsia="標楷體"/>
          <w:b/>
          <w:sz w:val="32"/>
          <w:szCs w:val="32"/>
        </w:rPr>
      </w:pPr>
      <w:r w:rsidRPr="003F0E27">
        <w:rPr>
          <w:rFonts w:eastAsia="標楷體" w:hAnsi="Arial"/>
          <w:b/>
          <w:bCs/>
          <w:sz w:val="32"/>
          <w:szCs w:val="36"/>
        </w:rPr>
        <w:t>『有形資產之移轉－進貨』及『服務之提供－提供產</w:t>
      </w:r>
      <w:r w:rsidRPr="00980DC8">
        <w:rPr>
          <w:rFonts w:eastAsia="標楷體" w:hAnsi="標楷體"/>
          <w:b/>
          <w:sz w:val="32"/>
          <w:szCs w:val="26"/>
        </w:rPr>
        <w:t>品服務』</w:t>
      </w:r>
    </w:p>
    <w:p w:rsidR="00DC4ACB" w:rsidRPr="00DC4ACB" w:rsidRDefault="00DC4ACB" w:rsidP="00965AF0">
      <w:pPr>
        <w:spacing w:beforeLines="50" w:before="120" w:afterLines="50" w:after="120" w:line="360" w:lineRule="auto"/>
        <w:ind w:leftChars="200" w:left="480" w:firstLineChars="200" w:firstLine="520"/>
        <w:jc w:val="both"/>
        <w:rPr>
          <w:rFonts w:eastAsia="標楷體"/>
          <w:color w:val="000000" w:themeColor="text1"/>
          <w:sz w:val="26"/>
          <w:szCs w:val="26"/>
        </w:rPr>
      </w:pPr>
      <w:r w:rsidRPr="00DC4ACB">
        <w:rPr>
          <w:rFonts w:eastAsia="標楷體" w:hint="eastAsia"/>
          <w:color w:val="000000" w:themeColor="text1"/>
          <w:sz w:val="26"/>
          <w:szCs w:val="26"/>
        </w:rPr>
        <w:t>太克科技</w:t>
      </w:r>
      <w:r w:rsidRPr="00DC4ACB">
        <w:rPr>
          <w:rFonts w:eastAsia="標楷體"/>
          <w:color w:val="000000" w:themeColor="text1"/>
          <w:sz w:val="26"/>
          <w:szCs w:val="26"/>
        </w:rPr>
        <w:t>10</w:t>
      </w:r>
      <w:r w:rsidR="008C249A">
        <w:rPr>
          <w:rFonts w:eastAsia="標楷體" w:hint="eastAsia"/>
          <w:color w:val="000000" w:themeColor="text1"/>
          <w:sz w:val="26"/>
          <w:szCs w:val="26"/>
        </w:rPr>
        <w:t>3</w:t>
      </w:r>
      <w:r w:rsidRPr="00DC4ACB">
        <w:rPr>
          <w:rFonts w:eastAsia="標楷體" w:hint="eastAsia"/>
          <w:color w:val="000000" w:themeColor="text1"/>
          <w:sz w:val="26"/>
          <w:szCs w:val="26"/>
        </w:rPr>
        <w:t>～</w:t>
      </w:r>
      <w:r w:rsidRPr="00DC4ACB">
        <w:rPr>
          <w:rFonts w:eastAsia="標楷體"/>
          <w:color w:val="000000" w:themeColor="text1"/>
          <w:sz w:val="26"/>
          <w:szCs w:val="26"/>
        </w:rPr>
        <w:t>10</w:t>
      </w:r>
      <w:r w:rsidR="008C249A">
        <w:rPr>
          <w:rFonts w:eastAsia="標楷體" w:hint="eastAsia"/>
          <w:color w:val="000000" w:themeColor="text1"/>
          <w:sz w:val="26"/>
          <w:szCs w:val="26"/>
        </w:rPr>
        <w:t>5</w:t>
      </w:r>
      <w:r w:rsidRPr="00DC4ACB">
        <w:rPr>
          <w:rFonts w:eastAsia="標楷體" w:hint="eastAsia"/>
          <w:color w:val="000000" w:themeColor="text1"/>
          <w:sz w:val="26"/>
          <w:szCs w:val="26"/>
        </w:rPr>
        <w:t>年度進貨及提供產品服務受控交易，平均賺得貝里比率</w:t>
      </w:r>
      <w:r w:rsidR="00FA2E37" w:rsidRPr="00FA2E37">
        <w:rPr>
          <w:color w:val="000000"/>
          <w:sz w:val="26"/>
          <w:szCs w:val="26"/>
        </w:rPr>
        <w:t>153.10%</w:t>
      </w:r>
      <w:r w:rsidRPr="00DC4ACB">
        <w:rPr>
          <w:rFonts w:eastAsia="標楷體" w:hint="eastAsia"/>
          <w:color w:val="000000" w:themeColor="text1"/>
          <w:sz w:val="26"/>
          <w:szCs w:val="26"/>
        </w:rPr>
        <w:t>，高於</w:t>
      </w:r>
      <w:r w:rsidRPr="00DC4ACB">
        <w:rPr>
          <w:rFonts w:eastAsia="標楷體"/>
          <w:color w:val="000000" w:themeColor="text1"/>
          <w:sz w:val="26"/>
          <w:szCs w:val="26"/>
        </w:rPr>
        <w:t>ONESOURCE</w:t>
      </w:r>
      <w:r w:rsidRPr="00DC4ACB">
        <w:rPr>
          <w:rFonts w:eastAsia="標楷體" w:hint="eastAsia"/>
          <w:color w:val="000000" w:themeColor="text1"/>
          <w:sz w:val="26"/>
          <w:szCs w:val="26"/>
        </w:rPr>
        <w:t>資料庫所選之可比較對象常規交易範圍</w:t>
      </w:r>
      <w:r w:rsidRPr="00DC4ACB">
        <w:rPr>
          <w:rFonts w:eastAsia="標楷體"/>
          <w:color w:val="000000" w:themeColor="text1"/>
          <w:sz w:val="26"/>
          <w:szCs w:val="26"/>
        </w:rPr>
        <w:t>11</w:t>
      </w:r>
      <w:r w:rsidR="00A70357">
        <w:rPr>
          <w:rFonts w:eastAsia="標楷體" w:hint="eastAsia"/>
          <w:color w:val="000000" w:themeColor="text1"/>
          <w:sz w:val="26"/>
          <w:szCs w:val="26"/>
        </w:rPr>
        <w:t>7</w:t>
      </w:r>
      <w:r w:rsidRPr="00DC4ACB">
        <w:rPr>
          <w:rFonts w:eastAsia="標楷體"/>
          <w:color w:val="000000" w:themeColor="text1"/>
          <w:sz w:val="26"/>
          <w:szCs w:val="26"/>
        </w:rPr>
        <w:t>.</w:t>
      </w:r>
      <w:r w:rsidR="00A70357">
        <w:rPr>
          <w:rFonts w:eastAsia="標楷體" w:hint="eastAsia"/>
          <w:color w:val="000000" w:themeColor="text1"/>
          <w:sz w:val="26"/>
          <w:szCs w:val="26"/>
        </w:rPr>
        <w:t>15</w:t>
      </w:r>
      <w:r w:rsidRPr="00DC4ACB">
        <w:rPr>
          <w:rFonts w:eastAsia="標楷體"/>
          <w:color w:val="000000" w:themeColor="text1"/>
          <w:sz w:val="26"/>
          <w:szCs w:val="26"/>
        </w:rPr>
        <w:t>%</w:t>
      </w:r>
      <w:r w:rsidRPr="00DC4ACB">
        <w:rPr>
          <w:rFonts w:eastAsia="標楷體" w:hint="eastAsia"/>
          <w:color w:val="000000" w:themeColor="text1"/>
          <w:sz w:val="26"/>
          <w:szCs w:val="26"/>
        </w:rPr>
        <w:t>～</w:t>
      </w:r>
      <w:r w:rsidRPr="00DC4ACB">
        <w:rPr>
          <w:rFonts w:eastAsia="標楷體"/>
          <w:color w:val="000000" w:themeColor="text1"/>
          <w:sz w:val="26"/>
          <w:szCs w:val="26"/>
        </w:rPr>
        <w:t>133.</w:t>
      </w:r>
      <w:r w:rsidR="00A70357">
        <w:rPr>
          <w:rFonts w:eastAsia="標楷體" w:hint="eastAsia"/>
          <w:color w:val="000000" w:themeColor="text1"/>
          <w:sz w:val="26"/>
          <w:szCs w:val="26"/>
        </w:rPr>
        <w:t>89</w:t>
      </w:r>
      <w:r w:rsidRPr="00DC4ACB">
        <w:rPr>
          <w:rFonts w:eastAsia="標楷體"/>
          <w:color w:val="000000" w:themeColor="text1"/>
          <w:sz w:val="26"/>
          <w:szCs w:val="26"/>
        </w:rPr>
        <w:t>%</w:t>
      </w:r>
      <w:r w:rsidRPr="00DC4ACB">
        <w:rPr>
          <w:rFonts w:eastAsia="標楷體" w:hint="eastAsia"/>
          <w:color w:val="000000" w:themeColor="text1"/>
          <w:sz w:val="26"/>
          <w:szCs w:val="26"/>
        </w:rPr>
        <w:t>上分位數，推論太克科技</w:t>
      </w:r>
      <w:r w:rsidRPr="00DC4ACB">
        <w:rPr>
          <w:rFonts w:eastAsia="標楷體"/>
          <w:color w:val="000000" w:themeColor="text1"/>
          <w:sz w:val="26"/>
          <w:szCs w:val="26"/>
        </w:rPr>
        <w:t>10</w:t>
      </w:r>
      <w:r w:rsidR="00FA2E37">
        <w:rPr>
          <w:rFonts w:eastAsia="標楷體" w:hint="eastAsia"/>
          <w:color w:val="000000" w:themeColor="text1"/>
          <w:sz w:val="26"/>
          <w:szCs w:val="26"/>
        </w:rPr>
        <w:t>5</w:t>
      </w:r>
      <w:r w:rsidRPr="00DC4ACB">
        <w:rPr>
          <w:rFonts w:eastAsia="標楷體" w:hint="eastAsia"/>
          <w:color w:val="000000" w:themeColor="text1"/>
          <w:sz w:val="26"/>
          <w:szCs w:val="26"/>
        </w:rPr>
        <w:t>年度該受控交易無須為稅務上之調整。</w:t>
      </w:r>
    </w:p>
    <w:p w:rsidR="00461376" w:rsidRPr="00A70357" w:rsidRDefault="00461376" w:rsidP="00965AF0">
      <w:pPr>
        <w:spacing w:beforeLines="50" w:before="120" w:afterLines="50" w:after="120" w:line="360" w:lineRule="auto"/>
        <w:ind w:firstLineChars="200" w:firstLine="520"/>
        <w:jc w:val="both"/>
        <w:rPr>
          <w:rFonts w:eastAsia="標楷體"/>
          <w:sz w:val="26"/>
          <w:szCs w:val="26"/>
        </w:rPr>
        <w:sectPr w:rsidR="00461376" w:rsidRPr="00A70357" w:rsidSect="00DD5AB2">
          <w:headerReference w:type="even" r:id="rId40"/>
          <w:headerReference w:type="default" r:id="rId41"/>
          <w:footerReference w:type="even" r:id="rId42"/>
          <w:footerReference w:type="default" r:id="rId43"/>
          <w:headerReference w:type="first" r:id="rId44"/>
          <w:type w:val="oddPage"/>
          <w:pgSz w:w="11906" w:h="16838" w:code="9"/>
          <w:pgMar w:top="2160" w:right="1440" w:bottom="1814" w:left="1440" w:header="851" w:footer="567" w:gutter="567"/>
          <w:cols w:space="425"/>
          <w:docGrid w:linePitch="360"/>
        </w:sectPr>
      </w:pPr>
    </w:p>
    <w:bookmarkStart w:id="119" w:name="_Toc253154523"/>
    <w:bookmarkStart w:id="120" w:name="_Toc253154591"/>
    <w:bookmarkStart w:id="121" w:name="_Toc272326022"/>
    <w:bookmarkStart w:id="122" w:name="_Toc272326650"/>
    <w:bookmarkStart w:id="123" w:name="_Toc272326829"/>
    <w:bookmarkStart w:id="124" w:name="_Toc275960662"/>
    <w:bookmarkStart w:id="125" w:name="_Toc389223552"/>
    <w:bookmarkStart w:id="126" w:name="_Toc129593080"/>
    <w:bookmarkStart w:id="127" w:name="_Toc129631001"/>
    <w:bookmarkStart w:id="128" w:name="_Toc137897625"/>
    <w:bookmarkEnd w:id="118"/>
    <w:p w:rsidR="002D5297" w:rsidRPr="00EA272E" w:rsidRDefault="00965AF0" w:rsidP="002D5297">
      <w:pPr>
        <w:pStyle w:val="1"/>
        <w:numPr>
          <w:ilvl w:val="0"/>
          <w:numId w:val="0"/>
        </w:numPr>
        <w:spacing w:before="0" w:after="0" w:line="240" w:lineRule="auto"/>
        <w:jc w:val="right"/>
        <w:rPr>
          <w:rFonts w:ascii="Times New Roman" w:eastAsia="標楷體" w:hAnsi="Times New Roman"/>
          <w:sz w:val="48"/>
          <w:szCs w:val="48"/>
        </w:rPr>
      </w:pPr>
      <w:r>
        <w:rPr>
          <w:rFonts w:ascii="Times New Roman" w:eastAsia="標楷體" w:hAnsi="Times New Roman"/>
          <w:noProof/>
          <w:sz w:val="48"/>
          <w:szCs w:val="48"/>
        </w:rPr>
        <w:lastRenderedPageBreak/>
        <mc:AlternateContent>
          <mc:Choice Requires="wps">
            <w:drawing>
              <wp:anchor distT="0" distB="0" distL="114300" distR="114300" simplePos="0" relativeHeight="251660800" behindDoc="0" locked="0" layoutInCell="1" allowOverlap="1">
                <wp:simplePos x="0" y="0"/>
                <wp:positionH relativeFrom="column">
                  <wp:posOffset>4657725</wp:posOffset>
                </wp:positionH>
                <wp:positionV relativeFrom="paragraph">
                  <wp:posOffset>0</wp:posOffset>
                </wp:positionV>
                <wp:extent cx="720090" cy="720090"/>
                <wp:effectExtent l="9525" t="9525" r="13335" b="13335"/>
                <wp:wrapNone/>
                <wp:docPr id="7"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720090"/>
                        </a:xfrm>
                        <a:prstGeom prst="rect">
                          <a:avLst/>
                        </a:prstGeom>
                        <a:solidFill>
                          <a:srgbClr val="FFFFFF"/>
                        </a:solidFill>
                        <a:ln w="9525">
                          <a:solidFill>
                            <a:srgbClr val="000000"/>
                          </a:solidFill>
                          <a:miter lim="800000"/>
                          <a:headEnd/>
                          <a:tailEnd/>
                        </a:ln>
                      </wps:spPr>
                      <wps:txbx>
                        <w:txbxContent>
                          <w:p w:rsidR="004864D6" w:rsidRPr="00ED5643" w:rsidRDefault="004864D6"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0" o:spid="_x0000_s1132" type="#_x0000_t202" style="position:absolute;left:0;text-align:left;margin-left:366.75pt;margin-top:0;width:56.7pt;height:56.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">
                <v:textbox>
                  <w:txbxContent>
                    <w:p w:rsidR="004864D6" w:rsidRPr="00ED5643" w:rsidRDefault="004864D6" w:rsidP="00ED5643">
                      <w:pPr>
                        <w:jc w:val="center"/>
                        <w:rPr>
                          <w:rFonts w:ascii="微軟正黑體" w:eastAsia="微軟正黑體" w:hAnsi="微軟正黑體"/>
                          <w:sz w:val="28"/>
                        </w:rPr>
                      </w:pPr>
                      <w:r w:rsidRPr="00ED5643">
                        <w:rPr>
                          <w:rFonts w:ascii="微軟正黑體" w:eastAsia="微軟正黑體" w:hAnsi="微軟正黑體" w:hint="eastAsia"/>
                          <w:b/>
                          <w:sz w:val="56"/>
                          <w:szCs w:val="52"/>
                        </w:rPr>
                        <w:t>Ⅹ</w:t>
                      </w:r>
                    </w:p>
                  </w:txbxContent>
                </v:textbox>
              </v:shape>
            </w:pict>
          </mc:Fallback>
        </mc:AlternateContent>
      </w:r>
      <w:bookmarkEnd w:id="119"/>
      <w:bookmarkEnd w:id="120"/>
      <w:bookmarkEnd w:id="121"/>
      <w:bookmarkEnd w:id="122"/>
      <w:bookmarkEnd w:id="123"/>
      <w:bookmarkEnd w:id="124"/>
      <w:bookmarkEnd w:id="125"/>
    </w:p>
    <w:p w:rsidR="002D5297" w:rsidRPr="00EA272E" w:rsidRDefault="002D5297" w:rsidP="002D5297">
      <w:pPr>
        <w:jc w:val="right"/>
        <w:rPr>
          <w:rFonts w:eastAsia="標楷體"/>
        </w:rPr>
      </w:pPr>
    </w:p>
    <w:p w:rsidR="002D5297" w:rsidRPr="00EA272E" w:rsidRDefault="002D5297" w:rsidP="002D5297">
      <w:pPr>
        <w:jc w:val="right"/>
        <w:rPr>
          <w:rFonts w:eastAsia="標楷體"/>
        </w:rPr>
      </w:pPr>
    </w:p>
    <w:p w:rsidR="00567251" w:rsidRPr="00EA272E" w:rsidRDefault="00567251" w:rsidP="002D5297">
      <w:pPr>
        <w:pStyle w:val="1"/>
        <w:spacing w:before="100" w:beforeAutospacing="1" w:after="100" w:afterAutospacing="1" w:line="360" w:lineRule="auto"/>
        <w:ind w:left="0" w:firstLine="0"/>
        <w:jc w:val="right"/>
        <w:rPr>
          <w:rFonts w:ascii="Times New Roman" w:eastAsia="標楷體" w:hAnsi="Times New Roman"/>
          <w:sz w:val="56"/>
          <w:szCs w:val="56"/>
        </w:rPr>
      </w:pPr>
      <w:bookmarkStart w:id="129" w:name="_Toc389223553"/>
      <w:r w:rsidRPr="00EA272E">
        <w:rPr>
          <w:rFonts w:ascii="Times New Roman" w:eastAsia="標楷體" w:hAnsi="Times New Roman"/>
          <w:sz w:val="56"/>
          <w:szCs w:val="56"/>
        </w:rPr>
        <w:t>結論</w:t>
      </w:r>
      <w:bookmarkEnd w:id="126"/>
      <w:bookmarkEnd w:id="127"/>
      <w:bookmarkEnd w:id="128"/>
      <w:bookmarkEnd w:id="129"/>
    </w:p>
    <w:p w:rsidR="00DC4ACB" w:rsidRDefault="00567251" w:rsidP="00965AF0">
      <w:pPr>
        <w:spacing w:before="100" w:beforeAutospacing="1" w:afterLines="50" w:after="120" w:line="360" w:lineRule="auto"/>
        <w:ind w:firstLineChars="200" w:firstLine="520"/>
        <w:rPr>
          <w:rFonts w:eastAsia="標楷體"/>
          <w:sz w:val="26"/>
          <w:szCs w:val="26"/>
        </w:rPr>
      </w:pPr>
      <w:r w:rsidRPr="006A6C88">
        <w:rPr>
          <w:rFonts w:eastAsia="標楷體"/>
          <w:sz w:val="26"/>
          <w:szCs w:val="26"/>
        </w:rPr>
        <w:t>本報告結論之正確性，端賴</w:t>
      </w:r>
      <w:r w:rsidR="00BA7C8C" w:rsidRPr="006A6C88">
        <w:rPr>
          <w:rFonts w:eastAsia="標楷體" w:hint="eastAsia"/>
          <w:sz w:val="26"/>
          <w:szCs w:val="26"/>
        </w:rPr>
        <w:t>太克科技</w:t>
      </w:r>
      <w:r w:rsidRPr="006A6C88">
        <w:rPr>
          <w:rFonts w:eastAsia="標楷體"/>
          <w:sz w:val="26"/>
          <w:szCs w:val="26"/>
        </w:rPr>
        <w:t>管理當局提供資料之正確性，以及本所對其與各關係企業間受控交易之充分瞭解而得致。</w:t>
      </w:r>
    </w:p>
    <w:p w:rsidR="00DC4ACB" w:rsidRDefault="0046339D" w:rsidP="00965AF0">
      <w:pPr>
        <w:spacing w:beforeLines="50" w:before="120" w:afterLines="50" w:after="120" w:line="360" w:lineRule="auto"/>
        <w:ind w:firstLineChars="200" w:firstLine="520"/>
        <w:rPr>
          <w:rFonts w:eastAsia="標楷體"/>
          <w:sz w:val="26"/>
          <w:szCs w:val="26"/>
        </w:rPr>
      </w:pPr>
      <w:r w:rsidRPr="006A6C88">
        <w:rPr>
          <w:rFonts w:eastAsia="標楷體"/>
          <w:sz w:val="26"/>
          <w:szCs w:val="26"/>
        </w:rPr>
        <w:t>本所</w:t>
      </w:r>
      <w:r w:rsidR="00AE3D3A" w:rsidRPr="006A6C88">
        <w:rPr>
          <w:rFonts w:eastAsia="標楷體" w:hint="eastAsia"/>
          <w:sz w:val="26"/>
          <w:szCs w:val="26"/>
        </w:rPr>
        <w:t>於本報告中</w:t>
      </w:r>
      <w:r w:rsidR="00AE3D3A" w:rsidRPr="006A6C88">
        <w:rPr>
          <w:rFonts w:eastAsia="標楷體"/>
          <w:sz w:val="26"/>
          <w:szCs w:val="26"/>
        </w:rPr>
        <w:t>採用</w:t>
      </w:r>
      <w:r w:rsidR="00AE3D3A" w:rsidRPr="006A6C88">
        <w:rPr>
          <w:rFonts w:eastAsia="標楷體" w:hint="eastAsia"/>
          <w:sz w:val="26"/>
          <w:szCs w:val="26"/>
        </w:rPr>
        <w:t>之</w:t>
      </w:r>
      <w:r w:rsidRPr="006A6C88">
        <w:rPr>
          <w:rFonts w:eastAsia="標楷體"/>
          <w:sz w:val="26"/>
          <w:szCs w:val="26"/>
        </w:rPr>
        <w:t>可比較對象皆</w:t>
      </w:r>
      <w:r w:rsidR="00567251" w:rsidRPr="006A6C88">
        <w:rPr>
          <w:rFonts w:eastAsia="標楷體"/>
          <w:sz w:val="26"/>
          <w:szCs w:val="26"/>
        </w:rPr>
        <w:t>來自獨立且可驗證之來源</w:t>
      </w:r>
      <w:r w:rsidR="008748A0" w:rsidRPr="006A6C88">
        <w:rPr>
          <w:rFonts w:eastAsia="標楷體"/>
          <w:sz w:val="26"/>
          <w:szCs w:val="26"/>
        </w:rPr>
        <w:t>，</w:t>
      </w:r>
      <w:r w:rsidR="002C775B" w:rsidRPr="006A6C88">
        <w:rPr>
          <w:rFonts w:eastAsia="標楷體" w:hint="eastAsia"/>
          <w:sz w:val="26"/>
          <w:szCs w:val="26"/>
        </w:rPr>
        <w:t>即取自『</w:t>
      </w:r>
      <w:r w:rsidR="00635042">
        <w:rPr>
          <w:rFonts w:eastAsia="標楷體" w:hint="eastAsia"/>
          <w:sz w:val="26"/>
          <w:szCs w:val="26"/>
        </w:rPr>
        <w:t>ONESOURCE</w:t>
      </w:r>
      <w:r w:rsidR="009C5C80" w:rsidRPr="006A6C88">
        <w:rPr>
          <w:rFonts w:eastAsia="標楷體" w:hint="eastAsia"/>
          <w:sz w:val="26"/>
          <w:szCs w:val="26"/>
        </w:rPr>
        <w:t>資料庫</w:t>
      </w:r>
      <w:r w:rsidR="002C775B" w:rsidRPr="006A6C88">
        <w:rPr>
          <w:rFonts w:eastAsia="標楷體" w:hint="eastAsia"/>
          <w:sz w:val="26"/>
          <w:szCs w:val="26"/>
        </w:rPr>
        <w:t>』</w:t>
      </w:r>
      <w:r w:rsidR="00A56FE8" w:rsidRPr="006A6C88">
        <w:rPr>
          <w:rFonts w:eastAsia="標楷體" w:hint="eastAsia"/>
          <w:sz w:val="26"/>
          <w:szCs w:val="26"/>
        </w:rPr>
        <w:t>之資料</w:t>
      </w:r>
      <w:r w:rsidR="00567251" w:rsidRPr="006A6C88">
        <w:rPr>
          <w:rFonts w:eastAsia="標楷體"/>
          <w:sz w:val="26"/>
          <w:szCs w:val="26"/>
        </w:rPr>
        <w:t>。</w:t>
      </w:r>
    </w:p>
    <w:p w:rsidR="00DC4ACB" w:rsidRDefault="00B5366E" w:rsidP="00965AF0">
      <w:pPr>
        <w:pStyle w:val="2"/>
        <w:numPr>
          <w:ilvl w:val="1"/>
          <w:numId w:val="31"/>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t>分析結果</w:t>
      </w:r>
    </w:p>
    <w:p w:rsidR="00DC4ACB" w:rsidRDefault="00B977D1" w:rsidP="00965AF0">
      <w:pPr>
        <w:pStyle w:val="3"/>
        <w:numPr>
          <w:ilvl w:val="0"/>
          <w:numId w:val="60"/>
        </w:numPr>
        <w:spacing w:beforeLines="50" w:before="120" w:afterLines="50" w:after="120" w:line="360" w:lineRule="auto"/>
        <w:jc w:val="both"/>
        <w:rPr>
          <w:rFonts w:ascii="Times New Roman" w:eastAsia="標楷體"/>
          <w:sz w:val="32"/>
        </w:rPr>
      </w:pPr>
      <w:r w:rsidRPr="00B977D1">
        <w:rPr>
          <w:rFonts w:ascii="Times New Roman" w:eastAsia="標楷體" w:hint="eastAsia"/>
          <w:sz w:val="32"/>
        </w:rPr>
        <w:t>『有形資產之移轉－進貨』及『服務之提供－提供產品服務』</w:t>
      </w:r>
    </w:p>
    <w:p w:rsidR="00DC4ACB" w:rsidRPr="00DC4ACB" w:rsidRDefault="002525AE" w:rsidP="00965AF0">
      <w:pPr>
        <w:spacing w:beforeLines="50" w:before="120" w:afterLines="50" w:after="120" w:line="360" w:lineRule="auto"/>
        <w:ind w:leftChars="200" w:left="480" w:firstLineChars="200" w:firstLine="520"/>
        <w:jc w:val="both"/>
        <w:rPr>
          <w:rFonts w:eastAsia="標楷體"/>
          <w:color w:val="000000" w:themeColor="text1"/>
          <w:sz w:val="26"/>
          <w:szCs w:val="26"/>
        </w:rPr>
      </w:pPr>
      <w:r w:rsidRPr="000E4C11">
        <w:rPr>
          <w:rFonts w:eastAsia="標楷體" w:hint="eastAsia"/>
          <w:sz w:val="26"/>
          <w:szCs w:val="26"/>
        </w:rPr>
        <w:t>本報告分析</w:t>
      </w:r>
      <w:r w:rsidR="00AD7EE2">
        <w:rPr>
          <w:rFonts w:eastAsia="標楷體" w:hint="eastAsia"/>
          <w:sz w:val="26"/>
          <w:szCs w:val="26"/>
        </w:rPr>
        <w:t>『有形資產之移轉－進貨』及『服務之提供－提供產品服務』受控交易，可比較利潤法為評估該受控交易之最適常規交易方法，以太克科技為受測個體。因進貨與提供產品服務交易具關聯特性，故將兩者合併進行分析。太克科技若能賺得與可比較對象相當之利潤，方可推論該受控交易</w:t>
      </w:r>
      <w:r w:rsidR="00DC4ACB" w:rsidRPr="00DC4ACB">
        <w:rPr>
          <w:rFonts w:eastAsia="標楷體" w:hint="eastAsia"/>
          <w:color w:val="000000" w:themeColor="text1"/>
          <w:sz w:val="26"/>
          <w:szCs w:val="26"/>
        </w:rPr>
        <w:t>未有不合常規之安排。</w:t>
      </w:r>
    </w:p>
    <w:p w:rsidR="00DC4ACB" w:rsidRPr="00DC4ACB" w:rsidRDefault="00DC4ACB" w:rsidP="00965AF0">
      <w:pPr>
        <w:spacing w:beforeLines="50" w:before="120" w:afterLines="50" w:after="120" w:line="360" w:lineRule="auto"/>
        <w:ind w:leftChars="200" w:left="480" w:firstLineChars="200" w:firstLine="520"/>
        <w:jc w:val="both"/>
        <w:rPr>
          <w:rFonts w:eastAsia="標楷體"/>
          <w:color w:val="000000" w:themeColor="text1"/>
          <w:sz w:val="26"/>
          <w:szCs w:val="26"/>
        </w:rPr>
      </w:pPr>
      <w:r w:rsidRPr="00DC4ACB">
        <w:rPr>
          <w:rFonts w:eastAsia="標楷體" w:hint="eastAsia"/>
          <w:color w:val="000000" w:themeColor="text1"/>
          <w:sz w:val="26"/>
          <w:szCs w:val="26"/>
        </w:rPr>
        <w:t>經分析，太克科技</w:t>
      </w:r>
      <w:r w:rsidRPr="00DC4ACB">
        <w:rPr>
          <w:rFonts w:eastAsia="標楷體"/>
          <w:color w:val="000000" w:themeColor="text1"/>
          <w:sz w:val="26"/>
          <w:szCs w:val="26"/>
        </w:rPr>
        <w:t>10</w:t>
      </w:r>
      <w:r w:rsidR="00FA2E37">
        <w:rPr>
          <w:rFonts w:eastAsia="標楷體" w:hint="eastAsia"/>
          <w:color w:val="000000" w:themeColor="text1"/>
          <w:sz w:val="26"/>
          <w:szCs w:val="26"/>
        </w:rPr>
        <w:t>3</w:t>
      </w:r>
      <w:r w:rsidRPr="00DC4ACB">
        <w:rPr>
          <w:rFonts w:eastAsia="標楷體" w:hint="eastAsia"/>
          <w:color w:val="000000" w:themeColor="text1"/>
          <w:sz w:val="26"/>
          <w:szCs w:val="26"/>
        </w:rPr>
        <w:t>～</w:t>
      </w:r>
      <w:r w:rsidRPr="00DC4ACB">
        <w:rPr>
          <w:rFonts w:eastAsia="標楷體"/>
          <w:color w:val="000000" w:themeColor="text1"/>
          <w:sz w:val="26"/>
          <w:szCs w:val="26"/>
        </w:rPr>
        <w:t>10</w:t>
      </w:r>
      <w:r w:rsidR="00FA2E37">
        <w:rPr>
          <w:rFonts w:eastAsia="標楷體" w:hint="eastAsia"/>
          <w:color w:val="000000" w:themeColor="text1"/>
          <w:sz w:val="26"/>
          <w:szCs w:val="26"/>
        </w:rPr>
        <w:t>5</w:t>
      </w:r>
      <w:r w:rsidRPr="00DC4ACB">
        <w:rPr>
          <w:rFonts w:eastAsia="標楷體" w:hint="eastAsia"/>
          <w:color w:val="000000" w:themeColor="text1"/>
          <w:sz w:val="26"/>
          <w:szCs w:val="26"/>
        </w:rPr>
        <w:t>年度進貨及提供產品服務受控交易，平均賺得貝里比率</w:t>
      </w:r>
      <w:r w:rsidR="00FA2E37" w:rsidRPr="00FA2E37">
        <w:rPr>
          <w:color w:val="000000"/>
          <w:sz w:val="26"/>
          <w:szCs w:val="26"/>
        </w:rPr>
        <w:t>153.10%</w:t>
      </w:r>
      <w:r w:rsidRPr="00DC4ACB">
        <w:rPr>
          <w:rFonts w:eastAsia="標楷體" w:hint="eastAsia"/>
          <w:color w:val="000000" w:themeColor="text1"/>
          <w:sz w:val="26"/>
          <w:szCs w:val="26"/>
        </w:rPr>
        <w:t>，高於</w:t>
      </w:r>
      <w:r w:rsidRPr="00DC4ACB">
        <w:rPr>
          <w:rFonts w:eastAsia="標楷體"/>
          <w:color w:val="000000" w:themeColor="text1"/>
          <w:sz w:val="26"/>
          <w:szCs w:val="26"/>
        </w:rPr>
        <w:t>ONESOURCE</w:t>
      </w:r>
      <w:r w:rsidRPr="00DC4ACB">
        <w:rPr>
          <w:rFonts w:eastAsia="標楷體" w:hint="eastAsia"/>
          <w:color w:val="000000" w:themeColor="text1"/>
          <w:sz w:val="26"/>
          <w:szCs w:val="26"/>
        </w:rPr>
        <w:t>資料庫所選之可比較對象常規交易範圍</w:t>
      </w:r>
      <w:r w:rsidR="00A70357" w:rsidRPr="00DC4ACB">
        <w:rPr>
          <w:rFonts w:eastAsia="標楷體"/>
          <w:color w:val="000000" w:themeColor="text1"/>
          <w:sz w:val="26"/>
          <w:szCs w:val="26"/>
        </w:rPr>
        <w:t>11</w:t>
      </w:r>
      <w:r w:rsidR="00A70357">
        <w:rPr>
          <w:rFonts w:eastAsia="標楷體" w:hint="eastAsia"/>
          <w:color w:val="000000" w:themeColor="text1"/>
          <w:sz w:val="26"/>
          <w:szCs w:val="26"/>
        </w:rPr>
        <w:t>7</w:t>
      </w:r>
      <w:r w:rsidR="00A70357" w:rsidRPr="00DC4ACB">
        <w:rPr>
          <w:rFonts w:eastAsia="標楷體"/>
          <w:color w:val="000000" w:themeColor="text1"/>
          <w:sz w:val="26"/>
          <w:szCs w:val="26"/>
        </w:rPr>
        <w:t>.</w:t>
      </w:r>
      <w:r w:rsidR="00A70357">
        <w:rPr>
          <w:rFonts w:eastAsia="標楷體" w:hint="eastAsia"/>
          <w:color w:val="000000" w:themeColor="text1"/>
          <w:sz w:val="26"/>
          <w:szCs w:val="26"/>
        </w:rPr>
        <w:t>15</w:t>
      </w:r>
      <w:r w:rsidR="00A70357" w:rsidRPr="00DC4ACB">
        <w:rPr>
          <w:rFonts w:eastAsia="標楷體"/>
          <w:color w:val="000000" w:themeColor="text1"/>
          <w:sz w:val="26"/>
          <w:szCs w:val="26"/>
        </w:rPr>
        <w:t>%</w:t>
      </w:r>
      <w:r w:rsidR="00A70357" w:rsidRPr="00DC4ACB">
        <w:rPr>
          <w:rFonts w:eastAsia="標楷體" w:hint="eastAsia"/>
          <w:color w:val="000000" w:themeColor="text1"/>
          <w:sz w:val="26"/>
          <w:szCs w:val="26"/>
        </w:rPr>
        <w:t>～</w:t>
      </w:r>
      <w:r w:rsidR="00A70357" w:rsidRPr="00DC4ACB">
        <w:rPr>
          <w:rFonts w:eastAsia="標楷體"/>
          <w:color w:val="000000" w:themeColor="text1"/>
          <w:sz w:val="26"/>
          <w:szCs w:val="26"/>
        </w:rPr>
        <w:t>133.</w:t>
      </w:r>
      <w:r w:rsidR="00A70357">
        <w:rPr>
          <w:rFonts w:eastAsia="標楷體" w:hint="eastAsia"/>
          <w:color w:val="000000" w:themeColor="text1"/>
          <w:sz w:val="26"/>
          <w:szCs w:val="26"/>
        </w:rPr>
        <w:t>89</w:t>
      </w:r>
      <w:r w:rsidR="00A70357" w:rsidRPr="00DC4ACB">
        <w:rPr>
          <w:rFonts w:eastAsia="標楷體"/>
          <w:color w:val="000000" w:themeColor="text1"/>
          <w:sz w:val="26"/>
          <w:szCs w:val="26"/>
        </w:rPr>
        <w:t>%</w:t>
      </w:r>
      <w:r w:rsidRPr="00DC4ACB">
        <w:rPr>
          <w:rFonts w:eastAsia="標楷體" w:hint="eastAsia"/>
          <w:color w:val="000000" w:themeColor="text1"/>
          <w:sz w:val="26"/>
          <w:szCs w:val="26"/>
        </w:rPr>
        <w:t>上分位數，推論太克科技</w:t>
      </w:r>
      <w:r w:rsidRPr="00DC4ACB">
        <w:rPr>
          <w:rFonts w:eastAsia="標楷體"/>
          <w:color w:val="000000" w:themeColor="text1"/>
          <w:sz w:val="26"/>
          <w:szCs w:val="26"/>
        </w:rPr>
        <w:t>10</w:t>
      </w:r>
      <w:r w:rsidR="00FA2E37">
        <w:rPr>
          <w:rFonts w:eastAsia="標楷體" w:hint="eastAsia"/>
          <w:color w:val="000000" w:themeColor="text1"/>
          <w:sz w:val="26"/>
          <w:szCs w:val="26"/>
        </w:rPr>
        <w:t>5</w:t>
      </w:r>
      <w:r w:rsidRPr="00DC4ACB">
        <w:rPr>
          <w:rFonts w:eastAsia="標楷體" w:hint="eastAsia"/>
          <w:color w:val="000000" w:themeColor="text1"/>
          <w:sz w:val="26"/>
          <w:szCs w:val="26"/>
        </w:rPr>
        <w:t>年度該受控交易無須為稅務上之調整。</w:t>
      </w:r>
    </w:p>
    <w:p w:rsidR="00DC4ACB" w:rsidRDefault="00DC4ACB" w:rsidP="00965AF0">
      <w:pPr>
        <w:spacing w:beforeLines="50" w:before="120" w:afterLines="50" w:after="120" w:line="360" w:lineRule="auto"/>
        <w:ind w:leftChars="200" w:left="480" w:firstLineChars="200" w:firstLine="520"/>
        <w:jc w:val="both"/>
        <w:rPr>
          <w:rFonts w:eastAsia="標楷體"/>
          <w:sz w:val="26"/>
          <w:szCs w:val="26"/>
        </w:rPr>
      </w:pPr>
    </w:p>
    <w:p w:rsidR="00DC4ACB" w:rsidRDefault="00B5366E" w:rsidP="00965AF0">
      <w:pPr>
        <w:pStyle w:val="2"/>
        <w:numPr>
          <w:ilvl w:val="1"/>
          <w:numId w:val="31"/>
        </w:numPr>
        <w:tabs>
          <w:tab w:val="left" w:pos="756"/>
        </w:tabs>
        <w:spacing w:beforeLines="100" w:before="240" w:afterLines="100" w:after="240" w:line="360" w:lineRule="auto"/>
        <w:ind w:left="0" w:firstLine="0"/>
        <w:rPr>
          <w:rFonts w:ascii="Times New Roman" w:eastAsia="標楷體" w:hAnsi="Times New Roman"/>
          <w:sz w:val="36"/>
          <w:szCs w:val="40"/>
        </w:rPr>
      </w:pPr>
      <w:r w:rsidRPr="00EA272E">
        <w:rPr>
          <w:rFonts w:ascii="Times New Roman" w:eastAsia="標楷體" w:hAnsi="Times New Roman" w:hint="eastAsia"/>
          <w:sz w:val="36"/>
          <w:szCs w:val="40"/>
        </w:rPr>
        <w:lastRenderedPageBreak/>
        <w:t>建議</w:t>
      </w:r>
    </w:p>
    <w:p w:rsidR="00567251" w:rsidRPr="00A43186" w:rsidRDefault="00567251" w:rsidP="00965AF0">
      <w:pPr>
        <w:spacing w:beforeLines="50" w:before="120" w:afterLines="50" w:after="120" w:line="360" w:lineRule="auto"/>
        <w:ind w:firstLineChars="200" w:firstLine="520"/>
        <w:rPr>
          <w:rFonts w:eastAsia="標楷體"/>
          <w:sz w:val="26"/>
          <w:szCs w:val="26"/>
        </w:rPr>
      </w:pPr>
      <w:r w:rsidRPr="00A43186">
        <w:rPr>
          <w:rFonts w:eastAsia="標楷體"/>
          <w:sz w:val="26"/>
          <w:szCs w:val="26"/>
        </w:rPr>
        <w:t>本所建議</w:t>
      </w:r>
      <w:r w:rsidR="00BA7C8C" w:rsidRPr="00A43186">
        <w:rPr>
          <w:rFonts w:eastAsia="標楷體" w:hint="eastAsia"/>
          <w:sz w:val="26"/>
          <w:szCs w:val="26"/>
        </w:rPr>
        <w:t>太克科技</w:t>
      </w:r>
      <w:r w:rsidRPr="00A43186">
        <w:rPr>
          <w:rFonts w:eastAsia="標楷體"/>
          <w:sz w:val="26"/>
          <w:szCs w:val="26"/>
        </w:rPr>
        <w:t>每年應根據當時之經濟情況，對營運狀況進行測試，以檢視移轉訂價是否仍符合常規，若不合常規，則需加以調整。</w:t>
      </w:r>
    </w:p>
    <w:p w:rsidR="00331A98" w:rsidRDefault="00567251" w:rsidP="005833E2">
      <w:pPr>
        <w:spacing w:beforeLines="50" w:before="120" w:afterLines="50" w:after="120" w:line="360" w:lineRule="auto"/>
        <w:ind w:firstLineChars="200" w:firstLine="520"/>
        <w:jc w:val="both"/>
        <w:rPr>
          <w:rFonts w:eastAsia="標楷體"/>
          <w:b/>
          <w:sz w:val="26"/>
          <w:szCs w:val="26"/>
        </w:rPr>
      </w:pPr>
      <w:r w:rsidRPr="00A43186">
        <w:rPr>
          <w:rFonts w:eastAsia="標楷體"/>
          <w:sz w:val="26"/>
          <w:szCs w:val="26"/>
        </w:rPr>
        <w:t>本所必須提醒本報告之使用者，若</w:t>
      </w:r>
      <w:r w:rsidR="00BA7C8C" w:rsidRPr="00A43186">
        <w:rPr>
          <w:rFonts w:eastAsia="標楷體" w:hint="eastAsia"/>
          <w:sz w:val="26"/>
          <w:szCs w:val="26"/>
        </w:rPr>
        <w:t>太克科技</w:t>
      </w:r>
      <w:r w:rsidRPr="00A43186">
        <w:rPr>
          <w:rFonts w:eastAsia="標楷體"/>
          <w:sz w:val="26"/>
          <w:szCs w:val="26"/>
        </w:rPr>
        <w:t>執行之功能及承擔之風險有</w:t>
      </w:r>
      <w:r w:rsidRPr="00EA272E">
        <w:rPr>
          <w:rFonts w:eastAsia="標楷體"/>
          <w:sz w:val="26"/>
          <w:szCs w:val="26"/>
        </w:rPr>
        <w:t>顯著變化，均會對本報告之分析</w:t>
      </w:r>
      <w:r w:rsidR="00266D93" w:rsidRPr="00EA272E">
        <w:rPr>
          <w:rFonts w:eastAsia="標楷體"/>
          <w:sz w:val="26"/>
          <w:szCs w:val="26"/>
        </w:rPr>
        <w:t>以及所選出之可比較對象</w:t>
      </w:r>
      <w:r w:rsidRPr="00EA272E">
        <w:rPr>
          <w:rFonts w:eastAsia="標楷體"/>
          <w:sz w:val="26"/>
          <w:szCs w:val="26"/>
        </w:rPr>
        <w:t>有所影響，進而影響利潤指標</w:t>
      </w:r>
      <w:r w:rsidR="006B5C5E" w:rsidRPr="00EA272E">
        <w:rPr>
          <w:rFonts w:eastAsia="標楷體"/>
          <w:sz w:val="26"/>
          <w:szCs w:val="26"/>
        </w:rPr>
        <w:t>及</w:t>
      </w:r>
      <w:r w:rsidRPr="00EA272E">
        <w:rPr>
          <w:rFonts w:eastAsia="標楷體"/>
          <w:sz w:val="26"/>
          <w:szCs w:val="26"/>
        </w:rPr>
        <w:t>常規交易範圍。</w:t>
      </w:r>
    </w:p>
    <w:sectPr w:rsidR="00331A98" w:rsidSect="00DD5AB2">
      <w:headerReference w:type="even" r:id="rId45"/>
      <w:headerReference w:type="default" r:id="rId46"/>
      <w:footerReference w:type="even" r:id="rId47"/>
      <w:headerReference w:type="first" r:id="rId48"/>
      <w:type w:val="oddPage"/>
      <w:pgSz w:w="11906" w:h="16838" w:code="9"/>
      <w:pgMar w:top="2160" w:right="1440" w:bottom="1814" w:left="1440" w:header="851" w:footer="567" w:gutter="567"/>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891" w:rsidRDefault="002D2891">
      <w:r>
        <w:separator/>
      </w:r>
    </w:p>
  </w:endnote>
  <w:endnote w:type="continuationSeparator" w:id="0">
    <w:p w:rsidR="002D2891" w:rsidRDefault="002D2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rsidP="00986C9C">
    <w:pPr>
      <w:pStyle w:val="a8"/>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rsidP="00986C9C">
    <w:pPr>
      <w:pStyle w:val="a8"/>
      <w:jc w:val="center"/>
    </w:pPr>
    <w:r w:rsidRPr="001E62D4">
      <w:t xml:space="preserve">© </w:t>
    </w:r>
    <w:r>
      <w:rPr>
        <w:rFonts w:eastAsia="標楷體" w:hAnsi="標楷體" w:hint="eastAsia"/>
        <w:bCs/>
      </w:rPr>
      <w:t>2017</w:t>
    </w:r>
    <w:r w:rsidRPr="00BF1978">
      <w:rPr>
        <w:color w:val="00CCFF"/>
      </w:rPr>
      <w:t xml:space="preserve"> </w:t>
    </w:r>
    <w:r w:rsidRPr="008817F5">
      <w:t xml:space="preserve">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8"/>
    </w:pPr>
    <w:r>
      <w:fldChar w:fldCharType="begin"/>
    </w:r>
    <w:r>
      <w:instrText xml:space="preserve"> PAGE   \* MERGEFORMAT </w:instrText>
    </w:r>
    <w:r>
      <w:fldChar w:fldCharType="separate"/>
    </w:r>
    <w:r w:rsidR="00D1151F">
      <w:rPr>
        <w:noProof/>
      </w:rPr>
      <w:t>46</w:t>
    </w:r>
    <w:r>
      <w:rPr>
        <w:noProof/>
        <w:lang w:val="zh-TW"/>
      </w:rPr>
      <w:fldChar w:fldCharType="end"/>
    </w:r>
  </w:p>
  <w:p w:rsidR="004864D6" w:rsidRDefault="004864D6" w:rsidP="008469CA">
    <w:pPr>
      <w:pStyle w:val="a8"/>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8"/>
      <w:jc w:val="right"/>
    </w:pPr>
    <w:r>
      <w:fldChar w:fldCharType="begin"/>
    </w:r>
    <w:r>
      <w:instrText xml:space="preserve"> PAGE   \* MERGEFORMAT </w:instrText>
    </w:r>
    <w:r>
      <w:fldChar w:fldCharType="separate"/>
    </w:r>
    <w:r w:rsidR="00D1151F">
      <w:rPr>
        <w:noProof/>
      </w:rPr>
      <w:t>65</w:t>
    </w:r>
    <w:r>
      <w:rPr>
        <w:noProof/>
        <w:lang w:val="zh-TW"/>
      </w:rPr>
      <w:fldChar w:fldCharType="end"/>
    </w:r>
  </w:p>
  <w:p w:rsidR="004864D6" w:rsidRDefault="004864D6" w:rsidP="008469CA">
    <w:pPr>
      <w:pStyle w:val="a8"/>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8"/>
    </w:pPr>
    <w:r>
      <w:fldChar w:fldCharType="begin"/>
    </w:r>
    <w:r>
      <w:instrText xml:space="preserve"> PAGE   \* MERGEFORMAT </w:instrText>
    </w:r>
    <w:r>
      <w:fldChar w:fldCharType="separate"/>
    </w:r>
    <w:r w:rsidR="00D1151F">
      <w:rPr>
        <w:noProof/>
      </w:rPr>
      <w:t>66</w:t>
    </w:r>
    <w:r>
      <w:rPr>
        <w:noProof/>
        <w:lang w:val="zh-TW"/>
      </w:rPr>
      <w:fldChar w:fldCharType="end"/>
    </w:r>
  </w:p>
  <w:p w:rsidR="004864D6" w:rsidRDefault="004864D6" w:rsidP="008469CA">
    <w:pPr>
      <w:pStyle w:val="a8"/>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8"/>
    </w:pPr>
    <w:r>
      <w:fldChar w:fldCharType="begin"/>
    </w:r>
    <w:r>
      <w:instrText xml:space="preserve"> PAGE   \* MERGEFORMAT </w:instrText>
    </w:r>
    <w:r>
      <w:fldChar w:fldCharType="separate"/>
    </w:r>
    <w:r w:rsidR="00D1151F">
      <w:rPr>
        <w:noProof/>
      </w:rPr>
      <w:t>74</w:t>
    </w:r>
    <w:r>
      <w:rPr>
        <w:noProof/>
        <w:lang w:val="zh-TW"/>
      </w:rPr>
      <w:fldChar w:fldCharType="end"/>
    </w:r>
  </w:p>
  <w:p w:rsidR="004864D6" w:rsidRDefault="004864D6" w:rsidP="00986C9C">
    <w:pPr>
      <w:pStyle w:val="a8"/>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8"/>
      <w:jc w:val="right"/>
    </w:pPr>
    <w:r>
      <w:fldChar w:fldCharType="begin"/>
    </w:r>
    <w:r>
      <w:instrText xml:space="preserve"> PAGE   \* MERGEFORMAT </w:instrText>
    </w:r>
    <w:r>
      <w:fldChar w:fldCharType="separate"/>
    </w:r>
    <w:r w:rsidR="00D1151F">
      <w:rPr>
        <w:noProof/>
      </w:rPr>
      <w:t>75</w:t>
    </w:r>
    <w:r>
      <w:rPr>
        <w:noProof/>
        <w:lang w:val="zh-TW"/>
      </w:rPr>
      <w:fldChar w:fldCharType="end"/>
    </w:r>
  </w:p>
  <w:p w:rsidR="004864D6" w:rsidRDefault="004864D6" w:rsidP="00060BE9">
    <w:pPr>
      <w:pStyle w:val="a8"/>
      <w:jc w:val="center"/>
    </w:pPr>
    <w:r w:rsidRPr="001E62D4">
      <w:t xml:space="preserve">© </w:t>
    </w:r>
    <w:r>
      <w:rPr>
        <w:rFonts w:eastAsia="標楷體" w:hAnsi="標楷體" w:hint="eastAsia"/>
        <w:bCs/>
      </w:rPr>
      <w:t>2017</w:t>
    </w:r>
    <w:r w:rsidRPr="008817F5">
      <w:t xml:space="preserve"> Grant </w:t>
    </w:r>
    <w:smartTag w:uri="urn:schemas-microsoft-com:office:smarttags" w:element="City">
      <w:r w:rsidRPr="008817F5">
        <w:t>Thornton</w:t>
      </w:r>
    </w:smartTag>
    <w:r w:rsidRPr="008817F5">
      <w:t xml:space="preserve"> </w:t>
    </w:r>
    <w:smartTag w:uri="urn:schemas-microsoft-com:office:smarttags" w:element="place">
      <w:smartTag w:uri="urn:schemas-microsoft-com:office:smarttags" w:element="country-region">
        <w:r w:rsidRPr="008817F5">
          <w:t>Taiwan</w:t>
        </w:r>
      </w:smartTag>
    </w:smartTag>
    <w:r w:rsidRPr="008817F5">
      <w:t>.  All rights reserved</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8"/>
    </w:pPr>
    <w:r>
      <w:fldChar w:fldCharType="begin"/>
    </w:r>
    <w:r>
      <w:instrText xml:space="preserve"> PAGE   \* MERGEFORMAT </w:instrText>
    </w:r>
    <w:r>
      <w:fldChar w:fldCharType="separate"/>
    </w:r>
    <w:r w:rsidR="00D1151F">
      <w:rPr>
        <w:noProof/>
      </w:rPr>
      <w:t>76</w:t>
    </w:r>
    <w:r>
      <w:rPr>
        <w:noProof/>
        <w:lang w:val="zh-TW"/>
      </w:rPr>
      <w:fldChar w:fldCharType="end"/>
    </w:r>
  </w:p>
  <w:p w:rsidR="004864D6" w:rsidRDefault="004864D6" w:rsidP="00986C9C">
    <w:pPr>
      <w:pStyle w:val="a8"/>
      <w:jc w:val="center"/>
    </w:pPr>
    <w:r w:rsidRPr="001E62D4">
      <w:t xml:space="preserve">© </w:t>
    </w:r>
    <w:r>
      <w:rPr>
        <w:rFonts w:eastAsia="標楷體" w:hAnsi="標楷體" w:hint="eastAsia"/>
        <w:bCs/>
      </w:rPr>
      <w:t>2017</w:t>
    </w:r>
    <w:r w:rsidRPr="008817F5">
      <w:t xml:space="preserve"> Grant Thornton </w:t>
    </w:r>
    <w:smartTag w:uri="urn:schemas-microsoft-com:office:smarttags" w:element="place">
      <w:smartTag w:uri="urn:schemas-microsoft-com:office:smarttags" w:element="country-region">
        <w:r w:rsidRPr="008817F5">
          <w:t>Taiwan</w:t>
        </w:r>
      </w:smartTag>
    </w:smartTag>
    <w:r w:rsidRPr="008817F5">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891" w:rsidRDefault="002D2891">
      <w:r>
        <w:separator/>
      </w:r>
    </w:p>
  </w:footnote>
  <w:footnote w:type="continuationSeparator" w:id="0">
    <w:p w:rsidR="002D2891" w:rsidRDefault="002D2891">
      <w:r>
        <w:continuationSeparator/>
      </w:r>
    </w:p>
  </w:footnote>
  <w:footnote w:id="1">
    <w:p w:rsidR="004864D6" w:rsidRPr="001F4699" w:rsidRDefault="004864D6" w:rsidP="0074142A">
      <w:pPr>
        <w:pStyle w:val="af0"/>
      </w:pPr>
      <w:r>
        <w:rPr>
          <w:rStyle w:val="af1"/>
        </w:rPr>
        <w:footnoteRef/>
      </w:r>
      <w:r>
        <w:t xml:space="preserve"> </w:t>
      </w:r>
      <w:r w:rsidRPr="001F4699">
        <w:t>http://nccur.lib.nccu.edu.tw/bitstream/140.119/35378/7/93252007.pdf</w:t>
      </w:r>
    </w:p>
  </w:footnote>
  <w:footnote w:id="2">
    <w:p w:rsidR="004864D6" w:rsidRPr="00973901" w:rsidRDefault="004864D6">
      <w:pPr>
        <w:pStyle w:val="af0"/>
      </w:pPr>
      <w:r>
        <w:rPr>
          <w:rStyle w:val="af1"/>
        </w:rPr>
        <w:footnoteRef/>
      </w:r>
      <w:r>
        <w:t xml:space="preserve"> </w:t>
      </w:r>
      <w:r w:rsidRPr="00183FC9">
        <w:rPr>
          <w:rFonts w:hint="eastAsia"/>
        </w:rPr>
        <w:t>新行動寬頻量測技術</w:t>
      </w:r>
    </w:p>
  </w:footnote>
  <w:footnote w:id="3">
    <w:p w:rsidR="004864D6" w:rsidRPr="00AA0DD0" w:rsidRDefault="004864D6" w:rsidP="00AD5750">
      <w:pPr>
        <w:pStyle w:val="af0"/>
      </w:pPr>
      <w:r>
        <w:rPr>
          <w:rStyle w:val="af1"/>
        </w:rPr>
        <w:footnoteRef/>
      </w:r>
      <w:r>
        <w:t xml:space="preserve"> </w:t>
      </w:r>
      <w:r>
        <w:rPr>
          <w:rFonts w:hint="eastAsia"/>
        </w:rPr>
        <w:t>營利事業所得稅結算申報書第</w:t>
      </w:r>
      <w:r>
        <w:rPr>
          <w:rFonts w:hint="eastAsia"/>
        </w:rPr>
        <w:t>19</w:t>
      </w:r>
      <w:r>
        <w:rPr>
          <w:rFonts w:hint="eastAsia"/>
        </w:rPr>
        <w:t>頁填表說明載明之關係人代號。</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r>
      <w:rPr>
        <w:noProof/>
      </w:rPr>
      <mc:AlternateContent>
        <mc:Choice Requires="wps">
          <w:drawing>
            <wp:anchor distT="0" distB="0" distL="114300" distR="114300" simplePos="0" relativeHeight="251659776" behindDoc="0" locked="0" layoutInCell="1" allowOverlap="1" wp14:anchorId="34EDE741" wp14:editId="25CD8AD9">
              <wp:simplePos x="0" y="0"/>
              <wp:positionH relativeFrom="column">
                <wp:posOffset>4000055</wp:posOffset>
              </wp:positionH>
              <wp:positionV relativeFrom="paragraph">
                <wp:posOffset>151765</wp:posOffset>
              </wp:positionV>
              <wp:extent cx="1453515" cy="586740"/>
              <wp:effectExtent l="0" t="0" r="0" b="3810"/>
              <wp:wrapNone/>
              <wp:docPr id="4"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4D6" w:rsidRPr="006B6700" w:rsidRDefault="004864D6" w:rsidP="00037C8F">
                          <w:pPr>
                            <w:spacing w:line="360" w:lineRule="auto"/>
                            <w:jc w:val="right"/>
                            <w:rPr>
                              <w:rFonts w:eastAsia="標楷體" w:hAnsi="標楷體"/>
                              <w:bCs/>
                              <w:sz w:val="20"/>
                              <w:szCs w:val="20"/>
                            </w:rPr>
                          </w:pPr>
                          <w:r w:rsidRPr="006B6700">
                            <w:rPr>
                              <w:rFonts w:eastAsia="標楷體" w:hAnsi="標楷體" w:hint="eastAsia"/>
                              <w:bCs/>
                              <w:sz w:val="20"/>
                              <w:szCs w:val="20"/>
                            </w:rPr>
                            <w:t>太克科技股份有限公司</w:t>
                          </w:r>
                        </w:p>
                        <w:p w:rsidR="004864D6" w:rsidRPr="006B6700" w:rsidRDefault="004864D6" w:rsidP="00037C8F">
                          <w:pPr>
                            <w:spacing w:line="360" w:lineRule="auto"/>
                            <w:jc w:val="right"/>
                            <w:rPr>
                              <w:rFonts w:eastAsia="標楷體" w:hAnsi="標楷體"/>
                              <w:bCs/>
                              <w:sz w:val="20"/>
                              <w:szCs w:val="20"/>
                            </w:rPr>
                          </w:pPr>
                          <w:proofErr w:type="gramStart"/>
                          <w:r w:rsidRPr="006B6700">
                            <w:rPr>
                              <w:rFonts w:eastAsia="標楷體" w:hAnsi="標楷體" w:hint="eastAsia"/>
                              <w:bCs/>
                              <w:sz w:val="20"/>
                              <w:szCs w:val="20"/>
                            </w:rPr>
                            <w:t>1</w:t>
                          </w:r>
                          <w:r>
                            <w:rPr>
                              <w:rFonts w:eastAsia="標楷體" w:hAnsi="標楷體" w:hint="eastAsia"/>
                              <w:bCs/>
                              <w:sz w:val="20"/>
                              <w:szCs w:val="20"/>
                            </w:rPr>
                            <w:t>05</w:t>
                          </w:r>
                          <w:proofErr w:type="gramEnd"/>
                          <w:r w:rsidRPr="006B6700">
                            <w:rPr>
                              <w:rFonts w:eastAsia="標楷體" w:hAnsi="標楷體"/>
                              <w:bCs/>
                              <w:sz w:val="20"/>
                              <w:szCs w:val="20"/>
                            </w:rPr>
                            <w:t>年度移轉訂價報告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34" type="#_x0000_t202" style="position:absolute;margin-left:314.95pt;margin-top:11.95pt;width:114.45pt;height:46.2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" filled="f" stroked="f">
              <v:textbox style="mso-fit-shape-to-text:t">
                <w:txbxContent>
                  <w:p w:rsidR="004864D6" w:rsidRPr="006B6700" w:rsidRDefault="004864D6" w:rsidP="00037C8F">
                    <w:pPr>
                      <w:spacing w:line="360" w:lineRule="auto"/>
                      <w:jc w:val="right"/>
                      <w:rPr>
                        <w:rFonts w:eastAsia="標楷體" w:hAnsi="標楷體"/>
                        <w:bCs/>
                        <w:sz w:val="20"/>
                        <w:szCs w:val="20"/>
                      </w:rPr>
                    </w:pPr>
                    <w:r w:rsidRPr="006B6700">
                      <w:rPr>
                        <w:rFonts w:eastAsia="標楷體" w:hAnsi="標楷體" w:hint="eastAsia"/>
                        <w:bCs/>
                        <w:sz w:val="20"/>
                        <w:szCs w:val="20"/>
                      </w:rPr>
                      <w:t>太克科技股份有限公司</w:t>
                    </w:r>
                  </w:p>
                  <w:p w:rsidR="004864D6" w:rsidRPr="006B6700" w:rsidRDefault="004864D6" w:rsidP="00037C8F">
                    <w:pPr>
                      <w:spacing w:line="360" w:lineRule="auto"/>
                      <w:jc w:val="right"/>
                      <w:rPr>
                        <w:rFonts w:eastAsia="標楷體" w:hAnsi="標楷體"/>
                        <w:bCs/>
                        <w:sz w:val="20"/>
                        <w:szCs w:val="20"/>
                      </w:rPr>
                    </w:pPr>
                    <w:proofErr w:type="gramStart"/>
                    <w:r w:rsidRPr="006B6700">
                      <w:rPr>
                        <w:rFonts w:eastAsia="標楷體" w:hAnsi="標楷體" w:hint="eastAsia"/>
                        <w:bCs/>
                        <w:sz w:val="20"/>
                        <w:szCs w:val="20"/>
                      </w:rPr>
                      <w:t>1</w:t>
                    </w:r>
                    <w:r>
                      <w:rPr>
                        <w:rFonts w:eastAsia="標楷體" w:hAnsi="標楷體" w:hint="eastAsia"/>
                        <w:bCs/>
                        <w:sz w:val="20"/>
                        <w:szCs w:val="20"/>
                      </w:rPr>
                      <w:t>05</w:t>
                    </w:r>
                    <w:proofErr w:type="gramEnd"/>
                    <w:r w:rsidRPr="006B6700">
                      <w:rPr>
                        <w:rFonts w:eastAsia="標楷體" w:hAnsi="標楷體"/>
                        <w:bCs/>
                        <w:sz w:val="20"/>
                        <w:szCs w:val="20"/>
                      </w:rPr>
                      <w:t>年度移轉訂價報告</w:t>
                    </w:r>
                  </w:p>
                </w:txbxContent>
              </v:textbox>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r>
      <w:rPr>
        <w:noProof/>
      </w:rPr>
      <mc:AlternateContent>
        <mc:Choice Requires="wps">
          <w:drawing>
            <wp:anchor distT="0" distB="0" distL="114300" distR="114300" simplePos="0" relativeHeight="251660800" behindDoc="0" locked="0" layoutInCell="1" allowOverlap="1" wp14:anchorId="03EF140E" wp14:editId="05E10C85">
              <wp:simplePos x="0" y="0"/>
              <wp:positionH relativeFrom="column">
                <wp:posOffset>3949700</wp:posOffset>
              </wp:positionH>
              <wp:positionV relativeFrom="paragraph">
                <wp:posOffset>169545</wp:posOffset>
              </wp:positionV>
              <wp:extent cx="1453515" cy="586740"/>
              <wp:effectExtent l="0" t="0" r="0" b="0"/>
              <wp:wrapNone/>
              <wp:docPr id="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4D6" w:rsidRPr="00DD5AB2" w:rsidRDefault="004864D6" w:rsidP="003B17DD">
                          <w:pPr>
                            <w:spacing w:line="360" w:lineRule="auto"/>
                            <w:jc w:val="right"/>
                            <w:rPr>
                              <w:rFonts w:eastAsia="標楷體"/>
                              <w:bCs/>
                              <w:color w:val="0070C0"/>
                              <w:sz w:val="20"/>
                              <w:szCs w:val="20"/>
                            </w:rPr>
                          </w:pPr>
                          <w:r w:rsidRPr="0028086C">
                            <w:rPr>
                              <w:rFonts w:eastAsia="標楷體" w:hAnsi="標楷體" w:hint="eastAsia"/>
                              <w:bCs/>
                              <w:sz w:val="20"/>
                              <w:szCs w:val="20"/>
                            </w:rPr>
                            <w:t>太克科技股份有限公司</w:t>
                          </w:r>
                        </w:p>
                        <w:p w:rsidR="004864D6" w:rsidRPr="003B17DD" w:rsidRDefault="004864D6" w:rsidP="003B17DD">
                          <w:pPr>
                            <w:spacing w:line="360" w:lineRule="auto"/>
                            <w:jc w:val="right"/>
                            <w:rPr>
                              <w:szCs w:val="20"/>
                            </w:rPr>
                          </w:pPr>
                          <w:proofErr w:type="gramStart"/>
                          <w:r w:rsidRPr="00AB1B0A">
                            <w:rPr>
                              <w:rFonts w:eastAsia="標楷體" w:hAnsi="標楷體" w:hint="eastAsia"/>
                              <w:bCs/>
                              <w:sz w:val="20"/>
                              <w:szCs w:val="20"/>
                            </w:rPr>
                            <w:t>10</w:t>
                          </w:r>
                          <w:r>
                            <w:rPr>
                              <w:rFonts w:eastAsia="標楷體" w:hAnsi="標楷體" w:hint="eastAsia"/>
                              <w:bCs/>
                              <w:sz w:val="20"/>
                              <w:szCs w:val="20"/>
                            </w:rPr>
                            <w:t>5</w:t>
                          </w:r>
                          <w:proofErr w:type="gramEnd"/>
                          <w:r w:rsidRPr="0039241F">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35" type="#_x0000_t202" style="position:absolute;margin-left:311pt;margin-top:13.35pt;width:114.45pt;height:46.2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YEQuQIAAMA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" filled="f" stroked="f">
              <v:textbox style="mso-fit-shape-to-text:t">
                <w:txbxContent>
                  <w:p w:rsidR="004864D6" w:rsidRPr="00DD5AB2" w:rsidRDefault="004864D6" w:rsidP="003B17DD">
                    <w:pPr>
                      <w:spacing w:line="360" w:lineRule="auto"/>
                      <w:jc w:val="right"/>
                      <w:rPr>
                        <w:rFonts w:eastAsia="標楷體"/>
                        <w:bCs/>
                        <w:color w:val="0070C0"/>
                        <w:sz w:val="20"/>
                        <w:szCs w:val="20"/>
                      </w:rPr>
                    </w:pPr>
                    <w:r w:rsidRPr="0028086C">
                      <w:rPr>
                        <w:rFonts w:eastAsia="標楷體" w:hAnsi="標楷體" w:hint="eastAsia"/>
                        <w:bCs/>
                        <w:sz w:val="20"/>
                        <w:szCs w:val="20"/>
                      </w:rPr>
                      <w:t>太克科技股份有限公司</w:t>
                    </w:r>
                  </w:p>
                  <w:p w:rsidR="004864D6" w:rsidRPr="003B17DD" w:rsidRDefault="004864D6" w:rsidP="003B17DD">
                    <w:pPr>
                      <w:spacing w:line="360" w:lineRule="auto"/>
                      <w:jc w:val="right"/>
                      <w:rPr>
                        <w:szCs w:val="20"/>
                      </w:rPr>
                    </w:pPr>
                    <w:r w:rsidRPr="00AB1B0A">
                      <w:rPr>
                        <w:rFonts w:eastAsia="標楷體" w:hAnsi="標楷體" w:hint="eastAsia"/>
                        <w:bCs/>
                        <w:sz w:val="20"/>
                        <w:szCs w:val="20"/>
                      </w:rPr>
                      <w:t>10</w:t>
                    </w:r>
                    <w:r>
                      <w:rPr>
                        <w:rFonts w:eastAsia="標楷體" w:hAnsi="標楷體" w:hint="eastAsia"/>
                        <w:bCs/>
                        <w:sz w:val="20"/>
                        <w:szCs w:val="20"/>
                      </w:rPr>
                      <w:t>5</w:t>
                    </w:r>
                    <w:r w:rsidRPr="0039241F">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r>
      <w:rPr>
        <w:noProof/>
      </w:rPr>
      <mc:AlternateContent>
        <mc:Choice Requires="wps">
          <w:drawing>
            <wp:anchor distT="0" distB="0" distL="114300" distR="114300" simplePos="0" relativeHeight="251661824" behindDoc="0" locked="0" layoutInCell="1" allowOverlap="1" wp14:anchorId="3A7DC922" wp14:editId="0699F001">
              <wp:simplePos x="0" y="0"/>
              <wp:positionH relativeFrom="column">
                <wp:posOffset>3973195</wp:posOffset>
              </wp:positionH>
              <wp:positionV relativeFrom="paragraph">
                <wp:posOffset>161290</wp:posOffset>
              </wp:positionV>
              <wp:extent cx="1453515" cy="586740"/>
              <wp:effectExtent l="1270" t="0" r="2540" b="4445"/>
              <wp:wrapNone/>
              <wp:docPr id="2"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4D6" w:rsidRPr="00314122" w:rsidRDefault="004864D6" w:rsidP="00BD6915">
                          <w:pPr>
                            <w:spacing w:line="360" w:lineRule="auto"/>
                            <w:jc w:val="right"/>
                            <w:rPr>
                              <w:rFonts w:eastAsia="標楷體" w:hAnsi="標楷體"/>
                              <w:bCs/>
                              <w:sz w:val="20"/>
                              <w:szCs w:val="20"/>
                            </w:rPr>
                          </w:pPr>
                          <w:r w:rsidRPr="00314122">
                            <w:rPr>
                              <w:rFonts w:eastAsia="標楷體" w:hAnsi="標楷體" w:hint="eastAsia"/>
                              <w:bCs/>
                              <w:sz w:val="20"/>
                              <w:szCs w:val="20"/>
                            </w:rPr>
                            <w:t>太克科技股份有限公司</w:t>
                          </w:r>
                        </w:p>
                        <w:p w:rsidR="004864D6" w:rsidRPr="00BD6915" w:rsidRDefault="004864D6" w:rsidP="00BD6915">
                          <w:pPr>
                            <w:spacing w:line="360" w:lineRule="auto"/>
                            <w:jc w:val="right"/>
                            <w:rPr>
                              <w:szCs w:val="20"/>
                            </w:rPr>
                          </w:pPr>
                          <w:proofErr w:type="gramStart"/>
                          <w:r w:rsidRPr="00314122">
                            <w:rPr>
                              <w:rFonts w:eastAsia="標楷體" w:hAnsi="標楷體" w:hint="eastAsia"/>
                              <w:bCs/>
                              <w:sz w:val="20"/>
                              <w:szCs w:val="20"/>
                            </w:rPr>
                            <w:t>10</w:t>
                          </w:r>
                          <w:r>
                            <w:rPr>
                              <w:rFonts w:eastAsia="標楷體" w:hAnsi="標楷體" w:hint="eastAsia"/>
                              <w:bCs/>
                              <w:sz w:val="20"/>
                              <w:szCs w:val="20"/>
                            </w:rPr>
                            <w:t>5</w:t>
                          </w:r>
                          <w:proofErr w:type="gramEnd"/>
                          <w:r w:rsidRPr="0039241F">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3" o:spid="_x0000_s1136" type="#_x0000_t202" style="position:absolute;margin-left:312.85pt;margin-top:12.7pt;width:114.45pt;height:46.2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7I4twIAAMA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" filled="f" stroked="f">
              <v:textbox style="mso-fit-shape-to-text:t">
                <w:txbxContent>
                  <w:p w:rsidR="004864D6" w:rsidRPr="00314122" w:rsidRDefault="004864D6" w:rsidP="00BD6915">
                    <w:pPr>
                      <w:spacing w:line="360" w:lineRule="auto"/>
                      <w:jc w:val="right"/>
                      <w:rPr>
                        <w:rFonts w:eastAsia="標楷體" w:hAnsi="標楷體"/>
                        <w:bCs/>
                        <w:sz w:val="20"/>
                        <w:szCs w:val="20"/>
                      </w:rPr>
                    </w:pPr>
                    <w:r w:rsidRPr="00314122">
                      <w:rPr>
                        <w:rFonts w:eastAsia="標楷體" w:hAnsi="標楷體" w:hint="eastAsia"/>
                        <w:bCs/>
                        <w:sz w:val="20"/>
                        <w:szCs w:val="20"/>
                      </w:rPr>
                      <w:t>太克科技股份有限公司</w:t>
                    </w:r>
                  </w:p>
                  <w:p w:rsidR="004864D6" w:rsidRPr="00BD6915" w:rsidRDefault="004864D6" w:rsidP="00BD6915">
                    <w:pPr>
                      <w:spacing w:line="360" w:lineRule="auto"/>
                      <w:jc w:val="right"/>
                      <w:rPr>
                        <w:szCs w:val="20"/>
                      </w:rPr>
                    </w:pPr>
                    <w:r w:rsidRPr="00314122">
                      <w:rPr>
                        <w:rFonts w:eastAsia="標楷體" w:hAnsi="標楷體" w:hint="eastAsia"/>
                        <w:bCs/>
                        <w:sz w:val="20"/>
                        <w:szCs w:val="20"/>
                      </w:rPr>
                      <w:t>10</w:t>
                    </w:r>
                    <w:r>
                      <w:rPr>
                        <w:rFonts w:eastAsia="標楷體" w:hAnsi="標楷體" w:hint="eastAsia"/>
                        <w:bCs/>
                        <w:sz w:val="20"/>
                        <w:szCs w:val="20"/>
                      </w:rPr>
                      <w:t>5</w:t>
                    </w:r>
                    <w:r w:rsidRPr="0039241F">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r>
      <w:rPr>
        <w:noProof/>
      </w:rPr>
      <mc:AlternateContent>
        <mc:Choice Requires="wps">
          <w:drawing>
            <wp:anchor distT="0" distB="0" distL="114300" distR="114300" simplePos="0" relativeHeight="251662848" behindDoc="0" locked="0" layoutInCell="1" allowOverlap="1" wp14:anchorId="7F7EE9E2" wp14:editId="42DF9271">
              <wp:simplePos x="0" y="0"/>
              <wp:positionH relativeFrom="column">
                <wp:posOffset>4042410</wp:posOffset>
              </wp:positionH>
              <wp:positionV relativeFrom="paragraph">
                <wp:posOffset>145415</wp:posOffset>
              </wp:positionV>
              <wp:extent cx="1453515" cy="586740"/>
              <wp:effectExtent l="3810" t="2540" r="0" b="1270"/>
              <wp:wrapNone/>
              <wp:docPr id="1"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4D6" w:rsidRPr="00314122" w:rsidRDefault="004864D6" w:rsidP="00B0313C">
                          <w:pPr>
                            <w:spacing w:line="360" w:lineRule="auto"/>
                            <w:jc w:val="right"/>
                            <w:rPr>
                              <w:rFonts w:eastAsia="標楷體" w:hAnsi="標楷體"/>
                              <w:bCs/>
                              <w:sz w:val="20"/>
                              <w:szCs w:val="20"/>
                            </w:rPr>
                          </w:pPr>
                          <w:r w:rsidRPr="00314122">
                            <w:rPr>
                              <w:rFonts w:eastAsia="標楷體" w:hAnsi="標楷體" w:hint="eastAsia"/>
                              <w:bCs/>
                              <w:sz w:val="20"/>
                              <w:szCs w:val="20"/>
                            </w:rPr>
                            <w:t>太克科技股份有限公司</w:t>
                          </w:r>
                        </w:p>
                        <w:p w:rsidR="004864D6" w:rsidRPr="00BD6915" w:rsidRDefault="004864D6" w:rsidP="00B0313C">
                          <w:pPr>
                            <w:spacing w:line="360" w:lineRule="auto"/>
                            <w:jc w:val="right"/>
                            <w:rPr>
                              <w:szCs w:val="20"/>
                            </w:rPr>
                          </w:pPr>
                          <w:proofErr w:type="gramStart"/>
                          <w:r w:rsidRPr="00314122">
                            <w:rPr>
                              <w:rFonts w:eastAsia="標楷體" w:hAnsi="標楷體" w:hint="eastAsia"/>
                              <w:bCs/>
                              <w:sz w:val="20"/>
                              <w:szCs w:val="20"/>
                            </w:rPr>
                            <w:t>10</w:t>
                          </w:r>
                          <w:r>
                            <w:rPr>
                              <w:rFonts w:eastAsia="標楷體" w:hAnsi="標楷體" w:hint="eastAsia"/>
                              <w:bCs/>
                              <w:sz w:val="20"/>
                              <w:szCs w:val="20"/>
                            </w:rPr>
                            <w:t>5</w:t>
                          </w:r>
                          <w:proofErr w:type="gramEnd"/>
                          <w:r w:rsidRPr="0039241F">
                            <w:rPr>
                              <w:rFonts w:eastAsia="標楷體" w:hAnsi="標楷體"/>
                              <w:bCs/>
                              <w:sz w:val="20"/>
                              <w:szCs w:val="20"/>
                            </w:rPr>
                            <w:t>年</w:t>
                          </w:r>
                          <w:r w:rsidRPr="007C04EB">
                            <w:rPr>
                              <w:rFonts w:eastAsia="標楷體" w:hAnsi="標楷體"/>
                              <w:bCs/>
                              <w:sz w:val="20"/>
                              <w:szCs w:val="20"/>
                            </w:rPr>
                            <w:t>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3" o:spid="_x0000_s1137" type="#_x0000_t202" style="position:absolute;margin-left:318.3pt;margin-top:11.45pt;width:114.45pt;height:46.2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" filled="f" stroked="f">
              <v:textbox style="mso-fit-shape-to-text:t">
                <w:txbxContent>
                  <w:p w:rsidR="004864D6" w:rsidRPr="00314122" w:rsidRDefault="004864D6" w:rsidP="00B0313C">
                    <w:pPr>
                      <w:spacing w:line="360" w:lineRule="auto"/>
                      <w:jc w:val="right"/>
                      <w:rPr>
                        <w:rFonts w:eastAsia="標楷體" w:hAnsi="標楷體"/>
                        <w:bCs/>
                        <w:sz w:val="20"/>
                        <w:szCs w:val="20"/>
                      </w:rPr>
                    </w:pPr>
                    <w:r w:rsidRPr="00314122">
                      <w:rPr>
                        <w:rFonts w:eastAsia="標楷體" w:hAnsi="標楷體" w:hint="eastAsia"/>
                        <w:bCs/>
                        <w:sz w:val="20"/>
                        <w:szCs w:val="20"/>
                      </w:rPr>
                      <w:t>太克科技股份有限公司</w:t>
                    </w:r>
                  </w:p>
                  <w:p w:rsidR="004864D6" w:rsidRPr="00BD6915" w:rsidRDefault="004864D6" w:rsidP="00B0313C">
                    <w:pPr>
                      <w:spacing w:line="360" w:lineRule="auto"/>
                      <w:jc w:val="right"/>
                      <w:rPr>
                        <w:szCs w:val="20"/>
                      </w:rPr>
                    </w:pPr>
                    <w:r w:rsidRPr="00314122">
                      <w:rPr>
                        <w:rFonts w:eastAsia="標楷體" w:hAnsi="標楷體" w:hint="eastAsia"/>
                        <w:bCs/>
                        <w:sz w:val="20"/>
                        <w:szCs w:val="20"/>
                      </w:rPr>
                      <w:t>10</w:t>
                    </w:r>
                    <w:r>
                      <w:rPr>
                        <w:rFonts w:eastAsia="標楷體" w:hAnsi="標楷體" w:hint="eastAsia"/>
                        <w:bCs/>
                        <w:sz w:val="20"/>
                        <w:szCs w:val="20"/>
                      </w:rPr>
                      <w:t>5</w:t>
                    </w:r>
                    <w:r w:rsidRPr="0039241F">
                      <w:rPr>
                        <w:rFonts w:eastAsia="標楷體" w:hAnsi="標楷體"/>
                        <w:bCs/>
                        <w:sz w:val="20"/>
                        <w:szCs w:val="20"/>
                      </w:rPr>
                      <w:t>年</w:t>
                    </w:r>
                    <w:r w:rsidRPr="007C04EB">
                      <w:rPr>
                        <w:rFonts w:eastAsia="標楷體" w:hAnsi="標楷體"/>
                        <w:bCs/>
                        <w:sz w:val="20"/>
                        <w:szCs w:val="20"/>
                      </w:rPr>
                      <w:t>度移轉訂價報告</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r>
      <w:rPr>
        <w:noProof/>
      </w:rPr>
      <mc:AlternateContent>
        <mc:Choice Requires="wps">
          <w:drawing>
            <wp:anchor distT="0" distB="0" distL="114300" distR="114300" simplePos="0" relativeHeight="251657728" behindDoc="0" locked="0" layoutInCell="1" allowOverlap="1" wp14:anchorId="20814DFA" wp14:editId="1B9928B2">
              <wp:simplePos x="0" y="0"/>
              <wp:positionH relativeFrom="column">
                <wp:posOffset>-18415</wp:posOffset>
              </wp:positionH>
              <wp:positionV relativeFrom="paragraph">
                <wp:posOffset>675005</wp:posOffset>
              </wp:positionV>
              <wp:extent cx="5829300" cy="0"/>
              <wp:effectExtent l="10160" t="8255" r="8890" b="10795"/>
              <wp:wrapNone/>
              <wp:docPr id="6"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15875">
                        <a:solidFill>
                          <a:srgbClr val="00009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53.15pt" to="457.5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" strokecolor="#00009a" strokeweight="1.25pt"/>
          </w:pict>
        </mc:Fallback>
      </mc:AlternateContent>
    </w:r>
    <w:r>
      <w:rPr>
        <w:noProof/>
      </w:rPr>
      <w:drawing>
        <wp:inline distT="0" distB="0" distL="0" distR="0" wp14:anchorId="5DBAE2F8" wp14:editId="65A227AC">
          <wp:extent cx="2286000" cy="609600"/>
          <wp:effectExtent l="19050" t="0" r="0" b="0"/>
          <wp:docPr id="10" name="圖片 1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descr="logo"/>
                  <pic:cNvPicPr>
                    <a:picLocks noChangeAspect="1" noChangeArrowheads="1"/>
                  </pic:cNvPicPr>
                </pic:nvPicPr>
                <pic:blipFill>
                  <a:blip r:embed="rId1"/>
                  <a:srcRect/>
                  <a:stretch>
                    <a:fillRect/>
                  </a:stretch>
                </pic:blipFill>
                <pic:spPr bwMode="auto">
                  <a:xfrm>
                    <a:off x="0" y="0"/>
                    <a:ext cx="2286000" cy="609600"/>
                  </a:xfrm>
                  <a:prstGeom prst="rect">
                    <a:avLst/>
                  </a:prstGeom>
                  <a:noFill/>
                  <a:ln w="9525">
                    <a:noFill/>
                    <a:miter lim="800000"/>
                    <a:headEnd/>
                    <a:tailEnd/>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r>
      <w:rPr>
        <w:noProof/>
      </w:rPr>
      <mc:AlternateContent>
        <mc:Choice Requires="wps">
          <w:drawing>
            <wp:anchor distT="0" distB="0" distL="114300" distR="114300" simplePos="0" relativeHeight="251658752" behindDoc="0" locked="0" layoutInCell="1" allowOverlap="1" wp14:anchorId="70558D89" wp14:editId="1D23A939">
              <wp:simplePos x="0" y="0"/>
              <wp:positionH relativeFrom="column">
                <wp:posOffset>3953510</wp:posOffset>
              </wp:positionH>
              <wp:positionV relativeFrom="paragraph">
                <wp:posOffset>160655</wp:posOffset>
              </wp:positionV>
              <wp:extent cx="1453515" cy="586740"/>
              <wp:effectExtent l="635" t="0" r="3175" b="0"/>
              <wp:wrapNone/>
              <wp:docPr id="5"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3515" cy="586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864D6" w:rsidRPr="003B0E8F" w:rsidRDefault="004864D6" w:rsidP="00037C8F">
                          <w:pPr>
                            <w:spacing w:line="360" w:lineRule="auto"/>
                            <w:jc w:val="right"/>
                            <w:rPr>
                              <w:rFonts w:eastAsia="標楷體" w:hAnsi="標楷體"/>
                              <w:bCs/>
                              <w:sz w:val="20"/>
                              <w:szCs w:val="20"/>
                            </w:rPr>
                          </w:pPr>
                          <w:r w:rsidRPr="003B0E8F">
                            <w:rPr>
                              <w:rFonts w:eastAsia="標楷體" w:hAnsi="標楷體" w:hint="eastAsia"/>
                              <w:bCs/>
                              <w:sz w:val="20"/>
                              <w:szCs w:val="20"/>
                            </w:rPr>
                            <w:t>太克科技股份有限公司</w:t>
                          </w:r>
                        </w:p>
                        <w:p w:rsidR="004864D6" w:rsidRPr="003B0E8F" w:rsidRDefault="004864D6" w:rsidP="00037C8F">
                          <w:pPr>
                            <w:spacing w:line="360" w:lineRule="auto"/>
                            <w:jc w:val="right"/>
                            <w:rPr>
                              <w:rFonts w:eastAsia="標楷體" w:hAnsi="標楷體"/>
                              <w:bCs/>
                              <w:sz w:val="20"/>
                              <w:szCs w:val="20"/>
                            </w:rPr>
                          </w:pPr>
                          <w:proofErr w:type="gramStart"/>
                          <w:r w:rsidRPr="003B0E8F">
                            <w:rPr>
                              <w:rFonts w:eastAsia="標楷體" w:hAnsi="標楷體" w:hint="eastAsia"/>
                              <w:bCs/>
                              <w:sz w:val="20"/>
                              <w:szCs w:val="20"/>
                            </w:rPr>
                            <w:t>10</w:t>
                          </w:r>
                          <w:r>
                            <w:rPr>
                              <w:rFonts w:eastAsia="標楷體" w:hAnsi="標楷體" w:hint="eastAsia"/>
                              <w:bCs/>
                              <w:sz w:val="20"/>
                              <w:szCs w:val="20"/>
                            </w:rPr>
                            <w:t>5</w:t>
                          </w:r>
                          <w:proofErr w:type="gramEnd"/>
                          <w:r w:rsidRPr="003B0E8F">
                            <w:rPr>
                              <w:rFonts w:eastAsia="標楷體" w:hAnsi="標楷體"/>
                              <w:bCs/>
                              <w:sz w:val="20"/>
                              <w:szCs w:val="20"/>
                            </w:rPr>
                            <w:t>年度移轉訂價報告</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133" type="#_x0000_t202" style="position:absolute;margin-left:311.3pt;margin-top:12.65pt;width:114.45pt;height:46.2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" filled="f" stroked="f">
              <v:textbox style="mso-fit-shape-to-text:t">
                <w:txbxContent>
                  <w:p w:rsidR="004864D6" w:rsidRPr="003B0E8F" w:rsidRDefault="004864D6" w:rsidP="00037C8F">
                    <w:pPr>
                      <w:spacing w:line="360" w:lineRule="auto"/>
                      <w:jc w:val="right"/>
                      <w:rPr>
                        <w:rFonts w:eastAsia="標楷體" w:hAnsi="標楷體"/>
                        <w:bCs/>
                        <w:sz w:val="20"/>
                        <w:szCs w:val="20"/>
                      </w:rPr>
                    </w:pPr>
                    <w:r w:rsidRPr="003B0E8F">
                      <w:rPr>
                        <w:rFonts w:eastAsia="標楷體" w:hAnsi="標楷體" w:hint="eastAsia"/>
                        <w:bCs/>
                        <w:sz w:val="20"/>
                        <w:szCs w:val="20"/>
                      </w:rPr>
                      <w:t>太克科技股份有限公司</w:t>
                    </w:r>
                  </w:p>
                  <w:p w:rsidR="004864D6" w:rsidRPr="003B0E8F" w:rsidRDefault="004864D6" w:rsidP="00037C8F">
                    <w:pPr>
                      <w:spacing w:line="360" w:lineRule="auto"/>
                      <w:jc w:val="right"/>
                      <w:rPr>
                        <w:rFonts w:eastAsia="標楷體" w:hAnsi="標楷體"/>
                        <w:bCs/>
                        <w:sz w:val="20"/>
                        <w:szCs w:val="20"/>
                      </w:rPr>
                    </w:pPr>
                    <w:r w:rsidRPr="003B0E8F">
                      <w:rPr>
                        <w:rFonts w:eastAsia="標楷體" w:hAnsi="標楷體" w:hint="eastAsia"/>
                        <w:bCs/>
                        <w:sz w:val="20"/>
                        <w:szCs w:val="20"/>
                      </w:rPr>
                      <w:t>10</w:t>
                    </w:r>
                    <w:r>
                      <w:rPr>
                        <w:rFonts w:eastAsia="標楷體" w:hAnsi="標楷體" w:hint="eastAsia"/>
                        <w:bCs/>
                        <w:sz w:val="20"/>
                        <w:szCs w:val="20"/>
                      </w:rPr>
                      <w:t>5</w:t>
                    </w:r>
                    <w:r w:rsidRPr="003B0E8F">
                      <w:rPr>
                        <w:rFonts w:eastAsia="標楷體" w:hAnsi="標楷體"/>
                        <w:bCs/>
                        <w:sz w:val="20"/>
                        <w:szCs w:val="20"/>
                      </w:rPr>
                      <w:t>年度移轉訂價報告</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4D6" w:rsidRDefault="004864D6">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A37F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
    <w:nsid w:val="01D87332"/>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47E723E"/>
    <w:multiLevelType w:val="hybridMultilevel"/>
    <w:tmpl w:val="0C206752"/>
    <w:lvl w:ilvl="0" w:tplc="0409000B">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1244" w:hanging="480"/>
      </w:pPr>
      <w:rPr>
        <w:rFonts w:ascii="Wingdings" w:hAnsi="Wingdings" w:hint="default"/>
      </w:rPr>
    </w:lvl>
    <w:lvl w:ilvl="2" w:tplc="04090005" w:tentative="1">
      <w:start w:val="1"/>
      <w:numFmt w:val="bullet"/>
      <w:lvlText w:val=""/>
      <w:lvlJc w:val="left"/>
      <w:pPr>
        <w:ind w:left="1724" w:hanging="480"/>
      </w:pPr>
      <w:rPr>
        <w:rFonts w:ascii="Wingdings" w:hAnsi="Wingdings" w:hint="default"/>
      </w:rPr>
    </w:lvl>
    <w:lvl w:ilvl="3" w:tplc="04090001" w:tentative="1">
      <w:start w:val="1"/>
      <w:numFmt w:val="bullet"/>
      <w:lvlText w:val=""/>
      <w:lvlJc w:val="left"/>
      <w:pPr>
        <w:ind w:left="2204" w:hanging="480"/>
      </w:pPr>
      <w:rPr>
        <w:rFonts w:ascii="Wingdings" w:hAnsi="Wingdings" w:hint="default"/>
      </w:rPr>
    </w:lvl>
    <w:lvl w:ilvl="4" w:tplc="04090003" w:tentative="1">
      <w:start w:val="1"/>
      <w:numFmt w:val="bullet"/>
      <w:lvlText w:val=""/>
      <w:lvlJc w:val="left"/>
      <w:pPr>
        <w:ind w:left="2684" w:hanging="480"/>
      </w:pPr>
      <w:rPr>
        <w:rFonts w:ascii="Wingdings" w:hAnsi="Wingdings" w:hint="default"/>
      </w:rPr>
    </w:lvl>
    <w:lvl w:ilvl="5" w:tplc="04090005" w:tentative="1">
      <w:start w:val="1"/>
      <w:numFmt w:val="bullet"/>
      <w:lvlText w:val=""/>
      <w:lvlJc w:val="left"/>
      <w:pPr>
        <w:ind w:left="3164" w:hanging="480"/>
      </w:pPr>
      <w:rPr>
        <w:rFonts w:ascii="Wingdings" w:hAnsi="Wingdings" w:hint="default"/>
      </w:rPr>
    </w:lvl>
    <w:lvl w:ilvl="6" w:tplc="04090001" w:tentative="1">
      <w:start w:val="1"/>
      <w:numFmt w:val="bullet"/>
      <w:lvlText w:val=""/>
      <w:lvlJc w:val="left"/>
      <w:pPr>
        <w:ind w:left="3644" w:hanging="480"/>
      </w:pPr>
      <w:rPr>
        <w:rFonts w:ascii="Wingdings" w:hAnsi="Wingdings" w:hint="default"/>
      </w:rPr>
    </w:lvl>
    <w:lvl w:ilvl="7" w:tplc="04090003" w:tentative="1">
      <w:start w:val="1"/>
      <w:numFmt w:val="bullet"/>
      <w:lvlText w:val=""/>
      <w:lvlJc w:val="left"/>
      <w:pPr>
        <w:ind w:left="4124" w:hanging="480"/>
      </w:pPr>
      <w:rPr>
        <w:rFonts w:ascii="Wingdings" w:hAnsi="Wingdings" w:hint="default"/>
      </w:rPr>
    </w:lvl>
    <w:lvl w:ilvl="8" w:tplc="04090005" w:tentative="1">
      <w:start w:val="1"/>
      <w:numFmt w:val="bullet"/>
      <w:lvlText w:val=""/>
      <w:lvlJc w:val="left"/>
      <w:pPr>
        <w:ind w:left="4604" w:hanging="480"/>
      </w:pPr>
      <w:rPr>
        <w:rFonts w:ascii="Wingdings" w:hAnsi="Wingdings" w:hint="default"/>
      </w:rPr>
    </w:lvl>
  </w:abstractNum>
  <w:abstractNum w:abstractNumId="3">
    <w:nsid w:val="04F01653"/>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5B06B51"/>
    <w:multiLevelType w:val="hybridMultilevel"/>
    <w:tmpl w:val="4E8A6DA4"/>
    <w:lvl w:ilvl="0" w:tplc="0409000B">
      <w:start w:val="1"/>
      <w:numFmt w:val="bullet"/>
      <w:lvlText w:val=""/>
      <w:lvlJc w:val="left"/>
      <w:pPr>
        <w:tabs>
          <w:tab w:val="num" w:pos="720"/>
        </w:tabs>
        <w:ind w:left="720" w:hanging="480"/>
      </w:pPr>
      <w:rPr>
        <w:rFonts w:ascii="Wingdings" w:hAnsi="Wingdings" w:hint="default"/>
      </w:rPr>
    </w:lvl>
    <w:lvl w:ilvl="1" w:tplc="04090019">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5">
    <w:nsid w:val="075B5D15"/>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1276"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
    <w:nsid w:val="07F62641"/>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0A54C49"/>
    <w:multiLevelType w:val="hybridMultilevel"/>
    <w:tmpl w:val="C682F6D4"/>
    <w:lvl w:ilvl="0" w:tplc="62DAD66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0B8122D"/>
    <w:multiLevelType w:val="hybridMultilevel"/>
    <w:tmpl w:val="06681B94"/>
    <w:lvl w:ilvl="0" w:tplc="0409000B">
      <w:start w:val="1"/>
      <w:numFmt w:val="bullet"/>
      <w:lvlText w:val=""/>
      <w:lvlJc w:val="left"/>
      <w:pPr>
        <w:ind w:left="1682" w:hanging="480"/>
      </w:pPr>
      <w:rPr>
        <w:rFonts w:ascii="Wingdings" w:hAnsi="Wingdings" w:hint="default"/>
      </w:rPr>
    </w:lvl>
    <w:lvl w:ilvl="1" w:tplc="04090003" w:tentative="1">
      <w:start w:val="1"/>
      <w:numFmt w:val="bullet"/>
      <w:lvlText w:val=""/>
      <w:lvlJc w:val="left"/>
      <w:pPr>
        <w:ind w:left="2162" w:hanging="480"/>
      </w:pPr>
      <w:rPr>
        <w:rFonts w:ascii="Wingdings" w:hAnsi="Wingdings" w:hint="default"/>
      </w:rPr>
    </w:lvl>
    <w:lvl w:ilvl="2" w:tplc="04090005" w:tentative="1">
      <w:start w:val="1"/>
      <w:numFmt w:val="bullet"/>
      <w:lvlText w:val=""/>
      <w:lvlJc w:val="left"/>
      <w:pPr>
        <w:ind w:left="2642" w:hanging="480"/>
      </w:pPr>
      <w:rPr>
        <w:rFonts w:ascii="Wingdings" w:hAnsi="Wingdings" w:hint="default"/>
      </w:rPr>
    </w:lvl>
    <w:lvl w:ilvl="3" w:tplc="04090001" w:tentative="1">
      <w:start w:val="1"/>
      <w:numFmt w:val="bullet"/>
      <w:lvlText w:val=""/>
      <w:lvlJc w:val="left"/>
      <w:pPr>
        <w:ind w:left="3122" w:hanging="480"/>
      </w:pPr>
      <w:rPr>
        <w:rFonts w:ascii="Wingdings" w:hAnsi="Wingdings" w:hint="default"/>
      </w:rPr>
    </w:lvl>
    <w:lvl w:ilvl="4" w:tplc="04090003" w:tentative="1">
      <w:start w:val="1"/>
      <w:numFmt w:val="bullet"/>
      <w:lvlText w:val=""/>
      <w:lvlJc w:val="left"/>
      <w:pPr>
        <w:ind w:left="3602" w:hanging="480"/>
      </w:pPr>
      <w:rPr>
        <w:rFonts w:ascii="Wingdings" w:hAnsi="Wingdings" w:hint="default"/>
      </w:rPr>
    </w:lvl>
    <w:lvl w:ilvl="5" w:tplc="04090005" w:tentative="1">
      <w:start w:val="1"/>
      <w:numFmt w:val="bullet"/>
      <w:lvlText w:val=""/>
      <w:lvlJc w:val="left"/>
      <w:pPr>
        <w:ind w:left="4082" w:hanging="480"/>
      </w:pPr>
      <w:rPr>
        <w:rFonts w:ascii="Wingdings" w:hAnsi="Wingdings" w:hint="default"/>
      </w:rPr>
    </w:lvl>
    <w:lvl w:ilvl="6" w:tplc="04090001" w:tentative="1">
      <w:start w:val="1"/>
      <w:numFmt w:val="bullet"/>
      <w:lvlText w:val=""/>
      <w:lvlJc w:val="left"/>
      <w:pPr>
        <w:ind w:left="4562" w:hanging="480"/>
      </w:pPr>
      <w:rPr>
        <w:rFonts w:ascii="Wingdings" w:hAnsi="Wingdings" w:hint="default"/>
      </w:rPr>
    </w:lvl>
    <w:lvl w:ilvl="7" w:tplc="04090003" w:tentative="1">
      <w:start w:val="1"/>
      <w:numFmt w:val="bullet"/>
      <w:lvlText w:val=""/>
      <w:lvlJc w:val="left"/>
      <w:pPr>
        <w:ind w:left="5042" w:hanging="480"/>
      </w:pPr>
      <w:rPr>
        <w:rFonts w:ascii="Wingdings" w:hAnsi="Wingdings" w:hint="default"/>
      </w:rPr>
    </w:lvl>
    <w:lvl w:ilvl="8" w:tplc="04090005" w:tentative="1">
      <w:start w:val="1"/>
      <w:numFmt w:val="bullet"/>
      <w:lvlText w:val=""/>
      <w:lvlJc w:val="left"/>
      <w:pPr>
        <w:ind w:left="5522" w:hanging="480"/>
      </w:pPr>
      <w:rPr>
        <w:rFonts w:ascii="Wingdings" w:hAnsi="Wingdings" w:hint="default"/>
      </w:rPr>
    </w:lvl>
  </w:abstractNum>
  <w:abstractNum w:abstractNumId="9">
    <w:nsid w:val="11FE64F5"/>
    <w:multiLevelType w:val="hybridMultilevel"/>
    <w:tmpl w:val="AF4ECDCC"/>
    <w:lvl w:ilvl="0" w:tplc="6E24B238">
      <w:start w:val="1"/>
      <w:numFmt w:val="decimal"/>
      <w:lvlText w:val="（%1）"/>
      <w:lvlJc w:val="left"/>
      <w:pPr>
        <w:tabs>
          <w:tab w:val="num" w:pos="480"/>
        </w:tabs>
        <w:ind w:left="480" w:hanging="480"/>
      </w:pPr>
      <w:rPr>
        <w:rFonts w:hint="eastAsia"/>
        <w:b w:val="0"/>
        <w:sz w:val="26"/>
        <w:szCs w:val="26"/>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14360CF1"/>
    <w:multiLevelType w:val="hybridMultilevel"/>
    <w:tmpl w:val="6CC0A178"/>
    <w:lvl w:ilvl="0" w:tplc="6F3E135A">
      <w:start w:val="1"/>
      <w:numFmt w:val="taiwaneseCountingThousand"/>
      <w:lvlText w:val="%1、"/>
      <w:lvlJc w:val="left"/>
      <w:pPr>
        <w:tabs>
          <w:tab w:val="num" w:pos="720"/>
        </w:tabs>
        <w:ind w:left="720" w:hanging="720"/>
      </w:pPr>
      <w:rPr>
        <w:rFonts w:ascii="標楷體" w:eastAsia="標楷體" w:hAnsi="標楷體" w:cs="Times New Roman"/>
      </w:rPr>
    </w:lvl>
    <w:lvl w:ilvl="1" w:tplc="04090001">
      <w:start w:val="1"/>
      <w:numFmt w:val="bullet"/>
      <w:lvlText w:val=""/>
      <w:lvlJc w:val="left"/>
      <w:pPr>
        <w:tabs>
          <w:tab w:val="num" w:pos="960"/>
        </w:tabs>
        <w:ind w:left="960" w:hanging="480"/>
      </w:pPr>
      <w:rPr>
        <w:rFonts w:ascii="Wingdings" w:hAnsi="Wingdings" w:hint="default"/>
      </w:rPr>
    </w:lvl>
    <w:lvl w:ilvl="2" w:tplc="8CDC6EAA">
      <w:start w:val="1"/>
      <w:numFmt w:val="bullet"/>
      <w:lvlText w:val="※"/>
      <w:lvlJc w:val="left"/>
      <w:pPr>
        <w:tabs>
          <w:tab w:val="num" w:pos="1320"/>
        </w:tabs>
        <w:ind w:left="1320" w:hanging="360"/>
      </w:pPr>
      <w:rPr>
        <w:rFonts w:ascii="標楷體" w:eastAsia="標楷體" w:hAnsi="標楷體" w:cs="Times New Roman" w:hint="eastAsia"/>
      </w:rPr>
    </w:lvl>
    <w:lvl w:ilvl="3" w:tplc="B58C6E3A">
      <w:start w:val="1"/>
      <w:numFmt w:val="decimal"/>
      <w:lvlText w:val="%4."/>
      <w:lvlJc w:val="left"/>
      <w:pPr>
        <w:tabs>
          <w:tab w:val="num" w:pos="1800"/>
        </w:tabs>
        <w:ind w:left="1800" w:hanging="360"/>
      </w:pPr>
      <w:rPr>
        <w:rFonts w:ascii="Times New Roman" w:hAnsi="Times New Roman" w:hint="default"/>
        <w:u w:val="none"/>
      </w:rPr>
    </w:lvl>
    <w:lvl w:ilvl="4" w:tplc="8CAAFB3C">
      <w:start w:val="3"/>
      <w:numFmt w:val="taiwaneseCountingThousand"/>
      <w:lvlText w:val="（%5）"/>
      <w:lvlJc w:val="left"/>
      <w:pPr>
        <w:tabs>
          <w:tab w:val="num" w:pos="2775"/>
        </w:tabs>
        <w:ind w:left="2775" w:hanging="855"/>
      </w:pPr>
      <w:rPr>
        <w:rFonts w:hint="default"/>
      </w:rPr>
    </w:lvl>
    <w:lvl w:ilvl="5" w:tplc="017C29AA">
      <w:start w:val="1"/>
      <w:numFmt w:val="decimal"/>
      <w:lvlText w:val="（%6）"/>
      <w:lvlJc w:val="left"/>
      <w:pPr>
        <w:tabs>
          <w:tab w:val="num" w:pos="3120"/>
        </w:tabs>
        <w:ind w:left="3120" w:hanging="720"/>
      </w:pPr>
      <w:rPr>
        <w:rFonts w:hint="default"/>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15522802"/>
    <w:multiLevelType w:val="hybridMultilevel"/>
    <w:tmpl w:val="330E0290"/>
    <w:lvl w:ilvl="0" w:tplc="04090005">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12">
    <w:nsid w:val="1741525A"/>
    <w:multiLevelType w:val="hybridMultilevel"/>
    <w:tmpl w:val="3C783EB0"/>
    <w:lvl w:ilvl="0" w:tplc="10D62DEE">
      <w:start w:val="1"/>
      <w:numFmt w:val="decimal"/>
      <w:lvlText w:val="（%1）"/>
      <w:lvlJc w:val="left"/>
      <w:pPr>
        <w:ind w:left="96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480"/>
        </w:tabs>
        <w:ind w:left="-480" w:hanging="480"/>
      </w:pPr>
    </w:lvl>
    <w:lvl w:ilvl="3" w:tplc="0409000F" w:tentative="1">
      <w:start w:val="1"/>
      <w:numFmt w:val="decimal"/>
      <w:lvlText w:val="%4."/>
      <w:lvlJc w:val="left"/>
      <w:pPr>
        <w:tabs>
          <w:tab w:val="num" w:pos="0"/>
        </w:tabs>
        <w:ind w:left="0" w:hanging="480"/>
      </w:pPr>
    </w:lvl>
    <w:lvl w:ilvl="4" w:tplc="04090019" w:tentative="1">
      <w:start w:val="1"/>
      <w:numFmt w:val="ideographTraditional"/>
      <w:lvlText w:val="%5、"/>
      <w:lvlJc w:val="left"/>
      <w:pPr>
        <w:tabs>
          <w:tab w:val="num" w:pos="480"/>
        </w:tabs>
        <w:ind w:left="480" w:hanging="480"/>
      </w:pPr>
    </w:lvl>
    <w:lvl w:ilvl="5" w:tplc="0409001B" w:tentative="1">
      <w:start w:val="1"/>
      <w:numFmt w:val="lowerRoman"/>
      <w:lvlText w:val="%6."/>
      <w:lvlJc w:val="right"/>
      <w:pPr>
        <w:tabs>
          <w:tab w:val="num" w:pos="960"/>
        </w:tabs>
        <w:ind w:left="960" w:hanging="480"/>
      </w:pPr>
    </w:lvl>
    <w:lvl w:ilvl="6" w:tplc="0409000F" w:tentative="1">
      <w:start w:val="1"/>
      <w:numFmt w:val="decimal"/>
      <w:lvlText w:val="%7."/>
      <w:lvlJc w:val="left"/>
      <w:pPr>
        <w:tabs>
          <w:tab w:val="num" w:pos="1440"/>
        </w:tabs>
        <w:ind w:left="1440" w:hanging="480"/>
      </w:pPr>
    </w:lvl>
    <w:lvl w:ilvl="7" w:tplc="04090019" w:tentative="1">
      <w:start w:val="1"/>
      <w:numFmt w:val="ideographTraditional"/>
      <w:lvlText w:val="%8、"/>
      <w:lvlJc w:val="left"/>
      <w:pPr>
        <w:tabs>
          <w:tab w:val="num" w:pos="1920"/>
        </w:tabs>
        <w:ind w:left="1920" w:hanging="480"/>
      </w:pPr>
    </w:lvl>
    <w:lvl w:ilvl="8" w:tplc="0409001B" w:tentative="1">
      <w:start w:val="1"/>
      <w:numFmt w:val="lowerRoman"/>
      <w:lvlText w:val="%9."/>
      <w:lvlJc w:val="right"/>
      <w:pPr>
        <w:tabs>
          <w:tab w:val="num" w:pos="2400"/>
        </w:tabs>
        <w:ind w:left="2400" w:hanging="480"/>
      </w:pPr>
    </w:lvl>
  </w:abstractNum>
  <w:abstractNum w:abstractNumId="13">
    <w:nsid w:val="178174EF"/>
    <w:multiLevelType w:val="hybridMultilevel"/>
    <w:tmpl w:val="9B34AA70"/>
    <w:lvl w:ilvl="0" w:tplc="E1D0AB32">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7861649"/>
    <w:multiLevelType w:val="hybridMultilevel"/>
    <w:tmpl w:val="9B5490BA"/>
    <w:lvl w:ilvl="0" w:tplc="24AE841C">
      <w:start w:val="1"/>
      <w:numFmt w:val="decimal"/>
      <w:lvlText w:val="%1."/>
      <w:lvlJc w:val="left"/>
      <w:pPr>
        <w:ind w:left="1200" w:hanging="480"/>
      </w:pPr>
      <w:rPr>
        <w:rFont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5">
    <w:nsid w:val="196741CE"/>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6">
    <w:nsid w:val="1BCD4B3B"/>
    <w:multiLevelType w:val="hybridMultilevel"/>
    <w:tmpl w:val="B79C70A2"/>
    <w:lvl w:ilvl="0" w:tplc="B8DA166C">
      <w:start w:val="1"/>
      <w:numFmt w:val="decimal"/>
      <w:lvlText w:val="（%1）"/>
      <w:lvlJc w:val="left"/>
      <w:pPr>
        <w:ind w:left="28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nsid w:val="1C5A6142"/>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8">
    <w:nsid w:val="1D40531C"/>
    <w:multiLevelType w:val="hybridMultilevel"/>
    <w:tmpl w:val="524A66CC"/>
    <w:lvl w:ilvl="0" w:tplc="2DEC3836">
      <w:start w:val="1"/>
      <w:numFmt w:val="bullet"/>
      <w:lvlText w:val=""/>
      <w:lvlJc w:val="left"/>
      <w:pPr>
        <w:ind w:left="1200" w:hanging="480"/>
      </w:pPr>
      <w:rPr>
        <w:rFonts w:ascii="Wingdings" w:hAnsi="Wingdings" w:hint="default"/>
        <w:color w:val="auto"/>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9">
    <w:nsid w:val="210A2FA2"/>
    <w:multiLevelType w:val="hybridMultilevel"/>
    <w:tmpl w:val="94AE5132"/>
    <w:lvl w:ilvl="0" w:tplc="628052C2">
      <w:start w:val="1"/>
      <w:numFmt w:val="taiwaneseCountingThousand"/>
      <w:lvlText w:val="(%1)"/>
      <w:lvlJc w:val="left"/>
      <w:pPr>
        <w:ind w:left="1440" w:hanging="480"/>
      </w:pPr>
      <w:rPr>
        <w:rFonts w:ascii="標楷體" w:eastAsia="標楷體" w:hAnsi="標楷體" w:hint="default"/>
        <w:sz w:val="32"/>
        <w:szCs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7E959B0"/>
    <w:multiLevelType w:val="hybridMultilevel"/>
    <w:tmpl w:val="167E3A76"/>
    <w:lvl w:ilvl="0" w:tplc="E2E0715C">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B312817"/>
    <w:multiLevelType w:val="hybridMultilevel"/>
    <w:tmpl w:val="60E6F1BE"/>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2C724A07"/>
    <w:multiLevelType w:val="hybridMultilevel"/>
    <w:tmpl w:val="73588C5C"/>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2CEB6FA8"/>
    <w:multiLevelType w:val="hybridMultilevel"/>
    <w:tmpl w:val="A3184A6C"/>
    <w:lvl w:ilvl="0" w:tplc="E13AF5EE">
      <w:start w:val="1"/>
      <w:numFmt w:val="decimal"/>
      <w:lvlText w:val="%1、"/>
      <w:lvlJc w:val="left"/>
      <w:pPr>
        <w:ind w:left="119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D4A223A"/>
    <w:multiLevelType w:val="multilevel"/>
    <w:tmpl w:val="7EB43F0E"/>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25">
    <w:nsid w:val="2DF133C9"/>
    <w:multiLevelType w:val="hybridMultilevel"/>
    <w:tmpl w:val="C8167ED0"/>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2E0F3F51"/>
    <w:multiLevelType w:val="hybridMultilevel"/>
    <w:tmpl w:val="A9D4D2C8"/>
    <w:lvl w:ilvl="0" w:tplc="04090009">
      <w:start w:val="1"/>
      <w:numFmt w:val="bullet"/>
      <w:lvlText w:val=""/>
      <w:lvlJc w:val="left"/>
      <w:pPr>
        <w:tabs>
          <w:tab w:val="num" w:pos="1272"/>
        </w:tabs>
        <w:ind w:left="1272" w:hanging="360"/>
      </w:pPr>
      <w:rPr>
        <w:rFonts w:ascii="Wingdings" w:hAnsi="Wingdings" w:hint="default"/>
      </w:rPr>
    </w:lvl>
    <w:lvl w:ilvl="1" w:tplc="04090003" w:tentative="1">
      <w:start w:val="1"/>
      <w:numFmt w:val="bullet"/>
      <w:lvlText w:val="o"/>
      <w:lvlJc w:val="left"/>
      <w:pPr>
        <w:tabs>
          <w:tab w:val="num" w:pos="1992"/>
        </w:tabs>
        <w:ind w:left="1992" w:hanging="360"/>
      </w:pPr>
      <w:rPr>
        <w:rFonts w:ascii="Courier New" w:hAnsi="Courier New" w:cs="Courier New" w:hint="default"/>
      </w:rPr>
    </w:lvl>
    <w:lvl w:ilvl="2" w:tplc="04090005" w:tentative="1">
      <w:start w:val="1"/>
      <w:numFmt w:val="bullet"/>
      <w:lvlText w:val=""/>
      <w:lvlJc w:val="left"/>
      <w:pPr>
        <w:tabs>
          <w:tab w:val="num" w:pos="2712"/>
        </w:tabs>
        <w:ind w:left="2712" w:hanging="360"/>
      </w:pPr>
      <w:rPr>
        <w:rFonts w:ascii="Wingdings" w:hAnsi="Wingdings" w:hint="default"/>
      </w:rPr>
    </w:lvl>
    <w:lvl w:ilvl="3" w:tplc="04090001" w:tentative="1">
      <w:start w:val="1"/>
      <w:numFmt w:val="bullet"/>
      <w:lvlText w:val=""/>
      <w:lvlJc w:val="left"/>
      <w:pPr>
        <w:tabs>
          <w:tab w:val="num" w:pos="3432"/>
        </w:tabs>
        <w:ind w:left="3432" w:hanging="360"/>
      </w:pPr>
      <w:rPr>
        <w:rFonts w:ascii="Symbol" w:hAnsi="Symbol" w:hint="default"/>
      </w:rPr>
    </w:lvl>
    <w:lvl w:ilvl="4" w:tplc="04090003" w:tentative="1">
      <w:start w:val="1"/>
      <w:numFmt w:val="bullet"/>
      <w:lvlText w:val="o"/>
      <w:lvlJc w:val="left"/>
      <w:pPr>
        <w:tabs>
          <w:tab w:val="num" w:pos="4152"/>
        </w:tabs>
        <w:ind w:left="4152" w:hanging="360"/>
      </w:pPr>
      <w:rPr>
        <w:rFonts w:ascii="Courier New" w:hAnsi="Courier New" w:cs="Courier New" w:hint="default"/>
      </w:rPr>
    </w:lvl>
    <w:lvl w:ilvl="5" w:tplc="04090005" w:tentative="1">
      <w:start w:val="1"/>
      <w:numFmt w:val="bullet"/>
      <w:lvlText w:val=""/>
      <w:lvlJc w:val="left"/>
      <w:pPr>
        <w:tabs>
          <w:tab w:val="num" w:pos="4872"/>
        </w:tabs>
        <w:ind w:left="4872" w:hanging="360"/>
      </w:pPr>
      <w:rPr>
        <w:rFonts w:ascii="Wingdings" w:hAnsi="Wingdings" w:hint="default"/>
      </w:rPr>
    </w:lvl>
    <w:lvl w:ilvl="6" w:tplc="04090001" w:tentative="1">
      <w:start w:val="1"/>
      <w:numFmt w:val="bullet"/>
      <w:lvlText w:val=""/>
      <w:lvlJc w:val="left"/>
      <w:pPr>
        <w:tabs>
          <w:tab w:val="num" w:pos="5592"/>
        </w:tabs>
        <w:ind w:left="5592" w:hanging="360"/>
      </w:pPr>
      <w:rPr>
        <w:rFonts w:ascii="Symbol" w:hAnsi="Symbol" w:hint="default"/>
      </w:rPr>
    </w:lvl>
    <w:lvl w:ilvl="7" w:tplc="04090003" w:tentative="1">
      <w:start w:val="1"/>
      <w:numFmt w:val="bullet"/>
      <w:lvlText w:val="o"/>
      <w:lvlJc w:val="left"/>
      <w:pPr>
        <w:tabs>
          <w:tab w:val="num" w:pos="6312"/>
        </w:tabs>
        <w:ind w:left="6312" w:hanging="360"/>
      </w:pPr>
      <w:rPr>
        <w:rFonts w:ascii="Courier New" w:hAnsi="Courier New" w:cs="Courier New" w:hint="default"/>
      </w:rPr>
    </w:lvl>
    <w:lvl w:ilvl="8" w:tplc="04090005" w:tentative="1">
      <w:start w:val="1"/>
      <w:numFmt w:val="bullet"/>
      <w:lvlText w:val=""/>
      <w:lvlJc w:val="left"/>
      <w:pPr>
        <w:tabs>
          <w:tab w:val="num" w:pos="7032"/>
        </w:tabs>
        <w:ind w:left="7032" w:hanging="360"/>
      </w:pPr>
      <w:rPr>
        <w:rFonts w:ascii="Wingdings" w:hAnsi="Wingdings" w:hint="default"/>
      </w:rPr>
    </w:lvl>
  </w:abstractNum>
  <w:abstractNum w:abstractNumId="27">
    <w:nsid w:val="2F5B6E63"/>
    <w:multiLevelType w:val="hybridMultilevel"/>
    <w:tmpl w:val="4F84D6A6"/>
    <w:lvl w:ilvl="0" w:tplc="10D62DEE">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300905ED"/>
    <w:multiLevelType w:val="hybridMultilevel"/>
    <w:tmpl w:val="F6222034"/>
    <w:lvl w:ilvl="0" w:tplc="FBCE9B9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300D2079"/>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19C6435"/>
    <w:multiLevelType w:val="hybridMultilevel"/>
    <w:tmpl w:val="880CDBB4"/>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338309E"/>
    <w:multiLevelType w:val="hybridMultilevel"/>
    <w:tmpl w:val="C53AD2E0"/>
    <w:lvl w:ilvl="0" w:tplc="10D62DEE">
      <w:start w:val="1"/>
      <w:numFmt w:val="decimal"/>
      <w:lvlText w:val="（%1）"/>
      <w:lvlJc w:val="left"/>
      <w:pPr>
        <w:ind w:left="96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480"/>
        </w:tabs>
        <w:ind w:left="-480" w:hanging="480"/>
      </w:pPr>
    </w:lvl>
    <w:lvl w:ilvl="3" w:tplc="0409000F" w:tentative="1">
      <w:start w:val="1"/>
      <w:numFmt w:val="decimal"/>
      <w:lvlText w:val="%4."/>
      <w:lvlJc w:val="left"/>
      <w:pPr>
        <w:tabs>
          <w:tab w:val="num" w:pos="0"/>
        </w:tabs>
        <w:ind w:left="0" w:hanging="480"/>
      </w:pPr>
    </w:lvl>
    <w:lvl w:ilvl="4" w:tplc="04090019" w:tentative="1">
      <w:start w:val="1"/>
      <w:numFmt w:val="ideographTraditional"/>
      <w:lvlText w:val="%5、"/>
      <w:lvlJc w:val="left"/>
      <w:pPr>
        <w:tabs>
          <w:tab w:val="num" w:pos="480"/>
        </w:tabs>
        <w:ind w:left="480" w:hanging="480"/>
      </w:pPr>
    </w:lvl>
    <w:lvl w:ilvl="5" w:tplc="0409001B" w:tentative="1">
      <w:start w:val="1"/>
      <w:numFmt w:val="lowerRoman"/>
      <w:lvlText w:val="%6."/>
      <w:lvlJc w:val="right"/>
      <w:pPr>
        <w:tabs>
          <w:tab w:val="num" w:pos="960"/>
        </w:tabs>
        <w:ind w:left="960" w:hanging="480"/>
      </w:pPr>
    </w:lvl>
    <w:lvl w:ilvl="6" w:tplc="0409000F" w:tentative="1">
      <w:start w:val="1"/>
      <w:numFmt w:val="decimal"/>
      <w:lvlText w:val="%7."/>
      <w:lvlJc w:val="left"/>
      <w:pPr>
        <w:tabs>
          <w:tab w:val="num" w:pos="1440"/>
        </w:tabs>
        <w:ind w:left="1440" w:hanging="480"/>
      </w:pPr>
    </w:lvl>
    <w:lvl w:ilvl="7" w:tplc="04090019" w:tentative="1">
      <w:start w:val="1"/>
      <w:numFmt w:val="ideographTraditional"/>
      <w:lvlText w:val="%8、"/>
      <w:lvlJc w:val="left"/>
      <w:pPr>
        <w:tabs>
          <w:tab w:val="num" w:pos="1920"/>
        </w:tabs>
        <w:ind w:left="1920" w:hanging="480"/>
      </w:pPr>
    </w:lvl>
    <w:lvl w:ilvl="8" w:tplc="0409001B" w:tentative="1">
      <w:start w:val="1"/>
      <w:numFmt w:val="lowerRoman"/>
      <w:lvlText w:val="%9."/>
      <w:lvlJc w:val="right"/>
      <w:pPr>
        <w:tabs>
          <w:tab w:val="num" w:pos="2400"/>
        </w:tabs>
        <w:ind w:left="2400" w:hanging="480"/>
      </w:pPr>
    </w:lvl>
  </w:abstractNum>
  <w:abstractNum w:abstractNumId="32">
    <w:nsid w:val="33824AE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48103B9"/>
    <w:multiLevelType w:val="hybridMultilevel"/>
    <w:tmpl w:val="EF24E640"/>
    <w:lvl w:ilvl="0" w:tplc="04090001">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34">
    <w:nsid w:val="39914019"/>
    <w:multiLevelType w:val="hybridMultilevel"/>
    <w:tmpl w:val="6A3AA2B2"/>
    <w:lvl w:ilvl="0" w:tplc="921019EA">
      <w:start w:val="1"/>
      <w:numFmt w:val="decimal"/>
      <w:lvlText w:val="（%1）"/>
      <w:lvlJc w:val="left"/>
      <w:pPr>
        <w:ind w:left="28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3AF471E5"/>
    <w:multiLevelType w:val="hybridMultilevel"/>
    <w:tmpl w:val="4EF8FF86"/>
    <w:lvl w:ilvl="0" w:tplc="04090003">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6">
    <w:nsid w:val="3CD57C0B"/>
    <w:multiLevelType w:val="hybridMultilevel"/>
    <w:tmpl w:val="25302B72"/>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37">
    <w:nsid w:val="41D54798"/>
    <w:multiLevelType w:val="hybridMultilevel"/>
    <w:tmpl w:val="0F2EC09E"/>
    <w:lvl w:ilvl="0" w:tplc="F7727F7C">
      <w:start w:val="1"/>
      <w:numFmt w:val="decimal"/>
      <w:lvlText w:val="%1、"/>
      <w:lvlJc w:val="left"/>
      <w:pPr>
        <w:ind w:left="1920" w:hanging="48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43CB760B"/>
    <w:multiLevelType w:val="hybridMultilevel"/>
    <w:tmpl w:val="235253A6"/>
    <w:lvl w:ilvl="0" w:tplc="0409000B">
      <w:start w:val="1"/>
      <w:numFmt w:val="bullet"/>
      <w:lvlText w:val=""/>
      <w:lvlJc w:val="left"/>
      <w:pPr>
        <w:ind w:left="1440" w:hanging="480"/>
      </w:pPr>
      <w:rPr>
        <w:rFonts w:ascii="Wingdings" w:hAnsi="Wingdings" w:hint="default"/>
      </w:rPr>
    </w:lvl>
    <w:lvl w:ilvl="1" w:tplc="956A739A">
      <w:start w:val="1"/>
      <w:numFmt w:val="decimal"/>
      <w:lvlText w:val="%2、"/>
      <w:lvlJc w:val="left"/>
      <w:pPr>
        <w:tabs>
          <w:tab w:val="num" w:pos="-960"/>
        </w:tabs>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483B3A7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4C511777"/>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4D947D2C"/>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2">
    <w:nsid w:val="51EB761B"/>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52CB05CB"/>
    <w:multiLevelType w:val="hybridMultilevel"/>
    <w:tmpl w:val="BAD4F904"/>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53FF3007"/>
    <w:multiLevelType w:val="hybridMultilevel"/>
    <w:tmpl w:val="6E902AC8"/>
    <w:lvl w:ilvl="0" w:tplc="956A739A">
      <w:start w:val="1"/>
      <w:numFmt w:val="decimal"/>
      <w:lvlText w:val="%1、"/>
      <w:lvlJc w:val="left"/>
      <w:pPr>
        <w:tabs>
          <w:tab w:val="num" w:pos="-920"/>
        </w:tabs>
        <w:ind w:left="1000" w:hanging="480"/>
      </w:pPr>
      <w:rPr>
        <w:rFont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45">
    <w:nsid w:val="5DA26452"/>
    <w:multiLevelType w:val="multilevel"/>
    <w:tmpl w:val="89782EF4"/>
    <w:lvl w:ilvl="0">
      <w:start w:val="1"/>
      <w:numFmt w:val="ideographLegalTraditional"/>
      <w:pStyle w:val="1"/>
      <w:suff w:val="nothing"/>
      <w:lvlText w:val="第%1章、"/>
      <w:lvlJc w:val="center"/>
      <w:pPr>
        <w:ind w:left="4816"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2、"/>
      <w:lvlJc w:val="left"/>
      <w:pPr>
        <w:ind w:left="687" w:hanging="567"/>
      </w:pPr>
      <w:rPr>
        <w:rFonts w:ascii="標楷體" w:eastAsia="標楷體" w:hAnsi="標楷體" w:hint="eastAsia"/>
        <w:b/>
        <w:color w:val="auto"/>
        <w:sz w:val="40"/>
        <w:szCs w:val="30"/>
        <w:lang w:val="en-US"/>
      </w:rPr>
    </w:lvl>
    <w:lvl w:ilvl="2">
      <w:start w:val="1"/>
      <w:numFmt w:val="taiwaneseCountingThousand"/>
      <w:pStyle w:val="3"/>
      <w:lvlText w:val="(%3)"/>
      <w:lvlJc w:val="left"/>
      <w:pPr>
        <w:ind w:left="1418" w:hanging="567"/>
      </w:pPr>
      <w:rPr>
        <w:rFonts w:hint="default"/>
        <w:b/>
        <w:i w:val="0"/>
        <w:color w:val="auto"/>
        <w:sz w:val="32"/>
        <w:szCs w:val="28"/>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46">
    <w:nsid w:val="5E6E6F36"/>
    <w:multiLevelType w:val="hybridMultilevel"/>
    <w:tmpl w:val="1C0418F0"/>
    <w:lvl w:ilvl="0" w:tplc="400C99B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0B">
      <w:start w:val="1"/>
      <w:numFmt w:val="bullet"/>
      <w:lvlText w:val=""/>
      <w:lvlJc w:val="left"/>
      <w:pPr>
        <w:tabs>
          <w:tab w:val="num" w:pos="1440"/>
        </w:tabs>
        <w:ind w:left="1440" w:hanging="480"/>
      </w:pPr>
      <w:rPr>
        <w:rFonts w:ascii="Wingdings" w:hAnsi="Wingding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5F712E00"/>
    <w:multiLevelType w:val="hybridMultilevel"/>
    <w:tmpl w:val="FFA886AE"/>
    <w:lvl w:ilvl="0" w:tplc="68F4B768">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61AD0671"/>
    <w:multiLevelType w:val="hybridMultilevel"/>
    <w:tmpl w:val="955A07B6"/>
    <w:lvl w:ilvl="0" w:tplc="E2E0715C">
      <w:start w:val="1"/>
      <w:numFmt w:val="decimal"/>
      <w:lvlText w:val="%1、"/>
      <w:lvlJc w:val="left"/>
      <w:pPr>
        <w:ind w:left="192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9">
    <w:nsid w:val="63697D2F"/>
    <w:multiLevelType w:val="hybridMultilevel"/>
    <w:tmpl w:val="865A8D66"/>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64973D9C"/>
    <w:multiLevelType w:val="hybridMultilevel"/>
    <w:tmpl w:val="B092725E"/>
    <w:lvl w:ilvl="0" w:tplc="1AC4123C">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65DC6CF4"/>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2">
    <w:nsid w:val="67031914"/>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68AE2A28"/>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6A145BCA"/>
    <w:multiLevelType w:val="multilevel"/>
    <w:tmpl w:val="17568906"/>
    <w:lvl w:ilvl="0">
      <w:start w:val="3"/>
      <w:numFmt w:val="ideographLegalTraditional"/>
      <w:suff w:val="nothing"/>
      <w:lvlText w:val="%1、"/>
      <w:lvlJc w:val="center"/>
      <w:pPr>
        <w:ind w:left="3197" w:hanging="137"/>
      </w:pPr>
      <w:rPr>
        <w:rFonts w:ascii="Times New Roman" w:eastAsia="標楷體" w:hAnsi="Times New Roman" w:hint="default"/>
        <w:b/>
        <w:i w:val="0"/>
        <w:strike w:val="0"/>
        <w:dstrike w:val="0"/>
        <w:color w:val="000000"/>
        <w:sz w:val="32"/>
        <w:szCs w:val="32"/>
        <w:vertAlign w:val="baseline"/>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start w:val="1"/>
      <w:numFmt w:val="taiwaneseCountingThousand"/>
      <w:suff w:val="nothing"/>
      <w:lvlText w:val="%2、"/>
      <w:lvlJc w:val="left"/>
      <w:pPr>
        <w:ind w:left="992" w:hanging="567"/>
      </w:pPr>
      <w:rPr>
        <w:rFonts w:ascii="Times New Roman" w:eastAsia="標楷體" w:hAnsi="Times New Roman" w:hint="default"/>
        <w:b/>
        <w:i w:val="0"/>
        <w:color w:val="auto"/>
        <w:sz w:val="28"/>
        <w:szCs w:val="28"/>
      </w:rPr>
    </w:lvl>
    <w:lvl w:ilvl="2">
      <w:start w:val="1"/>
      <w:numFmt w:val="taiwaneseCountingThousand"/>
      <w:suff w:val="nothing"/>
      <w:lvlText w:val="(%3)"/>
      <w:lvlJc w:val="left"/>
      <w:pPr>
        <w:ind w:left="1418" w:hanging="567"/>
      </w:pPr>
      <w:rPr>
        <w:rFonts w:ascii="Times New Roman" w:eastAsia="標楷體" w:hAnsi="Times New Roman" w:hint="default"/>
        <w:b/>
        <w:i/>
        <w:color w:val="auto"/>
        <w:sz w:val="28"/>
        <w:szCs w:val="28"/>
      </w:rPr>
    </w:lvl>
    <w:lvl w:ilvl="3">
      <w:start w:val="1"/>
      <w:numFmt w:val="decimal"/>
      <w:lvlText w:val="%4、"/>
      <w:lvlJc w:val="left"/>
      <w:pPr>
        <w:ind w:left="708" w:hanging="708"/>
      </w:pPr>
      <w:rPr>
        <w:rFonts w:hint="default"/>
        <w:b w:val="0"/>
        <w:i w:val="0"/>
        <w:color w:val="auto"/>
        <w:sz w:val="26"/>
        <w:szCs w:val="26"/>
        <w:u w:val="none"/>
      </w:rPr>
    </w:lvl>
    <w:lvl w:ilvl="4">
      <w:start w:val="1"/>
      <w:numFmt w:val="decimal"/>
      <w:suff w:val="nothing"/>
      <w:lvlText w:val="(%5)"/>
      <w:lvlJc w:val="left"/>
      <w:pPr>
        <w:ind w:left="2551" w:hanging="850"/>
      </w:pPr>
      <w:rPr>
        <w:rFonts w:ascii="Times New Roman" w:eastAsia="標楷體" w:hAnsi="Times New Roman" w:hint="default"/>
        <w:b w:val="0"/>
        <w:i/>
        <w:sz w:val="26"/>
        <w:szCs w:val="26"/>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5">
    <w:nsid w:val="6B7F4426"/>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56">
    <w:nsid w:val="6BC71283"/>
    <w:multiLevelType w:val="hybridMultilevel"/>
    <w:tmpl w:val="6CE05318"/>
    <w:lvl w:ilvl="0" w:tplc="2DEC3836">
      <w:start w:val="1"/>
      <w:numFmt w:val="bullet"/>
      <w:lvlText w:val=""/>
      <w:lvlJc w:val="left"/>
      <w:pPr>
        <w:tabs>
          <w:tab w:val="num" w:pos="1200"/>
        </w:tabs>
        <w:ind w:left="1200" w:hanging="480"/>
      </w:pPr>
      <w:rPr>
        <w:rFonts w:ascii="Wingdings" w:hAnsi="Wingdings" w:hint="default"/>
        <w:color w:val="auto"/>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57">
    <w:nsid w:val="6BEF0F3D"/>
    <w:multiLevelType w:val="hybridMultilevel"/>
    <w:tmpl w:val="7C4CFF62"/>
    <w:lvl w:ilvl="0" w:tplc="04090015">
      <w:start w:val="1"/>
      <w:numFmt w:val="taiwaneseCountingThousand"/>
      <w:lvlText w:val="%1、"/>
      <w:lvlJc w:val="left"/>
      <w:pPr>
        <w:tabs>
          <w:tab w:val="num" w:pos="720"/>
        </w:tabs>
        <w:ind w:left="720" w:hanging="480"/>
      </w:pPr>
    </w:lvl>
    <w:lvl w:ilvl="1" w:tplc="04090019">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58">
    <w:nsid w:val="6DF10A7C"/>
    <w:multiLevelType w:val="hybridMultilevel"/>
    <w:tmpl w:val="C9C4F644"/>
    <w:lvl w:ilvl="0" w:tplc="04090003">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59">
    <w:nsid w:val="6E200040"/>
    <w:multiLevelType w:val="hybridMultilevel"/>
    <w:tmpl w:val="B2144692"/>
    <w:lvl w:ilvl="0" w:tplc="93940582">
      <w:start w:val="1"/>
      <w:numFmt w:val="decimal"/>
      <w:lvlText w:val="%1、"/>
      <w:lvlJc w:val="left"/>
      <w:pPr>
        <w:ind w:left="192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729F1730"/>
    <w:multiLevelType w:val="hybridMultilevel"/>
    <w:tmpl w:val="5D5C27B0"/>
    <w:lvl w:ilvl="0" w:tplc="0068E5D6">
      <w:start w:val="1"/>
      <w:numFmt w:val="decimal"/>
      <w:lvlText w:val="%1、"/>
      <w:lvlJc w:val="left"/>
      <w:pPr>
        <w:ind w:left="1920" w:hanging="480"/>
      </w:pPr>
      <w:rPr>
        <w:rFonts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764801A8"/>
    <w:multiLevelType w:val="hybridMultilevel"/>
    <w:tmpl w:val="A300A1EC"/>
    <w:lvl w:ilvl="0" w:tplc="8CDC6EAA">
      <w:start w:val="1"/>
      <w:numFmt w:val="bullet"/>
      <w:lvlText w:val="※"/>
      <w:lvlJc w:val="left"/>
      <w:pPr>
        <w:tabs>
          <w:tab w:val="num" w:pos="840"/>
        </w:tabs>
        <w:ind w:left="840" w:hanging="480"/>
      </w:pPr>
      <w:rPr>
        <w:rFonts w:ascii="標楷體" w:eastAsia="標楷體" w:hAnsi="標楷體" w:cs="Times New Roman" w:hint="eastAsia"/>
        <w:lang w:val="en-U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78BE6A73"/>
    <w:multiLevelType w:val="hybridMultilevel"/>
    <w:tmpl w:val="21F871C2"/>
    <w:lvl w:ilvl="0" w:tplc="DBCCA806">
      <w:start w:val="1"/>
      <w:numFmt w:val="taiwaneseCountingThousand"/>
      <w:lvlText w:val="(%1)"/>
      <w:lvlJc w:val="left"/>
      <w:pPr>
        <w:ind w:left="1440" w:hanging="480"/>
      </w:pPr>
      <w:rPr>
        <w:rFonts w:asci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7C1E58C7"/>
    <w:multiLevelType w:val="multilevel"/>
    <w:tmpl w:val="ECB210CE"/>
    <w:lvl w:ilvl="0">
      <w:start w:val="1"/>
      <w:numFmt w:val="ideographLegalTraditional"/>
      <w:suff w:val="nothing"/>
      <w:lvlText w:val="第%1章、"/>
      <w:lvlJc w:val="center"/>
      <w:pPr>
        <w:ind w:left="137" w:hanging="137"/>
      </w:pPr>
      <w:rPr>
        <w:rFonts w:ascii="Times New Roman" w:eastAsia="標楷體" w:hAnsi="Times New Roman" w:hint="default"/>
        <w:b/>
        <w:i w:val="0"/>
        <w:strike w:val="0"/>
        <w:dstrike w:val="0"/>
        <w:color w:val="000000"/>
        <w:sz w:val="56"/>
        <w:szCs w:val="5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pPr>
        <w:ind w:left="687" w:hanging="567"/>
      </w:pPr>
      <w:rPr>
        <w:rFonts w:hint="eastAsia"/>
        <w:b/>
        <w:color w:val="auto"/>
        <w:sz w:val="36"/>
        <w:szCs w:val="32"/>
        <w:u w:val="none"/>
        <w:lang w:val="en-US"/>
      </w:rPr>
    </w:lvl>
    <w:lvl w:ilvl="2">
      <w:start w:val="1"/>
      <w:numFmt w:val="taiwaneseCountingThousand"/>
      <w:lvlText w:val="(%3)"/>
      <w:lvlJc w:val="left"/>
      <w:pPr>
        <w:ind w:left="1418" w:hanging="567"/>
      </w:pPr>
      <w:rPr>
        <w:rFonts w:hint="default"/>
        <w:b/>
        <w:i w:val="0"/>
        <w:color w:val="auto"/>
        <w:sz w:val="32"/>
        <w:szCs w:val="28"/>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64">
    <w:nsid w:val="7C5E75B3"/>
    <w:multiLevelType w:val="hybridMultilevel"/>
    <w:tmpl w:val="07B61A4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nsid w:val="7CC261D7"/>
    <w:multiLevelType w:val="hybridMultilevel"/>
    <w:tmpl w:val="B2144692"/>
    <w:lvl w:ilvl="0" w:tplc="93940582">
      <w:start w:val="1"/>
      <w:numFmt w:val="decimal"/>
      <w:lvlText w:val="%1、"/>
      <w:lvlJc w:val="left"/>
      <w:pPr>
        <w:ind w:left="192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7DC7087F"/>
    <w:multiLevelType w:val="hybridMultilevel"/>
    <w:tmpl w:val="5686CB3A"/>
    <w:lvl w:ilvl="0" w:tplc="10D62DEE">
      <w:start w:val="1"/>
      <w:numFmt w:val="decimal"/>
      <w:lvlText w:val="（%1）"/>
      <w:lvlJc w:val="left"/>
      <w:pPr>
        <w:ind w:left="96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480"/>
        </w:tabs>
        <w:ind w:left="-480" w:hanging="480"/>
      </w:pPr>
    </w:lvl>
    <w:lvl w:ilvl="3" w:tplc="0409000F" w:tentative="1">
      <w:start w:val="1"/>
      <w:numFmt w:val="decimal"/>
      <w:lvlText w:val="%4."/>
      <w:lvlJc w:val="left"/>
      <w:pPr>
        <w:tabs>
          <w:tab w:val="num" w:pos="0"/>
        </w:tabs>
        <w:ind w:left="0" w:hanging="480"/>
      </w:pPr>
    </w:lvl>
    <w:lvl w:ilvl="4" w:tplc="04090019" w:tentative="1">
      <w:start w:val="1"/>
      <w:numFmt w:val="ideographTraditional"/>
      <w:lvlText w:val="%5、"/>
      <w:lvlJc w:val="left"/>
      <w:pPr>
        <w:tabs>
          <w:tab w:val="num" w:pos="480"/>
        </w:tabs>
        <w:ind w:left="480" w:hanging="480"/>
      </w:pPr>
    </w:lvl>
    <w:lvl w:ilvl="5" w:tplc="0409001B" w:tentative="1">
      <w:start w:val="1"/>
      <w:numFmt w:val="lowerRoman"/>
      <w:lvlText w:val="%6."/>
      <w:lvlJc w:val="right"/>
      <w:pPr>
        <w:tabs>
          <w:tab w:val="num" w:pos="960"/>
        </w:tabs>
        <w:ind w:left="960" w:hanging="480"/>
      </w:pPr>
    </w:lvl>
    <w:lvl w:ilvl="6" w:tplc="0409000F" w:tentative="1">
      <w:start w:val="1"/>
      <w:numFmt w:val="decimal"/>
      <w:lvlText w:val="%7."/>
      <w:lvlJc w:val="left"/>
      <w:pPr>
        <w:tabs>
          <w:tab w:val="num" w:pos="1440"/>
        </w:tabs>
        <w:ind w:left="1440" w:hanging="480"/>
      </w:pPr>
    </w:lvl>
    <w:lvl w:ilvl="7" w:tplc="04090019" w:tentative="1">
      <w:start w:val="1"/>
      <w:numFmt w:val="ideographTraditional"/>
      <w:lvlText w:val="%8、"/>
      <w:lvlJc w:val="left"/>
      <w:pPr>
        <w:tabs>
          <w:tab w:val="num" w:pos="1920"/>
        </w:tabs>
        <w:ind w:left="1920" w:hanging="480"/>
      </w:pPr>
    </w:lvl>
    <w:lvl w:ilvl="8" w:tplc="0409001B" w:tentative="1">
      <w:start w:val="1"/>
      <w:numFmt w:val="lowerRoman"/>
      <w:lvlText w:val="%9."/>
      <w:lvlJc w:val="right"/>
      <w:pPr>
        <w:tabs>
          <w:tab w:val="num" w:pos="2400"/>
        </w:tabs>
        <w:ind w:left="2400" w:hanging="480"/>
      </w:pPr>
    </w:lvl>
  </w:abstractNum>
  <w:abstractNum w:abstractNumId="67">
    <w:nsid w:val="7EEA2F65"/>
    <w:multiLevelType w:val="hybridMultilevel"/>
    <w:tmpl w:val="EB78036E"/>
    <w:lvl w:ilvl="0" w:tplc="0409000B">
      <w:start w:val="1"/>
      <w:numFmt w:val="bullet"/>
      <w:lvlText w:val=""/>
      <w:lvlJc w:val="left"/>
      <w:pPr>
        <w:tabs>
          <w:tab w:val="num" w:pos="720"/>
        </w:tabs>
        <w:ind w:left="72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45"/>
  </w:num>
  <w:num w:numId="3">
    <w:abstractNumId w:val="61"/>
  </w:num>
  <w:num w:numId="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55"/>
  </w:num>
  <w:num w:numId="7">
    <w:abstractNumId w:val="46"/>
  </w:num>
  <w:num w:numId="8">
    <w:abstractNumId w:val="0"/>
  </w:num>
  <w:num w:numId="9">
    <w:abstractNumId w:val="25"/>
  </w:num>
  <w:num w:numId="10">
    <w:abstractNumId w:val="62"/>
  </w:num>
  <w:num w:numId="11">
    <w:abstractNumId w:val="41"/>
  </w:num>
  <w:num w:numId="12">
    <w:abstractNumId w:val="19"/>
  </w:num>
  <w:num w:numId="13">
    <w:abstractNumId w:val="38"/>
  </w:num>
  <w:num w:numId="14">
    <w:abstractNumId w:val="30"/>
  </w:num>
  <w:num w:numId="15">
    <w:abstractNumId w:val="37"/>
  </w:num>
  <w:num w:numId="16">
    <w:abstractNumId w:val="60"/>
  </w:num>
  <w:num w:numId="17">
    <w:abstractNumId w:val="40"/>
  </w:num>
  <w:num w:numId="18">
    <w:abstractNumId w:val="63"/>
  </w:num>
  <w:num w:numId="19">
    <w:abstractNumId w:val="49"/>
  </w:num>
  <w:num w:numId="20">
    <w:abstractNumId w:val="36"/>
  </w:num>
  <w:num w:numId="21">
    <w:abstractNumId w:val="58"/>
  </w:num>
  <w:num w:numId="22">
    <w:abstractNumId w:val="53"/>
  </w:num>
  <w:num w:numId="23">
    <w:abstractNumId w:val="1"/>
  </w:num>
  <w:num w:numId="24">
    <w:abstractNumId w:val="42"/>
  </w:num>
  <w:num w:numId="25">
    <w:abstractNumId w:val="3"/>
  </w:num>
  <w:num w:numId="26">
    <w:abstractNumId w:val="52"/>
  </w:num>
  <w:num w:numId="27">
    <w:abstractNumId w:val="39"/>
  </w:num>
  <w:num w:numId="28">
    <w:abstractNumId w:val="5"/>
  </w:num>
  <w:num w:numId="29">
    <w:abstractNumId w:val="6"/>
  </w:num>
  <w:num w:numId="30">
    <w:abstractNumId w:val="32"/>
  </w:num>
  <w:num w:numId="31">
    <w:abstractNumId w:val="51"/>
  </w:num>
  <w:num w:numId="32">
    <w:abstractNumId w:val="17"/>
  </w:num>
  <w:num w:numId="33">
    <w:abstractNumId w:val="43"/>
  </w:num>
  <w:num w:numId="34">
    <w:abstractNumId w:val="59"/>
  </w:num>
  <w:num w:numId="35">
    <w:abstractNumId w:val="29"/>
  </w:num>
  <w:num w:numId="36">
    <w:abstractNumId w:val="65"/>
  </w:num>
  <w:num w:numId="37">
    <w:abstractNumId w:val="15"/>
  </w:num>
  <w:num w:numId="38">
    <w:abstractNumId w:val="54"/>
  </w:num>
  <w:num w:numId="39">
    <w:abstractNumId w:val="11"/>
  </w:num>
  <w:num w:numId="40">
    <w:abstractNumId w:val="50"/>
  </w:num>
  <w:num w:numId="41">
    <w:abstractNumId w:val="20"/>
  </w:num>
  <w:num w:numId="42">
    <w:abstractNumId w:val="23"/>
  </w:num>
  <w:num w:numId="43">
    <w:abstractNumId w:val="7"/>
  </w:num>
  <w:num w:numId="44">
    <w:abstractNumId w:val="64"/>
  </w:num>
  <w:num w:numId="45">
    <w:abstractNumId w:val="28"/>
  </w:num>
  <w:num w:numId="46">
    <w:abstractNumId w:val="24"/>
  </w:num>
  <w:num w:numId="47">
    <w:abstractNumId w:val="22"/>
  </w:num>
  <w:num w:numId="48">
    <w:abstractNumId w:val="34"/>
  </w:num>
  <w:num w:numId="49">
    <w:abstractNumId w:val="35"/>
  </w:num>
  <w:num w:numId="50">
    <w:abstractNumId w:val="8"/>
  </w:num>
  <w:num w:numId="51">
    <w:abstractNumId w:val="27"/>
  </w:num>
  <w:num w:numId="52">
    <w:abstractNumId w:val="56"/>
  </w:num>
  <w:num w:numId="53">
    <w:abstractNumId w:val="33"/>
  </w:num>
  <w:num w:numId="54">
    <w:abstractNumId w:val="48"/>
  </w:num>
  <w:num w:numId="55">
    <w:abstractNumId w:val="31"/>
  </w:num>
  <w:num w:numId="56">
    <w:abstractNumId w:val="66"/>
  </w:num>
  <w:num w:numId="57">
    <w:abstractNumId w:val="12"/>
  </w:num>
  <w:num w:numId="58">
    <w:abstractNumId w:val="57"/>
  </w:num>
  <w:num w:numId="59">
    <w:abstractNumId w:val="4"/>
  </w:num>
  <w:num w:numId="60">
    <w:abstractNumId w:val="67"/>
  </w:num>
  <w:num w:numId="61">
    <w:abstractNumId w:val="44"/>
  </w:num>
  <w:num w:numId="62">
    <w:abstractNumId w:val="47"/>
  </w:num>
  <w:num w:numId="63">
    <w:abstractNumId w:val="21"/>
  </w:num>
  <w:num w:numId="64">
    <w:abstractNumId w:val="13"/>
  </w:num>
  <w:num w:numId="65">
    <w:abstractNumId w:val="14"/>
  </w:num>
  <w:num w:numId="66">
    <w:abstractNumId w:val="16"/>
  </w:num>
  <w:num w:numId="67">
    <w:abstractNumId w:val="18"/>
  </w:num>
  <w:num w:numId="68">
    <w:abstractNumId w:val="26"/>
  </w:num>
  <w:num w:numId="69">
    <w:abstractNumId w:val="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bordersDoNotSurroundHeader/>
  <w:bordersDoNotSurroundFooter/>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88F"/>
    <w:rsid w:val="000004CD"/>
    <w:rsid w:val="000007DA"/>
    <w:rsid w:val="000008F2"/>
    <w:rsid w:val="0000146A"/>
    <w:rsid w:val="00001E06"/>
    <w:rsid w:val="00002FEF"/>
    <w:rsid w:val="0000396A"/>
    <w:rsid w:val="00003F0B"/>
    <w:rsid w:val="0000482D"/>
    <w:rsid w:val="00004DF5"/>
    <w:rsid w:val="00004E20"/>
    <w:rsid w:val="00005903"/>
    <w:rsid w:val="00005B93"/>
    <w:rsid w:val="00005C24"/>
    <w:rsid w:val="00005E9B"/>
    <w:rsid w:val="00006730"/>
    <w:rsid w:val="00006B75"/>
    <w:rsid w:val="00006BB6"/>
    <w:rsid w:val="00007409"/>
    <w:rsid w:val="00007A94"/>
    <w:rsid w:val="000117C3"/>
    <w:rsid w:val="0001195B"/>
    <w:rsid w:val="00011A7C"/>
    <w:rsid w:val="00011CDC"/>
    <w:rsid w:val="000123AB"/>
    <w:rsid w:val="00013681"/>
    <w:rsid w:val="00013DE8"/>
    <w:rsid w:val="00013F10"/>
    <w:rsid w:val="0001404F"/>
    <w:rsid w:val="00014467"/>
    <w:rsid w:val="0001467F"/>
    <w:rsid w:val="00014E40"/>
    <w:rsid w:val="00015BB8"/>
    <w:rsid w:val="00017471"/>
    <w:rsid w:val="00021102"/>
    <w:rsid w:val="00021A3D"/>
    <w:rsid w:val="00021BF2"/>
    <w:rsid w:val="00022233"/>
    <w:rsid w:val="0002223F"/>
    <w:rsid w:val="000224EA"/>
    <w:rsid w:val="0002273A"/>
    <w:rsid w:val="000232B7"/>
    <w:rsid w:val="00023865"/>
    <w:rsid w:val="00023B31"/>
    <w:rsid w:val="00023B84"/>
    <w:rsid w:val="0002410D"/>
    <w:rsid w:val="00025109"/>
    <w:rsid w:val="00025CBA"/>
    <w:rsid w:val="00025D3B"/>
    <w:rsid w:val="0002636C"/>
    <w:rsid w:val="00026CE3"/>
    <w:rsid w:val="00026CEB"/>
    <w:rsid w:val="00030727"/>
    <w:rsid w:val="0003101C"/>
    <w:rsid w:val="00031237"/>
    <w:rsid w:val="000312DC"/>
    <w:rsid w:val="000314E8"/>
    <w:rsid w:val="0003204E"/>
    <w:rsid w:val="00032268"/>
    <w:rsid w:val="00032FA0"/>
    <w:rsid w:val="00032FBA"/>
    <w:rsid w:val="00034AA3"/>
    <w:rsid w:val="0003507F"/>
    <w:rsid w:val="0003551C"/>
    <w:rsid w:val="00035D3C"/>
    <w:rsid w:val="000362F5"/>
    <w:rsid w:val="000363E0"/>
    <w:rsid w:val="000378D3"/>
    <w:rsid w:val="0003792D"/>
    <w:rsid w:val="00037A86"/>
    <w:rsid w:val="00037C8F"/>
    <w:rsid w:val="00037DEC"/>
    <w:rsid w:val="00041025"/>
    <w:rsid w:val="0004140E"/>
    <w:rsid w:val="0004249D"/>
    <w:rsid w:val="00042ED9"/>
    <w:rsid w:val="000438A2"/>
    <w:rsid w:val="000444EA"/>
    <w:rsid w:val="000447DF"/>
    <w:rsid w:val="000449C2"/>
    <w:rsid w:val="0004580C"/>
    <w:rsid w:val="000466B0"/>
    <w:rsid w:val="00046EBB"/>
    <w:rsid w:val="00047C3D"/>
    <w:rsid w:val="000501BE"/>
    <w:rsid w:val="000507B1"/>
    <w:rsid w:val="000508C9"/>
    <w:rsid w:val="00051584"/>
    <w:rsid w:val="00051C9B"/>
    <w:rsid w:val="000530F9"/>
    <w:rsid w:val="000535DC"/>
    <w:rsid w:val="00053BA9"/>
    <w:rsid w:val="00053CED"/>
    <w:rsid w:val="00054D4D"/>
    <w:rsid w:val="0005580B"/>
    <w:rsid w:val="00056B5E"/>
    <w:rsid w:val="00056C76"/>
    <w:rsid w:val="00057513"/>
    <w:rsid w:val="000605B9"/>
    <w:rsid w:val="000607BC"/>
    <w:rsid w:val="00060BE9"/>
    <w:rsid w:val="000628AC"/>
    <w:rsid w:val="000632A3"/>
    <w:rsid w:val="00064192"/>
    <w:rsid w:val="000646BE"/>
    <w:rsid w:val="00064957"/>
    <w:rsid w:val="00064C2D"/>
    <w:rsid w:val="00064C8E"/>
    <w:rsid w:val="00065D41"/>
    <w:rsid w:val="00066078"/>
    <w:rsid w:val="000671C5"/>
    <w:rsid w:val="000702AA"/>
    <w:rsid w:val="00070339"/>
    <w:rsid w:val="00071232"/>
    <w:rsid w:val="0007209D"/>
    <w:rsid w:val="00072A32"/>
    <w:rsid w:val="00073E31"/>
    <w:rsid w:val="00074150"/>
    <w:rsid w:val="00074C39"/>
    <w:rsid w:val="00074FC8"/>
    <w:rsid w:val="000751C6"/>
    <w:rsid w:val="00075418"/>
    <w:rsid w:val="00075718"/>
    <w:rsid w:val="0007600B"/>
    <w:rsid w:val="0007706A"/>
    <w:rsid w:val="00077D6F"/>
    <w:rsid w:val="000800CC"/>
    <w:rsid w:val="00080F31"/>
    <w:rsid w:val="000816AB"/>
    <w:rsid w:val="0008197A"/>
    <w:rsid w:val="00082501"/>
    <w:rsid w:val="00082BE9"/>
    <w:rsid w:val="00082D4F"/>
    <w:rsid w:val="00083312"/>
    <w:rsid w:val="00083B37"/>
    <w:rsid w:val="00084602"/>
    <w:rsid w:val="00085D02"/>
    <w:rsid w:val="00085E00"/>
    <w:rsid w:val="00085EDE"/>
    <w:rsid w:val="0008657C"/>
    <w:rsid w:val="00087057"/>
    <w:rsid w:val="000879FF"/>
    <w:rsid w:val="00091420"/>
    <w:rsid w:val="000915E7"/>
    <w:rsid w:val="00093228"/>
    <w:rsid w:val="0009334D"/>
    <w:rsid w:val="000933FE"/>
    <w:rsid w:val="00094E0C"/>
    <w:rsid w:val="00095C2C"/>
    <w:rsid w:val="00097101"/>
    <w:rsid w:val="000A1C01"/>
    <w:rsid w:val="000A29AF"/>
    <w:rsid w:val="000A39BF"/>
    <w:rsid w:val="000A3A75"/>
    <w:rsid w:val="000A4DF3"/>
    <w:rsid w:val="000A4E77"/>
    <w:rsid w:val="000A5D19"/>
    <w:rsid w:val="000A5DEB"/>
    <w:rsid w:val="000A5F0A"/>
    <w:rsid w:val="000A6283"/>
    <w:rsid w:val="000A63B2"/>
    <w:rsid w:val="000A7150"/>
    <w:rsid w:val="000B0039"/>
    <w:rsid w:val="000B1BCF"/>
    <w:rsid w:val="000B2940"/>
    <w:rsid w:val="000B2D48"/>
    <w:rsid w:val="000B2EA4"/>
    <w:rsid w:val="000B2EFF"/>
    <w:rsid w:val="000B31ED"/>
    <w:rsid w:val="000B38E8"/>
    <w:rsid w:val="000B457B"/>
    <w:rsid w:val="000B4A66"/>
    <w:rsid w:val="000B4F4A"/>
    <w:rsid w:val="000B5483"/>
    <w:rsid w:val="000B570B"/>
    <w:rsid w:val="000B598B"/>
    <w:rsid w:val="000B5CA0"/>
    <w:rsid w:val="000B6072"/>
    <w:rsid w:val="000B6B59"/>
    <w:rsid w:val="000B7C6E"/>
    <w:rsid w:val="000B7D82"/>
    <w:rsid w:val="000C0F59"/>
    <w:rsid w:val="000C130D"/>
    <w:rsid w:val="000C2025"/>
    <w:rsid w:val="000C2693"/>
    <w:rsid w:val="000C31FC"/>
    <w:rsid w:val="000C38C2"/>
    <w:rsid w:val="000C4503"/>
    <w:rsid w:val="000C4AE1"/>
    <w:rsid w:val="000C4B9F"/>
    <w:rsid w:val="000C6208"/>
    <w:rsid w:val="000C6315"/>
    <w:rsid w:val="000D0796"/>
    <w:rsid w:val="000D0B5B"/>
    <w:rsid w:val="000D1E4E"/>
    <w:rsid w:val="000D220C"/>
    <w:rsid w:val="000D2392"/>
    <w:rsid w:val="000D333C"/>
    <w:rsid w:val="000D36CC"/>
    <w:rsid w:val="000D5E5C"/>
    <w:rsid w:val="000D61BA"/>
    <w:rsid w:val="000D6297"/>
    <w:rsid w:val="000D7B29"/>
    <w:rsid w:val="000D7DB7"/>
    <w:rsid w:val="000E1099"/>
    <w:rsid w:val="000E1257"/>
    <w:rsid w:val="000E12D9"/>
    <w:rsid w:val="000E2007"/>
    <w:rsid w:val="000E225B"/>
    <w:rsid w:val="000E249D"/>
    <w:rsid w:val="000E3239"/>
    <w:rsid w:val="000E3291"/>
    <w:rsid w:val="000E34BB"/>
    <w:rsid w:val="000E461C"/>
    <w:rsid w:val="000E4C11"/>
    <w:rsid w:val="000E53FF"/>
    <w:rsid w:val="000E5571"/>
    <w:rsid w:val="000E6096"/>
    <w:rsid w:val="000E6258"/>
    <w:rsid w:val="000E6478"/>
    <w:rsid w:val="000E6938"/>
    <w:rsid w:val="000E713B"/>
    <w:rsid w:val="000E71EE"/>
    <w:rsid w:val="000E7614"/>
    <w:rsid w:val="000E7653"/>
    <w:rsid w:val="000E7B16"/>
    <w:rsid w:val="000F0FDD"/>
    <w:rsid w:val="000F1DF4"/>
    <w:rsid w:val="000F21BD"/>
    <w:rsid w:val="000F3946"/>
    <w:rsid w:val="000F5434"/>
    <w:rsid w:val="000F6513"/>
    <w:rsid w:val="000F6C38"/>
    <w:rsid w:val="0010050D"/>
    <w:rsid w:val="00100814"/>
    <w:rsid w:val="00100863"/>
    <w:rsid w:val="0010197A"/>
    <w:rsid w:val="00102287"/>
    <w:rsid w:val="001024DD"/>
    <w:rsid w:val="001030BD"/>
    <w:rsid w:val="00103197"/>
    <w:rsid w:val="001034D8"/>
    <w:rsid w:val="0010388F"/>
    <w:rsid w:val="0010399D"/>
    <w:rsid w:val="001045FF"/>
    <w:rsid w:val="001053D6"/>
    <w:rsid w:val="00105A31"/>
    <w:rsid w:val="00106F2A"/>
    <w:rsid w:val="001070FF"/>
    <w:rsid w:val="00107264"/>
    <w:rsid w:val="00110CB0"/>
    <w:rsid w:val="00111510"/>
    <w:rsid w:val="00111558"/>
    <w:rsid w:val="00111B33"/>
    <w:rsid w:val="001132C0"/>
    <w:rsid w:val="0011381E"/>
    <w:rsid w:val="00113913"/>
    <w:rsid w:val="00113EBF"/>
    <w:rsid w:val="00114657"/>
    <w:rsid w:val="00114CA3"/>
    <w:rsid w:val="00115407"/>
    <w:rsid w:val="00115484"/>
    <w:rsid w:val="0011587C"/>
    <w:rsid w:val="00115D83"/>
    <w:rsid w:val="00115F5C"/>
    <w:rsid w:val="00116A13"/>
    <w:rsid w:val="001170FA"/>
    <w:rsid w:val="001172DB"/>
    <w:rsid w:val="00117BF8"/>
    <w:rsid w:val="00117F2A"/>
    <w:rsid w:val="0012062A"/>
    <w:rsid w:val="00120943"/>
    <w:rsid w:val="001217CC"/>
    <w:rsid w:val="0012217B"/>
    <w:rsid w:val="001222E7"/>
    <w:rsid w:val="001223EC"/>
    <w:rsid w:val="00123768"/>
    <w:rsid w:val="00124918"/>
    <w:rsid w:val="00125F3A"/>
    <w:rsid w:val="001266B1"/>
    <w:rsid w:val="00127EBB"/>
    <w:rsid w:val="001301AF"/>
    <w:rsid w:val="0013082F"/>
    <w:rsid w:val="001312CB"/>
    <w:rsid w:val="001313A1"/>
    <w:rsid w:val="001323AD"/>
    <w:rsid w:val="00132504"/>
    <w:rsid w:val="00132724"/>
    <w:rsid w:val="00132FBC"/>
    <w:rsid w:val="001330A9"/>
    <w:rsid w:val="00134327"/>
    <w:rsid w:val="0013497D"/>
    <w:rsid w:val="00134EE9"/>
    <w:rsid w:val="00135077"/>
    <w:rsid w:val="0013545D"/>
    <w:rsid w:val="001356D1"/>
    <w:rsid w:val="00136AFC"/>
    <w:rsid w:val="00136D61"/>
    <w:rsid w:val="00137126"/>
    <w:rsid w:val="00137498"/>
    <w:rsid w:val="00137E06"/>
    <w:rsid w:val="00140E54"/>
    <w:rsid w:val="001412FD"/>
    <w:rsid w:val="00141966"/>
    <w:rsid w:val="00141B5E"/>
    <w:rsid w:val="00141C3F"/>
    <w:rsid w:val="0014287F"/>
    <w:rsid w:val="00144185"/>
    <w:rsid w:val="00144F49"/>
    <w:rsid w:val="00150126"/>
    <w:rsid w:val="001503BD"/>
    <w:rsid w:val="001522B5"/>
    <w:rsid w:val="0015260B"/>
    <w:rsid w:val="00152CC5"/>
    <w:rsid w:val="00153B83"/>
    <w:rsid w:val="00153C50"/>
    <w:rsid w:val="00153CFF"/>
    <w:rsid w:val="00154143"/>
    <w:rsid w:val="001542BD"/>
    <w:rsid w:val="00154B78"/>
    <w:rsid w:val="001554A1"/>
    <w:rsid w:val="0015628F"/>
    <w:rsid w:val="00156638"/>
    <w:rsid w:val="001572E4"/>
    <w:rsid w:val="00157D3E"/>
    <w:rsid w:val="001601F8"/>
    <w:rsid w:val="00160779"/>
    <w:rsid w:val="0016078E"/>
    <w:rsid w:val="00162258"/>
    <w:rsid w:val="00162562"/>
    <w:rsid w:val="00162666"/>
    <w:rsid w:val="0016284D"/>
    <w:rsid w:val="00162D2B"/>
    <w:rsid w:val="0016341B"/>
    <w:rsid w:val="001646FC"/>
    <w:rsid w:val="001649CB"/>
    <w:rsid w:val="00164E98"/>
    <w:rsid w:val="00165939"/>
    <w:rsid w:val="00165A58"/>
    <w:rsid w:val="001675CF"/>
    <w:rsid w:val="00167E02"/>
    <w:rsid w:val="00170885"/>
    <w:rsid w:val="00170E4C"/>
    <w:rsid w:val="001712D6"/>
    <w:rsid w:val="001713B4"/>
    <w:rsid w:val="001718CF"/>
    <w:rsid w:val="00171A23"/>
    <w:rsid w:val="00171D72"/>
    <w:rsid w:val="0017256C"/>
    <w:rsid w:val="0017259B"/>
    <w:rsid w:val="00172BC6"/>
    <w:rsid w:val="00172C0D"/>
    <w:rsid w:val="00173A90"/>
    <w:rsid w:val="00173BBE"/>
    <w:rsid w:val="00173FE0"/>
    <w:rsid w:val="001746D8"/>
    <w:rsid w:val="00174707"/>
    <w:rsid w:val="00174C7A"/>
    <w:rsid w:val="00175191"/>
    <w:rsid w:val="00175D4E"/>
    <w:rsid w:val="0017771E"/>
    <w:rsid w:val="001779AE"/>
    <w:rsid w:val="00177A4C"/>
    <w:rsid w:val="00180CA7"/>
    <w:rsid w:val="00181B67"/>
    <w:rsid w:val="00183F9B"/>
    <w:rsid w:val="00183FC9"/>
    <w:rsid w:val="00184098"/>
    <w:rsid w:val="001843A7"/>
    <w:rsid w:val="001845FF"/>
    <w:rsid w:val="00184A70"/>
    <w:rsid w:val="001853F4"/>
    <w:rsid w:val="00185C6A"/>
    <w:rsid w:val="00185CA9"/>
    <w:rsid w:val="00185D40"/>
    <w:rsid w:val="00185F3F"/>
    <w:rsid w:val="00186182"/>
    <w:rsid w:val="00186829"/>
    <w:rsid w:val="001871CD"/>
    <w:rsid w:val="001903D5"/>
    <w:rsid w:val="00190871"/>
    <w:rsid w:val="00191224"/>
    <w:rsid w:val="00191344"/>
    <w:rsid w:val="0019231C"/>
    <w:rsid w:val="001943E7"/>
    <w:rsid w:val="00195289"/>
    <w:rsid w:val="0019562C"/>
    <w:rsid w:val="00195A3C"/>
    <w:rsid w:val="00196262"/>
    <w:rsid w:val="001963A8"/>
    <w:rsid w:val="00196773"/>
    <w:rsid w:val="00196F9F"/>
    <w:rsid w:val="001A04EF"/>
    <w:rsid w:val="001A075D"/>
    <w:rsid w:val="001A0DB6"/>
    <w:rsid w:val="001A0E9A"/>
    <w:rsid w:val="001A132B"/>
    <w:rsid w:val="001A1F0F"/>
    <w:rsid w:val="001A2239"/>
    <w:rsid w:val="001A238F"/>
    <w:rsid w:val="001A3A0F"/>
    <w:rsid w:val="001A47C3"/>
    <w:rsid w:val="001A58BF"/>
    <w:rsid w:val="001A6B4C"/>
    <w:rsid w:val="001A7858"/>
    <w:rsid w:val="001B1877"/>
    <w:rsid w:val="001B30C3"/>
    <w:rsid w:val="001B34EB"/>
    <w:rsid w:val="001B37B6"/>
    <w:rsid w:val="001B3B76"/>
    <w:rsid w:val="001B5752"/>
    <w:rsid w:val="001B6117"/>
    <w:rsid w:val="001B636E"/>
    <w:rsid w:val="001B75F3"/>
    <w:rsid w:val="001B797F"/>
    <w:rsid w:val="001C0F87"/>
    <w:rsid w:val="001C1AD9"/>
    <w:rsid w:val="001C1F2D"/>
    <w:rsid w:val="001C3273"/>
    <w:rsid w:val="001C3AC4"/>
    <w:rsid w:val="001C3DDF"/>
    <w:rsid w:val="001C4512"/>
    <w:rsid w:val="001C456D"/>
    <w:rsid w:val="001C59AA"/>
    <w:rsid w:val="001C5A12"/>
    <w:rsid w:val="001C5A9B"/>
    <w:rsid w:val="001C6736"/>
    <w:rsid w:val="001C67FF"/>
    <w:rsid w:val="001C7A96"/>
    <w:rsid w:val="001C7C2B"/>
    <w:rsid w:val="001D1851"/>
    <w:rsid w:val="001D200D"/>
    <w:rsid w:val="001D2191"/>
    <w:rsid w:val="001D280D"/>
    <w:rsid w:val="001D3790"/>
    <w:rsid w:val="001D38DC"/>
    <w:rsid w:val="001D4A2D"/>
    <w:rsid w:val="001D70E7"/>
    <w:rsid w:val="001D7994"/>
    <w:rsid w:val="001D7FE7"/>
    <w:rsid w:val="001E079D"/>
    <w:rsid w:val="001E0BA0"/>
    <w:rsid w:val="001E154B"/>
    <w:rsid w:val="001E157A"/>
    <w:rsid w:val="001E15BA"/>
    <w:rsid w:val="001E20C6"/>
    <w:rsid w:val="001E32CE"/>
    <w:rsid w:val="001E4C86"/>
    <w:rsid w:val="001E5881"/>
    <w:rsid w:val="001E6104"/>
    <w:rsid w:val="001E681F"/>
    <w:rsid w:val="001E70BD"/>
    <w:rsid w:val="001E7194"/>
    <w:rsid w:val="001E7C25"/>
    <w:rsid w:val="001F0EC4"/>
    <w:rsid w:val="001F1376"/>
    <w:rsid w:val="001F1B46"/>
    <w:rsid w:val="001F257D"/>
    <w:rsid w:val="001F2BF3"/>
    <w:rsid w:val="001F2F22"/>
    <w:rsid w:val="001F3090"/>
    <w:rsid w:val="001F34C1"/>
    <w:rsid w:val="001F3778"/>
    <w:rsid w:val="001F43DB"/>
    <w:rsid w:val="001F4979"/>
    <w:rsid w:val="001F49CB"/>
    <w:rsid w:val="001F5BF7"/>
    <w:rsid w:val="00201443"/>
    <w:rsid w:val="0020337C"/>
    <w:rsid w:val="00203A2E"/>
    <w:rsid w:val="002042A0"/>
    <w:rsid w:val="00204D40"/>
    <w:rsid w:val="002061B6"/>
    <w:rsid w:val="002068EA"/>
    <w:rsid w:val="00206EBB"/>
    <w:rsid w:val="00206F80"/>
    <w:rsid w:val="002078DF"/>
    <w:rsid w:val="0021011C"/>
    <w:rsid w:val="002119A1"/>
    <w:rsid w:val="00211AA8"/>
    <w:rsid w:val="00212A5E"/>
    <w:rsid w:val="00212FF5"/>
    <w:rsid w:val="00213D3F"/>
    <w:rsid w:val="0021526A"/>
    <w:rsid w:val="002154E4"/>
    <w:rsid w:val="002155BD"/>
    <w:rsid w:val="002177BC"/>
    <w:rsid w:val="00220981"/>
    <w:rsid w:val="002212DA"/>
    <w:rsid w:val="0022197F"/>
    <w:rsid w:val="002221AD"/>
    <w:rsid w:val="00222BF9"/>
    <w:rsid w:val="00223C8B"/>
    <w:rsid w:val="00224F91"/>
    <w:rsid w:val="00225C13"/>
    <w:rsid w:val="002267CF"/>
    <w:rsid w:val="002275FD"/>
    <w:rsid w:val="00227796"/>
    <w:rsid w:val="00230C20"/>
    <w:rsid w:val="00231073"/>
    <w:rsid w:val="002314F0"/>
    <w:rsid w:val="00232442"/>
    <w:rsid w:val="002329E2"/>
    <w:rsid w:val="00232A16"/>
    <w:rsid w:val="0023441C"/>
    <w:rsid w:val="0023450A"/>
    <w:rsid w:val="00234519"/>
    <w:rsid w:val="0023516D"/>
    <w:rsid w:val="0023538D"/>
    <w:rsid w:val="0023559F"/>
    <w:rsid w:val="00235D85"/>
    <w:rsid w:val="002374DB"/>
    <w:rsid w:val="00241AC5"/>
    <w:rsid w:val="00241CA3"/>
    <w:rsid w:val="002425C5"/>
    <w:rsid w:val="00242BB2"/>
    <w:rsid w:val="00242C71"/>
    <w:rsid w:val="00242D49"/>
    <w:rsid w:val="00242E3C"/>
    <w:rsid w:val="00242F73"/>
    <w:rsid w:val="002431CF"/>
    <w:rsid w:val="0024364D"/>
    <w:rsid w:val="002444A0"/>
    <w:rsid w:val="00245C2F"/>
    <w:rsid w:val="0024731F"/>
    <w:rsid w:val="002474B2"/>
    <w:rsid w:val="0024760E"/>
    <w:rsid w:val="00247894"/>
    <w:rsid w:val="0025005F"/>
    <w:rsid w:val="00250723"/>
    <w:rsid w:val="00250BDB"/>
    <w:rsid w:val="00250C74"/>
    <w:rsid w:val="00251C56"/>
    <w:rsid w:val="0025226A"/>
    <w:rsid w:val="002525AE"/>
    <w:rsid w:val="0025324E"/>
    <w:rsid w:val="00253476"/>
    <w:rsid w:val="00253755"/>
    <w:rsid w:val="00253825"/>
    <w:rsid w:val="00253AF7"/>
    <w:rsid w:val="00253F7A"/>
    <w:rsid w:val="002545B5"/>
    <w:rsid w:val="0025494F"/>
    <w:rsid w:val="002556E6"/>
    <w:rsid w:val="00255EAD"/>
    <w:rsid w:val="002571CA"/>
    <w:rsid w:val="0025780E"/>
    <w:rsid w:val="0025782F"/>
    <w:rsid w:val="00257F91"/>
    <w:rsid w:val="002600EC"/>
    <w:rsid w:val="00260731"/>
    <w:rsid w:val="002608FE"/>
    <w:rsid w:val="00261871"/>
    <w:rsid w:val="00261B98"/>
    <w:rsid w:val="00261EDC"/>
    <w:rsid w:val="0026234D"/>
    <w:rsid w:val="002625AA"/>
    <w:rsid w:val="002629A4"/>
    <w:rsid w:val="00263137"/>
    <w:rsid w:val="0026325F"/>
    <w:rsid w:val="00263A77"/>
    <w:rsid w:val="00264E5E"/>
    <w:rsid w:val="0026608F"/>
    <w:rsid w:val="002663AA"/>
    <w:rsid w:val="00266521"/>
    <w:rsid w:val="00266582"/>
    <w:rsid w:val="002669F2"/>
    <w:rsid w:val="00266D93"/>
    <w:rsid w:val="002674FE"/>
    <w:rsid w:val="002676CC"/>
    <w:rsid w:val="00267C2B"/>
    <w:rsid w:val="00270528"/>
    <w:rsid w:val="00270752"/>
    <w:rsid w:val="00271566"/>
    <w:rsid w:val="00271E82"/>
    <w:rsid w:val="00271FEE"/>
    <w:rsid w:val="002723B6"/>
    <w:rsid w:val="00272522"/>
    <w:rsid w:val="00272EEE"/>
    <w:rsid w:val="00273902"/>
    <w:rsid w:val="002740F3"/>
    <w:rsid w:val="002742D9"/>
    <w:rsid w:val="00274955"/>
    <w:rsid w:val="00274AC1"/>
    <w:rsid w:val="00275687"/>
    <w:rsid w:val="00275855"/>
    <w:rsid w:val="00275FAE"/>
    <w:rsid w:val="00276082"/>
    <w:rsid w:val="00277034"/>
    <w:rsid w:val="00277599"/>
    <w:rsid w:val="002775D3"/>
    <w:rsid w:val="00280AF4"/>
    <w:rsid w:val="00281EDC"/>
    <w:rsid w:val="002820C5"/>
    <w:rsid w:val="002846A4"/>
    <w:rsid w:val="00285874"/>
    <w:rsid w:val="002868CF"/>
    <w:rsid w:val="00286B97"/>
    <w:rsid w:val="00286DFF"/>
    <w:rsid w:val="00287119"/>
    <w:rsid w:val="00290D21"/>
    <w:rsid w:val="00290DAC"/>
    <w:rsid w:val="002926CE"/>
    <w:rsid w:val="00292B87"/>
    <w:rsid w:val="00292D58"/>
    <w:rsid w:val="00293834"/>
    <w:rsid w:val="00293A6D"/>
    <w:rsid w:val="00293A8E"/>
    <w:rsid w:val="00293C61"/>
    <w:rsid w:val="00293DA7"/>
    <w:rsid w:val="002947B3"/>
    <w:rsid w:val="002947F6"/>
    <w:rsid w:val="00294C53"/>
    <w:rsid w:val="00295021"/>
    <w:rsid w:val="00295B1C"/>
    <w:rsid w:val="00295C5B"/>
    <w:rsid w:val="002963F9"/>
    <w:rsid w:val="00296F28"/>
    <w:rsid w:val="00297B34"/>
    <w:rsid w:val="002A0914"/>
    <w:rsid w:val="002A0C44"/>
    <w:rsid w:val="002A0F03"/>
    <w:rsid w:val="002A1C25"/>
    <w:rsid w:val="002A28D1"/>
    <w:rsid w:val="002A2B2C"/>
    <w:rsid w:val="002A3316"/>
    <w:rsid w:val="002A4011"/>
    <w:rsid w:val="002A4839"/>
    <w:rsid w:val="002A5011"/>
    <w:rsid w:val="002A53C8"/>
    <w:rsid w:val="002A5673"/>
    <w:rsid w:val="002A567C"/>
    <w:rsid w:val="002A5811"/>
    <w:rsid w:val="002A5F78"/>
    <w:rsid w:val="002A6A8A"/>
    <w:rsid w:val="002A76A6"/>
    <w:rsid w:val="002A7C34"/>
    <w:rsid w:val="002B07B7"/>
    <w:rsid w:val="002B0C83"/>
    <w:rsid w:val="002B1B89"/>
    <w:rsid w:val="002B2497"/>
    <w:rsid w:val="002B2818"/>
    <w:rsid w:val="002B281B"/>
    <w:rsid w:val="002B287F"/>
    <w:rsid w:val="002B2DB9"/>
    <w:rsid w:val="002B306E"/>
    <w:rsid w:val="002B3B56"/>
    <w:rsid w:val="002B563D"/>
    <w:rsid w:val="002B5FED"/>
    <w:rsid w:val="002B63D9"/>
    <w:rsid w:val="002B6A0B"/>
    <w:rsid w:val="002B6B61"/>
    <w:rsid w:val="002B6B9E"/>
    <w:rsid w:val="002B7E6E"/>
    <w:rsid w:val="002B7EB5"/>
    <w:rsid w:val="002C0D03"/>
    <w:rsid w:val="002C0EB6"/>
    <w:rsid w:val="002C1CD5"/>
    <w:rsid w:val="002C254D"/>
    <w:rsid w:val="002C2953"/>
    <w:rsid w:val="002C36CA"/>
    <w:rsid w:val="002C47A3"/>
    <w:rsid w:val="002C59D8"/>
    <w:rsid w:val="002C5BE3"/>
    <w:rsid w:val="002C65E5"/>
    <w:rsid w:val="002C68C1"/>
    <w:rsid w:val="002C68C2"/>
    <w:rsid w:val="002C6D61"/>
    <w:rsid w:val="002C775B"/>
    <w:rsid w:val="002C7D93"/>
    <w:rsid w:val="002D08DD"/>
    <w:rsid w:val="002D0EAF"/>
    <w:rsid w:val="002D139D"/>
    <w:rsid w:val="002D174A"/>
    <w:rsid w:val="002D1A01"/>
    <w:rsid w:val="002D1C6A"/>
    <w:rsid w:val="002D2891"/>
    <w:rsid w:val="002D4302"/>
    <w:rsid w:val="002D444C"/>
    <w:rsid w:val="002D47D7"/>
    <w:rsid w:val="002D498F"/>
    <w:rsid w:val="002D4C9D"/>
    <w:rsid w:val="002D5297"/>
    <w:rsid w:val="002D5918"/>
    <w:rsid w:val="002D5986"/>
    <w:rsid w:val="002D6833"/>
    <w:rsid w:val="002D725A"/>
    <w:rsid w:val="002D7D67"/>
    <w:rsid w:val="002E0071"/>
    <w:rsid w:val="002E0478"/>
    <w:rsid w:val="002E0862"/>
    <w:rsid w:val="002E099D"/>
    <w:rsid w:val="002E0C8C"/>
    <w:rsid w:val="002E0E7D"/>
    <w:rsid w:val="002E1132"/>
    <w:rsid w:val="002E15A1"/>
    <w:rsid w:val="002E1795"/>
    <w:rsid w:val="002E1888"/>
    <w:rsid w:val="002E1FA3"/>
    <w:rsid w:val="002E2C74"/>
    <w:rsid w:val="002E3A00"/>
    <w:rsid w:val="002E3B74"/>
    <w:rsid w:val="002E4325"/>
    <w:rsid w:val="002E4890"/>
    <w:rsid w:val="002E499B"/>
    <w:rsid w:val="002E5000"/>
    <w:rsid w:val="002E5352"/>
    <w:rsid w:val="002E547E"/>
    <w:rsid w:val="002E5DE0"/>
    <w:rsid w:val="002E66C8"/>
    <w:rsid w:val="002E6AE4"/>
    <w:rsid w:val="002E6AEC"/>
    <w:rsid w:val="002E6C8E"/>
    <w:rsid w:val="002E6DFF"/>
    <w:rsid w:val="002F21AD"/>
    <w:rsid w:val="002F22FF"/>
    <w:rsid w:val="002F3404"/>
    <w:rsid w:val="002F3463"/>
    <w:rsid w:val="002F3485"/>
    <w:rsid w:val="002F3604"/>
    <w:rsid w:val="002F39D1"/>
    <w:rsid w:val="002F3E24"/>
    <w:rsid w:val="002F4880"/>
    <w:rsid w:val="002F551E"/>
    <w:rsid w:val="002F5FC5"/>
    <w:rsid w:val="002F6393"/>
    <w:rsid w:val="002F6BE4"/>
    <w:rsid w:val="002F6D60"/>
    <w:rsid w:val="002F765C"/>
    <w:rsid w:val="00300832"/>
    <w:rsid w:val="00300AD7"/>
    <w:rsid w:val="00301381"/>
    <w:rsid w:val="00301B6A"/>
    <w:rsid w:val="003029BB"/>
    <w:rsid w:val="0030307F"/>
    <w:rsid w:val="00303164"/>
    <w:rsid w:val="003036DC"/>
    <w:rsid w:val="003037C0"/>
    <w:rsid w:val="00304135"/>
    <w:rsid w:val="003046F7"/>
    <w:rsid w:val="00305F77"/>
    <w:rsid w:val="00306C4E"/>
    <w:rsid w:val="00307A04"/>
    <w:rsid w:val="00307B2E"/>
    <w:rsid w:val="00307D12"/>
    <w:rsid w:val="0031026B"/>
    <w:rsid w:val="0031050B"/>
    <w:rsid w:val="00310762"/>
    <w:rsid w:val="00310B41"/>
    <w:rsid w:val="00310C89"/>
    <w:rsid w:val="00310DF8"/>
    <w:rsid w:val="003118D9"/>
    <w:rsid w:val="0031277A"/>
    <w:rsid w:val="003133EB"/>
    <w:rsid w:val="00313C0B"/>
    <w:rsid w:val="00314122"/>
    <w:rsid w:val="003146FF"/>
    <w:rsid w:val="00314AA2"/>
    <w:rsid w:val="00314BE0"/>
    <w:rsid w:val="00314C62"/>
    <w:rsid w:val="00314E23"/>
    <w:rsid w:val="00315B09"/>
    <w:rsid w:val="003165B8"/>
    <w:rsid w:val="003169FD"/>
    <w:rsid w:val="0032029B"/>
    <w:rsid w:val="00320F51"/>
    <w:rsid w:val="00321ECD"/>
    <w:rsid w:val="00321F34"/>
    <w:rsid w:val="00322244"/>
    <w:rsid w:val="00322748"/>
    <w:rsid w:val="00322A88"/>
    <w:rsid w:val="00322C08"/>
    <w:rsid w:val="00322EC1"/>
    <w:rsid w:val="003230AD"/>
    <w:rsid w:val="00323E1A"/>
    <w:rsid w:val="003247D5"/>
    <w:rsid w:val="0032534F"/>
    <w:rsid w:val="0032590C"/>
    <w:rsid w:val="003261CE"/>
    <w:rsid w:val="00327681"/>
    <w:rsid w:val="003278D5"/>
    <w:rsid w:val="0033001B"/>
    <w:rsid w:val="003302D2"/>
    <w:rsid w:val="003304D0"/>
    <w:rsid w:val="00330EFA"/>
    <w:rsid w:val="0033135E"/>
    <w:rsid w:val="00331987"/>
    <w:rsid w:val="00331A98"/>
    <w:rsid w:val="00331C6A"/>
    <w:rsid w:val="00331E1E"/>
    <w:rsid w:val="003325C9"/>
    <w:rsid w:val="00332A10"/>
    <w:rsid w:val="00332CD0"/>
    <w:rsid w:val="00332F8F"/>
    <w:rsid w:val="003339D1"/>
    <w:rsid w:val="00334B7A"/>
    <w:rsid w:val="00335273"/>
    <w:rsid w:val="00335343"/>
    <w:rsid w:val="003357CA"/>
    <w:rsid w:val="0033592A"/>
    <w:rsid w:val="00336728"/>
    <w:rsid w:val="00336EE0"/>
    <w:rsid w:val="00337437"/>
    <w:rsid w:val="003415B7"/>
    <w:rsid w:val="003418D1"/>
    <w:rsid w:val="003426BC"/>
    <w:rsid w:val="00344B6D"/>
    <w:rsid w:val="00344D1A"/>
    <w:rsid w:val="003455AD"/>
    <w:rsid w:val="00346AB8"/>
    <w:rsid w:val="00346D23"/>
    <w:rsid w:val="003477CD"/>
    <w:rsid w:val="003478F8"/>
    <w:rsid w:val="00347D4B"/>
    <w:rsid w:val="00350011"/>
    <w:rsid w:val="00350F7A"/>
    <w:rsid w:val="003516D6"/>
    <w:rsid w:val="003517C0"/>
    <w:rsid w:val="00352C55"/>
    <w:rsid w:val="00352F9A"/>
    <w:rsid w:val="00353288"/>
    <w:rsid w:val="003533F9"/>
    <w:rsid w:val="00353597"/>
    <w:rsid w:val="00353EB6"/>
    <w:rsid w:val="00354418"/>
    <w:rsid w:val="00354740"/>
    <w:rsid w:val="003558B8"/>
    <w:rsid w:val="00355BD8"/>
    <w:rsid w:val="0035627C"/>
    <w:rsid w:val="00357C54"/>
    <w:rsid w:val="00357E1B"/>
    <w:rsid w:val="00360859"/>
    <w:rsid w:val="00360F36"/>
    <w:rsid w:val="00361E25"/>
    <w:rsid w:val="00362319"/>
    <w:rsid w:val="00362371"/>
    <w:rsid w:val="0036256C"/>
    <w:rsid w:val="003626B7"/>
    <w:rsid w:val="003628B9"/>
    <w:rsid w:val="003629A4"/>
    <w:rsid w:val="003629C0"/>
    <w:rsid w:val="00363DF2"/>
    <w:rsid w:val="00364FAF"/>
    <w:rsid w:val="0036518E"/>
    <w:rsid w:val="0036519F"/>
    <w:rsid w:val="00365696"/>
    <w:rsid w:val="00365971"/>
    <w:rsid w:val="00365D31"/>
    <w:rsid w:val="00366491"/>
    <w:rsid w:val="003669B1"/>
    <w:rsid w:val="00366DD0"/>
    <w:rsid w:val="003708A7"/>
    <w:rsid w:val="003709F4"/>
    <w:rsid w:val="00371396"/>
    <w:rsid w:val="00371E75"/>
    <w:rsid w:val="00372502"/>
    <w:rsid w:val="003725F6"/>
    <w:rsid w:val="00372B13"/>
    <w:rsid w:val="00373051"/>
    <w:rsid w:val="003730FB"/>
    <w:rsid w:val="00373105"/>
    <w:rsid w:val="0037356A"/>
    <w:rsid w:val="00373A06"/>
    <w:rsid w:val="00374B4C"/>
    <w:rsid w:val="00374F0E"/>
    <w:rsid w:val="00375265"/>
    <w:rsid w:val="00375398"/>
    <w:rsid w:val="00375D90"/>
    <w:rsid w:val="003764D4"/>
    <w:rsid w:val="00376527"/>
    <w:rsid w:val="00376C61"/>
    <w:rsid w:val="00376CC4"/>
    <w:rsid w:val="0037782E"/>
    <w:rsid w:val="00377B8B"/>
    <w:rsid w:val="00377F38"/>
    <w:rsid w:val="00380859"/>
    <w:rsid w:val="0038159A"/>
    <w:rsid w:val="00381E76"/>
    <w:rsid w:val="00382F82"/>
    <w:rsid w:val="00383F39"/>
    <w:rsid w:val="00384224"/>
    <w:rsid w:val="00384865"/>
    <w:rsid w:val="00385156"/>
    <w:rsid w:val="0038636E"/>
    <w:rsid w:val="0038698D"/>
    <w:rsid w:val="0038755E"/>
    <w:rsid w:val="00387805"/>
    <w:rsid w:val="00390046"/>
    <w:rsid w:val="00390FBA"/>
    <w:rsid w:val="003913C8"/>
    <w:rsid w:val="003913EF"/>
    <w:rsid w:val="003915DB"/>
    <w:rsid w:val="00391FAB"/>
    <w:rsid w:val="00392343"/>
    <w:rsid w:val="0039241F"/>
    <w:rsid w:val="00395613"/>
    <w:rsid w:val="00395CBA"/>
    <w:rsid w:val="003967A0"/>
    <w:rsid w:val="00396C60"/>
    <w:rsid w:val="00396F86"/>
    <w:rsid w:val="00397F28"/>
    <w:rsid w:val="003A00ED"/>
    <w:rsid w:val="003A099B"/>
    <w:rsid w:val="003A1B0D"/>
    <w:rsid w:val="003A1C16"/>
    <w:rsid w:val="003A2167"/>
    <w:rsid w:val="003A22B8"/>
    <w:rsid w:val="003A25C7"/>
    <w:rsid w:val="003A35AD"/>
    <w:rsid w:val="003A53A8"/>
    <w:rsid w:val="003A7E89"/>
    <w:rsid w:val="003B0E8F"/>
    <w:rsid w:val="003B1188"/>
    <w:rsid w:val="003B136F"/>
    <w:rsid w:val="003B17DD"/>
    <w:rsid w:val="003B1A7C"/>
    <w:rsid w:val="003B4339"/>
    <w:rsid w:val="003B4AA8"/>
    <w:rsid w:val="003B5075"/>
    <w:rsid w:val="003B5535"/>
    <w:rsid w:val="003B5EE5"/>
    <w:rsid w:val="003B5F38"/>
    <w:rsid w:val="003B65CE"/>
    <w:rsid w:val="003B65E3"/>
    <w:rsid w:val="003B747E"/>
    <w:rsid w:val="003C0050"/>
    <w:rsid w:val="003C177E"/>
    <w:rsid w:val="003C1F69"/>
    <w:rsid w:val="003C2119"/>
    <w:rsid w:val="003C291C"/>
    <w:rsid w:val="003C3DB2"/>
    <w:rsid w:val="003C40DD"/>
    <w:rsid w:val="003C5499"/>
    <w:rsid w:val="003C5E39"/>
    <w:rsid w:val="003C6AB4"/>
    <w:rsid w:val="003C6FD1"/>
    <w:rsid w:val="003C714C"/>
    <w:rsid w:val="003C7167"/>
    <w:rsid w:val="003C73C1"/>
    <w:rsid w:val="003D0975"/>
    <w:rsid w:val="003D1349"/>
    <w:rsid w:val="003D26F4"/>
    <w:rsid w:val="003D6761"/>
    <w:rsid w:val="003D6A30"/>
    <w:rsid w:val="003D6C36"/>
    <w:rsid w:val="003D71FA"/>
    <w:rsid w:val="003D7CA0"/>
    <w:rsid w:val="003E025B"/>
    <w:rsid w:val="003E06EE"/>
    <w:rsid w:val="003E079A"/>
    <w:rsid w:val="003E0C6E"/>
    <w:rsid w:val="003E0CFC"/>
    <w:rsid w:val="003E34B2"/>
    <w:rsid w:val="003E3591"/>
    <w:rsid w:val="003E3717"/>
    <w:rsid w:val="003E552E"/>
    <w:rsid w:val="003E55CF"/>
    <w:rsid w:val="003E5C5D"/>
    <w:rsid w:val="003E5CC0"/>
    <w:rsid w:val="003E640F"/>
    <w:rsid w:val="003F0E27"/>
    <w:rsid w:val="003F1861"/>
    <w:rsid w:val="003F2F7F"/>
    <w:rsid w:val="003F3BB8"/>
    <w:rsid w:val="003F44FF"/>
    <w:rsid w:val="003F4F2F"/>
    <w:rsid w:val="003F4FF2"/>
    <w:rsid w:val="003F5DB9"/>
    <w:rsid w:val="003F6B53"/>
    <w:rsid w:val="003F753E"/>
    <w:rsid w:val="003F785B"/>
    <w:rsid w:val="003F7C42"/>
    <w:rsid w:val="003F7DE9"/>
    <w:rsid w:val="00400043"/>
    <w:rsid w:val="004009A8"/>
    <w:rsid w:val="00401215"/>
    <w:rsid w:val="004012DE"/>
    <w:rsid w:val="004013AF"/>
    <w:rsid w:val="004016D6"/>
    <w:rsid w:val="004020E3"/>
    <w:rsid w:val="0040266F"/>
    <w:rsid w:val="00404901"/>
    <w:rsid w:val="00404FF9"/>
    <w:rsid w:val="004056DE"/>
    <w:rsid w:val="004064C2"/>
    <w:rsid w:val="0040765D"/>
    <w:rsid w:val="00407CDA"/>
    <w:rsid w:val="00410F46"/>
    <w:rsid w:val="004114C1"/>
    <w:rsid w:val="004115D0"/>
    <w:rsid w:val="004119D4"/>
    <w:rsid w:val="0041273E"/>
    <w:rsid w:val="00412C78"/>
    <w:rsid w:val="0041323E"/>
    <w:rsid w:val="00413319"/>
    <w:rsid w:val="00413E77"/>
    <w:rsid w:val="004142DD"/>
    <w:rsid w:val="00414D8A"/>
    <w:rsid w:val="00415999"/>
    <w:rsid w:val="00415C39"/>
    <w:rsid w:val="004169C7"/>
    <w:rsid w:val="00416ABB"/>
    <w:rsid w:val="00417FCA"/>
    <w:rsid w:val="00420A41"/>
    <w:rsid w:val="00420AFB"/>
    <w:rsid w:val="00420F12"/>
    <w:rsid w:val="0042186E"/>
    <w:rsid w:val="004219DE"/>
    <w:rsid w:val="00421AB1"/>
    <w:rsid w:val="004223D7"/>
    <w:rsid w:val="00422B39"/>
    <w:rsid w:val="00423C5C"/>
    <w:rsid w:val="00424A9B"/>
    <w:rsid w:val="00425E96"/>
    <w:rsid w:val="00427229"/>
    <w:rsid w:val="004303CE"/>
    <w:rsid w:val="00430832"/>
    <w:rsid w:val="0043124D"/>
    <w:rsid w:val="004326EA"/>
    <w:rsid w:val="0043296F"/>
    <w:rsid w:val="004339FF"/>
    <w:rsid w:val="0043417E"/>
    <w:rsid w:val="0043492B"/>
    <w:rsid w:val="0043494B"/>
    <w:rsid w:val="00435B4C"/>
    <w:rsid w:val="00436C85"/>
    <w:rsid w:val="00436E56"/>
    <w:rsid w:val="004379E9"/>
    <w:rsid w:val="00440658"/>
    <w:rsid w:val="00440C12"/>
    <w:rsid w:val="0044175F"/>
    <w:rsid w:val="00441C5D"/>
    <w:rsid w:val="00441CC4"/>
    <w:rsid w:val="0044220E"/>
    <w:rsid w:val="004432F5"/>
    <w:rsid w:val="004442FC"/>
    <w:rsid w:val="00444900"/>
    <w:rsid w:val="0044536F"/>
    <w:rsid w:val="004453F7"/>
    <w:rsid w:val="00445C2C"/>
    <w:rsid w:val="004471E1"/>
    <w:rsid w:val="00447A94"/>
    <w:rsid w:val="004502A4"/>
    <w:rsid w:val="004502F4"/>
    <w:rsid w:val="00450487"/>
    <w:rsid w:val="0045084A"/>
    <w:rsid w:val="00451030"/>
    <w:rsid w:val="004511E5"/>
    <w:rsid w:val="004519CE"/>
    <w:rsid w:val="00451A1D"/>
    <w:rsid w:val="00452B74"/>
    <w:rsid w:val="0045332F"/>
    <w:rsid w:val="00453CFB"/>
    <w:rsid w:val="00454C1A"/>
    <w:rsid w:val="00455345"/>
    <w:rsid w:val="004555A3"/>
    <w:rsid w:val="00455676"/>
    <w:rsid w:val="00455AD1"/>
    <w:rsid w:val="004564EE"/>
    <w:rsid w:val="00456832"/>
    <w:rsid w:val="004570D6"/>
    <w:rsid w:val="00457408"/>
    <w:rsid w:val="00457E29"/>
    <w:rsid w:val="0046058F"/>
    <w:rsid w:val="004609E9"/>
    <w:rsid w:val="00460A1C"/>
    <w:rsid w:val="00460C3A"/>
    <w:rsid w:val="00461376"/>
    <w:rsid w:val="0046187D"/>
    <w:rsid w:val="00461B45"/>
    <w:rsid w:val="00461F96"/>
    <w:rsid w:val="00462E02"/>
    <w:rsid w:val="0046339D"/>
    <w:rsid w:val="00463D3C"/>
    <w:rsid w:val="00463D7B"/>
    <w:rsid w:val="00464B44"/>
    <w:rsid w:val="00465608"/>
    <w:rsid w:val="0046625E"/>
    <w:rsid w:val="004662A5"/>
    <w:rsid w:val="0046646A"/>
    <w:rsid w:val="004664C5"/>
    <w:rsid w:val="00466BBB"/>
    <w:rsid w:val="00466C8A"/>
    <w:rsid w:val="0046792A"/>
    <w:rsid w:val="00467E4D"/>
    <w:rsid w:val="0047032B"/>
    <w:rsid w:val="00470585"/>
    <w:rsid w:val="004707E0"/>
    <w:rsid w:val="00470A52"/>
    <w:rsid w:val="004711A9"/>
    <w:rsid w:val="00471675"/>
    <w:rsid w:val="004718FB"/>
    <w:rsid w:val="004725BC"/>
    <w:rsid w:val="00472B0F"/>
    <w:rsid w:val="00473298"/>
    <w:rsid w:val="00474158"/>
    <w:rsid w:val="00474523"/>
    <w:rsid w:val="00475548"/>
    <w:rsid w:val="00475B62"/>
    <w:rsid w:val="0047691A"/>
    <w:rsid w:val="00476B0E"/>
    <w:rsid w:val="00476BBB"/>
    <w:rsid w:val="00476ECA"/>
    <w:rsid w:val="004775C0"/>
    <w:rsid w:val="004803D1"/>
    <w:rsid w:val="004807E8"/>
    <w:rsid w:val="00480C0A"/>
    <w:rsid w:val="00481332"/>
    <w:rsid w:val="00481560"/>
    <w:rsid w:val="0048198C"/>
    <w:rsid w:val="00481C15"/>
    <w:rsid w:val="00481E3B"/>
    <w:rsid w:val="00482840"/>
    <w:rsid w:val="0048289A"/>
    <w:rsid w:val="004839FE"/>
    <w:rsid w:val="0048600C"/>
    <w:rsid w:val="004864D6"/>
    <w:rsid w:val="0048665F"/>
    <w:rsid w:val="00486EA8"/>
    <w:rsid w:val="00487FDC"/>
    <w:rsid w:val="004905FB"/>
    <w:rsid w:val="00490D83"/>
    <w:rsid w:val="00490F4F"/>
    <w:rsid w:val="00491174"/>
    <w:rsid w:val="00492074"/>
    <w:rsid w:val="00492590"/>
    <w:rsid w:val="00492776"/>
    <w:rsid w:val="00492E9C"/>
    <w:rsid w:val="00492F49"/>
    <w:rsid w:val="004938B9"/>
    <w:rsid w:val="004939AD"/>
    <w:rsid w:val="0049422A"/>
    <w:rsid w:val="0049463D"/>
    <w:rsid w:val="0049485A"/>
    <w:rsid w:val="00494967"/>
    <w:rsid w:val="004950E6"/>
    <w:rsid w:val="00495415"/>
    <w:rsid w:val="00495886"/>
    <w:rsid w:val="004959D0"/>
    <w:rsid w:val="00496326"/>
    <w:rsid w:val="004967EE"/>
    <w:rsid w:val="00496DD7"/>
    <w:rsid w:val="004971F1"/>
    <w:rsid w:val="004A0040"/>
    <w:rsid w:val="004A036F"/>
    <w:rsid w:val="004A0671"/>
    <w:rsid w:val="004A123A"/>
    <w:rsid w:val="004A1433"/>
    <w:rsid w:val="004A15BC"/>
    <w:rsid w:val="004A1669"/>
    <w:rsid w:val="004A1B4D"/>
    <w:rsid w:val="004A24FD"/>
    <w:rsid w:val="004A2C20"/>
    <w:rsid w:val="004A2C9E"/>
    <w:rsid w:val="004A330B"/>
    <w:rsid w:val="004A4B24"/>
    <w:rsid w:val="004A4FE7"/>
    <w:rsid w:val="004A636C"/>
    <w:rsid w:val="004A65C8"/>
    <w:rsid w:val="004A6C1D"/>
    <w:rsid w:val="004B080A"/>
    <w:rsid w:val="004B0DE9"/>
    <w:rsid w:val="004B1A0B"/>
    <w:rsid w:val="004B2069"/>
    <w:rsid w:val="004B2EFD"/>
    <w:rsid w:val="004B3171"/>
    <w:rsid w:val="004B347A"/>
    <w:rsid w:val="004B45C0"/>
    <w:rsid w:val="004B461F"/>
    <w:rsid w:val="004B4647"/>
    <w:rsid w:val="004B4A90"/>
    <w:rsid w:val="004B5503"/>
    <w:rsid w:val="004B6A73"/>
    <w:rsid w:val="004B70EE"/>
    <w:rsid w:val="004B74F1"/>
    <w:rsid w:val="004B78BE"/>
    <w:rsid w:val="004C029D"/>
    <w:rsid w:val="004C03BA"/>
    <w:rsid w:val="004C0AAC"/>
    <w:rsid w:val="004C0C55"/>
    <w:rsid w:val="004C14FC"/>
    <w:rsid w:val="004C1BBD"/>
    <w:rsid w:val="004C2350"/>
    <w:rsid w:val="004C273F"/>
    <w:rsid w:val="004C2A43"/>
    <w:rsid w:val="004C2F98"/>
    <w:rsid w:val="004C3A1E"/>
    <w:rsid w:val="004C467C"/>
    <w:rsid w:val="004C491C"/>
    <w:rsid w:val="004C5F41"/>
    <w:rsid w:val="004C6152"/>
    <w:rsid w:val="004C71F7"/>
    <w:rsid w:val="004D01BD"/>
    <w:rsid w:val="004D07E6"/>
    <w:rsid w:val="004D097C"/>
    <w:rsid w:val="004D0B7A"/>
    <w:rsid w:val="004D134B"/>
    <w:rsid w:val="004D1B4F"/>
    <w:rsid w:val="004D284E"/>
    <w:rsid w:val="004D30CC"/>
    <w:rsid w:val="004D3E3B"/>
    <w:rsid w:val="004D3FAD"/>
    <w:rsid w:val="004D429F"/>
    <w:rsid w:val="004D42B4"/>
    <w:rsid w:val="004D46E6"/>
    <w:rsid w:val="004D4B9D"/>
    <w:rsid w:val="004D52C1"/>
    <w:rsid w:val="004D55D2"/>
    <w:rsid w:val="004D5EDF"/>
    <w:rsid w:val="004D6843"/>
    <w:rsid w:val="004D6E07"/>
    <w:rsid w:val="004D6E93"/>
    <w:rsid w:val="004D7E0B"/>
    <w:rsid w:val="004D7EB7"/>
    <w:rsid w:val="004E08BE"/>
    <w:rsid w:val="004E0F38"/>
    <w:rsid w:val="004E13C9"/>
    <w:rsid w:val="004E1F54"/>
    <w:rsid w:val="004E1FFA"/>
    <w:rsid w:val="004E2126"/>
    <w:rsid w:val="004E27FD"/>
    <w:rsid w:val="004E29CD"/>
    <w:rsid w:val="004E2AE6"/>
    <w:rsid w:val="004E34AE"/>
    <w:rsid w:val="004E45B3"/>
    <w:rsid w:val="004E4F89"/>
    <w:rsid w:val="004E5621"/>
    <w:rsid w:val="004E5721"/>
    <w:rsid w:val="004E5743"/>
    <w:rsid w:val="004E57BC"/>
    <w:rsid w:val="004E5A56"/>
    <w:rsid w:val="004E6198"/>
    <w:rsid w:val="004E67D3"/>
    <w:rsid w:val="004E6C73"/>
    <w:rsid w:val="004E6EAF"/>
    <w:rsid w:val="004E7057"/>
    <w:rsid w:val="004E7BE5"/>
    <w:rsid w:val="004E7E33"/>
    <w:rsid w:val="004F06CA"/>
    <w:rsid w:val="004F1A8E"/>
    <w:rsid w:val="004F1DBC"/>
    <w:rsid w:val="004F1E0B"/>
    <w:rsid w:val="004F25B4"/>
    <w:rsid w:val="004F275B"/>
    <w:rsid w:val="004F2BFB"/>
    <w:rsid w:val="004F35BA"/>
    <w:rsid w:val="004F3CFB"/>
    <w:rsid w:val="004F4001"/>
    <w:rsid w:val="004F49DE"/>
    <w:rsid w:val="004F4A2B"/>
    <w:rsid w:val="004F50E8"/>
    <w:rsid w:val="004F54B9"/>
    <w:rsid w:val="004F6199"/>
    <w:rsid w:val="004F68F9"/>
    <w:rsid w:val="004F6B15"/>
    <w:rsid w:val="004F70C1"/>
    <w:rsid w:val="004F73CD"/>
    <w:rsid w:val="004F7982"/>
    <w:rsid w:val="0050068A"/>
    <w:rsid w:val="0050197D"/>
    <w:rsid w:val="00503D7F"/>
    <w:rsid w:val="00504AB5"/>
    <w:rsid w:val="00505327"/>
    <w:rsid w:val="005057C2"/>
    <w:rsid w:val="00505F28"/>
    <w:rsid w:val="0050658C"/>
    <w:rsid w:val="00506D9A"/>
    <w:rsid w:val="00507665"/>
    <w:rsid w:val="00507DB6"/>
    <w:rsid w:val="005108FA"/>
    <w:rsid w:val="00511A87"/>
    <w:rsid w:val="00511EBB"/>
    <w:rsid w:val="00512EDC"/>
    <w:rsid w:val="00513B75"/>
    <w:rsid w:val="0051441F"/>
    <w:rsid w:val="0051463B"/>
    <w:rsid w:val="0051475E"/>
    <w:rsid w:val="00514BF1"/>
    <w:rsid w:val="00514EB0"/>
    <w:rsid w:val="00515D60"/>
    <w:rsid w:val="00516533"/>
    <w:rsid w:val="005171E9"/>
    <w:rsid w:val="005174C6"/>
    <w:rsid w:val="00517E11"/>
    <w:rsid w:val="0052020F"/>
    <w:rsid w:val="0052048A"/>
    <w:rsid w:val="00520776"/>
    <w:rsid w:val="00520A03"/>
    <w:rsid w:val="005213B5"/>
    <w:rsid w:val="00522271"/>
    <w:rsid w:val="0052299C"/>
    <w:rsid w:val="00522B05"/>
    <w:rsid w:val="00522D97"/>
    <w:rsid w:val="0052415F"/>
    <w:rsid w:val="00524547"/>
    <w:rsid w:val="00526137"/>
    <w:rsid w:val="0052663C"/>
    <w:rsid w:val="005268EA"/>
    <w:rsid w:val="0052715C"/>
    <w:rsid w:val="00527778"/>
    <w:rsid w:val="00530064"/>
    <w:rsid w:val="00531798"/>
    <w:rsid w:val="005333D3"/>
    <w:rsid w:val="005339EC"/>
    <w:rsid w:val="0053574B"/>
    <w:rsid w:val="00535EC5"/>
    <w:rsid w:val="00535F07"/>
    <w:rsid w:val="005362FE"/>
    <w:rsid w:val="00536987"/>
    <w:rsid w:val="00536B12"/>
    <w:rsid w:val="00537048"/>
    <w:rsid w:val="005408F5"/>
    <w:rsid w:val="005410B6"/>
    <w:rsid w:val="00541AD0"/>
    <w:rsid w:val="0054235C"/>
    <w:rsid w:val="00542A85"/>
    <w:rsid w:val="0054379E"/>
    <w:rsid w:val="00543873"/>
    <w:rsid w:val="00543D9E"/>
    <w:rsid w:val="00543FAE"/>
    <w:rsid w:val="005452E6"/>
    <w:rsid w:val="005456AA"/>
    <w:rsid w:val="00545C0C"/>
    <w:rsid w:val="00547671"/>
    <w:rsid w:val="00551AA0"/>
    <w:rsid w:val="005522FA"/>
    <w:rsid w:val="005523B8"/>
    <w:rsid w:val="0055294D"/>
    <w:rsid w:val="00553B45"/>
    <w:rsid w:val="00553F51"/>
    <w:rsid w:val="00554167"/>
    <w:rsid w:val="00554CD8"/>
    <w:rsid w:val="00554FC2"/>
    <w:rsid w:val="00555059"/>
    <w:rsid w:val="005607EE"/>
    <w:rsid w:val="00560EE8"/>
    <w:rsid w:val="00561628"/>
    <w:rsid w:val="00562393"/>
    <w:rsid w:val="005628D5"/>
    <w:rsid w:val="00564BA4"/>
    <w:rsid w:val="00564BF5"/>
    <w:rsid w:val="00564DDA"/>
    <w:rsid w:val="00565640"/>
    <w:rsid w:val="0056650A"/>
    <w:rsid w:val="00566722"/>
    <w:rsid w:val="005670F3"/>
    <w:rsid w:val="00567251"/>
    <w:rsid w:val="005675EC"/>
    <w:rsid w:val="005677FD"/>
    <w:rsid w:val="005679C9"/>
    <w:rsid w:val="00567AC1"/>
    <w:rsid w:val="005705D9"/>
    <w:rsid w:val="00571359"/>
    <w:rsid w:val="00571511"/>
    <w:rsid w:val="00573204"/>
    <w:rsid w:val="00574C3D"/>
    <w:rsid w:val="00576284"/>
    <w:rsid w:val="00576429"/>
    <w:rsid w:val="00576AD1"/>
    <w:rsid w:val="00576E38"/>
    <w:rsid w:val="00576E83"/>
    <w:rsid w:val="005775E6"/>
    <w:rsid w:val="005777D5"/>
    <w:rsid w:val="00580428"/>
    <w:rsid w:val="005804B2"/>
    <w:rsid w:val="00580556"/>
    <w:rsid w:val="005807C4"/>
    <w:rsid w:val="0058158E"/>
    <w:rsid w:val="00581703"/>
    <w:rsid w:val="00581A67"/>
    <w:rsid w:val="00581D25"/>
    <w:rsid w:val="005827A6"/>
    <w:rsid w:val="00583101"/>
    <w:rsid w:val="005833E2"/>
    <w:rsid w:val="00584017"/>
    <w:rsid w:val="0058432D"/>
    <w:rsid w:val="005847D9"/>
    <w:rsid w:val="00585449"/>
    <w:rsid w:val="005854E7"/>
    <w:rsid w:val="005855DE"/>
    <w:rsid w:val="005857F0"/>
    <w:rsid w:val="00585E3C"/>
    <w:rsid w:val="0058691C"/>
    <w:rsid w:val="00587011"/>
    <w:rsid w:val="005873F2"/>
    <w:rsid w:val="00587B0F"/>
    <w:rsid w:val="00591420"/>
    <w:rsid w:val="00591798"/>
    <w:rsid w:val="0059272B"/>
    <w:rsid w:val="00593C5A"/>
    <w:rsid w:val="00593D11"/>
    <w:rsid w:val="0059400C"/>
    <w:rsid w:val="00594272"/>
    <w:rsid w:val="00594BEF"/>
    <w:rsid w:val="0059513A"/>
    <w:rsid w:val="00595606"/>
    <w:rsid w:val="00595A2F"/>
    <w:rsid w:val="00595ECC"/>
    <w:rsid w:val="0059624C"/>
    <w:rsid w:val="00596755"/>
    <w:rsid w:val="005967CF"/>
    <w:rsid w:val="00596A63"/>
    <w:rsid w:val="00597125"/>
    <w:rsid w:val="00597560"/>
    <w:rsid w:val="00597590"/>
    <w:rsid w:val="005A0E3B"/>
    <w:rsid w:val="005A10B3"/>
    <w:rsid w:val="005A1232"/>
    <w:rsid w:val="005A1D2B"/>
    <w:rsid w:val="005A1F44"/>
    <w:rsid w:val="005A220D"/>
    <w:rsid w:val="005A2541"/>
    <w:rsid w:val="005A27EF"/>
    <w:rsid w:val="005A2C6F"/>
    <w:rsid w:val="005A4196"/>
    <w:rsid w:val="005A42F6"/>
    <w:rsid w:val="005A4E51"/>
    <w:rsid w:val="005A6817"/>
    <w:rsid w:val="005A6B5E"/>
    <w:rsid w:val="005A717A"/>
    <w:rsid w:val="005A76F8"/>
    <w:rsid w:val="005A7C76"/>
    <w:rsid w:val="005B0B57"/>
    <w:rsid w:val="005B1031"/>
    <w:rsid w:val="005B1BBF"/>
    <w:rsid w:val="005B1E24"/>
    <w:rsid w:val="005B25FD"/>
    <w:rsid w:val="005B2DA0"/>
    <w:rsid w:val="005B31AB"/>
    <w:rsid w:val="005B3F63"/>
    <w:rsid w:val="005B428E"/>
    <w:rsid w:val="005B57EB"/>
    <w:rsid w:val="005B6C5F"/>
    <w:rsid w:val="005B7314"/>
    <w:rsid w:val="005C00AA"/>
    <w:rsid w:val="005C03EC"/>
    <w:rsid w:val="005C0916"/>
    <w:rsid w:val="005C13FE"/>
    <w:rsid w:val="005C14C5"/>
    <w:rsid w:val="005C190D"/>
    <w:rsid w:val="005C2A51"/>
    <w:rsid w:val="005C38A7"/>
    <w:rsid w:val="005C6620"/>
    <w:rsid w:val="005C7DA9"/>
    <w:rsid w:val="005C7FFC"/>
    <w:rsid w:val="005D064A"/>
    <w:rsid w:val="005D0C7F"/>
    <w:rsid w:val="005D0DE5"/>
    <w:rsid w:val="005D112B"/>
    <w:rsid w:val="005D1191"/>
    <w:rsid w:val="005D11C3"/>
    <w:rsid w:val="005D14A9"/>
    <w:rsid w:val="005D1657"/>
    <w:rsid w:val="005D196A"/>
    <w:rsid w:val="005D3190"/>
    <w:rsid w:val="005D3511"/>
    <w:rsid w:val="005D3CAE"/>
    <w:rsid w:val="005D3E7D"/>
    <w:rsid w:val="005D42EE"/>
    <w:rsid w:val="005D44D2"/>
    <w:rsid w:val="005D4507"/>
    <w:rsid w:val="005D46F3"/>
    <w:rsid w:val="005D4A9E"/>
    <w:rsid w:val="005D5718"/>
    <w:rsid w:val="005D58D0"/>
    <w:rsid w:val="005D59DA"/>
    <w:rsid w:val="005D5F93"/>
    <w:rsid w:val="005D789E"/>
    <w:rsid w:val="005E1078"/>
    <w:rsid w:val="005E22A2"/>
    <w:rsid w:val="005E2C76"/>
    <w:rsid w:val="005E2E54"/>
    <w:rsid w:val="005E34E9"/>
    <w:rsid w:val="005E3E2B"/>
    <w:rsid w:val="005E3FA7"/>
    <w:rsid w:val="005E4045"/>
    <w:rsid w:val="005E4330"/>
    <w:rsid w:val="005E433E"/>
    <w:rsid w:val="005E45FF"/>
    <w:rsid w:val="005E46C4"/>
    <w:rsid w:val="005E46C6"/>
    <w:rsid w:val="005E49AC"/>
    <w:rsid w:val="005E5206"/>
    <w:rsid w:val="005E5229"/>
    <w:rsid w:val="005E6FD8"/>
    <w:rsid w:val="005E7B14"/>
    <w:rsid w:val="005F0128"/>
    <w:rsid w:val="005F055E"/>
    <w:rsid w:val="005F0902"/>
    <w:rsid w:val="005F0A9E"/>
    <w:rsid w:val="005F1A52"/>
    <w:rsid w:val="005F1B26"/>
    <w:rsid w:val="005F2169"/>
    <w:rsid w:val="005F2F50"/>
    <w:rsid w:val="005F2F9C"/>
    <w:rsid w:val="005F31C1"/>
    <w:rsid w:val="005F3F31"/>
    <w:rsid w:val="005F4A16"/>
    <w:rsid w:val="005F54B8"/>
    <w:rsid w:val="005F6F74"/>
    <w:rsid w:val="005F76FC"/>
    <w:rsid w:val="005F7C06"/>
    <w:rsid w:val="006000EB"/>
    <w:rsid w:val="006003A3"/>
    <w:rsid w:val="00600500"/>
    <w:rsid w:val="006010B0"/>
    <w:rsid w:val="00601165"/>
    <w:rsid w:val="0060221E"/>
    <w:rsid w:val="00602566"/>
    <w:rsid w:val="00603C2D"/>
    <w:rsid w:val="00603FA1"/>
    <w:rsid w:val="00603FA8"/>
    <w:rsid w:val="006045F1"/>
    <w:rsid w:val="006050AC"/>
    <w:rsid w:val="0060594E"/>
    <w:rsid w:val="00605D7C"/>
    <w:rsid w:val="0060752A"/>
    <w:rsid w:val="006078D2"/>
    <w:rsid w:val="006078F9"/>
    <w:rsid w:val="00607ABA"/>
    <w:rsid w:val="00607BEE"/>
    <w:rsid w:val="00610336"/>
    <w:rsid w:val="006105AF"/>
    <w:rsid w:val="0061128F"/>
    <w:rsid w:val="006116AD"/>
    <w:rsid w:val="006137A4"/>
    <w:rsid w:val="00614464"/>
    <w:rsid w:val="00614FD0"/>
    <w:rsid w:val="00615044"/>
    <w:rsid w:val="006150DF"/>
    <w:rsid w:val="0061633D"/>
    <w:rsid w:val="0061641E"/>
    <w:rsid w:val="006169C2"/>
    <w:rsid w:val="00616B4F"/>
    <w:rsid w:val="006176B6"/>
    <w:rsid w:val="00620116"/>
    <w:rsid w:val="0062025C"/>
    <w:rsid w:val="00621ABB"/>
    <w:rsid w:val="00621F72"/>
    <w:rsid w:val="00621FDE"/>
    <w:rsid w:val="00622428"/>
    <w:rsid w:val="00622C51"/>
    <w:rsid w:val="0062369D"/>
    <w:rsid w:val="006252D5"/>
    <w:rsid w:val="006254FC"/>
    <w:rsid w:val="0062550C"/>
    <w:rsid w:val="00625EC2"/>
    <w:rsid w:val="00626D59"/>
    <w:rsid w:val="006275E1"/>
    <w:rsid w:val="00627777"/>
    <w:rsid w:val="00627A34"/>
    <w:rsid w:val="00627B44"/>
    <w:rsid w:val="00631EC6"/>
    <w:rsid w:val="00631EDE"/>
    <w:rsid w:val="00631F2F"/>
    <w:rsid w:val="006320B0"/>
    <w:rsid w:val="00632370"/>
    <w:rsid w:val="006324F6"/>
    <w:rsid w:val="006330D8"/>
    <w:rsid w:val="0063413A"/>
    <w:rsid w:val="00634B07"/>
    <w:rsid w:val="00635042"/>
    <w:rsid w:val="00635491"/>
    <w:rsid w:val="006354BD"/>
    <w:rsid w:val="00635663"/>
    <w:rsid w:val="006357A1"/>
    <w:rsid w:val="00636FD3"/>
    <w:rsid w:val="0063761C"/>
    <w:rsid w:val="00637A92"/>
    <w:rsid w:val="00637D87"/>
    <w:rsid w:val="00637F7A"/>
    <w:rsid w:val="00640C06"/>
    <w:rsid w:val="00642EFB"/>
    <w:rsid w:val="00643188"/>
    <w:rsid w:val="00643747"/>
    <w:rsid w:val="00644471"/>
    <w:rsid w:val="006448FC"/>
    <w:rsid w:val="006449B0"/>
    <w:rsid w:val="00644EFB"/>
    <w:rsid w:val="006459D8"/>
    <w:rsid w:val="006467B2"/>
    <w:rsid w:val="0064685D"/>
    <w:rsid w:val="00646CB0"/>
    <w:rsid w:val="006500A7"/>
    <w:rsid w:val="00650274"/>
    <w:rsid w:val="00650A06"/>
    <w:rsid w:val="00650A97"/>
    <w:rsid w:val="006527D3"/>
    <w:rsid w:val="00652E97"/>
    <w:rsid w:val="00653745"/>
    <w:rsid w:val="00653B4B"/>
    <w:rsid w:val="00654EF2"/>
    <w:rsid w:val="00654F87"/>
    <w:rsid w:val="0065665A"/>
    <w:rsid w:val="00656939"/>
    <w:rsid w:val="006578D7"/>
    <w:rsid w:val="0066079B"/>
    <w:rsid w:val="00660CC7"/>
    <w:rsid w:val="00660D11"/>
    <w:rsid w:val="0066156A"/>
    <w:rsid w:val="006616B6"/>
    <w:rsid w:val="00661853"/>
    <w:rsid w:val="00661A01"/>
    <w:rsid w:val="006620A5"/>
    <w:rsid w:val="00662B13"/>
    <w:rsid w:val="006630DB"/>
    <w:rsid w:val="0066362E"/>
    <w:rsid w:val="006639D0"/>
    <w:rsid w:val="00663A0B"/>
    <w:rsid w:val="006642F9"/>
    <w:rsid w:val="006664E2"/>
    <w:rsid w:val="00666AB1"/>
    <w:rsid w:val="00667515"/>
    <w:rsid w:val="00671BE3"/>
    <w:rsid w:val="006721BD"/>
    <w:rsid w:val="00672280"/>
    <w:rsid w:val="006736AD"/>
    <w:rsid w:val="00673B36"/>
    <w:rsid w:val="00673DD2"/>
    <w:rsid w:val="00673E89"/>
    <w:rsid w:val="00673F10"/>
    <w:rsid w:val="00673F67"/>
    <w:rsid w:val="00674643"/>
    <w:rsid w:val="0067520D"/>
    <w:rsid w:val="00675FCB"/>
    <w:rsid w:val="00676860"/>
    <w:rsid w:val="00680528"/>
    <w:rsid w:val="00680604"/>
    <w:rsid w:val="006809EB"/>
    <w:rsid w:val="00680E8C"/>
    <w:rsid w:val="0068130F"/>
    <w:rsid w:val="00681921"/>
    <w:rsid w:val="00681AF4"/>
    <w:rsid w:val="00682004"/>
    <w:rsid w:val="00682B7E"/>
    <w:rsid w:val="00682E9C"/>
    <w:rsid w:val="00683159"/>
    <w:rsid w:val="00683B1A"/>
    <w:rsid w:val="00683DBC"/>
    <w:rsid w:val="00684117"/>
    <w:rsid w:val="0068427C"/>
    <w:rsid w:val="006846E3"/>
    <w:rsid w:val="00684D47"/>
    <w:rsid w:val="00685BCB"/>
    <w:rsid w:val="006864E0"/>
    <w:rsid w:val="0068681E"/>
    <w:rsid w:val="00686BE5"/>
    <w:rsid w:val="00686FAB"/>
    <w:rsid w:val="006879D4"/>
    <w:rsid w:val="00690F56"/>
    <w:rsid w:val="00691B0B"/>
    <w:rsid w:val="00692BC7"/>
    <w:rsid w:val="00693E68"/>
    <w:rsid w:val="00694088"/>
    <w:rsid w:val="0069474D"/>
    <w:rsid w:val="00694B80"/>
    <w:rsid w:val="00694B9D"/>
    <w:rsid w:val="00694D7A"/>
    <w:rsid w:val="00694D8D"/>
    <w:rsid w:val="00694F0D"/>
    <w:rsid w:val="00695322"/>
    <w:rsid w:val="00695CBD"/>
    <w:rsid w:val="00695F79"/>
    <w:rsid w:val="006967EB"/>
    <w:rsid w:val="00697715"/>
    <w:rsid w:val="006A073F"/>
    <w:rsid w:val="006A091A"/>
    <w:rsid w:val="006A0F0D"/>
    <w:rsid w:val="006A19C5"/>
    <w:rsid w:val="006A1DD5"/>
    <w:rsid w:val="006A1FA2"/>
    <w:rsid w:val="006A27F6"/>
    <w:rsid w:val="006A28AC"/>
    <w:rsid w:val="006A3010"/>
    <w:rsid w:val="006A3EF5"/>
    <w:rsid w:val="006A42B8"/>
    <w:rsid w:val="006A46A8"/>
    <w:rsid w:val="006A5515"/>
    <w:rsid w:val="006A6C88"/>
    <w:rsid w:val="006A7101"/>
    <w:rsid w:val="006A772F"/>
    <w:rsid w:val="006A7EC6"/>
    <w:rsid w:val="006B02D2"/>
    <w:rsid w:val="006B0591"/>
    <w:rsid w:val="006B145A"/>
    <w:rsid w:val="006B23C3"/>
    <w:rsid w:val="006B2AC9"/>
    <w:rsid w:val="006B2BE2"/>
    <w:rsid w:val="006B3AF5"/>
    <w:rsid w:val="006B3F21"/>
    <w:rsid w:val="006B42AF"/>
    <w:rsid w:val="006B464F"/>
    <w:rsid w:val="006B48D1"/>
    <w:rsid w:val="006B50A2"/>
    <w:rsid w:val="006B59E7"/>
    <w:rsid w:val="006B5C5E"/>
    <w:rsid w:val="006B5C6D"/>
    <w:rsid w:val="006B654A"/>
    <w:rsid w:val="006B6700"/>
    <w:rsid w:val="006B67FD"/>
    <w:rsid w:val="006B6BFE"/>
    <w:rsid w:val="006B7AD0"/>
    <w:rsid w:val="006C13C9"/>
    <w:rsid w:val="006C1DB8"/>
    <w:rsid w:val="006C1EDC"/>
    <w:rsid w:val="006C1F42"/>
    <w:rsid w:val="006C2EED"/>
    <w:rsid w:val="006C31C0"/>
    <w:rsid w:val="006C32A6"/>
    <w:rsid w:val="006C33B0"/>
    <w:rsid w:val="006C362F"/>
    <w:rsid w:val="006C36E2"/>
    <w:rsid w:val="006C370A"/>
    <w:rsid w:val="006C39E3"/>
    <w:rsid w:val="006C3E2C"/>
    <w:rsid w:val="006C3EB3"/>
    <w:rsid w:val="006C4300"/>
    <w:rsid w:val="006C440D"/>
    <w:rsid w:val="006C4545"/>
    <w:rsid w:val="006C6DE1"/>
    <w:rsid w:val="006D0E20"/>
    <w:rsid w:val="006D15B0"/>
    <w:rsid w:val="006D1696"/>
    <w:rsid w:val="006D209A"/>
    <w:rsid w:val="006D25DD"/>
    <w:rsid w:val="006D3240"/>
    <w:rsid w:val="006D39A8"/>
    <w:rsid w:val="006D4455"/>
    <w:rsid w:val="006D47A7"/>
    <w:rsid w:val="006D4D29"/>
    <w:rsid w:val="006D56B1"/>
    <w:rsid w:val="006D5DD1"/>
    <w:rsid w:val="006D6450"/>
    <w:rsid w:val="006D645B"/>
    <w:rsid w:val="006D7380"/>
    <w:rsid w:val="006D7455"/>
    <w:rsid w:val="006E048A"/>
    <w:rsid w:val="006E057A"/>
    <w:rsid w:val="006E17A2"/>
    <w:rsid w:val="006E216D"/>
    <w:rsid w:val="006E35A7"/>
    <w:rsid w:val="006E3E31"/>
    <w:rsid w:val="006E4932"/>
    <w:rsid w:val="006E7233"/>
    <w:rsid w:val="006E73FC"/>
    <w:rsid w:val="006F02AF"/>
    <w:rsid w:val="006F15A3"/>
    <w:rsid w:val="006F195C"/>
    <w:rsid w:val="006F1A90"/>
    <w:rsid w:val="006F202B"/>
    <w:rsid w:val="006F2634"/>
    <w:rsid w:val="006F2BE5"/>
    <w:rsid w:val="006F31DB"/>
    <w:rsid w:val="006F4B79"/>
    <w:rsid w:val="006F4D5B"/>
    <w:rsid w:val="006F54C6"/>
    <w:rsid w:val="006F5A7E"/>
    <w:rsid w:val="006F62FB"/>
    <w:rsid w:val="006F67B8"/>
    <w:rsid w:val="006F69C9"/>
    <w:rsid w:val="0070022F"/>
    <w:rsid w:val="00700606"/>
    <w:rsid w:val="00700737"/>
    <w:rsid w:val="00700CB4"/>
    <w:rsid w:val="007011F6"/>
    <w:rsid w:val="00701483"/>
    <w:rsid w:val="00701D08"/>
    <w:rsid w:val="00701F5E"/>
    <w:rsid w:val="00702F92"/>
    <w:rsid w:val="007036A6"/>
    <w:rsid w:val="00703E0A"/>
    <w:rsid w:val="0070429E"/>
    <w:rsid w:val="007043E6"/>
    <w:rsid w:val="00704696"/>
    <w:rsid w:val="007057FF"/>
    <w:rsid w:val="007060C5"/>
    <w:rsid w:val="0070636E"/>
    <w:rsid w:val="00706D2B"/>
    <w:rsid w:val="00707402"/>
    <w:rsid w:val="00707B45"/>
    <w:rsid w:val="00710A74"/>
    <w:rsid w:val="00711518"/>
    <w:rsid w:val="0071206E"/>
    <w:rsid w:val="0071226F"/>
    <w:rsid w:val="00712383"/>
    <w:rsid w:val="00712672"/>
    <w:rsid w:val="0071371C"/>
    <w:rsid w:val="00713996"/>
    <w:rsid w:val="00713F68"/>
    <w:rsid w:val="007146B4"/>
    <w:rsid w:val="00714B4B"/>
    <w:rsid w:val="00714F7A"/>
    <w:rsid w:val="0071576B"/>
    <w:rsid w:val="0071596D"/>
    <w:rsid w:val="007159BD"/>
    <w:rsid w:val="00715C52"/>
    <w:rsid w:val="00715F92"/>
    <w:rsid w:val="00716413"/>
    <w:rsid w:val="0071678F"/>
    <w:rsid w:val="00716E1F"/>
    <w:rsid w:val="00717B9E"/>
    <w:rsid w:val="00720840"/>
    <w:rsid w:val="00720FC0"/>
    <w:rsid w:val="00721290"/>
    <w:rsid w:val="00722428"/>
    <w:rsid w:val="007225F5"/>
    <w:rsid w:val="007241CD"/>
    <w:rsid w:val="00725ECD"/>
    <w:rsid w:val="00726903"/>
    <w:rsid w:val="007273B0"/>
    <w:rsid w:val="0072762B"/>
    <w:rsid w:val="00727E16"/>
    <w:rsid w:val="00730863"/>
    <w:rsid w:val="00730CA2"/>
    <w:rsid w:val="00730CE4"/>
    <w:rsid w:val="00731177"/>
    <w:rsid w:val="00731605"/>
    <w:rsid w:val="00732522"/>
    <w:rsid w:val="00732AA9"/>
    <w:rsid w:val="00732B8A"/>
    <w:rsid w:val="00733365"/>
    <w:rsid w:val="007333BE"/>
    <w:rsid w:val="00733F80"/>
    <w:rsid w:val="0073445F"/>
    <w:rsid w:val="00735142"/>
    <w:rsid w:val="007353D2"/>
    <w:rsid w:val="00736516"/>
    <w:rsid w:val="00736BD4"/>
    <w:rsid w:val="00736EFA"/>
    <w:rsid w:val="00737C96"/>
    <w:rsid w:val="00737DB1"/>
    <w:rsid w:val="007413E8"/>
    <w:rsid w:val="0074142A"/>
    <w:rsid w:val="00741476"/>
    <w:rsid w:val="00741D60"/>
    <w:rsid w:val="00742ACD"/>
    <w:rsid w:val="00742CA6"/>
    <w:rsid w:val="00742E15"/>
    <w:rsid w:val="00744225"/>
    <w:rsid w:val="0074533E"/>
    <w:rsid w:val="00746E5D"/>
    <w:rsid w:val="007470D1"/>
    <w:rsid w:val="007500E0"/>
    <w:rsid w:val="0075109A"/>
    <w:rsid w:val="0075126D"/>
    <w:rsid w:val="00751DBE"/>
    <w:rsid w:val="00752245"/>
    <w:rsid w:val="00753877"/>
    <w:rsid w:val="00753963"/>
    <w:rsid w:val="007548E6"/>
    <w:rsid w:val="00754B34"/>
    <w:rsid w:val="00754F45"/>
    <w:rsid w:val="0075504D"/>
    <w:rsid w:val="00756208"/>
    <w:rsid w:val="00756DCB"/>
    <w:rsid w:val="00756EBE"/>
    <w:rsid w:val="00757125"/>
    <w:rsid w:val="00757A84"/>
    <w:rsid w:val="00757B04"/>
    <w:rsid w:val="00757E1B"/>
    <w:rsid w:val="0076045E"/>
    <w:rsid w:val="007614D0"/>
    <w:rsid w:val="0076161B"/>
    <w:rsid w:val="007617D2"/>
    <w:rsid w:val="00762313"/>
    <w:rsid w:val="0076268A"/>
    <w:rsid w:val="00762CEF"/>
    <w:rsid w:val="00762DDE"/>
    <w:rsid w:val="007631CC"/>
    <w:rsid w:val="00763AAE"/>
    <w:rsid w:val="00763B8E"/>
    <w:rsid w:val="00763EAA"/>
    <w:rsid w:val="007647DA"/>
    <w:rsid w:val="00766040"/>
    <w:rsid w:val="007661A6"/>
    <w:rsid w:val="007665A1"/>
    <w:rsid w:val="00766F59"/>
    <w:rsid w:val="00767895"/>
    <w:rsid w:val="007678E5"/>
    <w:rsid w:val="0076791A"/>
    <w:rsid w:val="00767A29"/>
    <w:rsid w:val="00767BDC"/>
    <w:rsid w:val="00767D4D"/>
    <w:rsid w:val="0077026E"/>
    <w:rsid w:val="00770C8A"/>
    <w:rsid w:val="00770EB5"/>
    <w:rsid w:val="00770ED8"/>
    <w:rsid w:val="00771FD0"/>
    <w:rsid w:val="00772169"/>
    <w:rsid w:val="00772554"/>
    <w:rsid w:val="007727A3"/>
    <w:rsid w:val="00772A0A"/>
    <w:rsid w:val="00772AD8"/>
    <w:rsid w:val="00772FB7"/>
    <w:rsid w:val="00773BA7"/>
    <w:rsid w:val="00773F24"/>
    <w:rsid w:val="007740A0"/>
    <w:rsid w:val="00774480"/>
    <w:rsid w:val="00774652"/>
    <w:rsid w:val="00774FED"/>
    <w:rsid w:val="00775BA6"/>
    <w:rsid w:val="00776444"/>
    <w:rsid w:val="007766F1"/>
    <w:rsid w:val="007769A3"/>
    <w:rsid w:val="00776D36"/>
    <w:rsid w:val="00777FC7"/>
    <w:rsid w:val="00781CBD"/>
    <w:rsid w:val="00781ED3"/>
    <w:rsid w:val="007821E9"/>
    <w:rsid w:val="0078301E"/>
    <w:rsid w:val="007831BE"/>
    <w:rsid w:val="007831EB"/>
    <w:rsid w:val="00783792"/>
    <w:rsid w:val="00783DA1"/>
    <w:rsid w:val="00784900"/>
    <w:rsid w:val="0078498A"/>
    <w:rsid w:val="00784FD4"/>
    <w:rsid w:val="007857BC"/>
    <w:rsid w:val="007857E0"/>
    <w:rsid w:val="00785D02"/>
    <w:rsid w:val="0078624B"/>
    <w:rsid w:val="00787ECC"/>
    <w:rsid w:val="0079004C"/>
    <w:rsid w:val="0079071A"/>
    <w:rsid w:val="007916E5"/>
    <w:rsid w:val="007922DB"/>
    <w:rsid w:val="00792E19"/>
    <w:rsid w:val="00793139"/>
    <w:rsid w:val="007954B3"/>
    <w:rsid w:val="0079614E"/>
    <w:rsid w:val="00797483"/>
    <w:rsid w:val="007A00AF"/>
    <w:rsid w:val="007A17D6"/>
    <w:rsid w:val="007A2449"/>
    <w:rsid w:val="007A30DF"/>
    <w:rsid w:val="007A3CB4"/>
    <w:rsid w:val="007A4CB3"/>
    <w:rsid w:val="007A6001"/>
    <w:rsid w:val="007A67A2"/>
    <w:rsid w:val="007A69F9"/>
    <w:rsid w:val="007B05BE"/>
    <w:rsid w:val="007B09D7"/>
    <w:rsid w:val="007B1101"/>
    <w:rsid w:val="007B277C"/>
    <w:rsid w:val="007B29C0"/>
    <w:rsid w:val="007B4054"/>
    <w:rsid w:val="007B4993"/>
    <w:rsid w:val="007B4D7F"/>
    <w:rsid w:val="007B501A"/>
    <w:rsid w:val="007B5744"/>
    <w:rsid w:val="007B74E2"/>
    <w:rsid w:val="007B7597"/>
    <w:rsid w:val="007C0B9D"/>
    <w:rsid w:val="007C0C56"/>
    <w:rsid w:val="007C0CA4"/>
    <w:rsid w:val="007C2EA9"/>
    <w:rsid w:val="007C2FDB"/>
    <w:rsid w:val="007C31B1"/>
    <w:rsid w:val="007C3221"/>
    <w:rsid w:val="007C349B"/>
    <w:rsid w:val="007C3E33"/>
    <w:rsid w:val="007C4142"/>
    <w:rsid w:val="007C5FEA"/>
    <w:rsid w:val="007C62BA"/>
    <w:rsid w:val="007C682E"/>
    <w:rsid w:val="007C6B0B"/>
    <w:rsid w:val="007C6F99"/>
    <w:rsid w:val="007C747C"/>
    <w:rsid w:val="007C748A"/>
    <w:rsid w:val="007D05E6"/>
    <w:rsid w:val="007D07FA"/>
    <w:rsid w:val="007D0865"/>
    <w:rsid w:val="007D0A74"/>
    <w:rsid w:val="007D2FD2"/>
    <w:rsid w:val="007D37A8"/>
    <w:rsid w:val="007D3C20"/>
    <w:rsid w:val="007D3F05"/>
    <w:rsid w:val="007D5024"/>
    <w:rsid w:val="007D6575"/>
    <w:rsid w:val="007D6C19"/>
    <w:rsid w:val="007D7089"/>
    <w:rsid w:val="007D7B44"/>
    <w:rsid w:val="007D7E5D"/>
    <w:rsid w:val="007E089A"/>
    <w:rsid w:val="007E0B39"/>
    <w:rsid w:val="007E168C"/>
    <w:rsid w:val="007E1E92"/>
    <w:rsid w:val="007E228C"/>
    <w:rsid w:val="007E295C"/>
    <w:rsid w:val="007E2A1F"/>
    <w:rsid w:val="007E2C14"/>
    <w:rsid w:val="007E3516"/>
    <w:rsid w:val="007E3B3D"/>
    <w:rsid w:val="007E6272"/>
    <w:rsid w:val="007E6C7A"/>
    <w:rsid w:val="007E70F4"/>
    <w:rsid w:val="007E7B47"/>
    <w:rsid w:val="007F00F7"/>
    <w:rsid w:val="007F099E"/>
    <w:rsid w:val="007F0AC7"/>
    <w:rsid w:val="007F242E"/>
    <w:rsid w:val="007F324F"/>
    <w:rsid w:val="007F32AC"/>
    <w:rsid w:val="007F3EF4"/>
    <w:rsid w:val="007F431A"/>
    <w:rsid w:val="007F445B"/>
    <w:rsid w:val="007F491D"/>
    <w:rsid w:val="007F4C0D"/>
    <w:rsid w:val="007F4D4F"/>
    <w:rsid w:val="007F5789"/>
    <w:rsid w:val="007F5CED"/>
    <w:rsid w:val="007F5E48"/>
    <w:rsid w:val="007F5E75"/>
    <w:rsid w:val="007F66B7"/>
    <w:rsid w:val="007F6DC0"/>
    <w:rsid w:val="007F6DE4"/>
    <w:rsid w:val="007F71ED"/>
    <w:rsid w:val="007F7426"/>
    <w:rsid w:val="007F78B1"/>
    <w:rsid w:val="007F7944"/>
    <w:rsid w:val="008002B5"/>
    <w:rsid w:val="008015F8"/>
    <w:rsid w:val="0080162A"/>
    <w:rsid w:val="00801BBC"/>
    <w:rsid w:val="00801C80"/>
    <w:rsid w:val="00802BDF"/>
    <w:rsid w:val="008037C5"/>
    <w:rsid w:val="00803D2F"/>
    <w:rsid w:val="008059EF"/>
    <w:rsid w:val="0080631A"/>
    <w:rsid w:val="008109B8"/>
    <w:rsid w:val="00810BD1"/>
    <w:rsid w:val="0081192A"/>
    <w:rsid w:val="008119F3"/>
    <w:rsid w:val="00812217"/>
    <w:rsid w:val="008123B7"/>
    <w:rsid w:val="00812635"/>
    <w:rsid w:val="00812DFD"/>
    <w:rsid w:val="00813320"/>
    <w:rsid w:val="008139F0"/>
    <w:rsid w:val="00813D23"/>
    <w:rsid w:val="00813E79"/>
    <w:rsid w:val="00816DD3"/>
    <w:rsid w:val="0082008F"/>
    <w:rsid w:val="008202C4"/>
    <w:rsid w:val="00820FC9"/>
    <w:rsid w:val="00821B4F"/>
    <w:rsid w:val="00822964"/>
    <w:rsid w:val="008229BA"/>
    <w:rsid w:val="00823237"/>
    <w:rsid w:val="00824120"/>
    <w:rsid w:val="00824ABC"/>
    <w:rsid w:val="00825072"/>
    <w:rsid w:val="0082533B"/>
    <w:rsid w:val="008260DE"/>
    <w:rsid w:val="00827A54"/>
    <w:rsid w:val="00830158"/>
    <w:rsid w:val="008301E2"/>
    <w:rsid w:val="00830C07"/>
    <w:rsid w:val="00830FB3"/>
    <w:rsid w:val="0083185A"/>
    <w:rsid w:val="0083287B"/>
    <w:rsid w:val="0083389C"/>
    <w:rsid w:val="00833992"/>
    <w:rsid w:val="00833AFD"/>
    <w:rsid w:val="00834667"/>
    <w:rsid w:val="00834E74"/>
    <w:rsid w:val="00834ED2"/>
    <w:rsid w:val="008362B2"/>
    <w:rsid w:val="00836432"/>
    <w:rsid w:val="00836EF5"/>
    <w:rsid w:val="0083719D"/>
    <w:rsid w:val="008407D8"/>
    <w:rsid w:val="00840E0D"/>
    <w:rsid w:val="00840ED2"/>
    <w:rsid w:val="00840EDA"/>
    <w:rsid w:val="00842451"/>
    <w:rsid w:val="00842562"/>
    <w:rsid w:val="00843679"/>
    <w:rsid w:val="0084379D"/>
    <w:rsid w:val="00843CBE"/>
    <w:rsid w:val="00844EC9"/>
    <w:rsid w:val="0084510E"/>
    <w:rsid w:val="008463E6"/>
    <w:rsid w:val="008469CA"/>
    <w:rsid w:val="00847794"/>
    <w:rsid w:val="00850B68"/>
    <w:rsid w:val="00850DC4"/>
    <w:rsid w:val="00850FE1"/>
    <w:rsid w:val="00851089"/>
    <w:rsid w:val="0085157E"/>
    <w:rsid w:val="0085176A"/>
    <w:rsid w:val="008522B5"/>
    <w:rsid w:val="008534B1"/>
    <w:rsid w:val="008537C4"/>
    <w:rsid w:val="00854B2D"/>
    <w:rsid w:val="00855CD6"/>
    <w:rsid w:val="00856547"/>
    <w:rsid w:val="00856CF9"/>
    <w:rsid w:val="00857FCD"/>
    <w:rsid w:val="00862A56"/>
    <w:rsid w:val="00862F44"/>
    <w:rsid w:val="0086335D"/>
    <w:rsid w:val="00864C32"/>
    <w:rsid w:val="00865EE3"/>
    <w:rsid w:val="0086615C"/>
    <w:rsid w:val="008669B6"/>
    <w:rsid w:val="00866CD8"/>
    <w:rsid w:val="00866EBE"/>
    <w:rsid w:val="0087006D"/>
    <w:rsid w:val="00870B77"/>
    <w:rsid w:val="0087101E"/>
    <w:rsid w:val="0087118D"/>
    <w:rsid w:val="008719FC"/>
    <w:rsid w:val="00871E39"/>
    <w:rsid w:val="008727AC"/>
    <w:rsid w:val="00872A63"/>
    <w:rsid w:val="00873B2D"/>
    <w:rsid w:val="00873B3B"/>
    <w:rsid w:val="00873FBC"/>
    <w:rsid w:val="0087455F"/>
    <w:rsid w:val="008748A0"/>
    <w:rsid w:val="00874F35"/>
    <w:rsid w:val="00875D6A"/>
    <w:rsid w:val="00875D85"/>
    <w:rsid w:val="00876AC6"/>
    <w:rsid w:val="00876F3C"/>
    <w:rsid w:val="0087775B"/>
    <w:rsid w:val="008777D5"/>
    <w:rsid w:val="00880A9F"/>
    <w:rsid w:val="008818DA"/>
    <w:rsid w:val="008821CE"/>
    <w:rsid w:val="00882A88"/>
    <w:rsid w:val="00882FC9"/>
    <w:rsid w:val="0088312D"/>
    <w:rsid w:val="0088389F"/>
    <w:rsid w:val="00884040"/>
    <w:rsid w:val="00884061"/>
    <w:rsid w:val="008845A3"/>
    <w:rsid w:val="00884AE2"/>
    <w:rsid w:val="00885383"/>
    <w:rsid w:val="00885A78"/>
    <w:rsid w:val="0088607F"/>
    <w:rsid w:val="008864BB"/>
    <w:rsid w:val="0088760E"/>
    <w:rsid w:val="008877B2"/>
    <w:rsid w:val="008900BF"/>
    <w:rsid w:val="008900F3"/>
    <w:rsid w:val="0089099A"/>
    <w:rsid w:val="00890D2B"/>
    <w:rsid w:val="008915C8"/>
    <w:rsid w:val="008917E2"/>
    <w:rsid w:val="008921E9"/>
    <w:rsid w:val="0089242C"/>
    <w:rsid w:val="00892DF5"/>
    <w:rsid w:val="00893079"/>
    <w:rsid w:val="0089504C"/>
    <w:rsid w:val="008963BE"/>
    <w:rsid w:val="00896421"/>
    <w:rsid w:val="00896D2E"/>
    <w:rsid w:val="0089743E"/>
    <w:rsid w:val="00897A76"/>
    <w:rsid w:val="00897BB1"/>
    <w:rsid w:val="008A09DB"/>
    <w:rsid w:val="008A13F7"/>
    <w:rsid w:val="008A1978"/>
    <w:rsid w:val="008A288C"/>
    <w:rsid w:val="008A326B"/>
    <w:rsid w:val="008A3471"/>
    <w:rsid w:val="008A367D"/>
    <w:rsid w:val="008A508E"/>
    <w:rsid w:val="008A52DF"/>
    <w:rsid w:val="008A558E"/>
    <w:rsid w:val="008A55EF"/>
    <w:rsid w:val="008A5D5A"/>
    <w:rsid w:val="008A6441"/>
    <w:rsid w:val="008A68F9"/>
    <w:rsid w:val="008A7894"/>
    <w:rsid w:val="008A78A2"/>
    <w:rsid w:val="008B041D"/>
    <w:rsid w:val="008B0969"/>
    <w:rsid w:val="008B297D"/>
    <w:rsid w:val="008B3772"/>
    <w:rsid w:val="008B3796"/>
    <w:rsid w:val="008B38F5"/>
    <w:rsid w:val="008B3C80"/>
    <w:rsid w:val="008B573A"/>
    <w:rsid w:val="008B5837"/>
    <w:rsid w:val="008B696C"/>
    <w:rsid w:val="008B6C2C"/>
    <w:rsid w:val="008B6C94"/>
    <w:rsid w:val="008B6EE5"/>
    <w:rsid w:val="008B7915"/>
    <w:rsid w:val="008C0217"/>
    <w:rsid w:val="008C046F"/>
    <w:rsid w:val="008C08E2"/>
    <w:rsid w:val="008C1868"/>
    <w:rsid w:val="008C249A"/>
    <w:rsid w:val="008C24F7"/>
    <w:rsid w:val="008C2832"/>
    <w:rsid w:val="008C2BD6"/>
    <w:rsid w:val="008C2DC4"/>
    <w:rsid w:val="008C3032"/>
    <w:rsid w:val="008C3386"/>
    <w:rsid w:val="008C408E"/>
    <w:rsid w:val="008C4669"/>
    <w:rsid w:val="008C4B85"/>
    <w:rsid w:val="008C4E8C"/>
    <w:rsid w:val="008C4FED"/>
    <w:rsid w:val="008C5CCC"/>
    <w:rsid w:val="008C639C"/>
    <w:rsid w:val="008C6E18"/>
    <w:rsid w:val="008C6F22"/>
    <w:rsid w:val="008C7FFD"/>
    <w:rsid w:val="008D0195"/>
    <w:rsid w:val="008D14FC"/>
    <w:rsid w:val="008D2283"/>
    <w:rsid w:val="008D2507"/>
    <w:rsid w:val="008D2E41"/>
    <w:rsid w:val="008D321D"/>
    <w:rsid w:val="008D3231"/>
    <w:rsid w:val="008D4426"/>
    <w:rsid w:val="008D48C2"/>
    <w:rsid w:val="008D4D02"/>
    <w:rsid w:val="008D4E7C"/>
    <w:rsid w:val="008D4FEF"/>
    <w:rsid w:val="008D51FC"/>
    <w:rsid w:val="008D5D8B"/>
    <w:rsid w:val="008D61D2"/>
    <w:rsid w:val="008D6217"/>
    <w:rsid w:val="008E0161"/>
    <w:rsid w:val="008E0285"/>
    <w:rsid w:val="008E08B4"/>
    <w:rsid w:val="008E0EB4"/>
    <w:rsid w:val="008E0F34"/>
    <w:rsid w:val="008E1224"/>
    <w:rsid w:val="008E1573"/>
    <w:rsid w:val="008E1C02"/>
    <w:rsid w:val="008E2121"/>
    <w:rsid w:val="008E2C9E"/>
    <w:rsid w:val="008E3EE6"/>
    <w:rsid w:val="008E47A9"/>
    <w:rsid w:val="008E4E0D"/>
    <w:rsid w:val="008E57D5"/>
    <w:rsid w:val="008E6111"/>
    <w:rsid w:val="008E6F47"/>
    <w:rsid w:val="008E7A79"/>
    <w:rsid w:val="008F062C"/>
    <w:rsid w:val="008F0678"/>
    <w:rsid w:val="008F0E2D"/>
    <w:rsid w:val="008F11AB"/>
    <w:rsid w:val="008F1422"/>
    <w:rsid w:val="008F22C1"/>
    <w:rsid w:val="008F2770"/>
    <w:rsid w:val="008F3D95"/>
    <w:rsid w:val="008F4DAC"/>
    <w:rsid w:val="008F6489"/>
    <w:rsid w:val="008F68F9"/>
    <w:rsid w:val="008F70B3"/>
    <w:rsid w:val="008F71A8"/>
    <w:rsid w:val="008F7901"/>
    <w:rsid w:val="009013E2"/>
    <w:rsid w:val="00901CDA"/>
    <w:rsid w:val="00901F7F"/>
    <w:rsid w:val="0090271E"/>
    <w:rsid w:val="00902E62"/>
    <w:rsid w:val="0090496E"/>
    <w:rsid w:val="00904995"/>
    <w:rsid w:val="00904BBC"/>
    <w:rsid w:val="00905C76"/>
    <w:rsid w:val="00906B15"/>
    <w:rsid w:val="00906F2B"/>
    <w:rsid w:val="009077D7"/>
    <w:rsid w:val="00910401"/>
    <w:rsid w:val="0091073C"/>
    <w:rsid w:val="00911705"/>
    <w:rsid w:val="00911972"/>
    <w:rsid w:val="00912352"/>
    <w:rsid w:val="00912BFF"/>
    <w:rsid w:val="00912F12"/>
    <w:rsid w:val="00913116"/>
    <w:rsid w:val="00914678"/>
    <w:rsid w:val="0091516D"/>
    <w:rsid w:val="0091522C"/>
    <w:rsid w:val="009155CA"/>
    <w:rsid w:val="00915780"/>
    <w:rsid w:val="0091646A"/>
    <w:rsid w:val="009167DB"/>
    <w:rsid w:val="009168E8"/>
    <w:rsid w:val="00916CD9"/>
    <w:rsid w:val="00917CA3"/>
    <w:rsid w:val="00920578"/>
    <w:rsid w:val="00920CC2"/>
    <w:rsid w:val="00921263"/>
    <w:rsid w:val="00921685"/>
    <w:rsid w:val="009222B8"/>
    <w:rsid w:val="00922FF8"/>
    <w:rsid w:val="009237D8"/>
    <w:rsid w:val="00924591"/>
    <w:rsid w:val="009258D9"/>
    <w:rsid w:val="00925BA8"/>
    <w:rsid w:val="0092640C"/>
    <w:rsid w:val="0092749E"/>
    <w:rsid w:val="0092787C"/>
    <w:rsid w:val="00927BFC"/>
    <w:rsid w:val="00931071"/>
    <w:rsid w:val="009319B8"/>
    <w:rsid w:val="00932517"/>
    <w:rsid w:val="00933461"/>
    <w:rsid w:val="00933913"/>
    <w:rsid w:val="00934027"/>
    <w:rsid w:val="0093471F"/>
    <w:rsid w:val="00935824"/>
    <w:rsid w:val="009367F8"/>
    <w:rsid w:val="00936C11"/>
    <w:rsid w:val="00940412"/>
    <w:rsid w:val="009404D6"/>
    <w:rsid w:val="009409DC"/>
    <w:rsid w:val="0094133F"/>
    <w:rsid w:val="00941EA4"/>
    <w:rsid w:val="00943586"/>
    <w:rsid w:val="00943D90"/>
    <w:rsid w:val="0094437D"/>
    <w:rsid w:val="009447FE"/>
    <w:rsid w:val="0094489A"/>
    <w:rsid w:val="00950506"/>
    <w:rsid w:val="009508DE"/>
    <w:rsid w:val="00951B98"/>
    <w:rsid w:val="00952110"/>
    <w:rsid w:val="00952B84"/>
    <w:rsid w:val="009530A9"/>
    <w:rsid w:val="00953252"/>
    <w:rsid w:val="009537B5"/>
    <w:rsid w:val="00955128"/>
    <w:rsid w:val="00955199"/>
    <w:rsid w:val="00955870"/>
    <w:rsid w:val="0095592A"/>
    <w:rsid w:val="00956EDA"/>
    <w:rsid w:val="00957031"/>
    <w:rsid w:val="00957F4F"/>
    <w:rsid w:val="0096034D"/>
    <w:rsid w:val="00960CD5"/>
    <w:rsid w:val="009616C8"/>
    <w:rsid w:val="00961C5A"/>
    <w:rsid w:val="00961F06"/>
    <w:rsid w:val="00962B77"/>
    <w:rsid w:val="00963BED"/>
    <w:rsid w:val="00964997"/>
    <w:rsid w:val="00965062"/>
    <w:rsid w:val="0096521D"/>
    <w:rsid w:val="00965A81"/>
    <w:rsid w:val="00965AF0"/>
    <w:rsid w:val="00966EA0"/>
    <w:rsid w:val="009675E5"/>
    <w:rsid w:val="009713BE"/>
    <w:rsid w:val="00971D7D"/>
    <w:rsid w:val="0097223D"/>
    <w:rsid w:val="00972CDA"/>
    <w:rsid w:val="0097322A"/>
    <w:rsid w:val="00973901"/>
    <w:rsid w:val="00974174"/>
    <w:rsid w:val="009752A8"/>
    <w:rsid w:val="009753EA"/>
    <w:rsid w:val="009763CF"/>
    <w:rsid w:val="00976B38"/>
    <w:rsid w:val="009771C4"/>
    <w:rsid w:val="009773A9"/>
    <w:rsid w:val="009779E8"/>
    <w:rsid w:val="00977B20"/>
    <w:rsid w:val="00977D67"/>
    <w:rsid w:val="00977EDF"/>
    <w:rsid w:val="00981A24"/>
    <w:rsid w:val="00981BF0"/>
    <w:rsid w:val="0098411E"/>
    <w:rsid w:val="00984406"/>
    <w:rsid w:val="009849D2"/>
    <w:rsid w:val="00984E35"/>
    <w:rsid w:val="0098579C"/>
    <w:rsid w:val="00986605"/>
    <w:rsid w:val="009867C5"/>
    <w:rsid w:val="00986C9C"/>
    <w:rsid w:val="009904BF"/>
    <w:rsid w:val="0099210D"/>
    <w:rsid w:val="009934CF"/>
    <w:rsid w:val="009937B3"/>
    <w:rsid w:val="00993B46"/>
    <w:rsid w:val="0099470E"/>
    <w:rsid w:val="00994CD4"/>
    <w:rsid w:val="00995A28"/>
    <w:rsid w:val="00995F8B"/>
    <w:rsid w:val="009967C6"/>
    <w:rsid w:val="00996D52"/>
    <w:rsid w:val="0099702B"/>
    <w:rsid w:val="0099704A"/>
    <w:rsid w:val="009978D1"/>
    <w:rsid w:val="00997E6D"/>
    <w:rsid w:val="009A0075"/>
    <w:rsid w:val="009A0429"/>
    <w:rsid w:val="009A08A6"/>
    <w:rsid w:val="009A116D"/>
    <w:rsid w:val="009A18BF"/>
    <w:rsid w:val="009A1C87"/>
    <w:rsid w:val="009A1D78"/>
    <w:rsid w:val="009A1E6A"/>
    <w:rsid w:val="009A261E"/>
    <w:rsid w:val="009A2CF7"/>
    <w:rsid w:val="009A2D80"/>
    <w:rsid w:val="009A31ED"/>
    <w:rsid w:val="009A4102"/>
    <w:rsid w:val="009A533B"/>
    <w:rsid w:val="009A5492"/>
    <w:rsid w:val="009A5B82"/>
    <w:rsid w:val="009A66AF"/>
    <w:rsid w:val="009A6E32"/>
    <w:rsid w:val="009A7C89"/>
    <w:rsid w:val="009B01A8"/>
    <w:rsid w:val="009B0574"/>
    <w:rsid w:val="009B07FC"/>
    <w:rsid w:val="009B122F"/>
    <w:rsid w:val="009B17BF"/>
    <w:rsid w:val="009B3F94"/>
    <w:rsid w:val="009B4211"/>
    <w:rsid w:val="009B4860"/>
    <w:rsid w:val="009B4954"/>
    <w:rsid w:val="009B534A"/>
    <w:rsid w:val="009B5610"/>
    <w:rsid w:val="009B5926"/>
    <w:rsid w:val="009B5A96"/>
    <w:rsid w:val="009B5B4B"/>
    <w:rsid w:val="009B5D39"/>
    <w:rsid w:val="009B762A"/>
    <w:rsid w:val="009C0506"/>
    <w:rsid w:val="009C06AE"/>
    <w:rsid w:val="009C09D3"/>
    <w:rsid w:val="009C0EE0"/>
    <w:rsid w:val="009C1229"/>
    <w:rsid w:val="009C1FAE"/>
    <w:rsid w:val="009C23C4"/>
    <w:rsid w:val="009C24EE"/>
    <w:rsid w:val="009C2F09"/>
    <w:rsid w:val="009C3269"/>
    <w:rsid w:val="009C3468"/>
    <w:rsid w:val="009C3521"/>
    <w:rsid w:val="009C4AEE"/>
    <w:rsid w:val="009C5C80"/>
    <w:rsid w:val="009C5E01"/>
    <w:rsid w:val="009C6716"/>
    <w:rsid w:val="009C7324"/>
    <w:rsid w:val="009C7534"/>
    <w:rsid w:val="009C7B49"/>
    <w:rsid w:val="009C7BFB"/>
    <w:rsid w:val="009C7E99"/>
    <w:rsid w:val="009D091D"/>
    <w:rsid w:val="009D1299"/>
    <w:rsid w:val="009D1EDC"/>
    <w:rsid w:val="009D2285"/>
    <w:rsid w:val="009D28B7"/>
    <w:rsid w:val="009D29B1"/>
    <w:rsid w:val="009D2A03"/>
    <w:rsid w:val="009D2B10"/>
    <w:rsid w:val="009D2DEA"/>
    <w:rsid w:val="009D2F4A"/>
    <w:rsid w:val="009D3229"/>
    <w:rsid w:val="009D3401"/>
    <w:rsid w:val="009D4780"/>
    <w:rsid w:val="009D5435"/>
    <w:rsid w:val="009D5545"/>
    <w:rsid w:val="009D673E"/>
    <w:rsid w:val="009D6905"/>
    <w:rsid w:val="009D6D17"/>
    <w:rsid w:val="009D7DA0"/>
    <w:rsid w:val="009D7EDC"/>
    <w:rsid w:val="009E0168"/>
    <w:rsid w:val="009E054D"/>
    <w:rsid w:val="009E0917"/>
    <w:rsid w:val="009E0E44"/>
    <w:rsid w:val="009E114E"/>
    <w:rsid w:val="009E1568"/>
    <w:rsid w:val="009E190E"/>
    <w:rsid w:val="009E4EFA"/>
    <w:rsid w:val="009E52A9"/>
    <w:rsid w:val="009E5AE8"/>
    <w:rsid w:val="009E5DC0"/>
    <w:rsid w:val="009E6052"/>
    <w:rsid w:val="009E6158"/>
    <w:rsid w:val="009F0884"/>
    <w:rsid w:val="009F0D3E"/>
    <w:rsid w:val="009F1267"/>
    <w:rsid w:val="009F2963"/>
    <w:rsid w:val="009F2AF4"/>
    <w:rsid w:val="009F3542"/>
    <w:rsid w:val="009F3970"/>
    <w:rsid w:val="009F3A80"/>
    <w:rsid w:val="009F427E"/>
    <w:rsid w:val="009F4A0F"/>
    <w:rsid w:val="009F4F15"/>
    <w:rsid w:val="009F5A99"/>
    <w:rsid w:val="009F6889"/>
    <w:rsid w:val="009F78B6"/>
    <w:rsid w:val="00A00355"/>
    <w:rsid w:val="00A01018"/>
    <w:rsid w:val="00A01070"/>
    <w:rsid w:val="00A0162B"/>
    <w:rsid w:val="00A03797"/>
    <w:rsid w:val="00A03E1C"/>
    <w:rsid w:val="00A041C3"/>
    <w:rsid w:val="00A044BD"/>
    <w:rsid w:val="00A07098"/>
    <w:rsid w:val="00A076ED"/>
    <w:rsid w:val="00A07AED"/>
    <w:rsid w:val="00A11922"/>
    <w:rsid w:val="00A1238E"/>
    <w:rsid w:val="00A123C6"/>
    <w:rsid w:val="00A12A6C"/>
    <w:rsid w:val="00A12E0D"/>
    <w:rsid w:val="00A13814"/>
    <w:rsid w:val="00A13BC4"/>
    <w:rsid w:val="00A13C4B"/>
    <w:rsid w:val="00A13C97"/>
    <w:rsid w:val="00A13F38"/>
    <w:rsid w:val="00A14326"/>
    <w:rsid w:val="00A14E7F"/>
    <w:rsid w:val="00A16B4B"/>
    <w:rsid w:val="00A2296E"/>
    <w:rsid w:val="00A2320B"/>
    <w:rsid w:val="00A2350C"/>
    <w:rsid w:val="00A23D50"/>
    <w:rsid w:val="00A23D57"/>
    <w:rsid w:val="00A23E00"/>
    <w:rsid w:val="00A24458"/>
    <w:rsid w:val="00A24518"/>
    <w:rsid w:val="00A24728"/>
    <w:rsid w:val="00A250A6"/>
    <w:rsid w:val="00A25C23"/>
    <w:rsid w:val="00A2686B"/>
    <w:rsid w:val="00A305AA"/>
    <w:rsid w:val="00A30889"/>
    <w:rsid w:val="00A30A60"/>
    <w:rsid w:val="00A30A6C"/>
    <w:rsid w:val="00A30B4D"/>
    <w:rsid w:val="00A30C39"/>
    <w:rsid w:val="00A3127C"/>
    <w:rsid w:val="00A317C3"/>
    <w:rsid w:val="00A31F77"/>
    <w:rsid w:val="00A3233A"/>
    <w:rsid w:val="00A32773"/>
    <w:rsid w:val="00A32796"/>
    <w:rsid w:val="00A32806"/>
    <w:rsid w:val="00A32F19"/>
    <w:rsid w:val="00A337A2"/>
    <w:rsid w:val="00A33987"/>
    <w:rsid w:val="00A33DFA"/>
    <w:rsid w:val="00A3462E"/>
    <w:rsid w:val="00A34AC1"/>
    <w:rsid w:val="00A3552E"/>
    <w:rsid w:val="00A358AC"/>
    <w:rsid w:val="00A35A0F"/>
    <w:rsid w:val="00A40F64"/>
    <w:rsid w:val="00A4129C"/>
    <w:rsid w:val="00A41386"/>
    <w:rsid w:val="00A4142F"/>
    <w:rsid w:val="00A416B9"/>
    <w:rsid w:val="00A42203"/>
    <w:rsid w:val="00A4234B"/>
    <w:rsid w:val="00A424B5"/>
    <w:rsid w:val="00A429CF"/>
    <w:rsid w:val="00A42CF2"/>
    <w:rsid w:val="00A43131"/>
    <w:rsid w:val="00A43186"/>
    <w:rsid w:val="00A431A2"/>
    <w:rsid w:val="00A439EA"/>
    <w:rsid w:val="00A43D6E"/>
    <w:rsid w:val="00A43F6B"/>
    <w:rsid w:val="00A4418C"/>
    <w:rsid w:val="00A45C09"/>
    <w:rsid w:val="00A4645E"/>
    <w:rsid w:val="00A4707F"/>
    <w:rsid w:val="00A471F4"/>
    <w:rsid w:val="00A47986"/>
    <w:rsid w:val="00A47EF4"/>
    <w:rsid w:val="00A50DD6"/>
    <w:rsid w:val="00A518A5"/>
    <w:rsid w:val="00A52004"/>
    <w:rsid w:val="00A52170"/>
    <w:rsid w:val="00A52440"/>
    <w:rsid w:val="00A527FA"/>
    <w:rsid w:val="00A52862"/>
    <w:rsid w:val="00A52E0C"/>
    <w:rsid w:val="00A544E1"/>
    <w:rsid w:val="00A54E02"/>
    <w:rsid w:val="00A54E29"/>
    <w:rsid w:val="00A55CA7"/>
    <w:rsid w:val="00A566FB"/>
    <w:rsid w:val="00A56C3F"/>
    <w:rsid w:val="00A56FE8"/>
    <w:rsid w:val="00A5747C"/>
    <w:rsid w:val="00A57745"/>
    <w:rsid w:val="00A578F6"/>
    <w:rsid w:val="00A57AE3"/>
    <w:rsid w:val="00A60AF1"/>
    <w:rsid w:val="00A60DF2"/>
    <w:rsid w:val="00A62107"/>
    <w:rsid w:val="00A644B0"/>
    <w:rsid w:val="00A6473B"/>
    <w:rsid w:val="00A647FA"/>
    <w:rsid w:val="00A6480F"/>
    <w:rsid w:val="00A65B19"/>
    <w:rsid w:val="00A6678D"/>
    <w:rsid w:val="00A70357"/>
    <w:rsid w:val="00A707E0"/>
    <w:rsid w:val="00A709DF"/>
    <w:rsid w:val="00A70B98"/>
    <w:rsid w:val="00A70E6B"/>
    <w:rsid w:val="00A70EB8"/>
    <w:rsid w:val="00A7138A"/>
    <w:rsid w:val="00A71440"/>
    <w:rsid w:val="00A71EA9"/>
    <w:rsid w:val="00A728D4"/>
    <w:rsid w:val="00A734F5"/>
    <w:rsid w:val="00A73A85"/>
    <w:rsid w:val="00A756E9"/>
    <w:rsid w:val="00A75C7F"/>
    <w:rsid w:val="00A75E6C"/>
    <w:rsid w:val="00A76334"/>
    <w:rsid w:val="00A76407"/>
    <w:rsid w:val="00A77520"/>
    <w:rsid w:val="00A77DBE"/>
    <w:rsid w:val="00A80750"/>
    <w:rsid w:val="00A80B25"/>
    <w:rsid w:val="00A80BF5"/>
    <w:rsid w:val="00A8357F"/>
    <w:rsid w:val="00A83B96"/>
    <w:rsid w:val="00A83BC3"/>
    <w:rsid w:val="00A84D53"/>
    <w:rsid w:val="00A850FA"/>
    <w:rsid w:val="00A867B5"/>
    <w:rsid w:val="00A86B07"/>
    <w:rsid w:val="00A87F88"/>
    <w:rsid w:val="00A900BC"/>
    <w:rsid w:val="00A900D8"/>
    <w:rsid w:val="00A90936"/>
    <w:rsid w:val="00A9179E"/>
    <w:rsid w:val="00A919F2"/>
    <w:rsid w:val="00A938D2"/>
    <w:rsid w:val="00A94934"/>
    <w:rsid w:val="00A953F5"/>
    <w:rsid w:val="00A95622"/>
    <w:rsid w:val="00A95625"/>
    <w:rsid w:val="00A95F2B"/>
    <w:rsid w:val="00A96305"/>
    <w:rsid w:val="00A9631B"/>
    <w:rsid w:val="00A97577"/>
    <w:rsid w:val="00AA03FA"/>
    <w:rsid w:val="00AA09FF"/>
    <w:rsid w:val="00AA0D89"/>
    <w:rsid w:val="00AA0DD0"/>
    <w:rsid w:val="00AA1020"/>
    <w:rsid w:val="00AA108A"/>
    <w:rsid w:val="00AA126C"/>
    <w:rsid w:val="00AA1563"/>
    <w:rsid w:val="00AA1B07"/>
    <w:rsid w:val="00AA2D23"/>
    <w:rsid w:val="00AA307C"/>
    <w:rsid w:val="00AA3653"/>
    <w:rsid w:val="00AA55B3"/>
    <w:rsid w:val="00AA5874"/>
    <w:rsid w:val="00AA59D9"/>
    <w:rsid w:val="00AA5EFD"/>
    <w:rsid w:val="00AA68C6"/>
    <w:rsid w:val="00AA70BE"/>
    <w:rsid w:val="00AA78B8"/>
    <w:rsid w:val="00AB0746"/>
    <w:rsid w:val="00AB07E8"/>
    <w:rsid w:val="00AB0992"/>
    <w:rsid w:val="00AB0CD3"/>
    <w:rsid w:val="00AB10C1"/>
    <w:rsid w:val="00AB1B0A"/>
    <w:rsid w:val="00AB1BA8"/>
    <w:rsid w:val="00AB20D5"/>
    <w:rsid w:val="00AB2AF8"/>
    <w:rsid w:val="00AB3AFB"/>
    <w:rsid w:val="00AB3B6F"/>
    <w:rsid w:val="00AB3D8C"/>
    <w:rsid w:val="00AB43BF"/>
    <w:rsid w:val="00AB5966"/>
    <w:rsid w:val="00AB5C76"/>
    <w:rsid w:val="00AB79A2"/>
    <w:rsid w:val="00AB7B43"/>
    <w:rsid w:val="00AB7F90"/>
    <w:rsid w:val="00AC0221"/>
    <w:rsid w:val="00AC100B"/>
    <w:rsid w:val="00AC13FB"/>
    <w:rsid w:val="00AC1411"/>
    <w:rsid w:val="00AC1C5B"/>
    <w:rsid w:val="00AC24CA"/>
    <w:rsid w:val="00AC4D08"/>
    <w:rsid w:val="00AC5367"/>
    <w:rsid w:val="00AC5384"/>
    <w:rsid w:val="00AC53CA"/>
    <w:rsid w:val="00AC55EB"/>
    <w:rsid w:val="00AC565D"/>
    <w:rsid w:val="00AC6DF7"/>
    <w:rsid w:val="00AC6E59"/>
    <w:rsid w:val="00AC6F6D"/>
    <w:rsid w:val="00AC7257"/>
    <w:rsid w:val="00AC79F4"/>
    <w:rsid w:val="00AD03EB"/>
    <w:rsid w:val="00AD0A5C"/>
    <w:rsid w:val="00AD1C9C"/>
    <w:rsid w:val="00AD1F61"/>
    <w:rsid w:val="00AD2202"/>
    <w:rsid w:val="00AD2234"/>
    <w:rsid w:val="00AD34F0"/>
    <w:rsid w:val="00AD353F"/>
    <w:rsid w:val="00AD3572"/>
    <w:rsid w:val="00AD3E91"/>
    <w:rsid w:val="00AD445B"/>
    <w:rsid w:val="00AD5750"/>
    <w:rsid w:val="00AD5BA2"/>
    <w:rsid w:val="00AD5E6C"/>
    <w:rsid w:val="00AD6AE6"/>
    <w:rsid w:val="00AD7239"/>
    <w:rsid w:val="00AD7811"/>
    <w:rsid w:val="00AD7907"/>
    <w:rsid w:val="00AD7975"/>
    <w:rsid w:val="00AD7EE2"/>
    <w:rsid w:val="00AE03BA"/>
    <w:rsid w:val="00AE0702"/>
    <w:rsid w:val="00AE16B4"/>
    <w:rsid w:val="00AE1B51"/>
    <w:rsid w:val="00AE1EC1"/>
    <w:rsid w:val="00AE29E7"/>
    <w:rsid w:val="00AE381B"/>
    <w:rsid w:val="00AE3B30"/>
    <w:rsid w:val="00AE3D3A"/>
    <w:rsid w:val="00AE4DC2"/>
    <w:rsid w:val="00AE4EDB"/>
    <w:rsid w:val="00AE5AFC"/>
    <w:rsid w:val="00AE5AFD"/>
    <w:rsid w:val="00AE651F"/>
    <w:rsid w:val="00AE658E"/>
    <w:rsid w:val="00AE79FB"/>
    <w:rsid w:val="00AE7A28"/>
    <w:rsid w:val="00AF0252"/>
    <w:rsid w:val="00AF04D8"/>
    <w:rsid w:val="00AF0AE3"/>
    <w:rsid w:val="00AF142A"/>
    <w:rsid w:val="00AF2454"/>
    <w:rsid w:val="00AF3A9F"/>
    <w:rsid w:val="00AF5158"/>
    <w:rsid w:val="00AF5261"/>
    <w:rsid w:val="00AF6677"/>
    <w:rsid w:val="00AF6791"/>
    <w:rsid w:val="00AF6AA9"/>
    <w:rsid w:val="00AF724A"/>
    <w:rsid w:val="00AF73D3"/>
    <w:rsid w:val="00AF783B"/>
    <w:rsid w:val="00B0042C"/>
    <w:rsid w:val="00B01764"/>
    <w:rsid w:val="00B0313C"/>
    <w:rsid w:val="00B04A5C"/>
    <w:rsid w:val="00B05321"/>
    <w:rsid w:val="00B053D1"/>
    <w:rsid w:val="00B05B12"/>
    <w:rsid w:val="00B071C3"/>
    <w:rsid w:val="00B07D2E"/>
    <w:rsid w:val="00B07D73"/>
    <w:rsid w:val="00B1001D"/>
    <w:rsid w:val="00B10DF3"/>
    <w:rsid w:val="00B11195"/>
    <w:rsid w:val="00B1269E"/>
    <w:rsid w:val="00B12B86"/>
    <w:rsid w:val="00B12D41"/>
    <w:rsid w:val="00B12EED"/>
    <w:rsid w:val="00B13778"/>
    <w:rsid w:val="00B1484F"/>
    <w:rsid w:val="00B1512C"/>
    <w:rsid w:val="00B15466"/>
    <w:rsid w:val="00B15B1B"/>
    <w:rsid w:val="00B15B29"/>
    <w:rsid w:val="00B203B1"/>
    <w:rsid w:val="00B204F4"/>
    <w:rsid w:val="00B20873"/>
    <w:rsid w:val="00B20DB7"/>
    <w:rsid w:val="00B21104"/>
    <w:rsid w:val="00B21173"/>
    <w:rsid w:val="00B2132E"/>
    <w:rsid w:val="00B217F7"/>
    <w:rsid w:val="00B21BA7"/>
    <w:rsid w:val="00B22A14"/>
    <w:rsid w:val="00B22C52"/>
    <w:rsid w:val="00B23864"/>
    <w:rsid w:val="00B2442A"/>
    <w:rsid w:val="00B247EB"/>
    <w:rsid w:val="00B24C52"/>
    <w:rsid w:val="00B25EE5"/>
    <w:rsid w:val="00B25F55"/>
    <w:rsid w:val="00B26006"/>
    <w:rsid w:val="00B2683C"/>
    <w:rsid w:val="00B269F9"/>
    <w:rsid w:val="00B26A86"/>
    <w:rsid w:val="00B26C26"/>
    <w:rsid w:val="00B274EE"/>
    <w:rsid w:val="00B276E3"/>
    <w:rsid w:val="00B313CD"/>
    <w:rsid w:val="00B3144C"/>
    <w:rsid w:val="00B32202"/>
    <w:rsid w:val="00B32585"/>
    <w:rsid w:val="00B32BA9"/>
    <w:rsid w:val="00B32CBC"/>
    <w:rsid w:val="00B32EC5"/>
    <w:rsid w:val="00B3407B"/>
    <w:rsid w:val="00B342D9"/>
    <w:rsid w:val="00B345BC"/>
    <w:rsid w:val="00B34B9F"/>
    <w:rsid w:val="00B34C93"/>
    <w:rsid w:val="00B3509F"/>
    <w:rsid w:val="00B350D9"/>
    <w:rsid w:val="00B3514F"/>
    <w:rsid w:val="00B353AF"/>
    <w:rsid w:val="00B36759"/>
    <w:rsid w:val="00B41CB3"/>
    <w:rsid w:val="00B42B65"/>
    <w:rsid w:val="00B42B6A"/>
    <w:rsid w:val="00B43040"/>
    <w:rsid w:val="00B446AF"/>
    <w:rsid w:val="00B44BE7"/>
    <w:rsid w:val="00B45820"/>
    <w:rsid w:val="00B466F7"/>
    <w:rsid w:val="00B46E54"/>
    <w:rsid w:val="00B46EDA"/>
    <w:rsid w:val="00B47C98"/>
    <w:rsid w:val="00B50300"/>
    <w:rsid w:val="00B5040B"/>
    <w:rsid w:val="00B5068C"/>
    <w:rsid w:val="00B508BC"/>
    <w:rsid w:val="00B50AEE"/>
    <w:rsid w:val="00B52108"/>
    <w:rsid w:val="00B525C9"/>
    <w:rsid w:val="00B52BEE"/>
    <w:rsid w:val="00B52C16"/>
    <w:rsid w:val="00B5366E"/>
    <w:rsid w:val="00B55E13"/>
    <w:rsid w:val="00B566F5"/>
    <w:rsid w:val="00B568D7"/>
    <w:rsid w:val="00B56FFB"/>
    <w:rsid w:val="00B5765D"/>
    <w:rsid w:val="00B57816"/>
    <w:rsid w:val="00B57E9B"/>
    <w:rsid w:val="00B604C8"/>
    <w:rsid w:val="00B6075C"/>
    <w:rsid w:val="00B60BDE"/>
    <w:rsid w:val="00B60FDC"/>
    <w:rsid w:val="00B61724"/>
    <w:rsid w:val="00B61B6E"/>
    <w:rsid w:val="00B6211C"/>
    <w:rsid w:val="00B6298A"/>
    <w:rsid w:val="00B62B7A"/>
    <w:rsid w:val="00B6409E"/>
    <w:rsid w:val="00B6494C"/>
    <w:rsid w:val="00B65741"/>
    <w:rsid w:val="00B65803"/>
    <w:rsid w:val="00B659A1"/>
    <w:rsid w:val="00B66129"/>
    <w:rsid w:val="00B66197"/>
    <w:rsid w:val="00B67C01"/>
    <w:rsid w:val="00B70201"/>
    <w:rsid w:val="00B702F0"/>
    <w:rsid w:val="00B70549"/>
    <w:rsid w:val="00B70B3B"/>
    <w:rsid w:val="00B70BFB"/>
    <w:rsid w:val="00B71A49"/>
    <w:rsid w:val="00B72D18"/>
    <w:rsid w:val="00B72E7E"/>
    <w:rsid w:val="00B72F88"/>
    <w:rsid w:val="00B74A7C"/>
    <w:rsid w:val="00B751C6"/>
    <w:rsid w:val="00B75348"/>
    <w:rsid w:val="00B75A60"/>
    <w:rsid w:val="00B762D7"/>
    <w:rsid w:val="00B76A93"/>
    <w:rsid w:val="00B808CD"/>
    <w:rsid w:val="00B80CEA"/>
    <w:rsid w:val="00B81DE5"/>
    <w:rsid w:val="00B8406A"/>
    <w:rsid w:val="00B857C1"/>
    <w:rsid w:val="00B85C47"/>
    <w:rsid w:val="00B864BD"/>
    <w:rsid w:val="00B86617"/>
    <w:rsid w:val="00B86CA5"/>
    <w:rsid w:val="00B8732C"/>
    <w:rsid w:val="00B876E0"/>
    <w:rsid w:val="00B87E16"/>
    <w:rsid w:val="00B91344"/>
    <w:rsid w:val="00B915A0"/>
    <w:rsid w:val="00B918EB"/>
    <w:rsid w:val="00B9203D"/>
    <w:rsid w:val="00B92561"/>
    <w:rsid w:val="00B92C9E"/>
    <w:rsid w:val="00B93D46"/>
    <w:rsid w:val="00B94292"/>
    <w:rsid w:val="00B94497"/>
    <w:rsid w:val="00B94F8B"/>
    <w:rsid w:val="00B94F93"/>
    <w:rsid w:val="00B95C46"/>
    <w:rsid w:val="00B95EC7"/>
    <w:rsid w:val="00B962E0"/>
    <w:rsid w:val="00B967EE"/>
    <w:rsid w:val="00B97491"/>
    <w:rsid w:val="00B977D1"/>
    <w:rsid w:val="00B97EFB"/>
    <w:rsid w:val="00BA035E"/>
    <w:rsid w:val="00BA0F0E"/>
    <w:rsid w:val="00BA0F1D"/>
    <w:rsid w:val="00BA2595"/>
    <w:rsid w:val="00BA2726"/>
    <w:rsid w:val="00BA29C4"/>
    <w:rsid w:val="00BA31A3"/>
    <w:rsid w:val="00BA3848"/>
    <w:rsid w:val="00BA3B4D"/>
    <w:rsid w:val="00BA3D8D"/>
    <w:rsid w:val="00BA406C"/>
    <w:rsid w:val="00BA7704"/>
    <w:rsid w:val="00BA7846"/>
    <w:rsid w:val="00BA7C8C"/>
    <w:rsid w:val="00BB0237"/>
    <w:rsid w:val="00BB0710"/>
    <w:rsid w:val="00BB1733"/>
    <w:rsid w:val="00BB306A"/>
    <w:rsid w:val="00BB3DA2"/>
    <w:rsid w:val="00BB4352"/>
    <w:rsid w:val="00BB48D0"/>
    <w:rsid w:val="00BB56AC"/>
    <w:rsid w:val="00BB6BD4"/>
    <w:rsid w:val="00BB6DEA"/>
    <w:rsid w:val="00BB739B"/>
    <w:rsid w:val="00BC046C"/>
    <w:rsid w:val="00BC13CF"/>
    <w:rsid w:val="00BC15D8"/>
    <w:rsid w:val="00BC28E7"/>
    <w:rsid w:val="00BC2E9D"/>
    <w:rsid w:val="00BC37BD"/>
    <w:rsid w:val="00BC39D2"/>
    <w:rsid w:val="00BC3E14"/>
    <w:rsid w:val="00BC559F"/>
    <w:rsid w:val="00BC5898"/>
    <w:rsid w:val="00BC7009"/>
    <w:rsid w:val="00BC709E"/>
    <w:rsid w:val="00BC7114"/>
    <w:rsid w:val="00BC771E"/>
    <w:rsid w:val="00BC7ACC"/>
    <w:rsid w:val="00BC7BF5"/>
    <w:rsid w:val="00BD0BC2"/>
    <w:rsid w:val="00BD0E3E"/>
    <w:rsid w:val="00BD10F0"/>
    <w:rsid w:val="00BD12D9"/>
    <w:rsid w:val="00BD139E"/>
    <w:rsid w:val="00BD2F10"/>
    <w:rsid w:val="00BD319E"/>
    <w:rsid w:val="00BD38DE"/>
    <w:rsid w:val="00BD3DF1"/>
    <w:rsid w:val="00BD3E7B"/>
    <w:rsid w:val="00BD3FF3"/>
    <w:rsid w:val="00BD46EE"/>
    <w:rsid w:val="00BD50C6"/>
    <w:rsid w:val="00BD50D2"/>
    <w:rsid w:val="00BD6360"/>
    <w:rsid w:val="00BD6915"/>
    <w:rsid w:val="00BD6D8D"/>
    <w:rsid w:val="00BD6F3C"/>
    <w:rsid w:val="00BD6FAE"/>
    <w:rsid w:val="00BD7039"/>
    <w:rsid w:val="00BD786C"/>
    <w:rsid w:val="00BD79C9"/>
    <w:rsid w:val="00BE0491"/>
    <w:rsid w:val="00BE1523"/>
    <w:rsid w:val="00BE183F"/>
    <w:rsid w:val="00BE1D50"/>
    <w:rsid w:val="00BE220A"/>
    <w:rsid w:val="00BE222C"/>
    <w:rsid w:val="00BE2B44"/>
    <w:rsid w:val="00BE3E7D"/>
    <w:rsid w:val="00BE43DA"/>
    <w:rsid w:val="00BE4BE0"/>
    <w:rsid w:val="00BE4D2F"/>
    <w:rsid w:val="00BE4FBE"/>
    <w:rsid w:val="00BE4FEB"/>
    <w:rsid w:val="00BE51D0"/>
    <w:rsid w:val="00BE60E4"/>
    <w:rsid w:val="00BE6BDA"/>
    <w:rsid w:val="00BF0C3E"/>
    <w:rsid w:val="00BF1978"/>
    <w:rsid w:val="00BF201B"/>
    <w:rsid w:val="00BF21B1"/>
    <w:rsid w:val="00BF2F50"/>
    <w:rsid w:val="00BF38BD"/>
    <w:rsid w:val="00BF50B8"/>
    <w:rsid w:val="00BF53BD"/>
    <w:rsid w:val="00BF5F37"/>
    <w:rsid w:val="00BF6515"/>
    <w:rsid w:val="00BF69C6"/>
    <w:rsid w:val="00C0342B"/>
    <w:rsid w:val="00C0351F"/>
    <w:rsid w:val="00C0414F"/>
    <w:rsid w:val="00C0466C"/>
    <w:rsid w:val="00C04F61"/>
    <w:rsid w:val="00C04F84"/>
    <w:rsid w:val="00C0551B"/>
    <w:rsid w:val="00C05C9B"/>
    <w:rsid w:val="00C06D02"/>
    <w:rsid w:val="00C06E46"/>
    <w:rsid w:val="00C06F61"/>
    <w:rsid w:val="00C074E7"/>
    <w:rsid w:val="00C0796A"/>
    <w:rsid w:val="00C07EB0"/>
    <w:rsid w:val="00C1040F"/>
    <w:rsid w:val="00C11DD5"/>
    <w:rsid w:val="00C11E99"/>
    <w:rsid w:val="00C11FD7"/>
    <w:rsid w:val="00C12E25"/>
    <w:rsid w:val="00C14478"/>
    <w:rsid w:val="00C152D7"/>
    <w:rsid w:val="00C16C4D"/>
    <w:rsid w:val="00C16F90"/>
    <w:rsid w:val="00C17059"/>
    <w:rsid w:val="00C210D6"/>
    <w:rsid w:val="00C21252"/>
    <w:rsid w:val="00C216A8"/>
    <w:rsid w:val="00C21C94"/>
    <w:rsid w:val="00C22193"/>
    <w:rsid w:val="00C235E0"/>
    <w:rsid w:val="00C23996"/>
    <w:rsid w:val="00C23B0D"/>
    <w:rsid w:val="00C24EA6"/>
    <w:rsid w:val="00C25D30"/>
    <w:rsid w:val="00C307F1"/>
    <w:rsid w:val="00C30897"/>
    <w:rsid w:val="00C32408"/>
    <w:rsid w:val="00C325AE"/>
    <w:rsid w:val="00C33DC3"/>
    <w:rsid w:val="00C3434A"/>
    <w:rsid w:val="00C3458E"/>
    <w:rsid w:val="00C34847"/>
    <w:rsid w:val="00C35101"/>
    <w:rsid w:val="00C36045"/>
    <w:rsid w:val="00C36C6D"/>
    <w:rsid w:val="00C36D85"/>
    <w:rsid w:val="00C3778E"/>
    <w:rsid w:val="00C40C4C"/>
    <w:rsid w:val="00C41A5D"/>
    <w:rsid w:val="00C41CE9"/>
    <w:rsid w:val="00C4248D"/>
    <w:rsid w:val="00C42B79"/>
    <w:rsid w:val="00C437B4"/>
    <w:rsid w:val="00C43B71"/>
    <w:rsid w:val="00C44742"/>
    <w:rsid w:val="00C45220"/>
    <w:rsid w:val="00C4650C"/>
    <w:rsid w:val="00C46792"/>
    <w:rsid w:val="00C46D54"/>
    <w:rsid w:val="00C46E50"/>
    <w:rsid w:val="00C46FA7"/>
    <w:rsid w:val="00C470D6"/>
    <w:rsid w:val="00C507AF"/>
    <w:rsid w:val="00C51211"/>
    <w:rsid w:val="00C51290"/>
    <w:rsid w:val="00C51721"/>
    <w:rsid w:val="00C5228F"/>
    <w:rsid w:val="00C52903"/>
    <w:rsid w:val="00C52DB6"/>
    <w:rsid w:val="00C53DAF"/>
    <w:rsid w:val="00C54A08"/>
    <w:rsid w:val="00C550F2"/>
    <w:rsid w:val="00C557C1"/>
    <w:rsid w:val="00C57017"/>
    <w:rsid w:val="00C5706D"/>
    <w:rsid w:val="00C578C6"/>
    <w:rsid w:val="00C57D57"/>
    <w:rsid w:val="00C6027B"/>
    <w:rsid w:val="00C60339"/>
    <w:rsid w:val="00C60B0A"/>
    <w:rsid w:val="00C610DB"/>
    <w:rsid w:val="00C614CD"/>
    <w:rsid w:val="00C615F2"/>
    <w:rsid w:val="00C61769"/>
    <w:rsid w:val="00C61C2C"/>
    <w:rsid w:val="00C621D6"/>
    <w:rsid w:val="00C62A5E"/>
    <w:rsid w:val="00C62C0A"/>
    <w:rsid w:val="00C62CF7"/>
    <w:rsid w:val="00C633D0"/>
    <w:rsid w:val="00C63468"/>
    <w:rsid w:val="00C64263"/>
    <w:rsid w:val="00C642E2"/>
    <w:rsid w:val="00C654A5"/>
    <w:rsid w:val="00C67811"/>
    <w:rsid w:val="00C6789D"/>
    <w:rsid w:val="00C70C27"/>
    <w:rsid w:val="00C722A8"/>
    <w:rsid w:val="00C727A6"/>
    <w:rsid w:val="00C728FB"/>
    <w:rsid w:val="00C72A29"/>
    <w:rsid w:val="00C73AAC"/>
    <w:rsid w:val="00C73AF0"/>
    <w:rsid w:val="00C73BB0"/>
    <w:rsid w:val="00C74B6C"/>
    <w:rsid w:val="00C75374"/>
    <w:rsid w:val="00C753FC"/>
    <w:rsid w:val="00C762EA"/>
    <w:rsid w:val="00C76C98"/>
    <w:rsid w:val="00C775B1"/>
    <w:rsid w:val="00C77C56"/>
    <w:rsid w:val="00C80371"/>
    <w:rsid w:val="00C836A5"/>
    <w:rsid w:val="00C8393E"/>
    <w:rsid w:val="00C83A18"/>
    <w:rsid w:val="00C83ACF"/>
    <w:rsid w:val="00C841AB"/>
    <w:rsid w:val="00C8451A"/>
    <w:rsid w:val="00C84D28"/>
    <w:rsid w:val="00C85302"/>
    <w:rsid w:val="00C85E1B"/>
    <w:rsid w:val="00C85F99"/>
    <w:rsid w:val="00C86DDB"/>
    <w:rsid w:val="00C879B8"/>
    <w:rsid w:val="00C914AE"/>
    <w:rsid w:val="00C91CBD"/>
    <w:rsid w:val="00C923E2"/>
    <w:rsid w:val="00C93758"/>
    <w:rsid w:val="00C93EB3"/>
    <w:rsid w:val="00C944BA"/>
    <w:rsid w:val="00C9451D"/>
    <w:rsid w:val="00C957EA"/>
    <w:rsid w:val="00C95CB8"/>
    <w:rsid w:val="00C95F57"/>
    <w:rsid w:val="00C9604F"/>
    <w:rsid w:val="00C97F51"/>
    <w:rsid w:val="00CA06DF"/>
    <w:rsid w:val="00CA074F"/>
    <w:rsid w:val="00CA30AE"/>
    <w:rsid w:val="00CA3C31"/>
    <w:rsid w:val="00CA4803"/>
    <w:rsid w:val="00CA48A2"/>
    <w:rsid w:val="00CA6986"/>
    <w:rsid w:val="00CA7357"/>
    <w:rsid w:val="00CB1443"/>
    <w:rsid w:val="00CB1665"/>
    <w:rsid w:val="00CB1A03"/>
    <w:rsid w:val="00CB1A5A"/>
    <w:rsid w:val="00CB265A"/>
    <w:rsid w:val="00CB2FA0"/>
    <w:rsid w:val="00CB36F9"/>
    <w:rsid w:val="00CB4542"/>
    <w:rsid w:val="00CB507F"/>
    <w:rsid w:val="00CB534A"/>
    <w:rsid w:val="00CB5D49"/>
    <w:rsid w:val="00CB6178"/>
    <w:rsid w:val="00CB641C"/>
    <w:rsid w:val="00CB6995"/>
    <w:rsid w:val="00CB79B2"/>
    <w:rsid w:val="00CB7AAE"/>
    <w:rsid w:val="00CC0089"/>
    <w:rsid w:val="00CC034F"/>
    <w:rsid w:val="00CC0AA0"/>
    <w:rsid w:val="00CC0CED"/>
    <w:rsid w:val="00CC1B6E"/>
    <w:rsid w:val="00CC1FD9"/>
    <w:rsid w:val="00CC2D34"/>
    <w:rsid w:val="00CC3500"/>
    <w:rsid w:val="00CC5223"/>
    <w:rsid w:val="00CC5279"/>
    <w:rsid w:val="00CC52A9"/>
    <w:rsid w:val="00CC5BB5"/>
    <w:rsid w:val="00CC5D27"/>
    <w:rsid w:val="00CC6284"/>
    <w:rsid w:val="00CC6A04"/>
    <w:rsid w:val="00CC6A9A"/>
    <w:rsid w:val="00CC6B2A"/>
    <w:rsid w:val="00CC6BE0"/>
    <w:rsid w:val="00CC6C21"/>
    <w:rsid w:val="00CC7903"/>
    <w:rsid w:val="00CC7AF9"/>
    <w:rsid w:val="00CD04A9"/>
    <w:rsid w:val="00CD08B9"/>
    <w:rsid w:val="00CD0FF1"/>
    <w:rsid w:val="00CD13BA"/>
    <w:rsid w:val="00CD17FB"/>
    <w:rsid w:val="00CD2092"/>
    <w:rsid w:val="00CD22A4"/>
    <w:rsid w:val="00CD264E"/>
    <w:rsid w:val="00CD441B"/>
    <w:rsid w:val="00CD4A55"/>
    <w:rsid w:val="00CD4C91"/>
    <w:rsid w:val="00CD4EAF"/>
    <w:rsid w:val="00CD5A32"/>
    <w:rsid w:val="00CD5B3A"/>
    <w:rsid w:val="00CD6072"/>
    <w:rsid w:val="00CD61B5"/>
    <w:rsid w:val="00CD7D3F"/>
    <w:rsid w:val="00CE0709"/>
    <w:rsid w:val="00CE2002"/>
    <w:rsid w:val="00CE219F"/>
    <w:rsid w:val="00CE23C3"/>
    <w:rsid w:val="00CE23D1"/>
    <w:rsid w:val="00CE254F"/>
    <w:rsid w:val="00CE330D"/>
    <w:rsid w:val="00CE3431"/>
    <w:rsid w:val="00CE38EE"/>
    <w:rsid w:val="00CE3E69"/>
    <w:rsid w:val="00CE4604"/>
    <w:rsid w:val="00CE5CBE"/>
    <w:rsid w:val="00CE6F46"/>
    <w:rsid w:val="00CE74A0"/>
    <w:rsid w:val="00CE7551"/>
    <w:rsid w:val="00CE7906"/>
    <w:rsid w:val="00CE7B17"/>
    <w:rsid w:val="00CE7B23"/>
    <w:rsid w:val="00CE7B30"/>
    <w:rsid w:val="00CF043B"/>
    <w:rsid w:val="00CF13E9"/>
    <w:rsid w:val="00CF1919"/>
    <w:rsid w:val="00CF1958"/>
    <w:rsid w:val="00CF211F"/>
    <w:rsid w:val="00CF222B"/>
    <w:rsid w:val="00CF23E3"/>
    <w:rsid w:val="00CF23F1"/>
    <w:rsid w:val="00CF2DC6"/>
    <w:rsid w:val="00CF32A7"/>
    <w:rsid w:val="00CF3B12"/>
    <w:rsid w:val="00CF3E2D"/>
    <w:rsid w:val="00CF3F9A"/>
    <w:rsid w:val="00CF4216"/>
    <w:rsid w:val="00CF522D"/>
    <w:rsid w:val="00CF5C22"/>
    <w:rsid w:val="00CF63D4"/>
    <w:rsid w:val="00CF6D79"/>
    <w:rsid w:val="00CF6FE2"/>
    <w:rsid w:val="00D02841"/>
    <w:rsid w:val="00D02B75"/>
    <w:rsid w:val="00D04639"/>
    <w:rsid w:val="00D04A61"/>
    <w:rsid w:val="00D0513E"/>
    <w:rsid w:val="00D0519B"/>
    <w:rsid w:val="00D05B5A"/>
    <w:rsid w:val="00D10425"/>
    <w:rsid w:val="00D10585"/>
    <w:rsid w:val="00D1148F"/>
    <w:rsid w:val="00D1151F"/>
    <w:rsid w:val="00D11776"/>
    <w:rsid w:val="00D124FF"/>
    <w:rsid w:val="00D12B9A"/>
    <w:rsid w:val="00D12C71"/>
    <w:rsid w:val="00D13466"/>
    <w:rsid w:val="00D1350D"/>
    <w:rsid w:val="00D13556"/>
    <w:rsid w:val="00D16C7E"/>
    <w:rsid w:val="00D16FCC"/>
    <w:rsid w:val="00D17FDC"/>
    <w:rsid w:val="00D20C5D"/>
    <w:rsid w:val="00D20CDE"/>
    <w:rsid w:val="00D20E26"/>
    <w:rsid w:val="00D2188B"/>
    <w:rsid w:val="00D21ACE"/>
    <w:rsid w:val="00D21FE9"/>
    <w:rsid w:val="00D22A9D"/>
    <w:rsid w:val="00D23062"/>
    <w:rsid w:val="00D24017"/>
    <w:rsid w:val="00D24175"/>
    <w:rsid w:val="00D247A0"/>
    <w:rsid w:val="00D24BC9"/>
    <w:rsid w:val="00D2607D"/>
    <w:rsid w:val="00D26623"/>
    <w:rsid w:val="00D26BB3"/>
    <w:rsid w:val="00D30146"/>
    <w:rsid w:val="00D3020C"/>
    <w:rsid w:val="00D3135F"/>
    <w:rsid w:val="00D32973"/>
    <w:rsid w:val="00D32EE1"/>
    <w:rsid w:val="00D337AC"/>
    <w:rsid w:val="00D33BD3"/>
    <w:rsid w:val="00D34E57"/>
    <w:rsid w:val="00D34F11"/>
    <w:rsid w:val="00D352F0"/>
    <w:rsid w:val="00D368DE"/>
    <w:rsid w:val="00D36C13"/>
    <w:rsid w:val="00D37907"/>
    <w:rsid w:val="00D37CC2"/>
    <w:rsid w:val="00D37EF5"/>
    <w:rsid w:val="00D40458"/>
    <w:rsid w:val="00D40697"/>
    <w:rsid w:val="00D40B82"/>
    <w:rsid w:val="00D41066"/>
    <w:rsid w:val="00D41F02"/>
    <w:rsid w:val="00D42871"/>
    <w:rsid w:val="00D4414D"/>
    <w:rsid w:val="00D4454F"/>
    <w:rsid w:val="00D44A7C"/>
    <w:rsid w:val="00D45094"/>
    <w:rsid w:val="00D455E6"/>
    <w:rsid w:val="00D45A63"/>
    <w:rsid w:val="00D45C3D"/>
    <w:rsid w:val="00D45F9A"/>
    <w:rsid w:val="00D47486"/>
    <w:rsid w:val="00D47E85"/>
    <w:rsid w:val="00D5039E"/>
    <w:rsid w:val="00D50CA4"/>
    <w:rsid w:val="00D50DFB"/>
    <w:rsid w:val="00D52746"/>
    <w:rsid w:val="00D52B16"/>
    <w:rsid w:val="00D52EC1"/>
    <w:rsid w:val="00D53BB8"/>
    <w:rsid w:val="00D542F5"/>
    <w:rsid w:val="00D54A08"/>
    <w:rsid w:val="00D57516"/>
    <w:rsid w:val="00D575D6"/>
    <w:rsid w:val="00D57B95"/>
    <w:rsid w:val="00D607D8"/>
    <w:rsid w:val="00D609D6"/>
    <w:rsid w:val="00D60B78"/>
    <w:rsid w:val="00D61445"/>
    <w:rsid w:val="00D61567"/>
    <w:rsid w:val="00D6187B"/>
    <w:rsid w:val="00D61F78"/>
    <w:rsid w:val="00D62264"/>
    <w:rsid w:val="00D62B5B"/>
    <w:rsid w:val="00D63BE5"/>
    <w:rsid w:val="00D65359"/>
    <w:rsid w:val="00D654B4"/>
    <w:rsid w:val="00D655F2"/>
    <w:rsid w:val="00D6637F"/>
    <w:rsid w:val="00D666BF"/>
    <w:rsid w:val="00D66ADC"/>
    <w:rsid w:val="00D66BD8"/>
    <w:rsid w:val="00D671F1"/>
    <w:rsid w:val="00D67263"/>
    <w:rsid w:val="00D7026D"/>
    <w:rsid w:val="00D70783"/>
    <w:rsid w:val="00D71068"/>
    <w:rsid w:val="00D71381"/>
    <w:rsid w:val="00D71B0C"/>
    <w:rsid w:val="00D72340"/>
    <w:rsid w:val="00D72861"/>
    <w:rsid w:val="00D72D1F"/>
    <w:rsid w:val="00D73370"/>
    <w:rsid w:val="00D73FA2"/>
    <w:rsid w:val="00D742A9"/>
    <w:rsid w:val="00D748F8"/>
    <w:rsid w:val="00D749F2"/>
    <w:rsid w:val="00D74BF8"/>
    <w:rsid w:val="00D75461"/>
    <w:rsid w:val="00D75EE8"/>
    <w:rsid w:val="00D7636C"/>
    <w:rsid w:val="00D766C4"/>
    <w:rsid w:val="00D76D44"/>
    <w:rsid w:val="00D77337"/>
    <w:rsid w:val="00D774A0"/>
    <w:rsid w:val="00D80DD7"/>
    <w:rsid w:val="00D80DE2"/>
    <w:rsid w:val="00D8155F"/>
    <w:rsid w:val="00D835C6"/>
    <w:rsid w:val="00D845CB"/>
    <w:rsid w:val="00D848BE"/>
    <w:rsid w:val="00D84AF4"/>
    <w:rsid w:val="00D84DBF"/>
    <w:rsid w:val="00D85970"/>
    <w:rsid w:val="00D85DD3"/>
    <w:rsid w:val="00D85E5D"/>
    <w:rsid w:val="00D86529"/>
    <w:rsid w:val="00D86C66"/>
    <w:rsid w:val="00D8709F"/>
    <w:rsid w:val="00D87AED"/>
    <w:rsid w:val="00D91183"/>
    <w:rsid w:val="00D917A3"/>
    <w:rsid w:val="00D92058"/>
    <w:rsid w:val="00D922F0"/>
    <w:rsid w:val="00D923B3"/>
    <w:rsid w:val="00D92413"/>
    <w:rsid w:val="00D92780"/>
    <w:rsid w:val="00D9375D"/>
    <w:rsid w:val="00D937A0"/>
    <w:rsid w:val="00D93F1D"/>
    <w:rsid w:val="00D945B4"/>
    <w:rsid w:val="00D94831"/>
    <w:rsid w:val="00D94A4D"/>
    <w:rsid w:val="00D95F30"/>
    <w:rsid w:val="00D96628"/>
    <w:rsid w:val="00D96FFD"/>
    <w:rsid w:val="00D973F2"/>
    <w:rsid w:val="00D9755A"/>
    <w:rsid w:val="00DA0A1A"/>
    <w:rsid w:val="00DA1179"/>
    <w:rsid w:val="00DA40E9"/>
    <w:rsid w:val="00DA470B"/>
    <w:rsid w:val="00DA4A15"/>
    <w:rsid w:val="00DA5450"/>
    <w:rsid w:val="00DA5F70"/>
    <w:rsid w:val="00DA64F3"/>
    <w:rsid w:val="00DA6A40"/>
    <w:rsid w:val="00DA73AC"/>
    <w:rsid w:val="00DA7928"/>
    <w:rsid w:val="00DB07CA"/>
    <w:rsid w:val="00DB1102"/>
    <w:rsid w:val="00DB1D7C"/>
    <w:rsid w:val="00DB2926"/>
    <w:rsid w:val="00DB3FAF"/>
    <w:rsid w:val="00DB4861"/>
    <w:rsid w:val="00DB4C9D"/>
    <w:rsid w:val="00DC1554"/>
    <w:rsid w:val="00DC1C3E"/>
    <w:rsid w:val="00DC264A"/>
    <w:rsid w:val="00DC2E5C"/>
    <w:rsid w:val="00DC3094"/>
    <w:rsid w:val="00DC327D"/>
    <w:rsid w:val="00DC3742"/>
    <w:rsid w:val="00DC378C"/>
    <w:rsid w:val="00DC3BB0"/>
    <w:rsid w:val="00DC4294"/>
    <w:rsid w:val="00DC4ACB"/>
    <w:rsid w:val="00DC63B2"/>
    <w:rsid w:val="00DC79BA"/>
    <w:rsid w:val="00DD031A"/>
    <w:rsid w:val="00DD0452"/>
    <w:rsid w:val="00DD0739"/>
    <w:rsid w:val="00DD1DFE"/>
    <w:rsid w:val="00DD2C00"/>
    <w:rsid w:val="00DD34A4"/>
    <w:rsid w:val="00DD440A"/>
    <w:rsid w:val="00DD461B"/>
    <w:rsid w:val="00DD590A"/>
    <w:rsid w:val="00DD5AB2"/>
    <w:rsid w:val="00DD5D7A"/>
    <w:rsid w:val="00DD646A"/>
    <w:rsid w:val="00DD6EEA"/>
    <w:rsid w:val="00DD6F9F"/>
    <w:rsid w:val="00DD71F1"/>
    <w:rsid w:val="00DD7AA2"/>
    <w:rsid w:val="00DE04C5"/>
    <w:rsid w:val="00DE12C9"/>
    <w:rsid w:val="00DE16FD"/>
    <w:rsid w:val="00DE1BE9"/>
    <w:rsid w:val="00DE2270"/>
    <w:rsid w:val="00DE2A93"/>
    <w:rsid w:val="00DE2B6E"/>
    <w:rsid w:val="00DE2F2E"/>
    <w:rsid w:val="00DE3C00"/>
    <w:rsid w:val="00DE5CAC"/>
    <w:rsid w:val="00DE738B"/>
    <w:rsid w:val="00DF0888"/>
    <w:rsid w:val="00DF1E4B"/>
    <w:rsid w:val="00DF2C32"/>
    <w:rsid w:val="00DF2E3D"/>
    <w:rsid w:val="00DF31C9"/>
    <w:rsid w:val="00DF33C5"/>
    <w:rsid w:val="00DF345E"/>
    <w:rsid w:val="00DF3661"/>
    <w:rsid w:val="00DF370E"/>
    <w:rsid w:val="00DF3AA2"/>
    <w:rsid w:val="00DF4DE7"/>
    <w:rsid w:val="00DF5596"/>
    <w:rsid w:val="00DF55ED"/>
    <w:rsid w:val="00DF5C06"/>
    <w:rsid w:val="00DF7525"/>
    <w:rsid w:val="00DF75DD"/>
    <w:rsid w:val="00DF7792"/>
    <w:rsid w:val="00DF7FE9"/>
    <w:rsid w:val="00E00A00"/>
    <w:rsid w:val="00E00CA8"/>
    <w:rsid w:val="00E02103"/>
    <w:rsid w:val="00E0212E"/>
    <w:rsid w:val="00E02491"/>
    <w:rsid w:val="00E02716"/>
    <w:rsid w:val="00E02C06"/>
    <w:rsid w:val="00E03076"/>
    <w:rsid w:val="00E03AF7"/>
    <w:rsid w:val="00E0411B"/>
    <w:rsid w:val="00E04D4D"/>
    <w:rsid w:val="00E05FB3"/>
    <w:rsid w:val="00E06761"/>
    <w:rsid w:val="00E07EA1"/>
    <w:rsid w:val="00E10DE1"/>
    <w:rsid w:val="00E11C8D"/>
    <w:rsid w:val="00E13015"/>
    <w:rsid w:val="00E13153"/>
    <w:rsid w:val="00E13C39"/>
    <w:rsid w:val="00E13CED"/>
    <w:rsid w:val="00E14254"/>
    <w:rsid w:val="00E1465C"/>
    <w:rsid w:val="00E14E1A"/>
    <w:rsid w:val="00E15342"/>
    <w:rsid w:val="00E1644F"/>
    <w:rsid w:val="00E17BCE"/>
    <w:rsid w:val="00E201D8"/>
    <w:rsid w:val="00E20A24"/>
    <w:rsid w:val="00E20D87"/>
    <w:rsid w:val="00E21049"/>
    <w:rsid w:val="00E213C3"/>
    <w:rsid w:val="00E22C0F"/>
    <w:rsid w:val="00E23A9D"/>
    <w:rsid w:val="00E23F08"/>
    <w:rsid w:val="00E243C1"/>
    <w:rsid w:val="00E24B27"/>
    <w:rsid w:val="00E24B2C"/>
    <w:rsid w:val="00E25E6C"/>
    <w:rsid w:val="00E25FB2"/>
    <w:rsid w:val="00E27166"/>
    <w:rsid w:val="00E27804"/>
    <w:rsid w:val="00E30053"/>
    <w:rsid w:val="00E30CA8"/>
    <w:rsid w:val="00E31087"/>
    <w:rsid w:val="00E31502"/>
    <w:rsid w:val="00E317D8"/>
    <w:rsid w:val="00E3292D"/>
    <w:rsid w:val="00E331A0"/>
    <w:rsid w:val="00E34196"/>
    <w:rsid w:val="00E35220"/>
    <w:rsid w:val="00E365F8"/>
    <w:rsid w:val="00E36D3D"/>
    <w:rsid w:val="00E36EAA"/>
    <w:rsid w:val="00E37738"/>
    <w:rsid w:val="00E37A52"/>
    <w:rsid w:val="00E37E1D"/>
    <w:rsid w:val="00E401A5"/>
    <w:rsid w:val="00E41A03"/>
    <w:rsid w:val="00E425D1"/>
    <w:rsid w:val="00E42705"/>
    <w:rsid w:val="00E4277E"/>
    <w:rsid w:val="00E43293"/>
    <w:rsid w:val="00E43F3C"/>
    <w:rsid w:val="00E43F7D"/>
    <w:rsid w:val="00E456F3"/>
    <w:rsid w:val="00E45D0E"/>
    <w:rsid w:val="00E4664D"/>
    <w:rsid w:val="00E46EDC"/>
    <w:rsid w:val="00E4799F"/>
    <w:rsid w:val="00E50263"/>
    <w:rsid w:val="00E50319"/>
    <w:rsid w:val="00E514EE"/>
    <w:rsid w:val="00E51CB4"/>
    <w:rsid w:val="00E51D69"/>
    <w:rsid w:val="00E52224"/>
    <w:rsid w:val="00E52E51"/>
    <w:rsid w:val="00E52EBA"/>
    <w:rsid w:val="00E534A2"/>
    <w:rsid w:val="00E5363D"/>
    <w:rsid w:val="00E539D6"/>
    <w:rsid w:val="00E54C6B"/>
    <w:rsid w:val="00E5595D"/>
    <w:rsid w:val="00E601CE"/>
    <w:rsid w:val="00E607D7"/>
    <w:rsid w:val="00E61225"/>
    <w:rsid w:val="00E6273C"/>
    <w:rsid w:val="00E62BD3"/>
    <w:rsid w:val="00E62C2E"/>
    <w:rsid w:val="00E631E2"/>
    <w:rsid w:val="00E641B3"/>
    <w:rsid w:val="00E644F7"/>
    <w:rsid w:val="00E64509"/>
    <w:rsid w:val="00E64BFC"/>
    <w:rsid w:val="00E65034"/>
    <w:rsid w:val="00E653EE"/>
    <w:rsid w:val="00E65616"/>
    <w:rsid w:val="00E6568A"/>
    <w:rsid w:val="00E65B95"/>
    <w:rsid w:val="00E65F56"/>
    <w:rsid w:val="00E66304"/>
    <w:rsid w:val="00E66D48"/>
    <w:rsid w:val="00E671D4"/>
    <w:rsid w:val="00E67A12"/>
    <w:rsid w:val="00E67B20"/>
    <w:rsid w:val="00E707FF"/>
    <w:rsid w:val="00E71B43"/>
    <w:rsid w:val="00E72181"/>
    <w:rsid w:val="00E7377F"/>
    <w:rsid w:val="00E73C21"/>
    <w:rsid w:val="00E7407D"/>
    <w:rsid w:val="00E74ED2"/>
    <w:rsid w:val="00E76B0D"/>
    <w:rsid w:val="00E76C35"/>
    <w:rsid w:val="00E77036"/>
    <w:rsid w:val="00E77A60"/>
    <w:rsid w:val="00E77C63"/>
    <w:rsid w:val="00E77D90"/>
    <w:rsid w:val="00E80548"/>
    <w:rsid w:val="00E80F6D"/>
    <w:rsid w:val="00E815A8"/>
    <w:rsid w:val="00E818C8"/>
    <w:rsid w:val="00E82AD7"/>
    <w:rsid w:val="00E836CF"/>
    <w:rsid w:val="00E84361"/>
    <w:rsid w:val="00E84399"/>
    <w:rsid w:val="00E84B35"/>
    <w:rsid w:val="00E855E1"/>
    <w:rsid w:val="00E85812"/>
    <w:rsid w:val="00E85A20"/>
    <w:rsid w:val="00E8655B"/>
    <w:rsid w:val="00E86689"/>
    <w:rsid w:val="00E86C0A"/>
    <w:rsid w:val="00E87C01"/>
    <w:rsid w:val="00E87D36"/>
    <w:rsid w:val="00E900D9"/>
    <w:rsid w:val="00E901DD"/>
    <w:rsid w:val="00E906AA"/>
    <w:rsid w:val="00E90D9A"/>
    <w:rsid w:val="00E90E5E"/>
    <w:rsid w:val="00E912E3"/>
    <w:rsid w:val="00E91470"/>
    <w:rsid w:val="00E91619"/>
    <w:rsid w:val="00E9169F"/>
    <w:rsid w:val="00E9176C"/>
    <w:rsid w:val="00E91A28"/>
    <w:rsid w:val="00E91C7B"/>
    <w:rsid w:val="00E92775"/>
    <w:rsid w:val="00E927A1"/>
    <w:rsid w:val="00E94208"/>
    <w:rsid w:val="00E9438C"/>
    <w:rsid w:val="00E947D7"/>
    <w:rsid w:val="00E94BDF"/>
    <w:rsid w:val="00E94CE1"/>
    <w:rsid w:val="00E95C6B"/>
    <w:rsid w:val="00E9603F"/>
    <w:rsid w:val="00E96692"/>
    <w:rsid w:val="00E96929"/>
    <w:rsid w:val="00E96F02"/>
    <w:rsid w:val="00E97C06"/>
    <w:rsid w:val="00EA042D"/>
    <w:rsid w:val="00EA134F"/>
    <w:rsid w:val="00EA25C4"/>
    <w:rsid w:val="00EA272E"/>
    <w:rsid w:val="00EA2D60"/>
    <w:rsid w:val="00EA483E"/>
    <w:rsid w:val="00EA53B8"/>
    <w:rsid w:val="00EA6FD3"/>
    <w:rsid w:val="00EA7411"/>
    <w:rsid w:val="00EA7721"/>
    <w:rsid w:val="00EA7A5B"/>
    <w:rsid w:val="00EA7A9D"/>
    <w:rsid w:val="00EB094D"/>
    <w:rsid w:val="00EB0985"/>
    <w:rsid w:val="00EB10C9"/>
    <w:rsid w:val="00EB13FA"/>
    <w:rsid w:val="00EB2EC5"/>
    <w:rsid w:val="00EB2F16"/>
    <w:rsid w:val="00EB645E"/>
    <w:rsid w:val="00EB6C7D"/>
    <w:rsid w:val="00EB7644"/>
    <w:rsid w:val="00EB7F02"/>
    <w:rsid w:val="00EC01AC"/>
    <w:rsid w:val="00EC2F3B"/>
    <w:rsid w:val="00EC3956"/>
    <w:rsid w:val="00EC3B21"/>
    <w:rsid w:val="00EC4828"/>
    <w:rsid w:val="00EC4D32"/>
    <w:rsid w:val="00EC5E5A"/>
    <w:rsid w:val="00EC61F2"/>
    <w:rsid w:val="00EC6708"/>
    <w:rsid w:val="00EC6C20"/>
    <w:rsid w:val="00EC7689"/>
    <w:rsid w:val="00ED04CE"/>
    <w:rsid w:val="00ED09E4"/>
    <w:rsid w:val="00ED1071"/>
    <w:rsid w:val="00ED1089"/>
    <w:rsid w:val="00ED2676"/>
    <w:rsid w:val="00ED2B8F"/>
    <w:rsid w:val="00ED38F4"/>
    <w:rsid w:val="00ED488A"/>
    <w:rsid w:val="00ED4AB6"/>
    <w:rsid w:val="00ED4E63"/>
    <w:rsid w:val="00ED4FC0"/>
    <w:rsid w:val="00ED5643"/>
    <w:rsid w:val="00ED58C3"/>
    <w:rsid w:val="00ED5C51"/>
    <w:rsid w:val="00ED6263"/>
    <w:rsid w:val="00ED670D"/>
    <w:rsid w:val="00ED6711"/>
    <w:rsid w:val="00ED7CA7"/>
    <w:rsid w:val="00EE10AF"/>
    <w:rsid w:val="00EE1AEF"/>
    <w:rsid w:val="00EE1D9D"/>
    <w:rsid w:val="00EE228A"/>
    <w:rsid w:val="00EE2A61"/>
    <w:rsid w:val="00EE3DEE"/>
    <w:rsid w:val="00EE4CD0"/>
    <w:rsid w:val="00EE4EF7"/>
    <w:rsid w:val="00EE5C40"/>
    <w:rsid w:val="00EE68EC"/>
    <w:rsid w:val="00EE6E29"/>
    <w:rsid w:val="00EE7A60"/>
    <w:rsid w:val="00EF12E7"/>
    <w:rsid w:val="00EF1B0E"/>
    <w:rsid w:val="00EF1E04"/>
    <w:rsid w:val="00EF2232"/>
    <w:rsid w:val="00EF25DF"/>
    <w:rsid w:val="00EF2836"/>
    <w:rsid w:val="00EF2E7E"/>
    <w:rsid w:val="00EF3082"/>
    <w:rsid w:val="00EF4E8C"/>
    <w:rsid w:val="00EF55A5"/>
    <w:rsid w:val="00EF5871"/>
    <w:rsid w:val="00EF58B6"/>
    <w:rsid w:val="00EF5E81"/>
    <w:rsid w:val="00EF7229"/>
    <w:rsid w:val="00F01B89"/>
    <w:rsid w:val="00F020F7"/>
    <w:rsid w:val="00F02A67"/>
    <w:rsid w:val="00F036B7"/>
    <w:rsid w:val="00F040E5"/>
    <w:rsid w:val="00F052EC"/>
    <w:rsid w:val="00F0609C"/>
    <w:rsid w:val="00F064C3"/>
    <w:rsid w:val="00F066C2"/>
    <w:rsid w:val="00F06843"/>
    <w:rsid w:val="00F07D7F"/>
    <w:rsid w:val="00F07F36"/>
    <w:rsid w:val="00F10189"/>
    <w:rsid w:val="00F10196"/>
    <w:rsid w:val="00F1056E"/>
    <w:rsid w:val="00F10610"/>
    <w:rsid w:val="00F1199C"/>
    <w:rsid w:val="00F11A00"/>
    <w:rsid w:val="00F1208A"/>
    <w:rsid w:val="00F1310D"/>
    <w:rsid w:val="00F13E90"/>
    <w:rsid w:val="00F142C7"/>
    <w:rsid w:val="00F14B34"/>
    <w:rsid w:val="00F14DA5"/>
    <w:rsid w:val="00F15990"/>
    <w:rsid w:val="00F1611C"/>
    <w:rsid w:val="00F16129"/>
    <w:rsid w:val="00F167CE"/>
    <w:rsid w:val="00F1692A"/>
    <w:rsid w:val="00F1696C"/>
    <w:rsid w:val="00F16A52"/>
    <w:rsid w:val="00F16C19"/>
    <w:rsid w:val="00F1795E"/>
    <w:rsid w:val="00F17C2C"/>
    <w:rsid w:val="00F20284"/>
    <w:rsid w:val="00F20478"/>
    <w:rsid w:val="00F20490"/>
    <w:rsid w:val="00F20A5B"/>
    <w:rsid w:val="00F20BD7"/>
    <w:rsid w:val="00F20EDA"/>
    <w:rsid w:val="00F20F6C"/>
    <w:rsid w:val="00F2106A"/>
    <w:rsid w:val="00F2158D"/>
    <w:rsid w:val="00F21770"/>
    <w:rsid w:val="00F21A8C"/>
    <w:rsid w:val="00F21AED"/>
    <w:rsid w:val="00F21DD9"/>
    <w:rsid w:val="00F23008"/>
    <w:rsid w:val="00F23A55"/>
    <w:rsid w:val="00F24346"/>
    <w:rsid w:val="00F247B6"/>
    <w:rsid w:val="00F24D56"/>
    <w:rsid w:val="00F25644"/>
    <w:rsid w:val="00F25B0F"/>
    <w:rsid w:val="00F25ED6"/>
    <w:rsid w:val="00F2629F"/>
    <w:rsid w:val="00F2668F"/>
    <w:rsid w:val="00F2735C"/>
    <w:rsid w:val="00F2737C"/>
    <w:rsid w:val="00F3072B"/>
    <w:rsid w:val="00F3115C"/>
    <w:rsid w:val="00F31324"/>
    <w:rsid w:val="00F32075"/>
    <w:rsid w:val="00F32B66"/>
    <w:rsid w:val="00F330E7"/>
    <w:rsid w:val="00F33B44"/>
    <w:rsid w:val="00F33CF1"/>
    <w:rsid w:val="00F35218"/>
    <w:rsid w:val="00F35D88"/>
    <w:rsid w:val="00F35F30"/>
    <w:rsid w:val="00F36D83"/>
    <w:rsid w:val="00F36F52"/>
    <w:rsid w:val="00F37F1A"/>
    <w:rsid w:val="00F40368"/>
    <w:rsid w:val="00F405FC"/>
    <w:rsid w:val="00F40CE5"/>
    <w:rsid w:val="00F41008"/>
    <w:rsid w:val="00F425CF"/>
    <w:rsid w:val="00F42754"/>
    <w:rsid w:val="00F4291E"/>
    <w:rsid w:val="00F42A16"/>
    <w:rsid w:val="00F43021"/>
    <w:rsid w:val="00F43062"/>
    <w:rsid w:val="00F439B4"/>
    <w:rsid w:val="00F43E32"/>
    <w:rsid w:val="00F445DE"/>
    <w:rsid w:val="00F47091"/>
    <w:rsid w:val="00F50507"/>
    <w:rsid w:val="00F50797"/>
    <w:rsid w:val="00F51243"/>
    <w:rsid w:val="00F51EC4"/>
    <w:rsid w:val="00F51FBD"/>
    <w:rsid w:val="00F522D4"/>
    <w:rsid w:val="00F52925"/>
    <w:rsid w:val="00F5323C"/>
    <w:rsid w:val="00F54B1B"/>
    <w:rsid w:val="00F5569B"/>
    <w:rsid w:val="00F55F88"/>
    <w:rsid w:val="00F572DD"/>
    <w:rsid w:val="00F57366"/>
    <w:rsid w:val="00F57F20"/>
    <w:rsid w:val="00F60D6B"/>
    <w:rsid w:val="00F622D4"/>
    <w:rsid w:val="00F62C0B"/>
    <w:rsid w:val="00F6367F"/>
    <w:rsid w:val="00F63983"/>
    <w:rsid w:val="00F63E85"/>
    <w:rsid w:val="00F640C8"/>
    <w:rsid w:val="00F6499D"/>
    <w:rsid w:val="00F64D3D"/>
    <w:rsid w:val="00F65A1E"/>
    <w:rsid w:val="00F6752A"/>
    <w:rsid w:val="00F6752B"/>
    <w:rsid w:val="00F70555"/>
    <w:rsid w:val="00F71729"/>
    <w:rsid w:val="00F71867"/>
    <w:rsid w:val="00F720A5"/>
    <w:rsid w:val="00F72715"/>
    <w:rsid w:val="00F7378E"/>
    <w:rsid w:val="00F73828"/>
    <w:rsid w:val="00F73C0C"/>
    <w:rsid w:val="00F74028"/>
    <w:rsid w:val="00F743C6"/>
    <w:rsid w:val="00F744AE"/>
    <w:rsid w:val="00F74D4D"/>
    <w:rsid w:val="00F75058"/>
    <w:rsid w:val="00F7545B"/>
    <w:rsid w:val="00F76373"/>
    <w:rsid w:val="00F76B56"/>
    <w:rsid w:val="00F80C8E"/>
    <w:rsid w:val="00F81E8F"/>
    <w:rsid w:val="00F82971"/>
    <w:rsid w:val="00F82FE1"/>
    <w:rsid w:val="00F83714"/>
    <w:rsid w:val="00F84A28"/>
    <w:rsid w:val="00F855E9"/>
    <w:rsid w:val="00F856D2"/>
    <w:rsid w:val="00F8570B"/>
    <w:rsid w:val="00F85D3C"/>
    <w:rsid w:val="00F86842"/>
    <w:rsid w:val="00F871F2"/>
    <w:rsid w:val="00F872A5"/>
    <w:rsid w:val="00F87588"/>
    <w:rsid w:val="00F877BD"/>
    <w:rsid w:val="00F87829"/>
    <w:rsid w:val="00F87BC3"/>
    <w:rsid w:val="00F908AC"/>
    <w:rsid w:val="00F90D8D"/>
    <w:rsid w:val="00F93558"/>
    <w:rsid w:val="00F9420A"/>
    <w:rsid w:val="00F94239"/>
    <w:rsid w:val="00F94DF1"/>
    <w:rsid w:val="00F9518B"/>
    <w:rsid w:val="00F964F7"/>
    <w:rsid w:val="00F97518"/>
    <w:rsid w:val="00FA0A3E"/>
    <w:rsid w:val="00FA0A90"/>
    <w:rsid w:val="00FA1693"/>
    <w:rsid w:val="00FA210D"/>
    <w:rsid w:val="00FA2CE8"/>
    <w:rsid w:val="00FA2E37"/>
    <w:rsid w:val="00FA3458"/>
    <w:rsid w:val="00FA3806"/>
    <w:rsid w:val="00FA3B96"/>
    <w:rsid w:val="00FA3EB5"/>
    <w:rsid w:val="00FA50BE"/>
    <w:rsid w:val="00FA5307"/>
    <w:rsid w:val="00FA5980"/>
    <w:rsid w:val="00FA5F4A"/>
    <w:rsid w:val="00FB236F"/>
    <w:rsid w:val="00FB333A"/>
    <w:rsid w:val="00FB3516"/>
    <w:rsid w:val="00FB3690"/>
    <w:rsid w:val="00FB39AC"/>
    <w:rsid w:val="00FB3B73"/>
    <w:rsid w:val="00FB444A"/>
    <w:rsid w:val="00FB5945"/>
    <w:rsid w:val="00FB599C"/>
    <w:rsid w:val="00FB7A8A"/>
    <w:rsid w:val="00FC0AA3"/>
    <w:rsid w:val="00FC1930"/>
    <w:rsid w:val="00FC1CE4"/>
    <w:rsid w:val="00FC1E0C"/>
    <w:rsid w:val="00FC23F6"/>
    <w:rsid w:val="00FC26C3"/>
    <w:rsid w:val="00FC2986"/>
    <w:rsid w:val="00FC37BF"/>
    <w:rsid w:val="00FC3E27"/>
    <w:rsid w:val="00FC4003"/>
    <w:rsid w:val="00FC421F"/>
    <w:rsid w:val="00FC5C91"/>
    <w:rsid w:val="00FC7534"/>
    <w:rsid w:val="00FC79DF"/>
    <w:rsid w:val="00FD033A"/>
    <w:rsid w:val="00FD0FA7"/>
    <w:rsid w:val="00FD101C"/>
    <w:rsid w:val="00FD2BA2"/>
    <w:rsid w:val="00FD337C"/>
    <w:rsid w:val="00FD3F5D"/>
    <w:rsid w:val="00FD50C5"/>
    <w:rsid w:val="00FD5BC2"/>
    <w:rsid w:val="00FD6176"/>
    <w:rsid w:val="00FD66E5"/>
    <w:rsid w:val="00FD7893"/>
    <w:rsid w:val="00FD7F24"/>
    <w:rsid w:val="00FD7F4E"/>
    <w:rsid w:val="00FE04FB"/>
    <w:rsid w:val="00FE0913"/>
    <w:rsid w:val="00FE0BA3"/>
    <w:rsid w:val="00FE11B2"/>
    <w:rsid w:val="00FE121E"/>
    <w:rsid w:val="00FE313E"/>
    <w:rsid w:val="00FE3855"/>
    <w:rsid w:val="00FE3BD7"/>
    <w:rsid w:val="00FE3F7A"/>
    <w:rsid w:val="00FE428C"/>
    <w:rsid w:val="00FE4D2E"/>
    <w:rsid w:val="00FE5D19"/>
    <w:rsid w:val="00FE67D4"/>
    <w:rsid w:val="00FE6A94"/>
    <w:rsid w:val="00FE6C70"/>
    <w:rsid w:val="00FE6DDD"/>
    <w:rsid w:val="00FE7A96"/>
    <w:rsid w:val="00FF04CA"/>
    <w:rsid w:val="00FF1A2E"/>
    <w:rsid w:val="00FF1BD3"/>
    <w:rsid w:val="00FF2171"/>
    <w:rsid w:val="00FF21D3"/>
    <w:rsid w:val="00FF2AB6"/>
    <w:rsid w:val="00FF38BC"/>
    <w:rsid w:val="00FF4531"/>
    <w:rsid w:val="00FF48FC"/>
    <w:rsid w:val="00FF4B31"/>
    <w:rsid w:val="00FF4FF4"/>
    <w:rsid w:val="00FF6128"/>
    <w:rsid w:val="00FF64C7"/>
    <w:rsid w:val="00FF6B5B"/>
    <w:rsid w:val="00FF6EC6"/>
    <w:rsid w:val="00FF73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4150"/>
    <w:pPr>
      <w:widowControl w:val="0"/>
    </w:pPr>
    <w:rPr>
      <w:kern w:val="2"/>
      <w:sz w:val="24"/>
      <w:szCs w:val="24"/>
    </w:rPr>
  </w:style>
  <w:style w:type="paragraph" w:styleId="1">
    <w:name w:val="heading 1"/>
    <w:basedOn w:val="a"/>
    <w:next w:val="a"/>
    <w:qFormat/>
    <w:rsid w:val="00AD7EE2"/>
    <w:pPr>
      <w:keepNext/>
      <w:numPr>
        <w:numId w:val="2"/>
      </w:numPr>
      <w:spacing w:before="180" w:after="180" w:line="720" w:lineRule="auto"/>
      <w:outlineLvl w:val="0"/>
    </w:pPr>
    <w:rPr>
      <w:rFonts w:ascii="Arial" w:hAnsi="Arial"/>
      <w:b/>
      <w:bCs/>
      <w:kern w:val="52"/>
      <w:sz w:val="52"/>
      <w:szCs w:val="52"/>
    </w:rPr>
  </w:style>
  <w:style w:type="paragraph" w:styleId="2">
    <w:name w:val="heading 2"/>
    <w:basedOn w:val="a"/>
    <w:next w:val="a"/>
    <w:qFormat/>
    <w:rsid w:val="00AD7EE2"/>
    <w:pPr>
      <w:keepNext/>
      <w:numPr>
        <w:ilvl w:val="1"/>
        <w:numId w:val="2"/>
      </w:numPr>
      <w:spacing w:line="720" w:lineRule="auto"/>
      <w:outlineLvl w:val="1"/>
    </w:pPr>
    <w:rPr>
      <w:rFonts w:ascii="Arial" w:hAnsi="Arial"/>
      <w:b/>
      <w:bCs/>
      <w:sz w:val="48"/>
      <w:szCs w:val="48"/>
    </w:rPr>
  </w:style>
  <w:style w:type="paragraph" w:styleId="3">
    <w:name w:val="heading 3"/>
    <w:basedOn w:val="a"/>
    <w:next w:val="a"/>
    <w:qFormat/>
    <w:rsid w:val="00AD7EE2"/>
    <w:pPr>
      <w:keepNext/>
      <w:numPr>
        <w:ilvl w:val="2"/>
        <w:numId w:val="2"/>
      </w:numPr>
      <w:spacing w:line="720" w:lineRule="auto"/>
      <w:outlineLvl w:val="2"/>
    </w:pPr>
    <w:rPr>
      <w:rFonts w:ascii="Arial" w:hAnsi="Arial"/>
      <w:b/>
      <w:bCs/>
      <w:sz w:val="36"/>
      <w:szCs w:val="36"/>
    </w:rPr>
  </w:style>
  <w:style w:type="paragraph" w:styleId="4">
    <w:name w:val="heading 4"/>
    <w:basedOn w:val="a"/>
    <w:next w:val="a"/>
    <w:link w:val="40"/>
    <w:qFormat/>
    <w:rsid w:val="00AD7EE2"/>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AD7EE2"/>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AD7EE2"/>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AD7EE2"/>
    <w:pPr>
      <w:keepNext/>
      <w:numPr>
        <w:ilvl w:val="6"/>
        <w:numId w:val="2"/>
      </w:numPr>
      <w:spacing w:line="720" w:lineRule="auto"/>
      <w:outlineLvl w:val="6"/>
    </w:pPr>
    <w:rPr>
      <w:rFonts w:ascii="Arial" w:hAnsi="Arial"/>
      <w:b/>
      <w:bCs/>
      <w:sz w:val="36"/>
      <w:szCs w:val="36"/>
    </w:rPr>
  </w:style>
  <w:style w:type="paragraph" w:styleId="8">
    <w:name w:val="heading 8"/>
    <w:basedOn w:val="a"/>
    <w:next w:val="a"/>
    <w:qFormat/>
    <w:rsid w:val="00AD7EE2"/>
    <w:pPr>
      <w:keepNext/>
      <w:numPr>
        <w:ilvl w:val="7"/>
        <w:numId w:val="2"/>
      </w:numPr>
      <w:spacing w:line="720" w:lineRule="auto"/>
      <w:outlineLvl w:val="7"/>
    </w:pPr>
    <w:rPr>
      <w:rFonts w:ascii="Arial" w:hAnsi="Arial"/>
      <w:sz w:val="36"/>
      <w:szCs w:val="36"/>
    </w:rPr>
  </w:style>
  <w:style w:type="paragraph" w:styleId="9">
    <w:name w:val="heading 9"/>
    <w:basedOn w:val="a"/>
    <w:next w:val="a"/>
    <w:qFormat/>
    <w:rsid w:val="00AD7EE2"/>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AD7EE2"/>
    <w:pPr>
      <w:spacing w:after="120"/>
      <w:ind w:leftChars="200" w:left="480"/>
    </w:pPr>
  </w:style>
  <w:style w:type="paragraph" w:styleId="20">
    <w:name w:val="Body Text Indent 2"/>
    <w:basedOn w:val="a"/>
    <w:rsid w:val="00AD7EE2"/>
    <w:pPr>
      <w:spacing w:after="120" w:line="480" w:lineRule="auto"/>
      <w:ind w:leftChars="200" w:left="480"/>
    </w:pPr>
  </w:style>
  <w:style w:type="character" w:styleId="a4">
    <w:name w:val="Hyperlink"/>
    <w:basedOn w:val="a0"/>
    <w:uiPriority w:val="99"/>
    <w:rsid w:val="00AD7EE2"/>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semiHidden/>
    <w:rsid w:val="00AD7EE2"/>
  </w:style>
  <w:style w:type="character" w:customStyle="1" w:styleId="a6">
    <w:name w:val="字元 字元"/>
    <w:basedOn w:val="a0"/>
    <w:semiHidden/>
    <w:locked/>
    <w:rsid w:val="00AD7EE2"/>
    <w:rPr>
      <w:rFonts w:eastAsia="新細明體"/>
      <w:kern w:val="2"/>
      <w:sz w:val="24"/>
      <w:szCs w:val="24"/>
      <w:lang w:val="en-US" w:eastAsia="zh-TW" w:bidi="ar-SA"/>
    </w:rPr>
  </w:style>
  <w:style w:type="character" w:customStyle="1" w:styleId="09">
    <w:name w:val="書籤字型09"/>
    <w:basedOn w:val="a0"/>
    <w:rsid w:val="00AD7EE2"/>
    <w:rPr>
      <w:rFonts w:ascii="Book Antiqua" w:eastAsia="標楷體" w:hAnsi="Book Antiqua" w:hint="default"/>
      <w:spacing w:val="0"/>
      <w:w w:val="100"/>
      <w:position w:val="0"/>
      <w:sz w:val="18"/>
    </w:rPr>
  </w:style>
  <w:style w:type="paragraph" w:styleId="a7">
    <w:name w:val="header"/>
    <w:basedOn w:val="a"/>
    <w:rsid w:val="00AD7EE2"/>
    <w:pPr>
      <w:tabs>
        <w:tab w:val="center" w:pos="4153"/>
        <w:tab w:val="right" w:pos="8306"/>
      </w:tabs>
      <w:snapToGrid w:val="0"/>
    </w:pPr>
    <w:rPr>
      <w:sz w:val="20"/>
      <w:szCs w:val="20"/>
    </w:rPr>
  </w:style>
  <w:style w:type="paragraph" w:styleId="a8">
    <w:name w:val="footer"/>
    <w:basedOn w:val="a"/>
    <w:link w:val="a9"/>
    <w:uiPriority w:val="99"/>
    <w:rsid w:val="00AD7EE2"/>
    <w:pPr>
      <w:tabs>
        <w:tab w:val="center" w:pos="4153"/>
        <w:tab w:val="right" w:pos="8306"/>
      </w:tabs>
      <w:snapToGrid w:val="0"/>
    </w:pPr>
    <w:rPr>
      <w:sz w:val="20"/>
      <w:szCs w:val="20"/>
    </w:rPr>
  </w:style>
  <w:style w:type="character" w:styleId="aa">
    <w:name w:val="page number"/>
    <w:basedOn w:val="a0"/>
    <w:rsid w:val="00AD7EE2"/>
  </w:style>
  <w:style w:type="character" w:styleId="ab">
    <w:name w:val="Strong"/>
    <w:basedOn w:val="a0"/>
    <w:qFormat/>
    <w:rsid w:val="00AD7EE2"/>
    <w:rPr>
      <w:b/>
      <w:bCs/>
    </w:rPr>
  </w:style>
  <w:style w:type="paragraph" w:styleId="Web">
    <w:name w:val="Normal (Web)"/>
    <w:basedOn w:val="a"/>
    <w:uiPriority w:val="99"/>
    <w:rsid w:val="00AD7EE2"/>
    <w:pPr>
      <w:widowControl/>
      <w:spacing w:before="100" w:beforeAutospacing="1" w:after="100" w:afterAutospacing="1"/>
    </w:pPr>
    <w:rPr>
      <w:rFonts w:ascii="新細明體" w:hAnsi="新細明體"/>
      <w:kern w:val="0"/>
    </w:rPr>
  </w:style>
  <w:style w:type="paragraph" w:styleId="ac">
    <w:name w:val="Date"/>
    <w:basedOn w:val="a"/>
    <w:next w:val="a"/>
    <w:rsid w:val="00AD7EE2"/>
    <w:pPr>
      <w:jc w:val="right"/>
    </w:pPr>
  </w:style>
  <w:style w:type="paragraph" w:styleId="30">
    <w:name w:val="Body Text Indent 3"/>
    <w:basedOn w:val="a"/>
    <w:rsid w:val="00AD7EE2"/>
    <w:pPr>
      <w:spacing w:beforeLines="50" w:afterLines="50" w:line="360" w:lineRule="auto"/>
      <w:ind w:leftChars="216" w:left="518" w:firstLineChars="200" w:firstLine="520"/>
      <w:jc w:val="both"/>
    </w:pPr>
    <w:rPr>
      <w:rFonts w:eastAsia="標楷體"/>
      <w:sz w:val="26"/>
      <w:szCs w:val="26"/>
    </w:rPr>
  </w:style>
  <w:style w:type="character" w:styleId="ad">
    <w:name w:val="FollowedHyperlink"/>
    <w:basedOn w:val="a0"/>
    <w:rsid w:val="00AD7EE2"/>
    <w:rPr>
      <w:color w:val="800080"/>
      <w:u w:val="single"/>
    </w:rPr>
  </w:style>
  <w:style w:type="paragraph" w:customStyle="1" w:styleId="aa0">
    <w:name w:val="aa"/>
    <w:basedOn w:val="a"/>
    <w:rsid w:val="00AD7EE2"/>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AD7EE2"/>
  </w:style>
  <w:style w:type="paragraph" w:styleId="21">
    <w:name w:val="index 2"/>
    <w:basedOn w:val="a"/>
    <w:next w:val="a"/>
    <w:autoRedefine/>
    <w:semiHidden/>
    <w:rsid w:val="00AD7EE2"/>
    <w:pPr>
      <w:ind w:leftChars="200" w:left="200"/>
    </w:pPr>
  </w:style>
  <w:style w:type="paragraph" w:styleId="31">
    <w:name w:val="index 3"/>
    <w:basedOn w:val="a"/>
    <w:next w:val="a"/>
    <w:autoRedefine/>
    <w:semiHidden/>
    <w:rsid w:val="00AD7EE2"/>
    <w:pPr>
      <w:ind w:leftChars="400" w:left="400"/>
    </w:pPr>
  </w:style>
  <w:style w:type="paragraph" w:styleId="41">
    <w:name w:val="index 4"/>
    <w:basedOn w:val="a"/>
    <w:next w:val="a"/>
    <w:autoRedefine/>
    <w:semiHidden/>
    <w:rsid w:val="00AD7EE2"/>
    <w:pPr>
      <w:ind w:leftChars="600" w:left="600"/>
    </w:pPr>
  </w:style>
  <w:style w:type="paragraph" w:styleId="50">
    <w:name w:val="index 5"/>
    <w:basedOn w:val="a"/>
    <w:next w:val="a"/>
    <w:autoRedefine/>
    <w:semiHidden/>
    <w:rsid w:val="00AD7EE2"/>
    <w:pPr>
      <w:ind w:leftChars="800" w:left="800"/>
    </w:pPr>
  </w:style>
  <w:style w:type="paragraph" w:styleId="60">
    <w:name w:val="index 6"/>
    <w:basedOn w:val="a"/>
    <w:next w:val="a"/>
    <w:autoRedefine/>
    <w:semiHidden/>
    <w:rsid w:val="00AD7EE2"/>
    <w:pPr>
      <w:ind w:leftChars="1000" w:left="1000"/>
    </w:pPr>
  </w:style>
  <w:style w:type="paragraph" w:styleId="70">
    <w:name w:val="index 7"/>
    <w:basedOn w:val="a"/>
    <w:next w:val="a"/>
    <w:autoRedefine/>
    <w:semiHidden/>
    <w:rsid w:val="00AD7EE2"/>
    <w:pPr>
      <w:ind w:leftChars="1200" w:left="1200"/>
    </w:pPr>
  </w:style>
  <w:style w:type="paragraph" w:styleId="80">
    <w:name w:val="index 8"/>
    <w:basedOn w:val="a"/>
    <w:next w:val="a"/>
    <w:autoRedefine/>
    <w:semiHidden/>
    <w:rsid w:val="00AD7EE2"/>
    <w:pPr>
      <w:ind w:leftChars="1400" w:left="1400"/>
    </w:pPr>
  </w:style>
  <w:style w:type="paragraph" w:styleId="90">
    <w:name w:val="index 9"/>
    <w:basedOn w:val="a"/>
    <w:next w:val="a"/>
    <w:autoRedefine/>
    <w:semiHidden/>
    <w:rsid w:val="00AD7EE2"/>
    <w:pPr>
      <w:ind w:leftChars="1600" w:left="1600"/>
    </w:pPr>
  </w:style>
  <w:style w:type="paragraph" w:styleId="ae">
    <w:name w:val="index heading"/>
    <w:basedOn w:val="a"/>
    <w:next w:val="11"/>
    <w:semiHidden/>
    <w:rsid w:val="00AD7EE2"/>
  </w:style>
  <w:style w:type="character" w:styleId="af">
    <w:name w:val="annotation reference"/>
    <w:basedOn w:val="a0"/>
    <w:semiHidden/>
    <w:rsid w:val="00AD7EE2"/>
    <w:rPr>
      <w:sz w:val="18"/>
      <w:szCs w:val="18"/>
    </w:rPr>
  </w:style>
  <w:style w:type="paragraph" w:styleId="af0">
    <w:name w:val="footnote text"/>
    <w:basedOn w:val="a"/>
    <w:semiHidden/>
    <w:rsid w:val="00AD7EE2"/>
    <w:pPr>
      <w:snapToGrid w:val="0"/>
    </w:pPr>
    <w:rPr>
      <w:sz w:val="20"/>
      <w:szCs w:val="20"/>
    </w:rPr>
  </w:style>
  <w:style w:type="character" w:styleId="af1">
    <w:name w:val="footnote reference"/>
    <w:basedOn w:val="a0"/>
    <w:semiHidden/>
    <w:rsid w:val="00AD7EE2"/>
    <w:rPr>
      <w:vertAlign w:val="superscript"/>
    </w:rPr>
  </w:style>
  <w:style w:type="paragraph" w:styleId="af2">
    <w:name w:val="annotation subject"/>
    <w:basedOn w:val="a5"/>
    <w:next w:val="a5"/>
    <w:semiHidden/>
    <w:rsid w:val="00AD7EE2"/>
    <w:rPr>
      <w:b/>
      <w:bCs/>
    </w:rPr>
  </w:style>
  <w:style w:type="paragraph" w:styleId="af3">
    <w:name w:val="Balloon Text"/>
    <w:basedOn w:val="a"/>
    <w:semiHidden/>
    <w:rsid w:val="00AD7EE2"/>
    <w:rPr>
      <w:rFonts w:ascii="Arial" w:hAnsi="Arial"/>
      <w:sz w:val="18"/>
      <w:szCs w:val="18"/>
    </w:rPr>
  </w:style>
  <w:style w:type="paragraph" w:styleId="32">
    <w:name w:val="Body Text 3"/>
    <w:basedOn w:val="a"/>
    <w:rsid w:val="00AD7EE2"/>
    <w:rPr>
      <w:rFonts w:eastAsia="標楷體"/>
      <w:sz w:val="26"/>
    </w:rPr>
  </w:style>
  <w:style w:type="paragraph" w:styleId="22">
    <w:name w:val="Body Text 2"/>
    <w:basedOn w:val="a"/>
    <w:rsid w:val="00AD7EE2"/>
    <w:pPr>
      <w:spacing w:after="120" w:line="480" w:lineRule="auto"/>
    </w:pPr>
  </w:style>
  <w:style w:type="paragraph" w:styleId="af4">
    <w:name w:val="Body Text"/>
    <w:basedOn w:val="a"/>
    <w:rsid w:val="00AD7EE2"/>
    <w:pPr>
      <w:spacing w:after="120"/>
    </w:pPr>
  </w:style>
  <w:style w:type="table" w:styleId="af5">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7">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8">
    <w:name w:val="Revision"/>
    <w:hidden/>
    <w:uiPriority w:val="99"/>
    <w:semiHidden/>
    <w:rsid w:val="00C73AAC"/>
    <w:rPr>
      <w:kern w:val="2"/>
      <w:sz w:val="24"/>
      <w:szCs w:val="24"/>
    </w:rPr>
  </w:style>
  <w:style w:type="character" w:customStyle="1" w:styleId="a9">
    <w:name w:val="頁尾 字元"/>
    <w:basedOn w:val="a0"/>
    <w:link w:val="a8"/>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basedOn w:val="a0"/>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9">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apple-converted-space">
    <w:name w:val="apple-converted-space"/>
    <w:basedOn w:val="a0"/>
    <w:rsid w:val="00EC7689"/>
  </w:style>
  <w:style w:type="character" w:customStyle="1" w:styleId="xn-money">
    <w:name w:val="xn-money"/>
    <w:basedOn w:val="a0"/>
    <w:rsid w:val="00EC7689"/>
  </w:style>
  <w:style w:type="paragraph" w:customStyle="1" w:styleId="12">
    <w:name w:val="樣式1"/>
    <w:basedOn w:val="a"/>
    <w:link w:val="13"/>
    <w:qFormat/>
    <w:rsid w:val="00124918"/>
    <w:pPr>
      <w:spacing w:beforeLines="50" w:afterLines="50" w:line="360" w:lineRule="auto"/>
      <w:ind w:leftChars="200" w:left="480" w:firstLineChars="200" w:firstLine="520"/>
      <w:jc w:val="both"/>
    </w:pPr>
    <w:rPr>
      <w:rFonts w:eastAsia="標楷體"/>
      <w:sz w:val="26"/>
      <w:szCs w:val="26"/>
    </w:rPr>
  </w:style>
  <w:style w:type="character" w:customStyle="1" w:styleId="13">
    <w:name w:val="樣式1 字元"/>
    <w:basedOn w:val="a0"/>
    <w:link w:val="12"/>
    <w:rsid w:val="00124918"/>
    <w:rPr>
      <w:rFonts w:eastAsia="標楷體"/>
      <w:kern w:val="2"/>
      <w:sz w:val="26"/>
      <w:szCs w:val="26"/>
    </w:rPr>
  </w:style>
  <w:style w:type="paragraph" w:customStyle="1" w:styleId="TableText8">
    <w:name w:val="Table Text 8"/>
    <w:basedOn w:val="a"/>
    <w:rsid w:val="00F622D4"/>
    <w:pPr>
      <w:autoSpaceDE w:val="0"/>
      <w:autoSpaceDN w:val="0"/>
      <w:adjustRightInd w:val="0"/>
    </w:pPr>
    <w:rPr>
      <w:rFonts w:ascii="Arial" w:eastAsiaTheme="minorEastAsia" w:hAnsi="Arial"/>
      <w:noProof/>
      <w:color w:val="000000"/>
      <w:kern w:val="0"/>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74150"/>
    <w:pPr>
      <w:widowControl w:val="0"/>
    </w:pPr>
    <w:rPr>
      <w:kern w:val="2"/>
      <w:sz w:val="24"/>
      <w:szCs w:val="24"/>
    </w:rPr>
  </w:style>
  <w:style w:type="paragraph" w:styleId="1">
    <w:name w:val="heading 1"/>
    <w:basedOn w:val="a"/>
    <w:next w:val="a"/>
    <w:qFormat/>
    <w:rsid w:val="00AD7EE2"/>
    <w:pPr>
      <w:keepNext/>
      <w:numPr>
        <w:numId w:val="2"/>
      </w:numPr>
      <w:spacing w:before="180" w:after="180" w:line="720" w:lineRule="auto"/>
      <w:outlineLvl w:val="0"/>
    </w:pPr>
    <w:rPr>
      <w:rFonts w:ascii="Arial" w:hAnsi="Arial"/>
      <w:b/>
      <w:bCs/>
      <w:kern w:val="52"/>
      <w:sz w:val="52"/>
      <w:szCs w:val="52"/>
    </w:rPr>
  </w:style>
  <w:style w:type="paragraph" w:styleId="2">
    <w:name w:val="heading 2"/>
    <w:basedOn w:val="a"/>
    <w:next w:val="a"/>
    <w:qFormat/>
    <w:rsid w:val="00AD7EE2"/>
    <w:pPr>
      <w:keepNext/>
      <w:numPr>
        <w:ilvl w:val="1"/>
        <w:numId w:val="2"/>
      </w:numPr>
      <w:spacing w:line="720" w:lineRule="auto"/>
      <w:outlineLvl w:val="1"/>
    </w:pPr>
    <w:rPr>
      <w:rFonts w:ascii="Arial" w:hAnsi="Arial"/>
      <w:b/>
      <w:bCs/>
      <w:sz w:val="48"/>
      <w:szCs w:val="48"/>
    </w:rPr>
  </w:style>
  <w:style w:type="paragraph" w:styleId="3">
    <w:name w:val="heading 3"/>
    <w:basedOn w:val="a"/>
    <w:next w:val="a"/>
    <w:qFormat/>
    <w:rsid w:val="00AD7EE2"/>
    <w:pPr>
      <w:keepNext/>
      <w:numPr>
        <w:ilvl w:val="2"/>
        <w:numId w:val="2"/>
      </w:numPr>
      <w:spacing w:line="720" w:lineRule="auto"/>
      <w:outlineLvl w:val="2"/>
    </w:pPr>
    <w:rPr>
      <w:rFonts w:ascii="Arial" w:hAnsi="Arial"/>
      <w:b/>
      <w:bCs/>
      <w:sz w:val="36"/>
      <w:szCs w:val="36"/>
    </w:rPr>
  </w:style>
  <w:style w:type="paragraph" w:styleId="4">
    <w:name w:val="heading 4"/>
    <w:basedOn w:val="a"/>
    <w:next w:val="a"/>
    <w:link w:val="40"/>
    <w:qFormat/>
    <w:rsid w:val="00AD7EE2"/>
    <w:pPr>
      <w:keepNext/>
      <w:numPr>
        <w:ilvl w:val="3"/>
        <w:numId w:val="2"/>
      </w:numPr>
      <w:spacing w:line="720" w:lineRule="auto"/>
      <w:outlineLvl w:val="3"/>
    </w:pPr>
    <w:rPr>
      <w:rFonts w:ascii="Arial" w:hAnsi="Arial"/>
      <w:sz w:val="36"/>
      <w:szCs w:val="36"/>
    </w:rPr>
  </w:style>
  <w:style w:type="paragraph" w:styleId="5">
    <w:name w:val="heading 5"/>
    <w:basedOn w:val="a"/>
    <w:next w:val="a"/>
    <w:qFormat/>
    <w:rsid w:val="00AD7EE2"/>
    <w:pPr>
      <w:keepNext/>
      <w:numPr>
        <w:ilvl w:val="4"/>
        <w:numId w:val="2"/>
      </w:numPr>
      <w:spacing w:line="720" w:lineRule="auto"/>
      <w:outlineLvl w:val="4"/>
    </w:pPr>
    <w:rPr>
      <w:rFonts w:ascii="Arial" w:hAnsi="Arial"/>
      <w:b/>
      <w:bCs/>
      <w:sz w:val="36"/>
      <w:szCs w:val="36"/>
    </w:rPr>
  </w:style>
  <w:style w:type="paragraph" w:styleId="6">
    <w:name w:val="heading 6"/>
    <w:basedOn w:val="a"/>
    <w:next w:val="a"/>
    <w:qFormat/>
    <w:rsid w:val="00AD7EE2"/>
    <w:pPr>
      <w:keepNext/>
      <w:numPr>
        <w:ilvl w:val="5"/>
        <w:numId w:val="2"/>
      </w:numPr>
      <w:spacing w:line="720" w:lineRule="auto"/>
      <w:outlineLvl w:val="5"/>
    </w:pPr>
    <w:rPr>
      <w:rFonts w:ascii="Arial" w:hAnsi="Arial"/>
      <w:sz w:val="36"/>
      <w:szCs w:val="36"/>
    </w:rPr>
  </w:style>
  <w:style w:type="paragraph" w:styleId="7">
    <w:name w:val="heading 7"/>
    <w:basedOn w:val="a"/>
    <w:next w:val="a"/>
    <w:qFormat/>
    <w:rsid w:val="00AD7EE2"/>
    <w:pPr>
      <w:keepNext/>
      <w:numPr>
        <w:ilvl w:val="6"/>
        <w:numId w:val="2"/>
      </w:numPr>
      <w:spacing w:line="720" w:lineRule="auto"/>
      <w:outlineLvl w:val="6"/>
    </w:pPr>
    <w:rPr>
      <w:rFonts w:ascii="Arial" w:hAnsi="Arial"/>
      <w:b/>
      <w:bCs/>
      <w:sz w:val="36"/>
      <w:szCs w:val="36"/>
    </w:rPr>
  </w:style>
  <w:style w:type="paragraph" w:styleId="8">
    <w:name w:val="heading 8"/>
    <w:basedOn w:val="a"/>
    <w:next w:val="a"/>
    <w:qFormat/>
    <w:rsid w:val="00AD7EE2"/>
    <w:pPr>
      <w:keepNext/>
      <w:numPr>
        <w:ilvl w:val="7"/>
        <w:numId w:val="2"/>
      </w:numPr>
      <w:spacing w:line="720" w:lineRule="auto"/>
      <w:outlineLvl w:val="7"/>
    </w:pPr>
    <w:rPr>
      <w:rFonts w:ascii="Arial" w:hAnsi="Arial"/>
      <w:sz w:val="36"/>
      <w:szCs w:val="36"/>
    </w:rPr>
  </w:style>
  <w:style w:type="paragraph" w:styleId="9">
    <w:name w:val="heading 9"/>
    <w:basedOn w:val="a"/>
    <w:next w:val="a"/>
    <w:qFormat/>
    <w:rsid w:val="00AD7EE2"/>
    <w:pPr>
      <w:keepNext/>
      <w:numPr>
        <w:ilvl w:val="8"/>
        <w:numId w:val="2"/>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AD7EE2"/>
    <w:pPr>
      <w:spacing w:after="120"/>
      <w:ind w:leftChars="200" w:left="480"/>
    </w:pPr>
  </w:style>
  <w:style w:type="paragraph" w:styleId="20">
    <w:name w:val="Body Text Indent 2"/>
    <w:basedOn w:val="a"/>
    <w:rsid w:val="00AD7EE2"/>
    <w:pPr>
      <w:spacing w:after="120" w:line="480" w:lineRule="auto"/>
      <w:ind w:leftChars="200" w:left="480"/>
    </w:pPr>
  </w:style>
  <w:style w:type="character" w:styleId="a4">
    <w:name w:val="Hyperlink"/>
    <w:basedOn w:val="a0"/>
    <w:uiPriority w:val="99"/>
    <w:rsid w:val="00AD7EE2"/>
    <w:rPr>
      <w:color w:val="0000FF"/>
      <w:u w:val="single"/>
    </w:rPr>
  </w:style>
  <w:style w:type="paragraph" w:styleId="10">
    <w:name w:val="toc 1"/>
    <w:basedOn w:val="a"/>
    <w:next w:val="a"/>
    <w:autoRedefine/>
    <w:uiPriority w:val="39"/>
    <w:rsid w:val="000123AB"/>
    <w:pPr>
      <w:tabs>
        <w:tab w:val="right" w:leader="dot" w:pos="8296"/>
      </w:tabs>
      <w:spacing w:beforeLines="50" w:afterLines="50" w:line="360" w:lineRule="auto"/>
      <w:jc w:val="center"/>
    </w:pPr>
    <w:rPr>
      <w:rFonts w:eastAsia="標楷體"/>
      <w:noProof/>
      <w:sz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a5">
    <w:name w:val="annotation text"/>
    <w:basedOn w:val="a"/>
    <w:semiHidden/>
    <w:rsid w:val="00AD7EE2"/>
  </w:style>
  <w:style w:type="character" w:customStyle="1" w:styleId="a6">
    <w:name w:val="字元 字元"/>
    <w:basedOn w:val="a0"/>
    <w:semiHidden/>
    <w:locked/>
    <w:rsid w:val="00AD7EE2"/>
    <w:rPr>
      <w:rFonts w:eastAsia="新細明體"/>
      <w:kern w:val="2"/>
      <w:sz w:val="24"/>
      <w:szCs w:val="24"/>
      <w:lang w:val="en-US" w:eastAsia="zh-TW" w:bidi="ar-SA"/>
    </w:rPr>
  </w:style>
  <w:style w:type="character" w:customStyle="1" w:styleId="09">
    <w:name w:val="書籤字型09"/>
    <w:basedOn w:val="a0"/>
    <w:rsid w:val="00AD7EE2"/>
    <w:rPr>
      <w:rFonts w:ascii="Book Antiqua" w:eastAsia="標楷體" w:hAnsi="Book Antiqua" w:hint="default"/>
      <w:spacing w:val="0"/>
      <w:w w:val="100"/>
      <w:position w:val="0"/>
      <w:sz w:val="18"/>
    </w:rPr>
  </w:style>
  <w:style w:type="paragraph" w:styleId="a7">
    <w:name w:val="header"/>
    <w:basedOn w:val="a"/>
    <w:rsid w:val="00AD7EE2"/>
    <w:pPr>
      <w:tabs>
        <w:tab w:val="center" w:pos="4153"/>
        <w:tab w:val="right" w:pos="8306"/>
      </w:tabs>
      <w:snapToGrid w:val="0"/>
    </w:pPr>
    <w:rPr>
      <w:sz w:val="20"/>
      <w:szCs w:val="20"/>
    </w:rPr>
  </w:style>
  <w:style w:type="paragraph" w:styleId="a8">
    <w:name w:val="footer"/>
    <w:basedOn w:val="a"/>
    <w:link w:val="a9"/>
    <w:uiPriority w:val="99"/>
    <w:rsid w:val="00AD7EE2"/>
    <w:pPr>
      <w:tabs>
        <w:tab w:val="center" w:pos="4153"/>
        <w:tab w:val="right" w:pos="8306"/>
      </w:tabs>
      <w:snapToGrid w:val="0"/>
    </w:pPr>
    <w:rPr>
      <w:sz w:val="20"/>
      <w:szCs w:val="20"/>
    </w:rPr>
  </w:style>
  <w:style w:type="character" w:styleId="aa">
    <w:name w:val="page number"/>
    <w:basedOn w:val="a0"/>
    <w:rsid w:val="00AD7EE2"/>
  </w:style>
  <w:style w:type="character" w:styleId="ab">
    <w:name w:val="Strong"/>
    <w:basedOn w:val="a0"/>
    <w:qFormat/>
    <w:rsid w:val="00AD7EE2"/>
    <w:rPr>
      <w:b/>
      <w:bCs/>
    </w:rPr>
  </w:style>
  <w:style w:type="paragraph" w:styleId="Web">
    <w:name w:val="Normal (Web)"/>
    <w:basedOn w:val="a"/>
    <w:uiPriority w:val="99"/>
    <w:rsid w:val="00AD7EE2"/>
    <w:pPr>
      <w:widowControl/>
      <w:spacing w:before="100" w:beforeAutospacing="1" w:after="100" w:afterAutospacing="1"/>
    </w:pPr>
    <w:rPr>
      <w:rFonts w:ascii="新細明體" w:hAnsi="新細明體"/>
      <w:kern w:val="0"/>
    </w:rPr>
  </w:style>
  <w:style w:type="paragraph" w:styleId="ac">
    <w:name w:val="Date"/>
    <w:basedOn w:val="a"/>
    <w:next w:val="a"/>
    <w:rsid w:val="00AD7EE2"/>
    <w:pPr>
      <w:jc w:val="right"/>
    </w:pPr>
  </w:style>
  <w:style w:type="paragraph" w:styleId="30">
    <w:name w:val="Body Text Indent 3"/>
    <w:basedOn w:val="a"/>
    <w:rsid w:val="00AD7EE2"/>
    <w:pPr>
      <w:spacing w:beforeLines="50" w:afterLines="50" w:line="360" w:lineRule="auto"/>
      <w:ind w:leftChars="216" w:left="518" w:firstLineChars="200" w:firstLine="520"/>
      <w:jc w:val="both"/>
    </w:pPr>
    <w:rPr>
      <w:rFonts w:eastAsia="標楷體"/>
      <w:sz w:val="26"/>
      <w:szCs w:val="26"/>
    </w:rPr>
  </w:style>
  <w:style w:type="character" w:styleId="ad">
    <w:name w:val="FollowedHyperlink"/>
    <w:basedOn w:val="a0"/>
    <w:rsid w:val="00AD7EE2"/>
    <w:rPr>
      <w:color w:val="800080"/>
      <w:u w:val="single"/>
    </w:rPr>
  </w:style>
  <w:style w:type="paragraph" w:customStyle="1" w:styleId="aa0">
    <w:name w:val="aa"/>
    <w:basedOn w:val="a"/>
    <w:rsid w:val="00AD7EE2"/>
    <w:pPr>
      <w:spacing w:line="280" w:lineRule="exact"/>
      <w:ind w:firstLine="240"/>
      <w:jc w:val="both"/>
    </w:pPr>
    <w:rPr>
      <w:rFonts w:ascii="標楷體" w:eastAsia="標楷體"/>
      <w:spacing w:val="-20"/>
      <w:szCs w:val="20"/>
    </w:rPr>
  </w:style>
  <w:style w:type="paragraph" w:styleId="11">
    <w:name w:val="index 1"/>
    <w:basedOn w:val="a"/>
    <w:next w:val="a"/>
    <w:autoRedefine/>
    <w:semiHidden/>
    <w:rsid w:val="00AD7EE2"/>
  </w:style>
  <w:style w:type="paragraph" w:styleId="21">
    <w:name w:val="index 2"/>
    <w:basedOn w:val="a"/>
    <w:next w:val="a"/>
    <w:autoRedefine/>
    <w:semiHidden/>
    <w:rsid w:val="00AD7EE2"/>
    <w:pPr>
      <w:ind w:leftChars="200" w:left="200"/>
    </w:pPr>
  </w:style>
  <w:style w:type="paragraph" w:styleId="31">
    <w:name w:val="index 3"/>
    <w:basedOn w:val="a"/>
    <w:next w:val="a"/>
    <w:autoRedefine/>
    <w:semiHidden/>
    <w:rsid w:val="00AD7EE2"/>
    <w:pPr>
      <w:ind w:leftChars="400" w:left="400"/>
    </w:pPr>
  </w:style>
  <w:style w:type="paragraph" w:styleId="41">
    <w:name w:val="index 4"/>
    <w:basedOn w:val="a"/>
    <w:next w:val="a"/>
    <w:autoRedefine/>
    <w:semiHidden/>
    <w:rsid w:val="00AD7EE2"/>
    <w:pPr>
      <w:ind w:leftChars="600" w:left="600"/>
    </w:pPr>
  </w:style>
  <w:style w:type="paragraph" w:styleId="50">
    <w:name w:val="index 5"/>
    <w:basedOn w:val="a"/>
    <w:next w:val="a"/>
    <w:autoRedefine/>
    <w:semiHidden/>
    <w:rsid w:val="00AD7EE2"/>
    <w:pPr>
      <w:ind w:leftChars="800" w:left="800"/>
    </w:pPr>
  </w:style>
  <w:style w:type="paragraph" w:styleId="60">
    <w:name w:val="index 6"/>
    <w:basedOn w:val="a"/>
    <w:next w:val="a"/>
    <w:autoRedefine/>
    <w:semiHidden/>
    <w:rsid w:val="00AD7EE2"/>
    <w:pPr>
      <w:ind w:leftChars="1000" w:left="1000"/>
    </w:pPr>
  </w:style>
  <w:style w:type="paragraph" w:styleId="70">
    <w:name w:val="index 7"/>
    <w:basedOn w:val="a"/>
    <w:next w:val="a"/>
    <w:autoRedefine/>
    <w:semiHidden/>
    <w:rsid w:val="00AD7EE2"/>
    <w:pPr>
      <w:ind w:leftChars="1200" w:left="1200"/>
    </w:pPr>
  </w:style>
  <w:style w:type="paragraph" w:styleId="80">
    <w:name w:val="index 8"/>
    <w:basedOn w:val="a"/>
    <w:next w:val="a"/>
    <w:autoRedefine/>
    <w:semiHidden/>
    <w:rsid w:val="00AD7EE2"/>
    <w:pPr>
      <w:ind w:leftChars="1400" w:left="1400"/>
    </w:pPr>
  </w:style>
  <w:style w:type="paragraph" w:styleId="90">
    <w:name w:val="index 9"/>
    <w:basedOn w:val="a"/>
    <w:next w:val="a"/>
    <w:autoRedefine/>
    <w:semiHidden/>
    <w:rsid w:val="00AD7EE2"/>
    <w:pPr>
      <w:ind w:leftChars="1600" w:left="1600"/>
    </w:pPr>
  </w:style>
  <w:style w:type="paragraph" w:styleId="ae">
    <w:name w:val="index heading"/>
    <w:basedOn w:val="a"/>
    <w:next w:val="11"/>
    <w:semiHidden/>
    <w:rsid w:val="00AD7EE2"/>
  </w:style>
  <w:style w:type="character" w:styleId="af">
    <w:name w:val="annotation reference"/>
    <w:basedOn w:val="a0"/>
    <w:semiHidden/>
    <w:rsid w:val="00AD7EE2"/>
    <w:rPr>
      <w:sz w:val="18"/>
      <w:szCs w:val="18"/>
    </w:rPr>
  </w:style>
  <w:style w:type="paragraph" w:styleId="af0">
    <w:name w:val="footnote text"/>
    <w:basedOn w:val="a"/>
    <w:semiHidden/>
    <w:rsid w:val="00AD7EE2"/>
    <w:pPr>
      <w:snapToGrid w:val="0"/>
    </w:pPr>
    <w:rPr>
      <w:sz w:val="20"/>
      <w:szCs w:val="20"/>
    </w:rPr>
  </w:style>
  <w:style w:type="character" w:styleId="af1">
    <w:name w:val="footnote reference"/>
    <w:basedOn w:val="a0"/>
    <w:semiHidden/>
    <w:rsid w:val="00AD7EE2"/>
    <w:rPr>
      <w:vertAlign w:val="superscript"/>
    </w:rPr>
  </w:style>
  <w:style w:type="paragraph" w:styleId="af2">
    <w:name w:val="annotation subject"/>
    <w:basedOn w:val="a5"/>
    <w:next w:val="a5"/>
    <w:semiHidden/>
    <w:rsid w:val="00AD7EE2"/>
    <w:rPr>
      <w:b/>
      <w:bCs/>
    </w:rPr>
  </w:style>
  <w:style w:type="paragraph" w:styleId="af3">
    <w:name w:val="Balloon Text"/>
    <w:basedOn w:val="a"/>
    <w:semiHidden/>
    <w:rsid w:val="00AD7EE2"/>
    <w:rPr>
      <w:rFonts w:ascii="Arial" w:hAnsi="Arial"/>
      <w:sz w:val="18"/>
      <w:szCs w:val="18"/>
    </w:rPr>
  </w:style>
  <w:style w:type="paragraph" w:styleId="32">
    <w:name w:val="Body Text 3"/>
    <w:basedOn w:val="a"/>
    <w:rsid w:val="00AD7EE2"/>
    <w:rPr>
      <w:rFonts w:eastAsia="標楷體"/>
      <w:sz w:val="26"/>
    </w:rPr>
  </w:style>
  <w:style w:type="paragraph" w:styleId="22">
    <w:name w:val="Body Text 2"/>
    <w:basedOn w:val="a"/>
    <w:rsid w:val="00AD7EE2"/>
    <w:pPr>
      <w:spacing w:after="120" w:line="480" w:lineRule="auto"/>
    </w:pPr>
  </w:style>
  <w:style w:type="paragraph" w:styleId="af4">
    <w:name w:val="Body Text"/>
    <w:basedOn w:val="a"/>
    <w:rsid w:val="00AD7EE2"/>
    <w:pPr>
      <w:spacing w:after="120"/>
    </w:pPr>
  </w:style>
  <w:style w:type="table" w:styleId="af5">
    <w:name w:val="Table Grid"/>
    <w:basedOn w:val="a1"/>
    <w:rsid w:val="00C06D02"/>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大標 字元"/>
    <w:basedOn w:val="a"/>
    <w:next w:val="a"/>
    <w:autoRedefine/>
    <w:rsid w:val="000B570B"/>
    <w:pPr>
      <w:widowControl/>
      <w:spacing w:after="160" w:line="240" w:lineRule="exact"/>
    </w:pPr>
    <w:rPr>
      <w:rFonts w:ascii="Arial" w:eastAsia="標楷體" w:hAnsi="Arial" w:cs="Arial"/>
      <w:kern w:val="0"/>
      <w:szCs w:val="20"/>
      <w:lang w:eastAsia="en-US"/>
    </w:rPr>
  </w:style>
  <w:style w:type="paragraph" w:styleId="af7">
    <w:name w:val="Document Map"/>
    <w:basedOn w:val="a"/>
    <w:semiHidden/>
    <w:rsid w:val="00BB739B"/>
    <w:pPr>
      <w:widowControl/>
      <w:shd w:val="clear" w:color="auto" w:fill="000080"/>
    </w:pPr>
    <w:rPr>
      <w:rFonts w:ascii="Arial" w:hAnsi="Arial" w:cs="新細明體"/>
      <w:kern w:val="0"/>
    </w:rPr>
  </w:style>
  <w:style w:type="paragraph" w:customStyle="1" w:styleId="cjk">
    <w:name w:val="cjk"/>
    <w:basedOn w:val="a"/>
    <w:rsid w:val="00A31F77"/>
    <w:pPr>
      <w:widowControl/>
      <w:spacing w:before="100" w:beforeAutospacing="1"/>
    </w:pPr>
    <w:rPr>
      <w:rFonts w:ascii="標楷體" w:eastAsia="標楷體" w:hAnsi="標楷體" w:cs="新細明體"/>
      <w:color w:val="000000"/>
      <w:kern w:val="0"/>
    </w:rPr>
  </w:style>
  <w:style w:type="paragraph" w:styleId="af8">
    <w:name w:val="Revision"/>
    <w:hidden/>
    <w:uiPriority w:val="99"/>
    <w:semiHidden/>
    <w:rsid w:val="00C73AAC"/>
    <w:rPr>
      <w:kern w:val="2"/>
      <w:sz w:val="24"/>
      <w:szCs w:val="24"/>
    </w:rPr>
  </w:style>
  <w:style w:type="character" w:customStyle="1" w:styleId="a9">
    <w:name w:val="頁尾 字元"/>
    <w:basedOn w:val="a0"/>
    <w:link w:val="a8"/>
    <w:uiPriority w:val="99"/>
    <w:rsid w:val="008469CA"/>
    <w:rPr>
      <w:kern w:val="2"/>
    </w:rPr>
  </w:style>
  <w:style w:type="character" w:customStyle="1" w:styleId="dowonloadpoint1">
    <w:name w:val="dowonloadpoint1"/>
    <w:basedOn w:val="a0"/>
    <w:rsid w:val="007B4993"/>
    <w:rPr>
      <w:color w:val="3465CB"/>
    </w:rPr>
  </w:style>
  <w:style w:type="character" w:customStyle="1" w:styleId="40">
    <w:name w:val="標題 4 字元"/>
    <w:basedOn w:val="a0"/>
    <w:link w:val="4"/>
    <w:rsid w:val="00E54C6B"/>
    <w:rPr>
      <w:rFonts w:ascii="Arial" w:hAnsi="Arial"/>
      <w:kern w:val="2"/>
      <w:sz w:val="36"/>
      <w:szCs w:val="36"/>
    </w:rPr>
  </w:style>
  <w:style w:type="table" w:styleId="2-1">
    <w:name w:val="Medium List 2 Accent 1"/>
    <w:basedOn w:val="a1"/>
    <w:uiPriority w:val="66"/>
    <w:rsid w:val="00A1432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af9">
    <w:name w:val="List Paragraph"/>
    <w:basedOn w:val="a"/>
    <w:uiPriority w:val="34"/>
    <w:qFormat/>
    <w:rsid w:val="00A14326"/>
    <w:pPr>
      <w:ind w:leftChars="200" w:left="480"/>
    </w:pPr>
  </w:style>
  <w:style w:type="table" w:customStyle="1" w:styleId="-11">
    <w:name w:val="淺色清單 - 輔色 11"/>
    <w:basedOn w:val="a1"/>
    <w:uiPriority w:val="61"/>
    <w:rsid w:val="00A1432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4">
    <w:name w:val="Light List Accent 4"/>
    <w:basedOn w:val="a1"/>
    <w:uiPriority w:val="61"/>
    <w:rsid w:val="008E1573"/>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apple-converted-space">
    <w:name w:val="apple-converted-space"/>
    <w:basedOn w:val="a0"/>
    <w:rsid w:val="00EC7689"/>
  </w:style>
  <w:style w:type="character" w:customStyle="1" w:styleId="xn-money">
    <w:name w:val="xn-money"/>
    <w:basedOn w:val="a0"/>
    <w:rsid w:val="00EC7689"/>
  </w:style>
  <w:style w:type="paragraph" w:customStyle="1" w:styleId="12">
    <w:name w:val="樣式1"/>
    <w:basedOn w:val="a"/>
    <w:link w:val="13"/>
    <w:qFormat/>
    <w:rsid w:val="00124918"/>
    <w:pPr>
      <w:spacing w:beforeLines="50" w:afterLines="50" w:line="360" w:lineRule="auto"/>
      <w:ind w:leftChars="200" w:left="480" w:firstLineChars="200" w:firstLine="520"/>
      <w:jc w:val="both"/>
    </w:pPr>
    <w:rPr>
      <w:rFonts w:eastAsia="標楷體"/>
      <w:sz w:val="26"/>
      <w:szCs w:val="26"/>
    </w:rPr>
  </w:style>
  <w:style w:type="character" w:customStyle="1" w:styleId="13">
    <w:name w:val="樣式1 字元"/>
    <w:basedOn w:val="a0"/>
    <w:link w:val="12"/>
    <w:rsid w:val="00124918"/>
    <w:rPr>
      <w:rFonts w:eastAsia="標楷體"/>
      <w:kern w:val="2"/>
      <w:sz w:val="26"/>
      <w:szCs w:val="26"/>
    </w:rPr>
  </w:style>
  <w:style w:type="paragraph" w:customStyle="1" w:styleId="TableText8">
    <w:name w:val="Table Text 8"/>
    <w:basedOn w:val="a"/>
    <w:rsid w:val="00F622D4"/>
    <w:pPr>
      <w:autoSpaceDE w:val="0"/>
      <w:autoSpaceDN w:val="0"/>
      <w:adjustRightInd w:val="0"/>
    </w:pPr>
    <w:rPr>
      <w:rFonts w:ascii="Arial" w:eastAsiaTheme="minorEastAsia" w:hAnsi="Arial"/>
      <w:noProof/>
      <w:color w:val="000000"/>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359255">
      <w:bodyDiv w:val="1"/>
      <w:marLeft w:val="0"/>
      <w:marRight w:val="0"/>
      <w:marTop w:val="0"/>
      <w:marBottom w:val="0"/>
      <w:divBdr>
        <w:top w:val="none" w:sz="0" w:space="0" w:color="auto"/>
        <w:left w:val="none" w:sz="0" w:space="0" w:color="auto"/>
        <w:bottom w:val="none" w:sz="0" w:space="0" w:color="auto"/>
        <w:right w:val="none" w:sz="0" w:space="0" w:color="auto"/>
      </w:divBdr>
    </w:div>
    <w:div w:id="275408307">
      <w:bodyDiv w:val="1"/>
      <w:marLeft w:val="0"/>
      <w:marRight w:val="0"/>
      <w:marTop w:val="0"/>
      <w:marBottom w:val="0"/>
      <w:divBdr>
        <w:top w:val="none" w:sz="0" w:space="0" w:color="auto"/>
        <w:left w:val="none" w:sz="0" w:space="0" w:color="auto"/>
        <w:bottom w:val="none" w:sz="0" w:space="0" w:color="auto"/>
        <w:right w:val="none" w:sz="0" w:space="0" w:color="auto"/>
      </w:divBdr>
    </w:div>
    <w:div w:id="319161681">
      <w:bodyDiv w:val="1"/>
      <w:marLeft w:val="0"/>
      <w:marRight w:val="0"/>
      <w:marTop w:val="0"/>
      <w:marBottom w:val="0"/>
      <w:divBdr>
        <w:top w:val="none" w:sz="0" w:space="0" w:color="auto"/>
        <w:left w:val="none" w:sz="0" w:space="0" w:color="auto"/>
        <w:bottom w:val="none" w:sz="0" w:space="0" w:color="auto"/>
        <w:right w:val="none" w:sz="0" w:space="0" w:color="auto"/>
      </w:divBdr>
    </w:div>
    <w:div w:id="351884790">
      <w:bodyDiv w:val="1"/>
      <w:marLeft w:val="0"/>
      <w:marRight w:val="0"/>
      <w:marTop w:val="0"/>
      <w:marBottom w:val="0"/>
      <w:divBdr>
        <w:top w:val="none" w:sz="0" w:space="0" w:color="auto"/>
        <w:left w:val="none" w:sz="0" w:space="0" w:color="auto"/>
        <w:bottom w:val="none" w:sz="0" w:space="0" w:color="auto"/>
        <w:right w:val="none" w:sz="0" w:space="0" w:color="auto"/>
      </w:divBdr>
      <w:divsChild>
        <w:div w:id="1505776032">
          <w:marLeft w:val="84"/>
          <w:marRight w:val="100"/>
          <w:marTop w:val="67"/>
          <w:marBottom w:val="167"/>
          <w:divBdr>
            <w:top w:val="none" w:sz="0" w:space="0" w:color="auto"/>
            <w:left w:val="none" w:sz="0" w:space="0" w:color="auto"/>
            <w:bottom w:val="none" w:sz="0" w:space="0" w:color="auto"/>
            <w:right w:val="none" w:sz="0" w:space="0" w:color="auto"/>
          </w:divBdr>
          <w:divsChild>
            <w:div w:id="1099909141">
              <w:marLeft w:val="0"/>
              <w:marRight w:val="0"/>
              <w:marTop w:val="84"/>
              <w:marBottom w:val="0"/>
              <w:divBdr>
                <w:top w:val="none" w:sz="0" w:space="0" w:color="auto"/>
                <w:left w:val="single" w:sz="48" w:space="0" w:color="E7F3FF"/>
                <w:bottom w:val="none" w:sz="0" w:space="0" w:color="auto"/>
                <w:right w:val="single" w:sz="48" w:space="0" w:color="FFFFFF"/>
              </w:divBdr>
              <w:divsChild>
                <w:div w:id="80878188">
                  <w:marLeft w:val="0"/>
                  <w:marRight w:val="0"/>
                  <w:marTop w:val="0"/>
                  <w:marBottom w:val="0"/>
                  <w:divBdr>
                    <w:top w:val="none" w:sz="0" w:space="0" w:color="auto"/>
                    <w:left w:val="none" w:sz="0" w:space="0" w:color="auto"/>
                    <w:bottom w:val="none" w:sz="0" w:space="0" w:color="auto"/>
                    <w:right w:val="none" w:sz="0" w:space="0" w:color="auto"/>
                  </w:divBdr>
                  <w:divsChild>
                    <w:div w:id="1279067980">
                      <w:marLeft w:val="-33"/>
                      <w:marRight w:val="-50"/>
                      <w:marTop w:val="0"/>
                      <w:marBottom w:val="0"/>
                      <w:divBdr>
                        <w:top w:val="none" w:sz="0" w:space="0" w:color="auto"/>
                        <w:left w:val="none" w:sz="0" w:space="0" w:color="auto"/>
                        <w:bottom w:val="none" w:sz="0" w:space="0" w:color="auto"/>
                        <w:right w:val="none" w:sz="0" w:space="0" w:color="auto"/>
                      </w:divBdr>
                      <w:divsChild>
                        <w:div w:id="152527170">
                          <w:marLeft w:val="251"/>
                          <w:marRight w:val="84"/>
                          <w:marTop w:val="84"/>
                          <w:marBottom w:val="84"/>
                          <w:divBdr>
                            <w:top w:val="none" w:sz="0" w:space="0" w:color="auto"/>
                            <w:left w:val="none" w:sz="0" w:space="0" w:color="auto"/>
                            <w:bottom w:val="none" w:sz="0" w:space="0" w:color="auto"/>
                            <w:right w:val="none" w:sz="0" w:space="0" w:color="auto"/>
                          </w:divBdr>
                          <w:divsChild>
                            <w:div w:id="329873864">
                              <w:marLeft w:val="240"/>
                              <w:marRight w:val="240"/>
                              <w:marTop w:val="240"/>
                              <w:marBottom w:val="240"/>
                              <w:divBdr>
                                <w:top w:val="none" w:sz="0" w:space="0" w:color="auto"/>
                                <w:left w:val="none" w:sz="0" w:space="0" w:color="auto"/>
                                <w:bottom w:val="none" w:sz="0" w:space="0" w:color="auto"/>
                                <w:right w:val="none" w:sz="0" w:space="0" w:color="auto"/>
                              </w:divBdr>
                              <w:divsChild>
                                <w:div w:id="229273795">
                                  <w:marLeft w:val="0"/>
                                  <w:marRight w:val="0"/>
                                  <w:marTop w:val="0"/>
                                  <w:marBottom w:val="0"/>
                                  <w:divBdr>
                                    <w:top w:val="none" w:sz="0" w:space="0" w:color="auto"/>
                                    <w:left w:val="none" w:sz="0" w:space="0" w:color="auto"/>
                                    <w:bottom w:val="none" w:sz="0" w:space="0" w:color="auto"/>
                                    <w:right w:val="none" w:sz="0" w:space="0" w:color="auto"/>
                                  </w:divBdr>
                                  <w:divsChild>
                                    <w:div w:id="1200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083379">
      <w:bodyDiv w:val="1"/>
      <w:marLeft w:val="0"/>
      <w:marRight w:val="0"/>
      <w:marTop w:val="0"/>
      <w:marBottom w:val="0"/>
      <w:divBdr>
        <w:top w:val="none" w:sz="0" w:space="0" w:color="auto"/>
        <w:left w:val="none" w:sz="0" w:space="0" w:color="auto"/>
        <w:bottom w:val="none" w:sz="0" w:space="0" w:color="auto"/>
        <w:right w:val="none" w:sz="0" w:space="0" w:color="auto"/>
      </w:divBdr>
    </w:div>
    <w:div w:id="433744890">
      <w:bodyDiv w:val="1"/>
      <w:marLeft w:val="0"/>
      <w:marRight w:val="0"/>
      <w:marTop w:val="0"/>
      <w:marBottom w:val="0"/>
      <w:divBdr>
        <w:top w:val="none" w:sz="0" w:space="0" w:color="auto"/>
        <w:left w:val="none" w:sz="0" w:space="0" w:color="auto"/>
        <w:bottom w:val="none" w:sz="0" w:space="0" w:color="auto"/>
        <w:right w:val="none" w:sz="0" w:space="0" w:color="auto"/>
      </w:divBdr>
    </w:div>
    <w:div w:id="713966204">
      <w:bodyDiv w:val="1"/>
      <w:marLeft w:val="0"/>
      <w:marRight w:val="0"/>
      <w:marTop w:val="0"/>
      <w:marBottom w:val="0"/>
      <w:divBdr>
        <w:top w:val="none" w:sz="0" w:space="0" w:color="auto"/>
        <w:left w:val="none" w:sz="0" w:space="0" w:color="auto"/>
        <w:bottom w:val="none" w:sz="0" w:space="0" w:color="auto"/>
        <w:right w:val="none" w:sz="0" w:space="0" w:color="auto"/>
      </w:divBdr>
      <w:divsChild>
        <w:div w:id="297880622">
          <w:marLeft w:val="0"/>
          <w:marRight w:val="0"/>
          <w:marTop w:val="0"/>
          <w:marBottom w:val="0"/>
          <w:divBdr>
            <w:top w:val="none" w:sz="0" w:space="0" w:color="auto"/>
            <w:left w:val="none" w:sz="0" w:space="0" w:color="auto"/>
            <w:bottom w:val="none" w:sz="0" w:space="0" w:color="auto"/>
            <w:right w:val="none" w:sz="0" w:space="0" w:color="auto"/>
          </w:divBdr>
          <w:divsChild>
            <w:div w:id="1292133590">
              <w:marLeft w:val="0"/>
              <w:marRight w:val="0"/>
              <w:marTop w:val="0"/>
              <w:marBottom w:val="0"/>
              <w:divBdr>
                <w:top w:val="none" w:sz="0" w:space="0" w:color="auto"/>
                <w:left w:val="none" w:sz="0" w:space="0" w:color="auto"/>
                <w:bottom w:val="none" w:sz="0" w:space="0" w:color="auto"/>
                <w:right w:val="none" w:sz="0" w:space="0" w:color="auto"/>
              </w:divBdr>
              <w:divsChild>
                <w:div w:id="466052245">
                  <w:marLeft w:val="0"/>
                  <w:marRight w:val="0"/>
                  <w:marTop w:val="0"/>
                  <w:marBottom w:val="0"/>
                  <w:divBdr>
                    <w:top w:val="none" w:sz="0" w:space="0" w:color="auto"/>
                    <w:left w:val="none" w:sz="0" w:space="0" w:color="auto"/>
                    <w:bottom w:val="none" w:sz="0" w:space="0" w:color="auto"/>
                    <w:right w:val="none" w:sz="0" w:space="0" w:color="auto"/>
                  </w:divBdr>
                  <w:divsChild>
                    <w:div w:id="285432382">
                      <w:marLeft w:val="0"/>
                      <w:marRight w:val="0"/>
                      <w:marTop w:val="0"/>
                      <w:marBottom w:val="0"/>
                      <w:divBdr>
                        <w:top w:val="none" w:sz="0" w:space="0" w:color="auto"/>
                        <w:left w:val="none" w:sz="0" w:space="0" w:color="auto"/>
                        <w:bottom w:val="none" w:sz="0" w:space="0" w:color="auto"/>
                        <w:right w:val="none" w:sz="0" w:space="0" w:color="auto"/>
                      </w:divBdr>
                      <w:divsChild>
                        <w:div w:id="844173303">
                          <w:marLeft w:val="0"/>
                          <w:marRight w:val="0"/>
                          <w:marTop w:val="0"/>
                          <w:marBottom w:val="0"/>
                          <w:divBdr>
                            <w:top w:val="none" w:sz="0" w:space="0" w:color="auto"/>
                            <w:left w:val="none" w:sz="0" w:space="0" w:color="auto"/>
                            <w:bottom w:val="none" w:sz="0" w:space="0" w:color="auto"/>
                            <w:right w:val="none" w:sz="0" w:space="0" w:color="auto"/>
                          </w:divBdr>
                          <w:divsChild>
                            <w:div w:id="642660207">
                              <w:marLeft w:val="0"/>
                              <w:marRight w:val="0"/>
                              <w:marTop w:val="0"/>
                              <w:marBottom w:val="0"/>
                              <w:divBdr>
                                <w:top w:val="none" w:sz="0" w:space="0" w:color="auto"/>
                                <w:left w:val="none" w:sz="0" w:space="0" w:color="auto"/>
                                <w:bottom w:val="none" w:sz="0" w:space="0" w:color="auto"/>
                                <w:right w:val="none" w:sz="0" w:space="0" w:color="auto"/>
                              </w:divBdr>
                              <w:divsChild>
                                <w:div w:id="1460220255">
                                  <w:marLeft w:val="0"/>
                                  <w:marRight w:val="0"/>
                                  <w:marTop w:val="0"/>
                                  <w:marBottom w:val="0"/>
                                  <w:divBdr>
                                    <w:top w:val="none" w:sz="0" w:space="0" w:color="auto"/>
                                    <w:left w:val="none" w:sz="0" w:space="0" w:color="auto"/>
                                    <w:bottom w:val="none" w:sz="0" w:space="0" w:color="auto"/>
                                    <w:right w:val="none" w:sz="0" w:space="0" w:color="auto"/>
                                  </w:divBdr>
                                  <w:divsChild>
                                    <w:div w:id="533268336">
                                      <w:marLeft w:val="0"/>
                                      <w:marRight w:val="0"/>
                                      <w:marTop w:val="0"/>
                                      <w:marBottom w:val="0"/>
                                      <w:divBdr>
                                        <w:top w:val="none" w:sz="0" w:space="0" w:color="auto"/>
                                        <w:left w:val="none" w:sz="0" w:space="0" w:color="auto"/>
                                        <w:bottom w:val="none" w:sz="0" w:space="0" w:color="auto"/>
                                        <w:right w:val="none" w:sz="0" w:space="0" w:color="auto"/>
                                      </w:divBdr>
                                      <w:divsChild>
                                        <w:div w:id="4540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1923437">
      <w:bodyDiv w:val="1"/>
      <w:marLeft w:val="0"/>
      <w:marRight w:val="0"/>
      <w:marTop w:val="0"/>
      <w:marBottom w:val="0"/>
      <w:divBdr>
        <w:top w:val="none" w:sz="0" w:space="0" w:color="auto"/>
        <w:left w:val="none" w:sz="0" w:space="0" w:color="auto"/>
        <w:bottom w:val="none" w:sz="0" w:space="0" w:color="auto"/>
        <w:right w:val="none" w:sz="0" w:space="0" w:color="auto"/>
      </w:divBdr>
    </w:div>
    <w:div w:id="1331835546">
      <w:bodyDiv w:val="1"/>
      <w:marLeft w:val="0"/>
      <w:marRight w:val="0"/>
      <w:marTop w:val="0"/>
      <w:marBottom w:val="0"/>
      <w:divBdr>
        <w:top w:val="none" w:sz="0" w:space="0" w:color="auto"/>
        <w:left w:val="none" w:sz="0" w:space="0" w:color="auto"/>
        <w:bottom w:val="none" w:sz="0" w:space="0" w:color="auto"/>
        <w:right w:val="none" w:sz="0" w:space="0" w:color="auto"/>
      </w:divBdr>
    </w:div>
    <w:div w:id="1352337493">
      <w:bodyDiv w:val="1"/>
      <w:marLeft w:val="0"/>
      <w:marRight w:val="0"/>
      <w:marTop w:val="0"/>
      <w:marBottom w:val="0"/>
      <w:divBdr>
        <w:top w:val="none" w:sz="0" w:space="0" w:color="auto"/>
        <w:left w:val="none" w:sz="0" w:space="0" w:color="auto"/>
        <w:bottom w:val="none" w:sz="0" w:space="0" w:color="auto"/>
        <w:right w:val="none" w:sz="0" w:space="0" w:color="auto"/>
      </w:divBdr>
      <w:divsChild>
        <w:div w:id="768084985">
          <w:marLeft w:val="84"/>
          <w:marRight w:val="100"/>
          <w:marTop w:val="67"/>
          <w:marBottom w:val="167"/>
          <w:divBdr>
            <w:top w:val="none" w:sz="0" w:space="0" w:color="auto"/>
            <w:left w:val="none" w:sz="0" w:space="0" w:color="auto"/>
            <w:bottom w:val="none" w:sz="0" w:space="0" w:color="auto"/>
            <w:right w:val="none" w:sz="0" w:space="0" w:color="auto"/>
          </w:divBdr>
          <w:divsChild>
            <w:div w:id="1335064512">
              <w:marLeft w:val="0"/>
              <w:marRight w:val="0"/>
              <w:marTop w:val="84"/>
              <w:marBottom w:val="0"/>
              <w:divBdr>
                <w:top w:val="none" w:sz="0" w:space="0" w:color="auto"/>
                <w:left w:val="single" w:sz="48" w:space="0" w:color="E7F3FF"/>
                <w:bottom w:val="none" w:sz="0" w:space="0" w:color="auto"/>
                <w:right w:val="single" w:sz="48" w:space="0" w:color="FFFFFF"/>
              </w:divBdr>
              <w:divsChild>
                <w:div w:id="1127771022">
                  <w:marLeft w:val="0"/>
                  <w:marRight w:val="0"/>
                  <w:marTop w:val="0"/>
                  <w:marBottom w:val="0"/>
                  <w:divBdr>
                    <w:top w:val="none" w:sz="0" w:space="0" w:color="auto"/>
                    <w:left w:val="none" w:sz="0" w:space="0" w:color="auto"/>
                    <w:bottom w:val="none" w:sz="0" w:space="0" w:color="auto"/>
                    <w:right w:val="none" w:sz="0" w:space="0" w:color="auto"/>
                  </w:divBdr>
                  <w:divsChild>
                    <w:div w:id="2057195420">
                      <w:marLeft w:val="-33"/>
                      <w:marRight w:val="-50"/>
                      <w:marTop w:val="0"/>
                      <w:marBottom w:val="0"/>
                      <w:divBdr>
                        <w:top w:val="none" w:sz="0" w:space="0" w:color="auto"/>
                        <w:left w:val="none" w:sz="0" w:space="0" w:color="auto"/>
                        <w:bottom w:val="none" w:sz="0" w:space="0" w:color="auto"/>
                        <w:right w:val="none" w:sz="0" w:space="0" w:color="auto"/>
                      </w:divBdr>
                      <w:divsChild>
                        <w:div w:id="823787583">
                          <w:marLeft w:val="251"/>
                          <w:marRight w:val="84"/>
                          <w:marTop w:val="84"/>
                          <w:marBottom w:val="84"/>
                          <w:divBdr>
                            <w:top w:val="none" w:sz="0" w:space="0" w:color="auto"/>
                            <w:left w:val="none" w:sz="0" w:space="0" w:color="auto"/>
                            <w:bottom w:val="none" w:sz="0" w:space="0" w:color="auto"/>
                            <w:right w:val="none" w:sz="0" w:space="0" w:color="auto"/>
                          </w:divBdr>
                          <w:divsChild>
                            <w:div w:id="978459935">
                              <w:marLeft w:val="240"/>
                              <w:marRight w:val="240"/>
                              <w:marTop w:val="240"/>
                              <w:marBottom w:val="240"/>
                              <w:divBdr>
                                <w:top w:val="none" w:sz="0" w:space="0" w:color="auto"/>
                                <w:left w:val="none" w:sz="0" w:space="0" w:color="auto"/>
                                <w:bottom w:val="none" w:sz="0" w:space="0" w:color="auto"/>
                                <w:right w:val="none" w:sz="0" w:space="0" w:color="auto"/>
                              </w:divBdr>
                              <w:divsChild>
                                <w:div w:id="566647162">
                                  <w:marLeft w:val="0"/>
                                  <w:marRight w:val="0"/>
                                  <w:marTop w:val="0"/>
                                  <w:marBottom w:val="0"/>
                                  <w:divBdr>
                                    <w:top w:val="none" w:sz="0" w:space="0" w:color="auto"/>
                                    <w:left w:val="none" w:sz="0" w:space="0" w:color="auto"/>
                                    <w:bottom w:val="none" w:sz="0" w:space="0" w:color="auto"/>
                                    <w:right w:val="none" w:sz="0" w:space="0" w:color="auto"/>
                                  </w:divBdr>
                                  <w:divsChild>
                                    <w:div w:id="1793591077">
                                      <w:marLeft w:val="0"/>
                                      <w:marRight w:val="0"/>
                                      <w:marTop w:val="0"/>
                                      <w:marBottom w:val="0"/>
                                      <w:divBdr>
                                        <w:top w:val="none" w:sz="0" w:space="0" w:color="auto"/>
                                        <w:left w:val="none" w:sz="0" w:space="0" w:color="auto"/>
                                        <w:bottom w:val="none" w:sz="0" w:space="0" w:color="auto"/>
                                        <w:right w:val="none" w:sz="0" w:space="0" w:color="auto"/>
                                      </w:divBdr>
                                    </w:div>
                                  </w:divsChild>
                                </w:div>
                                <w:div w:id="1241057363">
                                  <w:marLeft w:val="0"/>
                                  <w:marRight w:val="0"/>
                                  <w:marTop w:val="0"/>
                                  <w:marBottom w:val="0"/>
                                  <w:divBdr>
                                    <w:top w:val="none" w:sz="0" w:space="0" w:color="auto"/>
                                    <w:left w:val="none" w:sz="0" w:space="0" w:color="auto"/>
                                    <w:bottom w:val="none" w:sz="0" w:space="0" w:color="auto"/>
                                    <w:right w:val="none" w:sz="0" w:space="0" w:color="auto"/>
                                  </w:divBdr>
                                  <w:divsChild>
                                    <w:div w:id="635725523">
                                      <w:marLeft w:val="0"/>
                                      <w:marRight w:val="0"/>
                                      <w:marTop w:val="0"/>
                                      <w:marBottom w:val="0"/>
                                      <w:divBdr>
                                        <w:top w:val="none" w:sz="0" w:space="0" w:color="auto"/>
                                        <w:left w:val="none" w:sz="0" w:space="0" w:color="auto"/>
                                        <w:bottom w:val="none" w:sz="0" w:space="0" w:color="auto"/>
                                        <w:right w:val="none" w:sz="0" w:space="0" w:color="auto"/>
                                      </w:divBdr>
                                    </w:div>
                                    <w:div w:id="1837958613">
                                      <w:marLeft w:val="0"/>
                                      <w:marRight w:val="0"/>
                                      <w:marTop w:val="0"/>
                                      <w:marBottom w:val="0"/>
                                      <w:divBdr>
                                        <w:top w:val="none" w:sz="0" w:space="0" w:color="auto"/>
                                        <w:left w:val="none" w:sz="0" w:space="0" w:color="auto"/>
                                        <w:bottom w:val="none" w:sz="0" w:space="0" w:color="auto"/>
                                        <w:right w:val="none" w:sz="0" w:space="0" w:color="auto"/>
                                      </w:divBdr>
                                    </w:div>
                                  </w:divsChild>
                                </w:div>
                                <w:div w:id="1511404757">
                                  <w:marLeft w:val="0"/>
                                  <w:marRight w:val="167"/>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091457">
      <w:bodyDiv w:val="1"/>
      <w:marLeft w:val="500"/>
      <w:marRight w:val="0"/>
      <w:marTop w:val="500"/>
      <w:marBottom w:val="0"/>
      <w:divBdr>
        <w:top w:val="none" w:sz="0" w:space="0" w:color="auto"/>
        <w:left w:val="none" w:sz="0" w:space="0" w:color="auto"/>
        <w:bottom w:val="none" w:sz="0" w:space="0" w:color="auto"/>
        <w:right w:val="none" w:sz="0" w:space="0" w:color="auto"/>
      </w:divBdr>
      <w:divsChild>
        <w:div w:id="75901687">
          <w:marLeft w:val="0"/>
          <w:marRight w:val="0"/>
          <w:marTop w:val="0"/>
          <w:marBottom w:val="0"/>
          <w:divBdr>
            <w:top w:val="none" w:sz="0" w:space="0" w:color="auto"/>
            <w:left w:val="none" w:sz="0" w:space="0" w:color="auto"/>
            <w:bottom w:val="none" w:sz="0" w:space="0" w:color="auto"/>
            <w:right w:val="none" w:sz="0" w:space="0" w:color="auto"/>
          </w:divBdr>
        </w:div>
      </w:divsChild>
    </w:div>
    <w:div w:id="1450781982">
      <w:bodyDiv w:val="1"/>
      <w:marLeft w:val="0"/>
      <w:marRight w:val="0"/>
      <w:marTop w:val="0"/>
      <w:marBottom w:val="0"/>
      <w:divBdr>
        <w:top w:val="none" w:sz="0" w:space="0" w:color="auto"/>
        <w:left w:val="none" w:sz="0" w:space="0" w:color="auto"/>
        <w:bottom w:val="none" w:sz="0" w:space="0" w:color="auto"/>
        <w:right w:val="none" w:sz="0" w:space="0" w:color="auto"/>
      </w:divBdr>
    </w:div>
    <w:div w:id="1564952290">
      <w:bodyDiv w:val="1"/>
      <w:marLeft w:val="0"/>
      <w:marRight w:val="0"/>
      <w:marTop w:val="0"/>
      <w:marBottom w:val="0"/>
      <w:divBdr>
        <w:top w:val="none" w:sz="0" w:space="0" w:color="auto"/>
        <w:left w:val="none" w:sz="0" w:space="0" w:color="auto"/>
        <w:bottom w:val="none" w:sz="0" w:space="0" w:color="auto"/>
        <w:right w:val="none" w:sz="0" w:space="0" w:color="auto"/>
      </w:divBdr>
    </w:div>
    <w:div w:id="1613366122">
      <w:bodyDiv w:val="1"/>
      <w:marLeft w:val="500"/>
      <w:marRight w:val="0"/>
      <w:marTop w:val="500"/>
      <w:marBottom w:val="0"/>
      <w:divBdr>
        <w:top w:val="none" w:sz="0" w:space="0" w:color="auto"/>
        <w:left w:val="none" w:sz="0" w:space="0" w:color="auto"/>
        <w:bottom w:val="none" w:sz="0" w:space="0" w:color="auto"/>
        <w:right w:val="none" w:sz="0" w:space="0" w:color="auto"/>
      </w:divBdr>
      <w:divsChild>
        <w:div w:id="718748211">
          <w:marLeft w:val="0"/>
          <w:marRight w:val="0"/>
          <w:marTop w:val="0"/>
          <w:marBottom w:val="0"/>
          <w:divBdr>
            <w:top w:val="none" w:sz="0" w:space="0" w:color="auto"/>
            <w:left w:val="none" w:sz="0" w:space="0" w:color="auto"/>
            <w:bottom w:val="none" w:sz="0" w:space="0" w:color="auto"/>
            <w:right w:val="none" w:sz="0" w:space="0" w:color="auto"/>
          </w:divBdr>
        </w:div>
      </w:divsChild>
    </w:div>
    <w:div w:id="1922253472">
      <w:bodyDiv w:val="1"/>
      <w:marLeft w:val="0"/>
      <w:marRight w:val="0"/>
      <w:marTop w:val="0"/>
      <w:marBottom w:val="0"/>
      <w:divBdr>
        <w:top w:val="none" w:sz="0" w:space="0" w:color="auto"/>
        <w:left w:val="none" w:sz="0" w:space="0" w:color="auto"/>
        <w:bottom w:val="none" w:sz="0" w:space="0" w:color="auto"/>
        <w:right w:val="none" w:sz="0" w:space="0" w:color="auto"/>
      </w:divBdr>
      <w:divsChild>
        <w:div w:id="1534027923">
          <w:marLeft w:val="0"/>
          <w:marRight w:val="0"/>
          <w:marTop w:val="0"/>
          <w:marBottom w:val="0"/>
          <w:divBdr>
            <w:top w:val="none" w:sz="0" w:space="0" w:color="auto"/>
            <w:left w:val="none" w:sz="0" w:space="0" w:color="auto"/>
            <w:bottom w:val="none" w:sz="0" w:space="0" w:color="auto"/>
            <w:right w:val="none" w:sz="0" w:space="0" w:color="auto"/>
          </w:divBdr>
          <w:divsChild>
            <w:div w:id="1960717534">
              <w:marLeft w:val="0"/>
              <w:marRight w:val="0"/>
              <w:marTop w:val="0"/>
              <w:marBottom w:val="0"/>
              <w:divBdr>
                <w:top w:val="none" w:sz="0" w:space="0" w:color="auto"/>
                <w:left w:val="none" w:sz="0" w:space="0" w:color="auto"/>
                <w:bottom w:val="none" w:sz="0" w:space="0" w:color="auto"/>
                <w:right w:val="none" w:sz="0" w:space="0" w:color="auto"/>
              </w:divBdr>
              <w:divsChild>
                <w:div w:id="1121532531">
                  <w:marLeft w:val="0"/>
                  <w:marRight w:val="0"/>
                  <w:marTop w:val="0"/>
                  <w:marBottom w:val="0"/>
                  <w:divBdr>
                    <w:top w:val="none" w:sz="0" w:space="0" w:color="auto"/>
                    <w:left w:val="none" w:sz="0" w:space="0" w:color="auto"/>
                    <w:bottom w:val="none" w:sz="0" w:space="0" w:color="auto"/>
                    <w:right w:val="none" w:sz="0" w:space="0" w:color="auto"/>
                  </w:divBdr>
                  <w:divsChild>
                    <w:div w:id="2081049997">
                      <w:marLeft w:val="0"/>
                      <w:marRight w:val="0"/>
                      <w:marTop w:val="0"/>
                      <w:marBottom w:val="0"/>
                      <w:divBdr>
                        <w:top w:val="none" w:sz="0" w:space="0" w:color="auto"/>
                        <w:left w:val="none" w:sz="0" w:space="0" w:color="auto"/>
                        <w:bottom w:val="none" w:sz="0" w:space="0" w:color="auto"/>
                        <w:right w:val="none" w:sz="0" w:space="0" w:color="auto"/>
                      </w:divBdr>
                      <w:divsChild>
                        <w:div w:id="625114908">
                          <w:marLeft w:val="0"/>
                          <w:marRight w:val="0"/>
                          <w:marTop w:val="0"/>
                          <w:marBottom w:val="0"/>
                          <w:divBdr>
                            <w:top w:val="none" w:sz="0" w:space="0" w:color="auto"/>
                            <w:left w:val="none" w:sz="0" w:space="0" w:color="auto"/>
                            <w:bottom w:val="none" w:sz="0" w:space="0" w:color="auto"/>
                            <w:right w:val="none" w:sz="0" w:space="0" w:color="auto"/>
                          </w:divBdr>
                          <w:divsChild>
                            <w:div w:id="91126550">
                              <w:marLeft w:val="0"/>
                              <w:marRight w:val="0"/>
                              <w:marTop w:val="0"/>
                              <w:marBottom w:val="0"/>
                              <w:divBdr>
                                <w:top w:val="none" w:sz="0" w:space="0" w:color="auto"/>
                                <w:left w:val="none" w:sz="0" w:space="0" w:color="auto"/>
                                <w:bottom w:val="none" w:sz="0" w:space="0" w:color="auto"/>
                                <w:right w:val="none" w:sz="0" w:space="0" w:color="auto"/>
                              </w:divBdr>
                              <w:divsChild>
                                <w:div w:id="1022248478">
                                  <w:marLeft w:val="0"/>
                                  <w:marRight w:val="0"/>
                                  <w:marTop w:val="0"/>
                                  <w:marBottom w:val="0"/>
                                  <w:divBdr>
                                    <w:top w:val="none" w:sz="0" w:space="0" w:color="auto"/>
                                    <w:left w:val="none" w:sz="0" w:space="0" w:color="auto"/>
                                    <w:bottom w:val="none" w:sz="0" w:space="0" w:color="auto"/>
                                    <w:right w:val="none" w:sz="0" w:space="0" w:color="auto"/>
                                  </w:divBdr>
                                  <w:divsChild>
                                    <w:div w:id="154035562">
                                      <w:marLeft w:val="0"/>
                                      <w:marRight w:val="0"/>
                                      <w:marTop w:val="0"/>
                                      <w:marBottom w:val="0"/>
                                      <w:divBdr>
                                        <w:top w:val="none" w:sz="0" w:space="0" w:color="auto"/>
                                        <w:left w:val="none" w:sz="0" w:space="0" w:color="auto"/>
                                        <w:bottom w:val="none" w:sz="0" w:space="0" w:color="auto"/>
                                        <w:right w:val="none" w:sz="0" w:space="0" w:color="auto"/>
                                      </w:divBdr>
                                      <w:divsChild>
                                        <w:div w:id="28721173">
                                          <w:marLeft w:val="0"/>
                                          <w:marRight w:val="0"/>
                                          <w:marTop w:val="0"/>
                                          <w:marBottom w:val="0"/>
                                          <w:divBdr>
                                            <w:top w:val="none" w:sz="0" w:space="0" w:color="auto"/>
                                            <w:left w:val="none" w:sz="0" w:space="0" w:color="auto"/>
                                            <w:bottom w:val="none" w:sz="0" w:space="0" w:color="auto"/>
                                            <w:right w:val="none" w:sz="0" w:space="0" w:color="auto"/>
                                          </w:divBdr>
                                        </w:div>
                                        <w:div w:id="104204477">
                                          <w:marLeft w:val="0"/>
                                          <w:marRight w:val="0"/>
                                          <w:marTop w:val="0"/>
                                          <w:marBottom w:val="0"/>
                                          <w:divBdr>
                                            <w:top w:val="none" w:sz="0" w:space="0" w:color="auto"/>
                                            <w:left w:val="none" w:sz="0" w:space="0" w:color="auto"/>
                                            <w:bottom w:val="none" w:sz="0" w:space="0" w:color="auto"/>
                                            <w:right w:val="none" w:sz="0" w:space="0" w:color="auto"/>
                                          </w:divBdr>
                                        </w:div>
                                        <w:div w:id="106044922">
                                          <w:marLeft w:val="0"/>
                                          <w:marRight w:val="0"/>
                                          <w:marTop w:val="0"/>
                                          <w:marBottom w:val="0"/>
                                          <w:divBdr>
                                            <w:top w:val="none" w:sz="0" w:space="0" w:color="auto"/>
                                            <w:left w:val="none" w:sz="0" w:space="0" w:color="auto"/>
                                            <w:bottom w:val="none" w:sz="0" w:space="0" w:color="auto"/>
                                            <w:right w:val="none" w:sz="0" w:space="0" w:color="auto"/>
                                          </w:divBdr>
                                        </w:div>
                                        <w:div w:id="143544881">
                                          <w:marLeft w:val="0"/>
                                          <w:marRight w:val="0"/>
                                          <w:marTop w:val="0"/>
                                          <w:marBottom w:val="0"/>
                                          <w:divBdr>
                                            <w:top w:val="none" w:sz="0" w:space="0" w:color="auto"/>
                                            <w:left w:val="none" w:sz="0" w:space="0" w:color="auto"/>
                                            <w:bottom w:val="none" w:sz="0" w:space="0" w:color="auto"/>
                                            <w:right w:val="none" w:sz="0" w:space="0" w:color="auto"/>
                                          </w:divBdr>
                                        </w:div>
                                        <w:div w:id="152718906">
                                          <w:marLeft w:val="0"/>
                                          <w:marRight w:val="0"/>
                                          <w:marTop w:val="0"/>
                                          <w:marBottom w:val="0"/>
                                          <w:divBdr>
                                            <w:top w:val="none" w:sz="0" w:space="0" w:color="auto"/>
                                            <w:left w:val="none" w:sz="0" w:space="0" w:color="auto"/>
                                            <w:bottom w:val="none" w:sz="0" w:space="0" w:color="auto"/>
                                            <w:right w:val="none" w:sz="0" w:space="0" w:color="auto"/>
                                          </w:divBdr>
                                        </w:div>
                                        <w:div w:id="154222459">
                                          <w:marLeft w:val="0"/>
                                          <w:marRight w:val="0"/>
                                          <w:marTop w:val="0"/>
                                          <w:marBottom w:val="0"/>
                                          <w:divBdr>
                                            <w:top w:val="none" w:sz="0" w:space="0" w:color="auto"/>
                                            <w:left w:val="none" w:sz="0" w:space="0" w:color="auto"/>
                                            <w:bottom w:val="none" w:sz="0" w:space="0" w:color="auto"/>
                                            <w:right w:val="none" w:sz="0" w:space="0" w:color="auto"/>
                                          </w:divBdr>
                                        </w:div>
                                        <w:div w:id="157617292">
                                          <w:marLeft w:val="0"/>
                                          <w:marRight w:val="0"/>
                                          <w:marTop w:val="0"/>
                                          <w:marBottom w:val="0"/>
                                          <w:divBdr>
                                            <w:top w:val="none" w:sz="0" w:space="0" w:color="auto"/>
                                            <w:left w:val="none" w:sz="0" w:space="0" w:color="auto"/>
                                            <w:bottom w:val="none" w:sz="0" w:space="0" w:color="auto"/>
                                            <w:right w:val="none" w:sz="0" w:space="0" w:color="auto"/>
                                          </w:divBdr>
                                        </w:div>
                                        <w:div w:id="208151306">
                                          <w:marLeft w:val="0"/>
                                          <w:marRight w:val="0"/>
                                          <w:marTop w:val="0"/>
                                          <w:marBottom w:val="0"/>
                                          <w:divBdr>
                                            <w:top w:val="none" w:sz="0" w:space="0" w:color="auto"/>
                                            <w:left w:val="none" w:sz="0" w:space="0" w:color="auto"/>
                                            <w:bottom w:val="none" w:sz="0" w:space="0" w:color="auto"/>
                                            <w:right w:val="none" w:sz="0" w:space="0" w:color="auto"/>
                                          </w:divBdr>
                                        </w:div>
                                        <w:div w:id="226721236">
                                          <w:marLeft w:val="0"/>
                                          <w:marRight w:val="0"/>
                                          <w:marTop w:val="0"/>
                                          <w:marBottom w:val="0"/>
                                          <w:divBdr>
                                            <w:top w:val="none" w:sz="0" w:space="0" w:color="auto"/>
                                            <w:left w:val="none" w:sz="0" w:space="0" w:color="auto"/>
                                            <w:bottom w:val="none" w:sz="0" w:space="0" w:color="auto"/>
                                            <w:right w:val="none" w:sz="0" w:space="0" w:color="auto"/>
                                          </w:divBdr>
                                        </w:div>
                                        <w:div w:id="257059343">
                                          <w:marLeft w:val="0"/>
                                          <w:marRight w:val="0"/>
                                          <w:marTop w:val="0"/>
                                          <w:marBottom w:val="0"/>
                                          <w:divBdr>
                                            <w:top w:val="none" w:sz="0" w:space="0" w:color="auto"/>
                                            <w:left w:val="none" w:sz="0" w:space="0" w:color="auto"/>
                                            <w:bottom w:val="none" w:sz="0" w:space="0" w:color="auto"/>
                                            <w:right w:val="none" w:sz="0" w:space="0" w:color="auto"/>
                                          </w:divBdr>
                                        </w:div>
                                        <w:div w:id="264385108">
                                          <w:marLeft w:val="0"/>
                                          <w:marRight w:val="0"/>
                                          <w:marTop w:val="0"/>
                                          <w:marBottom w:val="0"/>
                                          <w:divBdr>
                                            <w:top w:val="none" w:sz="0" w:space="0" w:color="auto"/>
                                            <w:left w:val="none" w:sz="0" w:space="0" w:color="auto"/>
                                            <w:bottom w:val="none" w:sz="0" w:space="0" w:color="auto"/>
                                            <w:right w:val="none" w:sz="0" w:space="0" w:color="auto"/>
                                          </w:divBdr>
                                        </w:div>
                                        <w:div w:id="265239760">
                                          <w:marLeft w:val="0"/>
                                          <w:marRight w:val="0"/>
                                          <w:marTop w:val="0"/>
                                          <w:marBottom w:val="0"/>
                                          <w:divBdr>
                                            <w:top w:val="none" w:sz="0" w:space="0" w:color="auto"/>
                                            <w:left w:val="none" w:sz="0" w:space="0" w:color="auto"/>
                                            <w:bottom w:val="none" w:sz="0" w:space="0" w:color="auto"/>
                                            <w:right w:val="none" w:sz="0" w:space="0" w:color="auto"/>
                                          </w:divBdr>
                                          <w:divsChild>
                                            <w:div w:id="771703920">
                                              <w:marLeft w:val="0"/>
                                              <w:marRight w:val="0"/>
                                              <w:marTop w:val="0"/>
                                              <w:marBottom w:val="0"/>
                                              <w:divBdr>
                                                <w:top w:val="none" w:sz="0" w:space="0" w:color="auto"/>
                                                <w:left w:val="none" w:sz="0" w:space="0" w:color="auto"/>
                                                <w:bottom w:val="none" w:sz="0" w:space="0" w:color="auto"/>
                                                <w:right w:val="none" w:sz="0" w:space="0" w:color="auto"/>
                                              </w:divBdr>
                                            </w:div>
                                          </w:divsChild>
                                        </w:div>
                                        <w:div w:id="279336666">
                                          <w:marLeft w:val="0"/>
                                          <w:marRight w:val="0"/>
                                          <w:marTop w:val="0"/>
                                          <w:marBottom w:val="0"/>
                                          <w:divBdr>
                                            <w:top w:val="none" w:sz="0" w:space="0" w:color="auto"/>
                                            <w:left w:val="none" w:sz="0" w:space="0" w:color="auto"/>
                                            <w:bottom w:val="none" w:sz="0" w:space="0" w:color="auto"/>
                                            <w:right w:val="none" w:sz="0" w:space="0" w:color="auto"/>
                                          </w:divBdr>
                                        </w:div>
                                        <w:div w:id="297732364">
                                          <w:marLeft w:val="0"/>
                                          <w:marRight w:val="0"/>
                                          <w:marTop w:val="0"/>
                                          <w:marBottom w:val="0"/>
                                          <w:divBdr>
                                            <w:top w:val="none" w:sz="0" w:space="0" w:color="auto"/>
                                            <w:left w:val="none" w:sz="0" w:space="0" w:color="auto"/>
                                            <w:bottom w:val="none" w:sz="0" w:space="0" w:color="auto"/>
                                            <w:right w:val="none" w:sz="0" w:space="0" w:color="auto"/>
                                          </w:divBdr>
                                        </w:div>
                                        <w:div w:id="302776807">
                                          <w:marLeft w:val="0"/>
                                          <w:marRight w:val="0"/>
                                          <w:marTop w:val="0"/>
                                          <w:marBottom w:val="0"/>
                                          <w:divBdr>
                                            <w:top w:val="none" w:sz="0" w:space="0" w:color="auto"/>
                                            <w:left w:val="none" w:sz="0" w:space="0" w:color="auto"/>
                                            <w:bottom w:val="none" w:sz="0" w:space="0" w:color="auto"/>
                                            <w:right w:val="none" w:sz="0" w:space="0" w:color="auto"/>
                                          </w:divBdr>
                                        </w:div>
                                        <w:div w:id="324863750">
                                          <w:marLeft w:val="0"/>
                                          <w:marRight w:val="0"/>
                                          <w:marTop w:val="0"/>
                                          <w:marBottom w:val="0"/>
                                          <w:divBdr>
                                            <w:top w:val="none" w:sz="0" w:space="0" w:color="auto"/>
                                            <w:left w:val="none" w:sz="0" w:space="0" w:color="auto"/>
                                            <w:bottom w:val="none" w:sz="0" w:space="0" w:color="auto"/>
                                            <w:right w:val="none" w:sz="0" w:space="0" w:color="auto"/>
                                          </w:divBdr>
                                        </w:div>
                                        <w:div w:id="343360902">
                                          <w:marLeft w:val="0"/>
                                          <w:marRight w:val="0"/>
                                          <w:marTop w:val="0"/>
                                          <w:marBottom w:val="0"/>
                                          <w:divBdr>
                                            <w:top w:val="none" w:sz="0" w:space="0" w:color="auto"/>
                                            <w:left w:val="none" w:sz="0" w:space="0" w:color="auto"/>
                                            <w:bottom w:val="none" w:sz="0" w:space="0" w:color="auto"/>
                                            <w:right w:val="none" w:sz="0" w:space="0" w:color="auto"/>
                                          </w:divBdr>
                                        </w:div>
                                        <w:div w:id="499783366">
                                          <w:marLeft w:val="0"/>
                                          <w:marRight w:val="0"/>
                                          <w:marTop w:val="0"/>
                                          <w:marBottom w:val="0"/>
                                          <w:divBdr>
                                            <w:top w:val="none" w:sz="0" w:space="0" w:color="auto"/>
                                            <w:left w:val="none" w:sz="0" w:space="0" w:color="auto"/>
                                            <w:bottom w:val="none" w:sz="0" w:space="0" w:color="auto"/>
                                            <w:right w:val="none" w:sz="0" w:space="0" w:color="auto"/>
                                          </w:divBdr>
                                        </w:div>
                                        <w:div w:id="509173937">
                                          <w:marLeft w:val="0"/>
                                          <w:marRight w:val="0"/>
                                          <w:marTop w:val="0"/>
                                          <w:marBottom w:val="0"/>
                                          <w:divBdr>
                                            <w:top w:val="none" w:sz="0" w:space="0" w:color="auto"/>
                                            <w:left w:val="none" w:sz="0" w:space="0" w:color="auto"/>
                                            <w:bottom w:val="none" w:sz="0" w:space="0" w:color="auto"/>
                                            <w:right w:val="none" w:sz="0" w:space="0" w:color="auto"/>
                                          </w:divBdr>
                                          <w:divsChild>
                                            <w:div w:id="1774787820">
                                              <w:marLeft w:val="0"/>
                                              <w:marRight w:val="0"/>
                                              <w:marTop w:val="0"/>
                                              <w:marBottom w:val="0"/>
                                              <w:divBdr>
                                                <w:top w:val="none" w:sz="0" w:space="0" w:color="auto"/>
                                                <w:left w:val="none" w:sz="0" w:space="0" w:color="auto"/>
                                                <w:bottom w:val="none" w:sz="0" w:space="0" w:color="auto"/>
                                                <w:right w:val="none" w:sz="0" w:space="0" w:color="auto"/>
                                              </w:divBdr>
                                            </w:div>
                                          </w:divsChild>
                                        </w:div>
                                        <w:div w:id="520511630">
                                          <w:marLeft w:val="0"/>
                                          <w:marRight w:val="0"/>
                                          <w:marTop w:val="0"/>
                                          <w:marBottom w:val="0"/>
                                          <w:divBdr>
                                            <w:top w:val="none" w:sz="0" w:space="0" w:color="auto"/>
                                            <w:left w:val="none" w:sz="0" w:space="0" w:color="auto"/>
                                            <w:bottom w:val="none" w:sz="0" w:space="0" w:color="auto"/>
                                            <w:right w:val="none" w:sz="0" w:space="0" w:color="auto"/>
                                          </w:divBdr>
                                        </w:div>
                                        <w:div w:id="523131334">
                                          <w:marLeft w:val="0"/>
                                          <w:marRight w:val="0"/>
                                          <w:marTop w:val="0"/>
                                          <w:marBottom w:val="0"/>
                                          <w:divBdr>
                                            <w:top w:val="none" w:sz="0" w:space="0" w:color="auto"/>
                                            <w:left w:val="none" w:sz="0" w:space="0" w:color="auto"/>
                                            <w:bottom w:val="none" w:sz="0" w:space="0" w:color="auto"/>
                                            <w:right w:val="none" w:sz="0" w:space="0" w:color="auto"/>
                                          </w:divBdr>
                                        </w:div>
                                        <w:div w:id="566652499">
                                          <w:marLeft w:val="0"/>
                                          <w:marRight w:val="0"/>
                                          <w:marTop w:val="0"/>
                                          <w:marBottom w:val="0"/>
                                          <w:divBdr>
                                            <w:top w:val="none" w:sz="0" w:space="0" w:color="auto"/>
                                            <w:left w:val="none" w:sz="0" w:space="0" w:color="auto"/>
                                            <w:bottom w:val="none" w:sz="0" w:space="0" w:color="auto"/>
                                            <w:right w:val="none" w:sz="0" w:space="0" w:color="auto"/>
                                          </w:divBdr>
                                          <w:divsChild>
                                            <w:div w:id="1409036452">
                                              <w:marLeft w:val="0"/>
                                              <w:marRight w:val="0"/>
                                              <w:marTop w:val="0"/>
                                              <w:marBottom w:val="0"/>
                                              <w:divBdr>
                                                <w:top w:val="none" w:sz="0" w:space="0" w:color="auto"/>
                                                <w:left w:val="none" w:sz="0" w:space="0" w:color="auto"/>
                                                <w:bottom w:val="none" w:sz="0" w:space="0" w:color="auto"/>
                                                <w:right w:val="none" w:sz="0" w:space="0" w:color="auto"/>
                                              </w:divBdr>
                                            </w:div>
                                          </w:divsChild>
                                        </w:div>
                                        <w:div w:id="649285474">
                                          <w:marLeft w:val="0"/>
                                          <w:marRight w:val="0"/>
                                          <w:marTop w:val="0"/>
                                          <w:marBottom w:val="0"/>
                                          <w:divBdr>
                                            <w:top w:val="none" w:sz="0" w:space="0" w:color="auto"/>
                                            <w:left w:val="none" w:sz="0" w:space="0" w:color="auto"/>
                                            <w:bottom w:val="none" w:sz="0" w:space="0" w:color="auto"/>
                                            <w:right w:val="none" w:sz="0" w:space="0" w:color="auto"/>
                                          </w:divBdr>
                                        </w:div>
                                        <w:div w:id="661081446">
                                          <w:marLeft w:val="0"/>
                                          <w:marRight w:val="0"/>
                                          <w:marTop w:val="0"/>
                                          <w:marBottom w:val="0"/>
                                          <w:divBdr>
                                            <w:top w:val="none" w:sz="0" w:space="0" w:color="auto"/>
                                            <w:left w:val="none" w:sz="0" w:space="0" w:color="auto"/>
                                            <w:bottom w:val="none" w:sz="0" w:space="0" w:color="auto"/>
                                            <w:right w:val="none" w:sz="0" w:space="0" w:color="auto"/>
                                          </w:divBdr>
                                        </w:div>
                                        <w:div w:id="719521618">
                                          <w:marLeft w:val="0"/>
                                          <w:marRight w:val="0"/>
                                          <w:marTop w:val="0"/>
                                          <w:marBottom w:val="0"/>
                                          <w:divBdr>
                                            <w:top w:val="none" w:sz="0" w:space="0" w:color="auto"/>
                                            <w:left w:val="none" w:sz="0" w:space="0" w:color="auto"/>
                                            <w:bottom w:val="none" w:sz="0" w:space="0" w:color="auto"/>
                                            <w:right w:val="none" w:sz="0" w:space="0" w:color="auto"/>
                                          </w:divBdr>
                                        </w:div>
                                        <w:div w:id="762992797">
                                          <w:marLeft w:val="0"/>
                                          <w:marRight w:val="0"/>
                                          <w:marTop w:val="0"/>
                                          <w:marBottom w:val="0"/>
                                          <w:divBdr>
                                            <w:top w:val="none" w:sz="0" w:space="0" w:color="auto"/>
                                            <w:left w:val="none" w:sz="0" w:space="0" w:color="auto"/>
                                            <w:bottom w:val="none" w:sz="0" w:space="0" w:color="auto"/>
                                            <w:right w:val="none" w:sz="0" w:space="0" w:color="auto"/>
                                          </w:divBdr>
                                        </w:div>
                                        <w:div w:id="816798559">
                                          <w:marLeft w:val="0"/>
                                          <w:marRight w:val="0"/>
                                          <w:marTop w:val="0"/>
                                          <w:marBottom w:val="0"/>
                                          <w:divBdr>
                                            <w:top w:val="none" w:sz="0" w:space="0" w:color="auto"/>
                                            <w:left w:val="none" w:sz="0" w:space="0" w:color="auto"/>
                                            <w:bottom w:val="none" w:sz="0" w:space="0" w:color="auto"/>
                                            <w:right w:val="none" w:sz="0" w:space="0" w:color="auto"/>
                                          </w:divBdr>
                                        </w:div>
                                        <w:div w:id="829953505">
                                          <w:marLeft w:val="0"/>
                                          <w:marRight w:val="0"/>
                                          <w:marTop w:val="0"/>
                                          <w:marBottom w:val="0"/>
                                          <w:divBdr>
                                            <w:top w:val="none" w:sz="0" w:space="0" w:color="auto"/>
                                            <w:left w:val="none" w:sz="0" w:space="0" w:color="auto"/>
                                            <w:bottom w:val="none" w:sz="0" w:space="0" w:color="auto"/>
                                            <w:right w:val="none" w:sz="0" w:space="0" w:color="auto"/>
                                          </w:divBdr>
                                        </w:div>
                                        <w:div w:id="879172573">
                                          <w:marLeft w:val="0"/>
                                          <w:marRight w:val="0"/>
                                          <w:marTop w:val="0"/>
                                          <w:marBottom w:val="0"/>
                                          <w:divBdr>
                                            <w:top w:val="none" w:sz="0" w:space="0" w:color="auto"/>
                                            <w:left w:val="none" w:sz="0" w:space="0" w:color="auto"/>
                                            <w:bottom w:val="none" w:sz="0" w:space="0" w:color="auto"/>
                                            <w:right w:val="none" w:sz="0" w:space="0" w:color="auto"/>
                                          </w:divBdr>
                                        </w:div>
                                        <w:div w:id="881133083">
                                          <w:marLeft w:val="0"/>
                                          <w:marRight w:val="0"/>
                                          <w:marTop w:val="0"/>
                                          <w:marBottom w:val="0"/>
                                          <w:divBdr>
                                            <w:top w:val="none" w:sz="0" w:space="0" w:color="auto"/>
                                            <w:left w:val="none" w:sz="0" w:space="0" w:color="auto"/>
                                            <w:bottom w:val="none" w:sz="0" w:space="0" w:color="auto"/>
                                            <w:right w:val="none" w:sz="0" w:space="0" w:color="auto"/>
                                          </w:divBdr>
                                        </w:div>
                                        <w:div w:id="901910332">
                                          <w:marLeft w:val="0"/>
                                          <w:marRight w:val="0"/>
                                          <w:marTop w:val="0"/>
                                          <w:marBottom w:val="0"/>
                                          <w:divBdr>
                                            <w:top w:val="none" w:sz="0" w:space="0" w:color="auto"/>
                                            <w:left w:val="none" w:sz="0" w:space="0" w:color="auto"/>
                                            <w:bottom w:val="none" w:sz="0" w:space="0" w:color="auto"/>
                                            <w:right w:val="none" w:sz="0" w:space="0" w:color="auto"/>
                                          </w:divBdr>
                                          <w:divsChild>
                                            <w:div w:id="748961798">
                                              <w:marLeft w:val="0"/>
                                              <w:marRight w:val="0"/>
                                              <w:marTop w:val="0"/>
                                              <w:marBottom w:val="0"/>
                                              <w:divBdr>
                                                <w:top w:val="none" w:sz="0" w:space="0" w:color="auto"/>
                                                <w:left w:val="none" w:sz="0" w:space="0" w:color="auto"/>
                                                <w:bottom w:val="none" w:sz="0" w:space="0" w:color="auto"/>
                                                <w:right w:val="none" w:sz="0" w:space="0" w:color="auto"/>
                                              </w:divBdr>
                                            </w:div>
                                          </w:divsChild>
                                        </w:div>
                                        <w:div w:id="965967193">
                                          <w:marLeft w:val="0"/>
                                          <w:marRight w:val="0"/>
                                          <w:marTop w:val="0"/>
                                          <w:marBottom w:val="0"/>
                                          <w:divBdr>
                                            <w:top w:val="none" w:sz="0" w:space="0" w:color="auto"/>
                                            <w:left w:val="none" w:sz="0" w:space="0" w:color="auto"/>
                                            <w:bottom w:val="none" w:sz="0" w:space="0" w:color="auto"/>
                                            <w:right w:val="none" w:sz="0" w:space="0" w:color="auto"/>
                                          </w:divBdr>
                                        </w:div>
                                        <w:div w:id="1024283598">
                                          <w:marLeft w:val="0"/>
                                          <w:marRight w:val="0"/>
                                          <w:marTop w:val="0"/>
                                          <w:marBottom w:val="0"/>
                                          <w:divBdr>
                                            <w:top w:val="none" w:sz="0" w:space="0" w:color="auto"/>
                                            <w:left w:val="none" w:sz="0" w:space="0" w:color="auto"/>
                                            <w:bottom w:val="none" w:sz="0" w:space="0" w:color="auto"/>
                                            <w:right w:val="none" w:sz="0" w:space="0" w:color="auto"/>
                                          </w:divBdr>
                                          <w:divsChild>
                                            <w:div w:id="552010790">
                                              <w:marLeft w:val="0"/>
                                              <w:marRight w:val="0"/>
                                              <w:marTop w:val="0"/>
                                              <w:marBottom w:val="0"/>
                                              <w:divBdr>
                                                <w:top w:val="none" w:sz="0" w:space="0" w:color="auto"/>
                                                <w:left w:val="none" w:sz="0" w:space="0" w:color="auto"/>
                                                <w:bottom w:val="none" w:sz="0" w:space="0" w:color="auto"/>
                                                <w:right w:val="none" w:sz="0" w:space="0" w:color="auto"/>
                                              </w:divBdr>
                                            </w:div>
                                          </w:divsChild>
                                        </w:div>
                                        <w:div w:id="1025012142">
                                          <w:marLeft w:val="0"/>
                                          <w:marRight w:val="0"/>
                                          <w:marTop w:val="0"/>
                                          <w:marBottom w:val="0"/>
                                          <w:divBdr>
                                            <w:top w:val="none" w:sz="0" w:space="0" w:color="auto"/>
                                            <w:left w:val="none" w:sz="0" w:space="0" w:color="auto"/>
                                            <w:bottom w:val="none" w:sz="0" w:space="0" w:color="auto"/>
                                            <w:right w:val="none" w:sz="0" w:space="0" w:color="auto"/>
                                          </w:divBdr>
                                        </w:div>
                                        <w:div w:id="1057777364">
                                          <w:marLeft w:val="0"/>
                                          <w:marRight w:val="0"/>
                                          <w:marTop w:val="0"/>
                                          <w:marBottom w:val="0"/>
                                          <w:divBdr>
                                            <w:top w:val="none" w:sz="0" w:space="0" w:color="auto"/>
                                            <w:left w:val="none" w:sz="0" w:space="0" w:color="auto"/>
                                            <w:bottom w:val="none" w:sz="0" w:space="0" w:color="auto"/>
                                            <w:right w:val="none" w:sz="0" w:space="0" w:color="auto"/>
                                          </w:divBdr>
                                        </w:div>
                                        <w:div w:id="1060641514">
                                          <w:marLeft w:val="0"/>
                                          <w:marRight w:val="0"/>
                                          <w:marTop w:val="0"/>
                                          <w:marBottom w:val="0"/>
                                          <w:divBdr>
                                            <w:top w:val="none" w:sz="0" w:space="0" w:color="auto"/>
                                            <w:left w:val="none" w:sz="0" w:space="0" w:color="auto"/>
                                            <w:bottom w:val="none" w:sz="0" w:space="0" w:color="auto"/>
                                            <w:right w:val="none" w:sz="0" w:space="0" w:color="auto"/>
                                          </w:divBdr>
                                        </w:div>
                                        <w:div w:id="1090931731">
                                          <w:marLeft w:val="0"/>
                                          <w:marRight w:val="0"/>
                                          <w:marTop w:val="0"/>
                                          <w:marBottom w:val="0"/>
                                          <w:divBdr>
                                            <w:top w:val="none" w:sz="0" w:space="0" w:color="auto"/>
                                            <w:left w:val="none" w:sz="0" w:space="0" w:color="auto"/>
                                            <w:bottom w:val="none" w:sz="0" w:space="0" w:color="auto"/>
                                            <w:right w:val="none" w:sz="0" w:space="0" w:color="auto"/>
                                          </w:divBdr>
                                          <w:divsChild>
                                            <w:div w:id="622150185">
                                              <w:marLeft w:val="0"/>
                                              <w:marRight w:val="0"/>
                                              <w:marTop w:val="0"/>
                                              <w:marBottom w:val="0"/>
                                              <w:divBdr>
                                                <w:top w:val="none" w:sz="0" w:space="0" w:color="auto"/>
                                                <w:left w:val="none" w:sz="0" w:space="0" w:color="auto"/>
                                                <w:bottom w:val="none" w:sz="0" w:space="0" w:color="auto"/>
                                                <w:right w:val="none" w:sz="0" w:space="0" w:color="auto"/>
                                              </w:divBdr>
                                            </w:div>
                                          </w:divsChild>
                                        </w:div>
                                        <w:div w:id="1100221225">
                                          <w:marLeft w:val="0"/>
                                          <w:marRight w:val="0"/>
                                          <w:marTop w:val="0"/>
                                          <w:marBottom w:val="0"/>
                                          <w:divBdr>
                                            <w:top w:val="none" w:sz="0" w:space="0" w:color="auto"/>
                                            <w:left w:val="none" w:sz="0" w:space="0" w:color="auto"/>
                                            <w:bottom w:val="none" w:sz="0" w:space="0" w:color="auto"/>
                                            <w:right w:val="none" w:sz="0" w:space="0" w:color="auto"/>
                                          </w:divBdr>
                                        </w:div>
                                        <w:div w:id="1195729580">
                                          <w:marLeft w:val="0"/>
                                          <w:marRight w:val="0"/>
                                          <w:marTop w:val="0"/>
                                          <w:marBottom w:val="0"/>
                                          <w:divBdr>
                                            <w:top w:val="none" w:sz="0" w:space="0" w:color="auto"/>
                                            <w:left w:val="none" w:sz="0" w:space="0" w:color="auto"/>
                                            <w:bottom w:val="none" w:sz="0" w:space="0" w:color="auto"/>
                                            <w:right w:val="none" w:sz="0" w:space="0" w:color="auto"/>
                                          </w:divBdr>
                                        </w:div>
                                        <w:div w:id="1250046084">
                                          <w:marLeft w:val="0"/>
                                          <w:marRight w:val="0"/>
                                          <w:marTop w:val="0"/>
                                          <w:marBottom w:val="0"/>
                                          <w:divBdr>
                                            <w:top w:val="none" w:sz="0" w:space="0" w:color="auto"/>
                                            <w:left w:val="none" w:sz="0" w:space="0" w:color="auto"/>
                                            <w:bottom w:val="none" w:sz="0" w:space="0" w:color="auto"/>
                                            <w:right w:val="none" w:sz="0" w:space="0" w:color="auto"/>
                                          </w:divBdr>
                                        </w:div>
                                        <w:div w:id="1255167965">
                                          <w:marLeft w:val="0"/>
                                          <w:marRight w:val="0"/>
                                          <w:marTop w:val="0"/>
                                          <w:marBottom w:val="0"/>
                                          <w:divBdr>
                                            <w:top w:val="none" w:sz="0" w:space="0" w:color="auto"/>
                                            <w:left w:val="none" w:sz="0" w:space="0" w:color="auto"/>
                                            <w:bottom w:val="none" w:sz="0" w:space="0" w:color="auto"/>
                                            <w:right w:val="none" w:sz="0" w:space="0" w:color="auto"/>
                                          </w:divBdr>
                                        </w:div>
                                        <w:div w:id="1258444123">
                                          <w:marLeft w:val="0"/>
                                          <w:marRight w:val="0"/>
                                          <w:marTop w:val="0"/>
                                          <w:marBottom w:val="0"/>
                                          <w:divBdr>
                                            <w:top w:val="none" w:sz="0" w:space="0" w:color="auto"/>
                                            <w:left w:val="none" w:sz="0" w:space="0" w:color="auto"/>
                                            <w:bottom w:val="none" w:sz="0" w:space="0" w:color="auto"/>
                                            <w:right w:val="none" w:sz="0" w:space="0" w:color="auto"/>
                                          </w:divBdr>
                                        </w:div>
                                        <w:div w:id="1366827493">
                                          <w:marLeft w:val="0"/>
                                          <w:marRight w:val="0"/>
                                          <w:marTop w:val="0"/>
                                          <w:marBottom w:val="0"/>
                                          <w:divBdr>
                                            <w:top w:val="none" w:sz="0" w:space="0" w:color="auto"/>
                                            <w:left w:val="none" w:sz="0" w:space="0" w:color="auto"/>
                                            <w:bottom w:val="none" w:sz="0" w:space="0" w:color="auto"/>
                                            <w:right w:val="none" w:sz="0" w:space="0" w:color="auto"/>
                                          </w:divBdr>
                                          <w:divsChild>
                                            <w:div w:id="818424523">
                                              <w:marLeft w:val="0"/>
                                              <w:marRight w:val="0"/>
                                              <w:marTop w:val="0"/>
                                              <w:marBottom w:val="0"/>
                                              <w:divBdr>
                                                <w:top w:val="none" w:sz="0" w:space="0" w:color="auto"/>
                                                <w:left w:val="none" w:sz="0" w:space="0" w:color="auto"/>
                                                <w:bottom w:val="none" w:sz="0" w:space="0" w:color="auto"/>
                                                <w:right w:val="none" w:sz="0" w:space="0" w:color="auto"/>
                                              </w:divBdr>
                                            </w:div>
                                          </w:divsChild>
                                        </w:div>
                                        <w:div w:id="1409184277">
                                          <w:marLeft w:val="0"/>
                                          <w:marRight w:val="0"/>
                                          <w:marTop w:val="0"/>
                                          <w:marBottom w:val="0"/>
                                          <w:divBdr>
                                            <w:top w:val="none" w:sz="0" w:space="0" w:color="auto"/>
                                            <w:left w:val="none" w:sz="0" w:space="0" w:color="auto"/>
                                            <w:bottom w:val="none" w:sz="0" w:space="0" w:color="auto"/>
                                            <w:right w:val="none" w:sz="0" w:space="0" w:color="auto"/>
                                          </w:divBdr>
                                        </w:div>
                                        <w:div w:id="1467233116">
                                          <w:marLeft w:val="0"/>
                                          <w:marRight w:val="0"/>
                                          <w:marTop w:val="0"/>
                                          <w:marBottom w:val="0"/>
                                          <w:divBdr>
                                            <w:top w:val="none" w:sz="0" w:space="0" w:color="auto"/>
                                            <w:left w:val="none" w:sz="0" w:space="0" w:color="auto"/>
                                            <w:bottom w:val="none" w:sz="0" w:space="0" w:color="auto"/>
                                            <w:right w:val="none" w:sz="0" w:space="0" w:color="auto"/>
                                          </w:divBdr>
                                        </w:div>
                                        <w:div w:id="1471091435">
                                          <w:marLeft w:val="0"/>
                                          <w:marRight w:val="0"/>
                                          <w:marTop w:val="0"/>
                                          <w:marBottom w:val="0"/>
                                          <w:divBdr>
                                            <w:top w:val="none" w:sz="0" w:space="0" w:color="auto"/>
                                            <w:left w:val="none" w:sz="0" w:space="0" w:color="auto"/>
                                            <w:bottom w:val="none" w:sz="0" w:space="0" w:color="auto"/>
                                            <w:right w:val="none" w:sz="0" w:space="0" w:color="auto"/>
                                          </w:divBdr>
                                        </w:div>
                                        <w:div w:id="1473674826">
                                          <w:marLeft w:val="0"/>
                                          <w:marRight w:val="0"/>
                                          <w:marTop w:val="0"/>
                                          <w:marBottom w:val="0"/>
                                          <w:divBdr>
                                            <w:top w:val="none" w:sz="0" w:space="0" w:color="auto"/>
                                            <w:left w:val="none" w:sz="0" w:space="0" w:color="auto"/>
                                            <w:bottom w:val="none" w:sz="0" w:space="0" w:color="auto"/>
                                            <w:right w:val="none" w:sz="0" w:space="0" w:color="auto"/>
                                          </w:divBdr>
                                          <w:divsChild>
                                            <w:div w:id="173694494">
                                              <w:marLeft w:val="0"/>
                                              <w:marRight w:val="0"/>
                                              <w:marTop w:val="0"/>
                                              <w:marBottom w:val="0"/>
                                              <w:divBdr>
                                                <w:top w:val="none" w:sz="0" w:space="0" w:color="auto"/>
                                                <w:left w:val="none" w:sz="0" w:space="0" w:color="auto"/>
                                                <w:bottom w:val="none" w:sz="0" w:space="0" w:color="auto"/>
                                                <w:right w:val="none" w:sz="0" w:space="0" w:color="auto"/>
                                              </w:divBdr>
                                            </w:div>
                                          </w:divsChild>
                                        </w:div>
                                        <w:div w:id="1480657792">
                                          <w:marLeft w:val="0"/>
                                          <w:marRight w:val="0"/>
                                          <w:marTop w:val="0"/>
                                          <w:marBottom w:val="0"/>
                                          <w:divBdr>
                                            <w:top w:val="none" w:sz="0" w:space="0" w:color="auto"/>
                                            <w:left w:val="none" w:sz="0" w:space="0" w:color="auto"/>
                                            <w:bottom w:val="none" w:sz="0" w:space="0" w:color="auto"/>
                                            <w:right w:val="none" w:sz="0" w:space="0" w:color="auto"/>
                                          </w:divBdr>
                                        </w:div>
                                        <w:div w:id="1489249736">
                                          <w:marLeft w:val="0"/>
                                          <w:marRight w:val="0"/>
                                          <w:marTop w:val="0"/>
                                          <w:marBottom w:val="0"/>
                                          <w:divBdr>
                                            <w:top w:val="none" w:sz="0" w:space="0" w:color="auto"/>
                                            <w:left w:val="none" w:sz="0" w:space="0" w:color="auto"/>
                                            <w:bottom w:val="none" w:sz="0" w:space="0" w:color="auto"/>
                                            <w:right w:val="none" w:sz="0" w:space="0" w:color="auto"/>
                                          </w:divBdr>
                                        </w:div>
                                        <w:div w:id="1493638886">
                                          <w:marLeft w:val="0"/>
                                          <w:marRight w:val="0"/>
                                          <w:marTop w:val="0"/>
                                          <w:marBottom w:val="0"/>
                                          <w:divBdr>
                                            <w:top w:val="none" w:sz="0" w:space="0" w:color="auto"/>
                                            <w:left w:val="none" w:sz="0" w:space="0" w:color="auto"/>
                                            <w:bottom w:val="none" w:sz="0" w:space="0" w:color="auto"/>
                                            <w:right w:val="none" w:sz="0" w:space="0" w:color="auto"/>
                                          </w:divBdr>
                                        </w:div>
                                        <w:div w:id="1547258719">
                                          <w:marLeft w:val="0"/>
                                          <w:marRight w:val="0"/>
                                          <w:marTop w:val="0"/>
                                          <w:marBottom w:val="0"/>
                                          <w:divBdr>
                                            <w:top w:val="none" w:sz="0" w:space="0" w:color="auto"/>
                                            <w:left w:val="none" w:sz="0" w:space="0" w:color="auto"/>
                                            <w:bottom w:val="none" w:sz="0" w:space="0" w:color="auto"/>
                                            <w:right w:val="none" w:sz="0" w:space="0" w:color="auto"/>
                                          </w:divBdr>
                                        </w:div>
                                        <w:div w:id="1572302849">
                                          <w:marLeft w:val="0"/>
                                          <w:marRight w:val="0"/>
                                          <w:marTop w:val="0"/>
                                          <w:marBottom w:val="0"/>
                                          <w:divBdr>
                                            <w:top w:val="none" w:sz="0" w:space="0" w:color="auto"/>
                                            <w:left w:val="none" w:sz="0" w:space="0" w:color="auto"/>
                                            <w:bottom w:val="none" w:sz="0" w:space="0" w:color="auto"/>
                                            <w:right w:val="none" w:sz="0" w:space="0" w:color="auto"/>
                                          </w:divBdr>
                                        </w:div>
                                        <w:div w:id="1590501603">
                                          <w:marLeft w:val="0"/>
                                          <w:marRight w:val="0"/>
                                          <w:marTop w:val="0"/>
                                          <w:marBottom w:val="0"/>
                                          <w:divBdr>
                                            <w:top w:val="none" w:sz="0" w:space="0" w:color="auto"/>
                                            <w:left w:val="none" w:sz="0" w:space="0" w:color="auto"/>
                                            <w:bottom w:val="none" w:sz="0" w:space="0" w:color="auto"/>
                                            <w:right w:val="none" w:sz="0" w:space="0" w:color="auto"/>
                                          </w:divBdr>
                                        </w:div>
                                        <w:div w:id="1630283260">
                                          <w:marLeft w:val="0"/>
                                          <w:marRight w:val="0"/>
                                          <w:marTop w:val="0"/>
                                          <w:marBottom w:val="0"/>
                                          <w:divBdr>
                                            <w:top w:val="none" w:sz="0" w:space="0" w:color="auto"/>
                                            <w:left w:val="none" w:sz="0" w:space="0" w:color="auto"/>
                                            <w:bottom w:val="none" w:sz="0" w:space="0" w:color="auto"/>
                                            <w:right w:val="none" w:sz="0" w:space="0" w:color="auto"/>
                                          </w:divBdr>
                                        </w:div>
                                        <w:div w:id="1659306088">
                                          <w:marLeft w:val="0"/>
                                          <w:marRight w:val="0"/>
                                          <w:marTop w:val="0"/>
                                          <w:marBottom w:val="0"/>
                                          <w:divBdr>
                                            <w:top w:val="none" w:sz="0" w:space="0" w:color="auto"/>
                                            <w:left w:val="none" w:sz="0" w:space="0" w:color="auto"/>
                                            <w:bottom w:val="none" w:sz="0" w:space="0" w:color="auto"/>
                                            <w:right w:val="none" w:sz="0" w:space="0" w:color="auto"/>
                                          </w:divBdr>
                                          <w:divsChild>
                                            <w:div w:id="1203322703">
                                              <w:marLeft w:val="0"/>
                                              <w:marRight w:val="0"/>
                                              <w:marTop w:val="0"/>
                                              <w:marBottom w:val="0"/>
                                              <w:divBdr>
                                                <w:top w:val="none" w:sz="0" w:space="0" w:color="auto"/>
                                                <w:left w:val="none" w:sz="0" w:space="0" w:color="auto"/>
                                                <w:bottom w:val="none" w:sz="0" w:space="0" w:color="auto"/>
                                                <w:right w:val="none" w:sz="0" w:space="0" w:color="auto"/>
                                              </w:divBdr>
                                            </w:div>
                                          </w:divsChild>
                                        </w:div>
                                        <w:div w:id="1669596663">
                                          <w:marLeft w:val="0"/>
                                          <w:marRight w:val="0"/>
                                          <w:marTop w:val="0"/>
                                          <w:marBottom w:val="0"/>
                                          <w:divBdr>
                                            <w:top w:val="none" w:sz="0" w:space="0" w:color="auto"/>
                                            <w:left w:val="none" w:sz="0" w:space="0" w:color="auto"/>
                                            <w:bottom w:val="none" w:sz="0" w:space="0" w:color="auto"/>
                                            <w:right w:val="none" w:sz="0" w:space="0" w:color="auto"/>
                                          </w:divBdr>
                                        </w:div>
                                        <w:div w:id="1670869607">
                                          <w:marLeft w:val="0"/>
                                          <w:marRight w:val="0"/>
                                          <w:marTop w:val="0"/>
                                          <w:marBottom w:val="0"/>
                                          <w:divBdr>
                                            <w:top w:val="none" w:sz="0" w:space="0" w:color="auto"/>
                                            <w:left w:val="none" w:sz="0" w:space="0" w:color="auto"/>
                                            <w:bottom w:val="none" w:sz="0" w:space="0" w:color="auto"/>
                                            <w:right w:val="none" w:sz="0" w:space="0" w:color="auto"/>
                                          </w:divBdr>
                                        </w:div>
                                        <w:div w:id="1695113713">
                                          <w:marLeft w:val="0"/>
                                          <w:marRight w:val="0"/>
                                          <w:marTop w:val="0"/>
                                          <w:marBottom w:val="0"/>
                                          <w:divBdr>
                                            <w:top w:val="none" w:sz="0" w:space="0" w:color="auto"/>
                                            <w:left w:val="none" w:sz="0" w:space="0" w:color="auto"/>
                                            <w:bottom w:val="none" w:sz="0" w:space="0" w:color="auto"/>
                                            <w:right w:val="none" w:sz="0" w:space="0" w:color="auto"/>
                                          </w:divBdr>
                                        </w:div>
                                        <w:div w:id="1695382466">
                                          <w:marLeft w:val="0"/>
                                          <w:marRight w:val="0"/>
                                          <w:marTop w:val="0"/>
                                          <w:marBottom w:val="0"/>
                                          <w:divBdr>
                                            <w:top w:val="none" w:sz="0" w:space="0" w:color="auto"/>
                                            <w:left w:val="none" w:sz="0" w:space="0" w:color="auto"/>
                                            <w:bottom w:val="none" w:sz="0" w:space="0" w:color="auto"/>
                                            <w:right w:val="none" w:sz="0" w:space="0" w:color="auto"/>
                                          </w:divBdr>
                                        </w:div>
                                        <w:div w:id="1729954816">
                                          <w:marLeft w:val="0"/>
                                          <w:marRight w:val="0"/>
                                          <w:marTop w:val="0"/>
                                          <w:marBottom w:val="0"/>
                                          <w:divBdr>
                                            <w:top w:val="none" w:sz="0" w:space="0" w:color="auto"/>
                                            <w:left w:val="none" w:sz="0" w:space="0" w:color="auto"/>
                                            <w:bottom w:val="none" w:sz="0" w:space="0" w:color="auto"/>
                                            <w:right w:val="none" w:sz="0" w:space="0" w:color="auto"/>
                                          </w:divBdr>
                                        </w:div>
                                        <w:div w:id="1754621904">
                                          <w:marLeft w:val="0"/>
                                          <w:marRight w:val="0"/>
                                          <w:marTop w:val="0"/>
                                          <w:marBottom w:val="0"/>
                                          <w:divBdr>
                                            <w:top w:val="none" w:sz="0" w:space="0" w:color="auto"/>
                                            <w:left w:val="none" w:sz="0" w:space="0" w:color="auto"/>
                                            <w:bottom w:val="none" w:sz="0" w:space="0" w:color="auto"/>
                                            <w:right w:val="none" w:sz="0" w:space="0" w:color="auto"/>
                                          </w:divBdr>
                                        </w:div>
                                        <w:div w:id="1832863219">
                                          <w:marLeft w:val="0"/>
                                          <w:marRight w:val="0"/>
                                          <w:marTop w:val="0"/>
                                          <w:marBottom w:val="0"/>
                                          <w:divBdr>
                                            <w:top w:val="none" w:sz="0" w:space="0" w:color="auto"/>
                                            <w:left w:val="none" w:sz="0" w:space="0" w:color="auto"/>
                                            <w:bottom w:val="none" w:sz="0" w:space="0" w:color="auto"/>
                                            <w:right w:val="none" w:sz="0" w:space="0" w:color="auto"/>
                                          </w:divBdr>
                                        </w:div>
                                        <w:div w:id="1842503373">
                                          <w:marLeft w:val="0"/>
                                          <w:marRight w:val="0"/>
                                          <w:marTop w:val="0"/>
                                          <w:marBottom w:val="0"/>
                                          <w:divBdr>
                                            <w:top w:val="none" w:sz="0" w:space="0" w:color="auto"/>
                                            <w:left w:val="none" w:sz="0" w:space="0" w:color="auto"/>
                                            <w:bottom w:val="none" w:sz="0" w:space="0" w:color="auto"/>
                                            <w:right w:val="none" w:sz="0" w:space="0" w:color="auto"/>
                                          </w:divBdr>
                                        </w:div>
                                        <w:div w:id="1866746112">
                                          <w:marLeft w:val="0"/>
                                          <w:marRight w:val="0"/>
                                          <w:marTop w:val="0"/>
                                          <w:marBottom w:val="0"/>
                                          <w:divBdr>
                                            <w:top w:val="none" w:sz="0" w:space="0" w:color="auto"/>
                                            <w:left w:val="none" w:sz="0" w:space="0" w:color="auto"/>
                                            <w:bottom w:val="none" w:sz="0" w:space="0" w:color="auto"/>
                                            <w:right w:val="none" w:sz="0" w:space="0" w:color="auto"/>
                                          </w:divBdr>
                                        </w:div>
                                        <w:div w:id="1947035054">
                                          <w:marLeft w:val="0"/>
                                          <w:marRight w:val="0"/>
                                          <w:marTop w:val="0"/>
                                          <w:marBottom w:val="0"/>
                                          <w:divBdr>
                                            <w:top w:val="none" w:sz="0" w:space="0" w:color="auto"/>
                                            <w:left w:val="none" w:sz="0" w:space="0" w:color="auto"/>
                                            <w:bottom w:val="none" w:sz="0" w:space="0" w:color="auto"/>
                                            <w:right w:val="none" w:sz="0" w:space="0" w:color="auto"/>
                                          </w:divBdr>
                                          <w:divsChild>
                                            <w:div w:id="1396777115">
                                              <w:marLeft w:val="0"/>
                                              <w:marRight w:val="0"/>
                                              <w:marTop w:val="0"/>
                                              <w:marBottom w:val="0"/>
                                              <w:divBdr>
                                                <w:top w:val="none" w:sz="0" w:space="0" w:color="auto"/>
                                                <w:left w:val="none" w:sz="0" w:space="0" w:color="auto"/>
                                                <w:bottom w:val="none" w:sz="0" w:space="0" w:color="auto"/>
                                                <w:right w:val="none" w:sz="0" w:space="0" w:color="auto"/>
                                              </w:divBdr>
                                            </w:div>
                                          </w:divsChild>
                                        </w:div>
                                        <w:div w:id="1953829051">
                                          <w:marLeft w:val="0"/>
                                          <w:marRight w:val="0"/>
                                          <w:marTop w:val="0"/>
                                          <w:marBottom w:val="0"/>
                                          <w:divBdr>
                                            <w:top w:val="none" w:sz="0" w:space="0" w:color="auto"/>
                                            <w:left w:val="none" w:sz="0" w:space="0" w:color="auto"/>
                                            <w:bottom w:val="none" w:sz="0" w:space="0" w:color="auto"/>
                                            <w:right w:val="none" w:sz="0" w:space="0" w:color="auto"/>
                                          </w:divBdr>
                                        </w:div>
                                        <w:div w:id="1962375146">
                                          <w:marLeft w:val="0"/>
                                          <w:marRight w:val="0"/>
                                          <w:marTop w:val="0"/>
                                          <w:marBottom w:val="0"/>
                                          <w:divBdr>
                                            <w:top w:val="none" w:sz="0" w:space="0" w:color="auto"/>
                                            <w:left w:val="none" w:sz="0" w:space="0" w:color="auto"/>
                                            <w:bottom w:val="none" w:sz="0" w:space="0" w:color="auto"/>
                                            <w:right w:val="none" w:sz="0" w:space="0" w:color="auto"/>
                                          </w:divBdr>
                                        </w:div>
                                        <w:div w:id="1977949186">
                                          <w:marLeft w:val="0"/>
                                          <w:marRight w:val="0"/>
                                          <w:marTop w:val="0"/>
                                          <w:marBottom w:val="0"/>
                                          <w:divBdr>
                                            <w:top w:val="none" w:sz="0" w:space="0" w:color="auto"/>
                                            <w:left w:val="none" w:sz="0" w:space="0" w:color="auto"/>
                                            <w:bottom w:val="none" w:sz="0" w:space="0" w:color="auto"/>
                                            <w:right w:val="none" w:sz="0" w:space="0" w:color="auto"/>
                                          </w:divBdr>
                                          <w:divsChild>
                                            <w:div w:id="87233213">
                                              <w:marLeft w:val="0"/>
                                              <w:marRight w:val="0"/>
                                              <w:marTop w:val="0"/>
                                              <w:marBottom w:val="0"/>
                                              <w:divBdr>
                                                <w:top w:val="none" w:sz="0" w:space="0" w:color="auto"/>
                                                <w:left w:val="none" w:sz="0" w:space="0" w:color="auto"/>
                                                <w:bottom w:val="none" w:sz="0" w:space="0" w:color="auto"/>
                                                <w:right w:val="none" w:sz="0" w:space="0" w:color="auto"/>
                                              </w:divBdr>
                                            </w:div>
                                          </w:divsChild>
                                        </w:div>
                                        <w:div w:id="2011519791">
                                          <w:marLeft w:val="0"/>
                                          <w:marRight w:val="0"/>
                                          <w:marTop w:val="0"/>
                                          <w:marBottom w:val="0"/>
                                          <w:divBdr>
                                            <w:top w:val="none" w:sz="0" w:space="0" w:color="auto"/>
                                            <w:left w:val="none" w:sz="0" w:space="0" w:color="auto"/>
                                            <w:bottom w:val="none" w:sz="0" w:space="0" w:color="auto"/>
                                            <w:right w:val="none" w:sz="0" w:space="0" w:color="auto"/>
                                          </w:divBdr>
                                        </w:div>
                                        <w:div w:id="2024084549">
                                          <w:marLeft w:val="0"/>
                                          <w:marRight w:val="0"/>
                                          <w:marTop w:val="0"/>
                                          <w:marBottom w:val="0"/>
                                          <w:divBdr>
                                            <w:top w:val="none" w:sz="0" w:space="0" w:color="auto"/>
                                            <w:left w:val="none" w:sz="0" w:space="0" w:color="auto"/>
                                            <w:bottom w:val="none" w:sz="0" w:space="0" w:color="auto"/>
                                            <w:right w:val="none" w:sz="0" w:space="0" w:color="auto"/>
                                          </w:divBdr>
                                        </w:div>
                                        <w:div w:id="2034569728">
                                          <w:marLeft w:val="0"/>
                                          <w:marRight w:val="0"/>
                                          <w:marTop w:val="0"/>
                                          <w:marBottom w:val="0"/>
                                          <w:divBdr>
                                            <w:top w:val="none" w:sz="0" w:space="0" w:color="auto"/>
                                            <w:left w:val="none" w:sz="0" w:space="0" w:color="auto"/>
                                            <w:bottom w:val="none" w:sz="0" w:space="0" w:color="auto"/>
                                            <w:right w:val="none" w:sz="0" w:space="0" w:color="auto"/>
                                          </w:divBdr>
                                        </w:div>
                                        <w:div w:id="2050105834">
                                          <w:marLeft w:val="0"/>
                                          <w:marRight w:val="0"/>
                                          <w:marTop w:val="0"/>
                                          <w:marBottom w:val="0"/>
                                          <w:divBdr>
                                            <w:top w:val="none" w:sz="0" w:space="0" w:color="auto"/>
                                            <w:left w:val="none" w:sz="0" w:space="0" w:color="auto"/>
                                            <w:bottom w:val="none" w:sz="0" w:space="0" w:color="auto"/>
                                            <w:right w:val="none" w:sz="0" w:space="0" w:color="auto"/>
                                          </w:divBdr>
                                        </w:div>
                                        <w:div w:id="2064862178">
                                          <w:marLeft w:val="0"/>
                                          <w:marRight w:val="0"/>
                                          <w:marTop w:val="0"/>
                                          <w:marBottom w:val="0"/>
                                          <w:divBdr>
                                            <w:top w:val="none" w:sz="0" w:space="0" w:color="auto"/>
                                            <w:left w:val="none" w:sz="0" w:space="0" w:color="auto"/>
                                            <w:bottom w:val="none" w:sz="0" w:space="0" w:color="auto"/>
                                            <w:right w:val="none" w:sz="0" w:space="0" w:color="auto"/>
                                          </w:divBdr>
                                        </w:div>
                                        <w:div w:id="2068872072">
                                          <w:marLeft w:val="0"/>
                                          <w:marRight w:val="0"/>
                                          <w:marTop w:val="0"/>
                                          <w:marBottom w:val="0"/>
                                          <w:divBdr>
                                            <w:top w:val="none" w:sz="0" w:space="0" w:color="auto"/>
                                            <w:left w:val="none" w:sz="0" w:space="0" w:color="auto"/>
                                            <w:bottom w:val="none" w:sz="0" w:space="0" w:color="auto"/>
                                            <w:right w:val="none" w:sz="0" w:space="0" w:color="auto"/>
                                          </w:divBdr>
                                        </w:div>
                                        <w:div w:id="2086491311">
                                          <w:marLeft w:val="0"/>
                                          <w:marRight w:val="0"/>
                                          <w:marTop w:val="0"/>
                                          <w:marBottom w:val="0"/>
                                          <w:divBdr>
                                            <w:top w:val="none" w:sz="0" w:space="0" w:color="auto"/>
                                            <w:left w:val="none" w:sz="0" w:space="0" w:color="auto"/>
                                            <w:bottom w:val="none" w:sz="0" w:space="0" w:color="auto"/>
                                            <w:right w:val="none" w:sz="0" w:space="0" w:color="auto"/>
                                          </w:divBdr>
                                          <w:divsChild>
                                            <w:div w:id="1409501005">
                                              <w:marLeft w:val="0"/>
                                              <w:marRight w:val="0"/>
                                              <w:marTop w:val="0"/>
                                              <w:marBottom w:val="0"/>
                                              <w:divBdr>
                                                <w:top w:val="none" w:sz="0" w:space="0" w:color="auto"/>
                                                <w:left w:val="none" w:sz="0" w:space="0" w:color="auto"/>
                                                <w:bottom w:val="none" w:sz="0" w:space="0" w:color="auto"/>
                                                <w:right w:val="none" w:sz="0" w:space="0" w:color="auto"/>
                                              </w:divBdr>
                                            </w:div>
                                          </w:divsChild>
                                        </w:div>
                                        <w:div w:id="2093507870">
                                          <w:marLeft w:val="0"/>
                                          <w:marRight w:val="0"/>
                                          <w:marTop w:val="0"/>
                                          <w:marBottom w:val="0"/>
                                          <w:divBdr>
                                            <w:top w:val="none" w:sz="0" w:space="0" w:color="auto"/>
                                            <w:left w:val="none" w:sz="0" w:space="0" w:color="auto"/>
                                            <w:bottom w:val="none" w:sz="0" w:space="0" w:color="auto"/>
                                            <w:right w:val="none" w:sz="0" w:space="0" w:color="auto"/>
                                          </w:divBdr>
                                        </w:div>
                                        <w:div w:id="214658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050029">
      <w:bodyDiv w:val="1"/>
      <w:marLeft w:val="0"/>
      <w:marRight w:val="0"/>
      <w:marTop w:val="0"/>
      <w:marBottom w:val="0"/>
      <w:divBdr>
        <w:top w:val="none" w:sz="0" w:space="0" w:color="auto"/>
        <w:left w:val="none" w:sz="0" w:space="0" w:color="auto"/>
        <w:bottom w:val="none" w:sz="0" w:space="0" w:color="auto"/>
        <w:right w:val="none" w:sz="0" w:space="0" w:color="auto"/>
      </w:divBdr>
    </w:div>
    <w:div w:id="201746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3.xml"/><Relationship Id="rId39" Type="http://schemas.openxmlformats.org/officeDocument/2006/relationships/oleObject" Target="embeddings/oleObject5.bin"/><Relationship Id="rId21" Type="http://schemas.openxmlformats.org/officeDocument/2006/relationships/header" Target="header9.xml"/><Relationship Id="rId34" Type="http://schemas.openxmlformats.org/officeDocument/2006/relationships/image" Target="media/image4.wmf"/><Relationship Id="rId42" Type="http://schemas.openxmlformats.org/officeDocument/2006/relationships/footer" Target="footer6.xml"/><Relationship Id="rId47" Type="http://schemas.openxmlformats.org/officeDocument/2006/relationships/footer" Target="footer8.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eader" Target="header15.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image" Target="media/image3.wmf"/><Relationship Id="rId37" Type="http://schemas.openxmlformats.org/officeDocument/2006/relationships/oleObject" Target="embeddings/oleObject4.bin"/><Relationship Id="rId40" Type="http://schemas.openxmlformats.org/officeDocument/2006/relationships/header" Target="header16.xml"/><Relationship Id="rId45" Type="http://schemas.openxmlformats.org/officeDocument/2006/relationships/header" Target="header19.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10.xml"/><Relationship Id="rId28" Type="http://schemas.openxmlformats.org/officeDocument/2006/relationships/footer" Target="footer5.xml"/><Relationship Id="rId36" Type="http://schemas.openxmlformats.org/officeDocument/2006/relationships/image" Target="media/image5.wmf"/><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3.xml"/><Relationship Id="rId31" Type="http://schemas.openxmlformats.org/officeDocument/2006/relationships/oleObject" Target="embeddings/oleObject1.bin"/><Relationship Id="rId44" Type="http://schemas.openxmlformats.org/officeDocument/2006/relationships/header" Target="header18.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yperlink" Target="http://www.prnewswire.com/news/marketsandmarkets" TargetMode="External"/><Relationship Id="rId27" Type="http://schemas.openxmlformats.org/officeDocument/2006/relationships/header" Target="header14.xml"/><Relationship Id="rId30" Type="http://schemas.openxmlformats.org/officeDocument/2006/relationships/image" Target="media/image2.wmf"/><Relationship Id="rId35" Type="http://schemas.openxmlformats.org/officeDocument/2006/relationships/oleObject" Target="embeddings/oleObject3.bin"/><Relationship Id="rId43" Type="http://schemas.openxmlformats.org/officeDocument/2006/relationships/footer" Target="footer7.xml"/><Relationship Id="rId48" Type="http://schemas.openxmlformats.org/officeDocument/2006/relationships/header" Target="header2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2.xml"/><Relationship Id="rId33" Type="http://schemas.openxmlformats.org/officeDocument/2006/relationships/oleObject" Target="embeddings/oleObject2.bin"/><Relationship Id="rId38" Type="http://schemas.openxmlformats.org/officeDocument/2006/relationships/image" Target="media/image6.wmf"/><Relationship Id="rId46" Type="http://schemas.openxmlformats.org/officeDocument/2006/relationships/header" Target="header20.xml"/><Relationship Id="rId20" Type="http://schemas.openxmlformats.org/officeDocument/2006/relationships/footer" Target="footer4.xml"/><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User\&#26700;&#38754;\Jay\&#31227;&#36681;&#35330;&#20729;&#22577;&#21578;&#31684;&#26412;991029.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158D41-39C0-4608-AB99-D5A50C486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移轉訂價報告範本991029</Template>
  <TotalTime>8</TotalTime>
  <Pages>84</Pages>
  <Words>5185</Words>
  <Characters>29557</Characters>
  <Application>Microsoft Office Word</Application>
  <DocSecurity>0</DocSecurity>
  <Lines>246</Lines>
  <Paragraphs>69</Paragraphs>
  <ScaleCrop>false</ScaleCrop>
  <Company/>
  <LinksUpToDate>false</LinksUpToDate>
  <CharactersWithSpaces>34673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玖、受控交易是否位於常規交易範圍</dc:title>
  <dc:creator>User</dc:creator>
  <cp:lastModifiedBy>User</cp:lastModifiedBy>
  <cp:revision>9</cp:revision>
  <cp:lastPrinted>2017-05-16T08:00:00Z</cp:lastPrinted>
  <dcterms:created xsi:type="dcterms:W3CDTF">2017-05-16T08:00:00Z</dcterms:created>
  <dcterms:modified xsi:type="dcterms:W3CDTF">2017-06-14T09:03:00Z</dcterms:modified>
</cp:coreProperties>
</file>