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702" w:rsidRPr="00EF1107" w:rsidRDefault="00CA5702" w:rsidP="00CA5702">
      <w:pPr>
        <w:jc w:val="center"/>
        <w:rPr>
          <w:rFonts w:eastAsia="標楷體"/>
          <w:b/>
          <w:color w:val="000000"/>
          <w:sz w:val="96"/>
          <w:szCs w:val="96"/>
        </w:rPr>
      </w:pPr>
      <w:bookmarkStart w:id="0" w:name="_GoBack"/>
      <w:bookmarkEnd w:id="0"/>
    </w:p>
    <w:p w:rsidR="00CA5702" w:rsidRPr="00EF1107" w:rsidRDefault="00CA5702" w:rsidP="00CA5702">
      <w:pPr>
        <w:jc w:val="center"/>
        <w:rPr>
          <w:rFonts w:eastAsia="標楷體"/>
          <w:b/>
          <w:color w:val="000000"/>
          <w:sz w:val="96"/>
          <w:szCs w:val="96"/>
        </w:rPr>
      </w:pPr>
    </w:p>
    <w:p w:rsidR="00341DB4" w:rsidRPr="00EF1107" w:rsidRDefault="00341DB4" w:rsidP="00CA5702">
      <w:pPr>
        <w:jc w:val="center"/>
        <w:rPr>
          <w:rFonts w:eastAsia="標楷體"/>
          <w:b/>
          <w:color w:val="000000"/>
          <w:sz w:val="96"/>
          <w:szCs w:val="96"/>
        </w:rPr>
      </w:pPr>
    </w:p>
    <w:p w:rsidR="00CA5702" w:rsidRPr="00EF1107" w:rsidRDefault="00CA5702" w:rsidP="00CA5702">
      <w:pPr>
        <w:jc w:val="center"/>
        <w:rPr>
          <w:rFonts w:eastAsia="標楷體"/>
          <w:b/>
          <w:color w:val="000000"/>
          <w:sz w:val="96"/>
          <w:szCs w:val="96"/>
        </w:rPr>
      </w:pPr>
      <w:r w:rsidRPr="00EF1107">
        <w:rPr>
          <w:rFonts w:eastAsia="標楷體"/>
          <w:b/>
          <w:color w:val="000000"/>
          <w:sz w:val="96"/>
          <w:szCs w:val="96"/>
        </w:rPr>
        <w:t>附</w:t>
      </w:r>
      <w:r w:rsidRPr="00EF1107">
        <w:rPr>
          <w:rFonts w:eastAsia="標楷體"/>
          <w:b/>
          <w:color w:val="000000"/>
          <w:sz w:val="96"/>
          <w:szCs w:val="96"/>
        </w:rPr>
        <w:t xml:space="preserve">   </w:t>
      </w:r>
      <w:r w:rsidRPr="00EF1107">
        <w:rPr>
          <w:rFonts w:eastAsia="標楷體"/>
          <w:b/>
          <w:color w:val="000000"/>
          <w:sz w:val="96"/>
          <w:szCs w:val="96"/>
        </w:rPr>
        <w:t>件</w:t>
      </w: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CA5702" w:rsidRPr="00EF1107" w:rsidRDefault="00CA5702" w:rsidP="00CA5702">
      <w:pPr>
        <w:rPr>
          <w:rFonts w:eastAsia="標楷體"/>
          <w:noProof/>
          <w:color w:val="000000"/>
        </w:rPr>
      </w:pPr>
    </w:p>
    <w:p w:rsidR="00EF27D6" w:rsidRPr="00EF1107" w:rsidRDefault="00EF27D6" w:rsidP="00CA5702">
      <w:pPr>
        <w:rPr>
          <w:rFonts w:eastAsia="標楷體"/>
          <w:noProof/>
          <w:color w:val="000000"/>
        </w:rPr>
        <w:sectPr w:rsidR="00EF27D6" w:rsidRPr="00EF1107" w:rsidSect="00DE3217">
          <w:footerReference w:type="default" r:id="rId9"/>
          <w:pgSz w:w="11906" w:h="16838"/>
          <w:pgMar w:top="2160" w:right="1440" w:bottom="1814" w:left="1440" w:header="851" w:footer="992" w:gutter="567"/>
          <w:cols w:space="425"/>
          <w:docGrid w:type="linesAndChars" w:linePitch="360"/>
        </w:sectPr>
      </w:pPr>
    </w:p>
    <w:p w:rsidR="00EF27D6" w:rsidRPr="00EF1107" w:rsidRDefault="00EF27D6" w:rsidP="00EF27D6">
      <w:pPr>
        <w:rPr>
          <w:rFonts w:eastAsia="標楷體"/>
          <w:color w:val="000000"/>
        </w:rPr>
      </w:pPr>
    </w:p>
    <w:p w:rsidR="00081541" w:rsidRDefault="004024F5" w:rsidP="00EF27D6">
      <w:pPr>
        <w:rPr>
          <w:rFonts w:eastAsia="標楷體"/>
          <w:color w:val="000000"/>
        </w:rPr>
      </w:pPr>
      <w:r>
        <w:rPr>
          <w:noProof/>
        </w:rPr>
        <w:drawing>
          <wp:inline distT="0" distB="0" distL="0" distR="0" wp14:anchorId="162882B3" wp14:editId="243E8E7C">
            <wp:extent cx="5371465" cy="205906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1465" cy="2059062"/>
                    </a:xfrm>
                    <a:prstGeom prst="rect">
                      <a:avLst/>
                    </a:prstGeom>
                  </pic:spPr>
                </pic:pic>
              </a:graphicData>
            </a:graphic>
          </wp:inline>
        </w:drawing>
      </w:r>
    </w:p>
    <w:p w:rsidR="00940449" w:rsidRDefault="004024F5" w:rsidP="00940449">
      <w:pPr>
        <w:tabs>
          <w:tab w:val="right" w:pos="9360"/>
        </w:tabs>
        <w:autoSpaceDE w:val="0"/>
        <w:autoSpaceDN w:val="0"/>
        <w:adjustRightInd w:val="0"/>
        <w:spacing w:before="120" w:after="120"/>
        <w:rPr>
          <w:rFonts w:cs="Arial"/>
          <w:b/>
          <w:bCs/>
          <w:szCs w:val="20"/>
        </w:rPr>
      </w:pPr>
      <w:r>
        <w:rPr>
          <w:noProof/>
        </w:rPr>
        <w:drawing>
          <wp:inline distT="0" distB="0" distL="0" distR="0" wp14:anchorId="454EB869" wp14:editId="5080A021">
            <wp:extent cx="5371465" cy="55766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1465" cy="557663"/>
                    </a:xfrm>
                    <a:prstGeom prst="rect">
                      <a:avLst/>
                    </a:prstGeom>
                  </pic:spPr>
                </pic:pic>
              </a:graphicData>
            </a:graphic>
          </wp:inline>
        </w:drawing>
      </w:r>
    </w:p>
    <w:p w:rsidR="00940449" w:rsidRPr="00EF1107" w:rsidRDefault="00891506" w:rsidP="00EF27D6">
      <w:pPr>
        <w:rPr>
          <w:rFonts w:eastAsia="標楷體"/>
          <w:color w:val="000000"/>
        </w:rPr>
        <w:sectPr w:rsidR="00940449" w:rsidRPr="00EF1107" w:rsidSect="006B72E6">
          <w:headerReference w:type="default" r:id="rId12"/>
          <w:footerReference w:type="even" r:id="rId13"/>
          <w:footerReference w:type="default" r:id="rId14"/>
          <w:pgSz w:w="11906" w:h="16838"/>
          <w:pgMar w:top="2160" w:right="1440" w:bottom="1814" w:left="1440" w:header="851" w:footer="567" w:gutter="567"/>
          <w:pgNumType w:start="1" w:chapSep="enDash"/>
          <w:cols w:space="425"/>
          <w:docGrid w:type="linesAndChars" w:linePitch="360"/>
        </w:sectPr>
      </w:pPr>
      <w:r>
        <w:rPr>
          <w:noProof/>
        </w:rPr>
        <w:drawing>
          <wp:inline distT="0" distB="0" distL="0" distR="0" wp14:anchorId="42429C01" wp14:editId="30395E0A">
            <wp:extent cx="5371465" cy="5918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1465" cy="591856"/>
                    </a:xfrm>
                    <a:prstGeom prst="rect">
                      <a:avLst/>
                    </a:prstGeom>
                  </pic:spPr>
                </pic:pic>
              </a:graphicData>
            </a:graphic>
          </wp:inline>
        </w:drawing>
      </w:r>
    </w:p>
    <w:tbl>
      <w:tblPr>
        <w:tblW w:w="8480" w:type="dxa"/>
        <w:tblInd w:w="13" w:type="dxa"/>
        <w:tblCellMar>
          <w:left w:w="28" w:type="dxa"/>
          <w:right w:w="28" w:type="dxa"/>
        </w:tblCellMar>
        <w:tblLook w:val="04A0" w:firstRow="1" w:lastRow="0" w:firstColumn="1" w:lastColumn="0" w:noHBand="0" w:noVBand="1"/>
      </w:tblPr>
      <w:tblGrid>
        <w:gridCol w:w="340"/>
        <w:gridCol w:w="3940"/>
        <w:gridCol w:w="460"/>
        <w:gridCol w:w="520"/>
        <w:gridCol w:w="620"/>
        <w:gridCol w:w="620"/>
        <w:gridCol w:w="580"/>
        <w:gridCol w:w="1400"/>
      </w:tblGrid>
      <w:tr w:rsidR="00A77170" w:rsidRPr="00A77170" w:rsidTr="00A77170">
        <w:trPr>
          <w:trHeight w:val="360"/>
          <w:tblHead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lastRenderedPageBreak/>
              <w:t>編號</w:t>
            </w:r>
          </w:p>
        </w:tc>
        <w:tc>
          <w:tcPr>
            <w:tcW w:w="394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公司名稱</w:t>
            </w:r>
          </w:p>
        </w:tc>
        <w:tc>
          <w:tcPr>
            <w:tcW w:w="46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b/>
                <w:bCs/>
                <w:color w:val="000000"/>
                <w:kern w:val="0"/>
                <w:sz w:val="20"/>
                <w:szCs w:val="20"/>
              </w:rPr>
            </w:pPr>
            <w:r w:rsidRPr="00A77170">
              <w:rPr>
                <w:b/>
                <w:bCs/>
                <w:color w:val="000000"/>
                <w:kern w:val="0"/>
                <w:sz w:val="20"/>
                <w:szCs w:val="20"/>
              </w:rPr>
              <w:t xml:space="preserve">SIC </w:t>
            </w:r>
          </w:p>
        </w:tc>
        <w:tc>
          <w:tcPr>
            <w:tcW w:w="1140"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bookmarkStart w:id="1" w:name="RANGE!D1:E1"/>
            <w:r w:rsidRPr="00A77170">
              <w:rPr>
                <w:rFonts w:ascii="標楷體" w:eastAsia="標楷體" w:hAnsi="標楷體" w:cs="Arial" w:hint="eastAsia"/>
                <w:b/>
                <w:bCs/>
                <w:color w:val="000000"/>
                <w:kern w:val="0"/>
                <w:sz w:val="20"/>
                <w:szCs w:val="20"/>
              </w:rPr>
              <w:t>定量篩選</w:t>
            </w:r>
            <w:bookmarkEnd w:id="1"/>
          </w:p>
        </w:tc>
        <w:tc>
          <w:tcPr>
            <w:tcW w:w="620" w:type="dxa"/>
            <w:tcBorders>
              <w:top w:val="single" w:sz="4" w:space="0" w:color="auto"/>
              <w:left w:val="nil"/>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bookmarkStart w:id="2" w:name="RANGE!F1"/>
            <w:r w:rsidRPr="00A77170">
              <w:rPr>
                <w:rFonts w:ascii="標楷體" w:eastAsia="標楷體" w:hAnsi="標楷體" w:cs="Arial" w:hint="eastAsia"/>
                <w:b/>
                <w:bCs/>
                <w:color w:val="000000"/>
                <w:kern w:val="0"/>
                <w:sz w:val="20"/>
                <w:szCs w:val="20"/>
              </w:rPr>
              <w:t>拒絕</w:t>
            </w:r>
            <w:bookmarkEnd w:id="2"/>
          </w:p>
        </w:tc>
        <w:tc>
          <w:tcPr>
            <w:tcW w:w="58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接受</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拒絕原因</w:t>
            </w:r>
          </w:p>
        </w:tc>
      </w:tr>
      <w:tr w:rsidR="00A77170" w:rsidRPr="00A77170" w:rsidTr="00A77170">
        <w:trPr>
          <w:trHeight w:val="420"/>
          <w:tblHead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A77170" w:rsidRPr="00A77170" w:rsidRDefault="00A77170" w:rsidP="00A77170">
            <w:pPr>
              <w:widowControl/>
              <w:rPr>
                <w:rFonts w:ascii="標楷體" w:eastAsia="標楷體" w:hAnsi="標楷體" w:cs="Arial"/>
                <w:b/>
                <w:bCs/>
                <w:color w:val="000000"/>
                <w:kern w:val="0"/>
                <w:sz w:val="20"/>
                <w:szCs w:val="20"/>
              </w:rPr>
            </w:pPr>
          </w:p>
        </w:tc>
        <w:tc>
          <w:tcPr>
            <w:tcW w:w="3940" w:type="dxa"/>
            <w:vMerge/>
            <w:tcBorders>
              <w:top w:val="single" w:sz="4" w:space="0" w:color="auto"/>
              <w:left w:val="single" w:sz="4" w:space="0" w:color="auto"/>
              <w:bottom w:val="single" w:sz="4" w:space="0" w:color="auto"/>
              <w:right w:val="single" w:sz="4" w:space="0" w:color="auto"/>
            </w:tcBorders>
            <w:vAlign w:val="center"/>
            <w:hideMark/>
          </w:tcPr>
          <w:p w:rsidR="00A77170" w:rsidRPr="00A77170" w:rsidRDefault="00A77170" w:rsidP="00A77170">
            <w:pPr>
              <w:widowControl/>
              <w:rPr>
                <w:rFonts w:ascii="標楷體" w:eastAsia="標楷體" w:hAnsi="標楷體" w:cs="Arial"/>
                <w:b/>
                <w:bCs/>
                <w:color w:val="000000"/>
                <w:kern w:val="0"/>
                <w:sz w:val="20"/>
                <w:szCs w:val="20"/>
              </w:rPr>
            </w:pP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A77170" w:rsidRPr="00A77170" w:rsidRDefault="00A77170" w:rsidP="00A77170">
            <w:pPr>
              <w:widowControl/>
              <w:rPr>
                <w:b/>
                <w:bCs/>
                <w:color w:val="000000"/>
                <w:kern w:val="0"/>
                <w:sz w:val="20"/>
                <w:szCs w:val="20"/>
              </w:rPr>
            </w:pPr>
          </w:p>
        </w:tc>
        <w:tc>
          <w:tcPr>
            <w:tcW w:w="520" w:type="dxa"/>
            <w:tcBorders>
              <w:top w:val="nil"/>
              <w:left w:val="nil"/>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業務</w:t>
            </w:r>
          </w:p>
        </w:tc>
        <w:tc>
          <w:tcPr>
            <w:tcW w:w="620" w:type="dxa"/>
            <w:tcBorders>
              <w:top w:val="nil"/>
              <w:left w:val="nil"/>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研發</w:t>
            </w:r>
          </w:p>
        </w:tc>
        <w:tc>
          <w:tcPr>
            <w:tcW w:w="620" w:type="dxa"/>
            <w:tcBorders>
              <w:top w:val="nil"/>
              <w:left w:val="nil"/>
              <w:bottom w:val="single" w:sz="4" w:space="0" w:color="auto"/>
              <w:right w:val="single" w:sz="4" w:space="0" w:color="auto"/>
            </w:tcBorders>
            <w:shd w:val="clear" w:color="000000" w:fill="BFBFBF"/>
            <w:vAlign w:val="center"/>
            <w:hideMark/>
          </w:tcPr>
          <w:p w:rsidR="00A77170" w:rsidRPr="00A77170" w:rsidRDefault="00A77170" w:rsidP="00A77170">
            <w:pPr>
              <w:widowControl/>
              <w:jc w:val="center"/>
              <w:rPr>
                <w:rFonts w:ascii="標楷體" w:eastAsia="標楷體" w:hAnsi="標楷體" w:cs="Arial"/>
                <w:b/>
                <w:bCs/>
                <w:color w:val="000000"/>
                <w:kern w:val="0"/>
                <w:sz w:val="20"/>
                <w:szCs w:val="20"/>
              </w:rPr>
            </w:pPr>
            <w:r w:rsidRPr="00A77170">
              <w:rPr>
                <w:rFonts w:ascii="標楷體" w:eastAsia="標楷體" w:hAnsi="標楷體" w:cs="Arial" w:hint="eastAsia"/>
                <w:b/>
                <w:bCs/>
                <w:color w:val="000000"/>
                <w:kern w:val="0"/>
                <w:sz w:val="20"/>
                <w:szCs w:val="20"/>
              </w:rPr>
              <w:t>覆核</w:t>
            </w:r>
          </w:p>
        </w:tc>
        <w:tc>
          <w:tcPr>
            <w:tcW w:w="580" w:type="dxa"/>
            <w:vMerge/>
            <w:tcBorders>
              <w:top w:val="single" w:sz="4" w:space="0" w:color="auto"/>
              <w:left w:val="single" w:sz="4" w:space="0" w:color="auto"/>
              <w:bottom w:val="single" w:sz="4" w:space="0" w:color="auto"/>
              <w:right w:val="single" w:sz="4" w:space="0" w:color="auto"/>
            </w:tcBorders>
            <w:vAlign w:val="center"/>
            <w:hideMark/>
          </w:tcPr>
          <w:p w:rsidR="00A77170" w:rsidRPr="00A77170" w:rsidRDefault="00A77170" w:rsidP="00A77170">
            <w:pPr>
              <w:widowControl/>
              <w:rPr>
                <w:rFonts w:ascii="標楷體" w:eastAsia="標楷體" w:hAnsi="標楷體" w:cs="Arial"/>
                <w:b/>
                <w:bCs/>
                <w:color w:val="000000"/>
                <w:kern w:val="0"/>
                <w:sz w:val="20"/>
                <w:szCs w:val="20"/>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A77170" w:rsidRPr="00A77170" w:rsidRDefault="00A77170" w:rsidP="00A77170">
            <w:pPr>
              <w:widowControl/>
              <w:rPr>
                <w:rFonts w:ascii="標楷體" w:eastAsia="標楷體" w:hAnsi="標楷體" w:cs="Arial"/>
                <w:b/>
                <w:bCs/>
                <w:color w:val="000000"/>
                <w:kern w:val="0"/>
                <w:sz w:val="20"/>
                <w:szCs w:val="20"/>
              </w:rPr>
            </w:pP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bookmarkStart w:id="3" w:name="RANGE!B2:H2"/>
            <w:bookmarkStart w:id="4" w:name="RANGE!B3:H91"/>
            <w:bookmarkEnd w:id="3"/>
            <w:r w:rsidRPr="00A77170">
              <w:rPr>
                <w:kern w:val="0"/>
                <w:sz w:val="20"/>
                <w:szCs w:val="20"/>
              </w:rPr>
              <w:t>Acal plc</w:t>
            </w:r>
            <w:bookmarkEnd w:id="4"/>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Advanced Digital Chips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Alltek Technology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Arrow Electronics,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ASEC International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AV Concept Holdings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BOS Better OnLine Sol (USA)</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Chander Electronics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Daetwyler Holding AG</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Doryoku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Dragon Group International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Edom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Excel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Ferrum PCL</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Galaxy Far East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Gohigh Data Networks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Gold Tat Group International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Gremz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19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HAGIWARA ELECTRIC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Hanchang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Howteh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InfoSonics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Intermap Technologies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5049</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Jadason Enterprises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KANADEN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Koryo Electronics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KUEN CHAANG UPPERTECH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KYOEI SANGYO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29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Laird PLC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LITE-ON JAPAN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MARUBUN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MAXTEK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lastRenderedPageBreak/>
              <w:t>33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mDR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Merdeka Financial Services Group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MetaTech (AP)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MITACHI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Mobicon Group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Naigai Tec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39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NICHIDENBO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NICHING INDUSTRIAL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NIPPO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Omphalos,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Petrosetco Distribution Joint Stock Co</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Planet Communications Asia PCL</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Podak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Premier Farnell plc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Professional Computer Technology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Promaster Technology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49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Promate Electronic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RADA Electronic Ind.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Renesas Easton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Richardson Electronics,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Ryoden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Ryosan Company,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Ryoyo Electro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S.A.S. Dragon Holdings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Sakae Electronics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Salora International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59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SANSHIN ELECTRONICS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SEIRYO ELECTRIC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Sentronic International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Serial System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Shenzhen Huakong Seg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Shinden Hightex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lastRenderedPageBreak/>
              <w:t>65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Smart-Core Holdings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SUNNIC Technology &amp; Merchandise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Supreme Electronics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Surge Components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69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Taitron Components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TAIWAN OSTOR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TAKACHIHO KOHEKI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TESSCO Technologies, Inc.</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TIM SA</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Tokai Electronics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Tokyo Electron Device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 xml:space="preserve">　</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TOMEN DEVICES CORPORATION</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Trust-Search Corp.,Ltd.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TWZ Corporation PCL</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79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Unitron Tech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80</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Vitec Holdings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有製造功能</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81</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VOXX International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82</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V-Tac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83</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Willas-Array Electronics (Holdings)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84</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WPG Holdings Limited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85</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WT Microelectronics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86</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Wuhan P&amp;S Information Technology Co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87</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Yunbo Digital Synergy Group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88</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Zenitron Corp</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rFonts w:ascii="標楷體" w:eastAsia="標楷體" w:hAnsi="標楷體" w:cs="Arial"/>
                <w:kern w:val="0"/>
                <w:sz w:val="20"/>
                <w:szCs w:val="20"/>
              </w:rPr>
            </w:pPr>
            <w:r w:rsidRPr="00A77170">
              <w:rPr>
                <w:rFonts w:ascii="標楷體" w:eastAsia="標楷體" w:hAnsi="標楷體" w:cs="Arial" w:hint="eastAsia"/>
                <w:kern w:val="0"/>
                <w:sz w:val="20"/>
                <w:szCs w:val="20"/>
              </w:rPr>
              <w:t>排除研發費用</w:t>
            </w:r>
          </w:p>
        </w:tc>
      </w:tr>
      <w:tr w:rsidR="00A77170" w:rsidRPr="00A77170" w:rsidTr="00A77170">
        <w:trPr>
          <w:trHeight w:val="28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A77170" w:rsidRPr="00A77170" w:rsidRDefault="00A77170" w:rsidP="00A77170">
            <w:pPr>
              <w:widowControl/>
              <w:jc w:val="right"/>
              <w:rPr>
                <w:kern w:val="0"/>
                <w:sz w:val="20"/>
                <w:szCs w:val="20"/>
              </w:rPr>
            </w:pPr>
            <w:r w:rsidRPr="00A77170">
              <w:rPr>
                <w:kern w:val="0"/>
                <w:sz w:val="20"/>
                <w:szCs w:val="20"/>
              </w:rPr>
              <w:t>89</w:t>
            </w:r>
          </w:p>
        </w:tc>
        <w:tc>
          <w:tcPr>
            <w:tcW w:w="394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Z-Obee Holdings Ltd</w:t>
            </w:r>
          </w:p>
        </w:tc>
        <w:tc>
          <w:tcPr>
            <w:tcW w:w="46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5065</w:t>
            </w:r>
          </w:p>
        </w:tc>
        <w:tc>
          <w:tcPr>
            <w:tcW w:w="5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X</w:t>
            </w:r>
          </w:p>
        </w:tc>
        <w:tc>
          <w:tcPr>
            <w:tcW w:w="580" w:type="dxa"/>
            <w:tcBorders>
              <w:top w:val="nil"/>
              <w:left w:val="nil"/>
              <w:bottom w:val="single" w:sz="4" w:space="0" w:color="auto"/>
              <w:right w:val="single" w:sz="4" w:space="0" w:color="auto"/>
            </w:tcBorders>
            <w:shd w:val="clear" w:color="auto" w:fill="auto"/>
            <w:noWrap/>
            <w:vAlign w:val="center"/>
            <w:hideMark/>
          </w:tcPr>
          <w:p w:rsidR="00A77170" w:rsidRPr="00A77170" w:rsidRDefault="00A77170" w:rsidP="00A77170">
            <w:pPr>
              <w:widowControl/>
              <w:rPr>
                <w:kern w:val="0"/>
                <w:sz w:val="20"/>
                <w:szCs w:val="20"/>
              </w:rPr>
            </w:pPr>
            <w:r w:rsidRPr="00A77170">
              <w:rPr>
                <w:kern w:val="0"/>
                <w:sz w:val="20"/>
                <w:szCs w:val="20"/>
              </w:rPr>
              <w:t xml:space="preserve">　</w:t>
            </w:r>
          </w:p>
        </w:tc>
        <w:tc>
          <w:tcPr>
            <w:tcW w:w="1400" w:type="dxa"/>
            <w:tcBorders>
              <w:top w:val="nil"/>
              <w:left w:val="nil"/>
              <w:bottom w:val="single" w:sz="4" w:space="0" w:color="auto"/>
              <w:right w:val="single" w:sz="4" w:space="0" w:color="auto"/>
            </w:tcBorders>
            <w:shd w:val="clear" w:color="auto" w:fill="auto"/>
            <w:noWrap/>
            <w:vAlign w:val="center"/>
            <w:hideMark/>
          </w:tcPr>
          <w:p w:rsidR="00A77170" w:rsidRPr="00A77170" w:rsidRDefault="00457B15" w:rsidP="00A77170">
            <w:pPr>
              <w:widowControl/>
              <w:rPr>
                <w:rFonts w:ascii="標楷體" w:eastAsia="標楷體" w:hAnsi="標楷體" w:cs="Arial"/>
                <w:kern w:val="0"/>
                <w:sz w:val="20"/>
                <w:szCs w:val="20"/>
              </w:rPr>
            </w:pPr>
            <w:r>
              <w:rPr>
                <w:rFonts w:ascii="標楷體" w:eastAsia="標楷體" w:hAnsi="標楷體" w:cs="Arial" w:hint="eastAsia"/>
                <w:kern w:val="0"/>
                <w:sz w:val="20"/>
                <w:szCs w:val="20"/>
              </w:rPr>
              <w:t>產品有異</w:t>
            </w:r>
          </w:p>
        </w:tc>
      </w:tr>
    </w:tbl>
    <w:p w:rsidR="00AB627A" w:rsidRPr="00EF1107" w:rsidRDefault="00756533" w:rsidP="00CA5702">
      <w:pPr>
        <w:sectPr w:rsidR="00AB627A" w:rsidRPr="00EF1107" w:rsidSect="006B72E6">
          <w:headerReference w:type="default" r:id="rId16"/>
          <w:footerReference w:type="default" r:id="rId17"/>
          <w:pgSz w:w="11906" w:h="16838"/>
          <w:pgMar w:top="2160" w:right="1440" w:bottom="1814" w:left="1440" w:header="851" w:footer="567" w:gutter="567"/>
          <w:pgNumType w:start="1" w:chapSep="enDash"/>
          <w:cols w:space="425"/>
          <w:docGrid w:type="linesAndChars" w:linePitch="360"/>
        </w:sectPr>
      </w:pPr>
      <w:r>
        <w:rPr>
          <w:rFonts w:eastAsia="標楷體"/>
          <w:noProof/>
          <w:color w:val="000000"/>
        </w:rPr>
        <w:pict>
          <v:shapetype id="_x0000_t202" coordsize="21600,21600" o:spt="202" path="m,l,21600r21600,l21600,xe">
            <v:stroke joinstyle="miter"/>
            <v:path gradientshapeok="t" o:connecttype="rect"/>
          </v:shapetype>
          <v:shape id="_x0000_s1081" type="#_x0000_t202" style="position:absolute;margin-left:0;margin-top:569.05pt;width:225pt;height:36pt;z-index:251657728;mso-position-horizontal-relative:text;mso-position-vertical-relative:text" stroked="f">
            <v:textbox style="mso-next-textbox:#_x0000_s1081">
              <w:txbxContent>
                <w:p w:rsidR="000D4860" w:rsidRDefault="000D4860"/>
              </w:txbxContent>
            </v:textbox>
          </v:shape>
        </w:pict>
      </w:r>
    </w:p>
    <w:p w:rsidR="00B63EA4" w:rsidRPr="00B63EA4" w:rsidRDefault="00A77170" w:rsidP="00A77170">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A77170">
        <w:rPr>
          <w:rFonts w:ascii="Times New Roman" w:eastAsia="標楷體" w:hAnsi="Times New Roman" w:cs="Times New Roman"/>
          <w:color w:val="auto"/>
          <w:kern w:val="2"/>
          <w:sz w:val="26"/>
          <w:szCs w:val="26"/>
          <w:lang w:eastAsia="zh-TW"/>
        </w:rPr>
        <w:lastRenderedPageBreak/>
        <w:t>ASEC International Corporation</w:t>
      </w:r>
    </w:p>
    <w:p w:rsidR="00B63EA4" w:rsidRDefault="00A77170" w:rsidP="00A77170">
      <w:pPr>
        <w:pStyle w:val="Normal8"/>
        <w:rPr>
          <w:rFonts w:ascii="Times New Roman" w:eastAsia="新細明體" w:hAnsi="Times New Roman"/>
          <w:sz w:val="24"/>
          <w:szCs w:val="24"/>
          <w:lang w:eastAsia="zh-TW"/>
        </w:rPr>
      </w:pPr>
      <w:r w:rsidRPr="00A77170">
        <w:rPr>
          <w:rFonts w:ascii="Times New Roman" w:eastAsia="新細明體" w:hAnsi="Times New Roman"/>
          <w:sz w:val="24"/>
          <w:szCs w:val="24"/>
        </w:rPr>
        <w:t>ASEC International Corporation is a Taiwan-based company principally engaged in the agent distribution of computers and network peripheral equipment, as well as electronic components. The Company’s principal products include processors and core-logic chipsets, memory chips, network communication chips, linear analog chips, logic application-specific integrated circuit chips (ASICs) and others. The Company mainly distributes products under the brand names of Intel, LSI, ISSI, Prolific, Metanoia, IC Plus, Cortina, Fujitsu, Renesas, iWatt, Eutech, Microchip, Ralink, DMT and Akros, among others. The Company mainly operates its businesses in Taiwan, the People’s Republic of China (the PRC) and other countries.</w:t>
      </w:r>
      <w:r w:rsidR="00B63EA4" w:rsidRPr="00B63EA4">
        <w:rPr>
          <w:rFonts w:ascii="Times New Roman" w:eastAsia="新細明體" w:hAnsi="Times New Roman"/>
          <w:sz w:val="24"/>
          <w:szCs w:val="24"/>
        </w:rPr>
        <w:t>.</w:t>
      </w:r>
    </w:p>
    <w:p w:rsidR="00A77170" w:rsidRPr="00A77170" w:rsidRDefault="00A77170" w:rsidP="00A77170">
      <w:pPr>
        <w:pStyle w:val="Normal8"/>
        <w:rPr>
          <w:rFonts w:ascii="Times New Roman" w:eastAsia="新細明體" w:hAnsi="Times New Roman"/>
          <w:sz w:val="24"/>
          <w:szCs w:val="24"/>
          <w:lang w:eastAsia="zh-TW"/>
        </w:rPr>
      </w:pPr>
    </w:p>
    <w:p w:rsidR="00B63EA4" w:rsidRPr="00B63EA4" w:rsidRDefault="00B63EA4" w:rsidP="00A77170">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w:t>
      </w:r>
      <w:r w:rsidR="00A77170" w:rsidRPr="00A77170">
        <w:rPr>
          <w:rFonts w:ascii="Times New Roman" w:eastAsia="標楷體" w:hAnsi="Times New Roman" w:cs="Times New Roman"/>
          <w:color w:val="auto"/>
          <w:kern w:val="2"/>
          <w:sz w:val="26"/>
          <w:szCs w:val="26"/>
          <w:lang w:eastAsia="zh-TW"/>
        </w:rPr>
        <w:t>Edom Technology Co Ltd</w:t>
      </w:r>
    </w:p>
    <w:p w:rsidR="00B63EA4" w:rsidRPr="00DA0522" w:rsidRDefault="00A77170" w:rsidP="00B63EA4">
      <w:pPr>
        <w:pStyle w:val="Normal8"/>
        <w:rPr>
          <w:rFonts w:eastAsia="新細明體"/>
          <w:lang w:eastAsia="zh-TW"/>
        </w:rPr>
      </w:pPr>
      <w:r w:rsidRPr="00A77170">
        <w:rPr>
          <w:rFonts w:ascii="Times New Roman" w:eastAsia="新細明體" w:hAnsi="Times New Roman"/>
          <w:sz w:val="24"/>
          <w:szCs w:val="24"/>
        </w:rPr>
        <w:t>EDOM TECHNOLOGY CO., LTD. is a Taiwan-based company engaged in the agent distribution of semiconductors. The Company deals with integrated circuits (ICs), memory products, central processing units (CPUs), discrete components, electronic components and other products, which are applied in graphic cards, personal digital assistants (PDAs), cell phones, network products, personal computers (PCs), notebook computers, embedded applications and monitors, among others. It also provides software products. The Company distributes its products principally in Taiwan and other Asian markets.</w:t>
      </w:r>
    </w:p>
    <w:p w:rsidR="00B63EA4" w:rsidRPr="00B63EA4" w:rsidRDefault="00B63EA4" w:rsidP="00A77170">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w:t>
      </w:r>
      <w:r w:rsidR="00A77170" w:rsidRPr="00A77170">
        <w:rPr>
          <w:rFonts w:ascii="Times New Roman" w:eastAsia="標楷體" w:hAnsi="Times New Roman" w:cs="Times New Roman"/>
          <w:color w:val="auto"/>
          <w:kern w:val="2"/>
          <w:sz w:val="26"/>
          <w:szCs w:val="26"/>
          <w:lang w:eastAsia="zh-TW"/>
        </w:rPr>
        <w:t>Ferrum PCL</w:t>
      </w:r>
    </w:p>
    <w:p w:rsidR="00B63EA4" w:rsidRPr="00B63EA4" w:rsidRDefault="00A77170" w:rsidP="00B63EA4">
      <w:pPr>
        <w:pStyle w:val="Normal8"/>
        <w:rPr>
          <w:rFonts w:ascii="Times New Roman" w:eastAsia="新細明體" w:hAnsi="Times New Roman"/>
          <w:sz w:val="24"/>
          <w:szCs w:val="24"/>
        </w:rPr>
      </w:pPr>
      <w:r w:rsidRPr="00A77170">
        <w:rPr>
          <w:rFonts w:ascii="Times New Roman" w:eastAsia="新細明體" w:hAnsi="Times New Roman"/>
          <w:sz w:val="24"/>
          <w:szCs w:val="24"/>
        </w:rPr>
        <w:t xml:space="preserve">M-Link Asia Corporation Public Company Limited is a Thailand-based company engaged in the distribution of telecommunication equipment and mobile phones. Its main activities involve the distribution of mobile phones and accessories to both wholesale and retail clients, as well as acting as an official distributor of Nokia mobile phones. The Company also provides services, including designs and installation of telecommunication and information technology (IT) systems to the government, state enterprises and private sectors. The Company operates four principal business segments, which are the distribution of mobile phone segment, refill card segment, service installation and equipment acquisition segment, as well as development and computer service segment. Its subsidiaries include Telemax Asia Corporation </w:t>
      </w:r>
      <w:r w:rsidRPr="00A77170">
        <w:rPr>
          <w:rFonts w:ascii="Times New Roman" w:eastAsia="新細明體" w:hAnsi="Times New Roman"/>
          <w:sz w:val="24"/>
          <w:szCs w:val="24"/>
        </w:rPr>
        <w:lastRenderedPageBreak/>
        <w:t>Company Limited, M Shop Mobile Company Limited, M Solution Company Limited and M Seed Asia Company Limited.</w:t>
      </w:r>
      <w:r w:rsidR="00B63EA4" w:rsidRPr="00B63EA4">
        <w:rPr>
          <w:rFonts w:ascii="Times New Roman" w:eastAsia="新細明體" w:hAnsi="Times New Roman"/>
          <w:sz w:val="24"/>
          <w:szCs w:val="24"/>
        </w:rPr>
        <w:t xml:space="preserve"> </w:t>
      </w:r>
    </w:p>
    <w:p w:rsidR="00B63EA4" w:rsidRPr="00DA0522" w:rsidRDefault="00B63EA4" w:rsidP="00B63EA4">
      <w:pPr>
        <w:pStyle w:val="Normal8"/>
        <w:rPr>
          <w:rFonts w:eastAsia="新細明體"/>
          <w:lang w:eastAsia="zh-TW"/>
        </w:rPr>
      </w:pPr>
    </w:p>
    <w:p w:rsidR="00B63EA4" w:rsidRPr="00B63EA4" w:rsidRDefault="00B63EA4" w:rsidP="00A77170">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w:t>
      </w:r>
      <w:r w:rsidR="00A77170" w:rsidRPr="00A77170">
        <w:rPr>
          <w:rFonts w:ascii="Times New Roman" w:eastAsia="標楷體" w:hAnsi="Times New Roman" w:cs="Times New Roman"/>
          <w:color w:val="auto"/>
          <w:kern w:val="2"/>
          <w:sz w:val="26"/>
          <w:szCs w:val="26"/>
          <w:lang w:eastAsia="zh-TW"/>
        </w:rPr>
        <w:t>Gremz Inc</w:t>
      </w:r>
    </w:p>
    <w:p w:rsidR="00B63EA4" w:rsidRPr="00B63EA4" w:rsidRDefault="00A77170" w:rsidP="00B63EA4">
      <w:pPr>
        <w:pStyle w:val="Normal8"/>
        <w:rPr>
          <w:rFonts w:ascii="Times New Roman" w:eastAsia="新細明體" w:hAnsi="Times New Roman"/>
          <w:sz w:val="24"/>
          <w:szCs w:val="24"/>
        </w:rPr>
      </w:pPr>
      <w:r w:rsidRPr="00A77170">
        <w:rPr>
          <w:rFonts w:ascii="Times New Roman" w:eastAsia="新細明體" w:hAnsi="Times New Roman"/>
          <w:sz w:val="24"/>
          <w:szCs w:val="24"/>
        </w:rPr>
        <w:t>gremz,Inc. is primarily engaged in providing household solar power generation systems, home delivery of mineral water, and reduction consulting of basic electric power charges. The Green House Project segment sells products that reduce environmental impact primarily through stores operated by the Company, such as household solar power generation systems. The Water Server segment primarily provides home delivery of mineral water. The Energy Cost Solution segment is engaged in the proposal of energy cost reduction. It provides reduction consulting of electric power charges, proposal of power contract change, application agency of contract change with power companies, and sale and rental of electronic breakers, for hospitals, schools, offices, hotels, small factories, and other small and medium businesses. The Others segment sells light-emitting diode (LED) lighting equipment. As of March 31, the Company had four subsidiaries and one associated company.</w:t>
      </w:r>
    </w:p>
    <w:p w:rsidR="00B63EA4" w:rsidRPr="00DA0522" w:rsidRDefault="00B63EA4" w:rsidP="00B63EA4">
      <w:pPr>
        <w:pStyle w:val="Normal8"/>
        <w:rPr>
          <w:rFonts w:eastAsia="新細明體"/>
          <w:lang w:eastAsia="zh-TW"/>
        </w:rPr>
      </w:pPr>
    </w:p>
    <w:p w:rsidR="00B63EA4" w:rsidRPr="00B63EA4" w:rsidRDefault="00B63EA4" w:rsidP="00A77170">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w:t>
      </w:r>
      <w:r w:rsidR="00A77170" w:rsidRPr="00A77170">
        <w:rPr>
          <w:rFonts w:ascii="Times New Roman" w:eastAsia="標楷體" w:hAnsi="Times New Roman" w:cs="Times New Roman"/>
          <w:color w:val="auto"/>
          <w:kern w:val="2"/>
          <w:sz w:val="26"/>
          <w:szCs w:val="26"/>
          <w:lang w:eastAsia="zh-TW"/>
        </w:rPr>
        <w:t>KANADEN CORPORATION</w:t>
      </w:r>
    </w:p>
    <w:p w:rsidR="00B63EA4" w:rsidRDefault="00A77170" w:rsidP="00B63EA4">
      <w:pPr>
        <w:pStyle w:val="Normal8"/>
        <w:rPr>
          <w:rFonts w:eastAsia="新細明體"/>
        </w:rPr>
      </w:pPr>
      <w:r w:rsidRPr="00A77170">
        <w:rPr>
          <w:rFonts w:ascii="Times New Roman" w:eastAsia="新細明體" w:hAnsi="Times New Roman"/>
          <w:sz w:val="24"/>
          <w:szCs w:val="24"/>
        </w:rPr>
        <w:t>KANADEN CORPORATION is a Japan-based company primarily engaged in factory automation business. The Company has four business segments. The Information Communication and Device segment provides security systems, audio visual systems, microcomputers, semiconductors and electronic device components, among others. The Factory Automation (FA) System segment provides FA equipment, laser beam machines and electric discharge machines, among others. The Building Facility System segment provides uninterruptible power supply systems, elevators, building management systems, air-conditioning equipment, residential equipment and low temperature equipment, among others. The Infrastructure segment provides information communications equipment, electronics for motor vehicle, traffic safety systems, air traffic control systems, regional disaster-prevention systems and large-size visual systems, among others. As of March 31, 2014, the Company had 12 subsidiaries and two associated companies.</w:t>
      </w:r>
      <w:r w:rsidR="00B63EA4" w:rsidRPr="00B63EA4">
        <w:rPr>
          <w:rFonts w:ascii="Times New Roman" w:eastAsia="新細明體" w:hAnsi="Times New Roman"/>
          <w:sz w:val="24"/>
          <w:szCs w:val="24"/>
        </w:rPr>
        <w:t xml:space="preserve"> </w:t>
      </w:r>
    </w:p>
    <w:p w:rsidR="00B63EA4" w:rsidRPr="00B63EA4" w:rsidRDefault="00B63EA4" w:rsidP="006106D4">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lastRenderedPageBreak/>
        <w:t xml:space="preserve"> MARUBUN CORPORATION</w:t>
      </w:r>
    </w:p>
    <w:p w:rsidR="00B63EA4" w:rsidRDefault="00A77170" w:rsidP="00A77170">
      <w:pPr>
        <w:pStyle w:val="Normal8"/>
        <w:rPr>
          <w:rFonts w:ascii="Times New Roman" w:eastAsia="新細明體" w:hAnsi="Times New Roman"/>
          <w:sz w:val="24"/>
          <w:szCs w:val="24"/>
          <w:lang w:eastAsia="zh-TW"/>
        </w:rPr>
      </w:pPr>
      <w:r w:rsidRPr="00A77170">
        <w:rPr>
          <w:rFonts w:ascii="Times New Roman" w:eastAsia="新細明體" w:hAnsi="Times New Roman"/>
          <w:sz w:val="24"/>
          <w:szCs w:val="24"/>
        </w:rPr>
        <w:t>MARUBUN CORPORATION is a company engaged in the purchase and sale of semiconductors, general electronic components, electronic appliances and electronic products. The Company operates in two business segments. The Device segment is engaged in the sale of semiconductors, such as analog integrated circuits (ICs), memory ICs, specified use ICs, customized ICs and others, as well as general components, such as electric and electronic components, and components for networks and computers. The System segment is engaged in the sale of aerospace equipment, testing and measuring instruments, laser equipment, scientific equipment, medical equipment and other components. Through its subsidiaries, the Company is also engaged in the provision of maintenance and technical services for electronic appliances. As of March 31, 2014, the Company had 19 subsidiaries and three associated companies.</w:t>
      </w:r>
    </w:p>
    <w:p w:rsidR="00A77170" w:rsidRPr="00A77170" w:rsidRDefault="00A77170" w:rsidP="00A77170">
      <w:pPr>
        <w:pStyle w:val="Normal8"/>
        <w:rPr>
          <w:rFonts w:ascii="Times New Roman" w:eastAsia="新細明體" w:hAnsi="Times New Roman"/>
          <w:sz w:val="24"/>
          <w:szCs w:val="24"/>
          <w:lang w:eastAsia="zh-TW"/>
        </w:rPr>
      </w:pPr>
    </w:p>
    <w:p w:rsidR="00B63EA4" w:rsidRPr="00B63EA4" w:rsidRDefault="00B63EA4" w:rsidP="006106D4">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Sakae Electronics Corporation</w:t>
      </w:r>
    </w:p>
    <w:p w:rsidR="00B63EA4" w:rsidRPr="00B63EA4" w:rsidRDefault="00A77170" w:rsidP="00B63EA4">
      <w:pPr>
        <w:pStyle w:val="Normal8"/>
        <w:rPr>
          <w:rFonts w:ascii="Times New Roman" w:eastAsia="新細明體" w:hAnsi="Times New Roman"/>
          <w:sz w:val="24"/>
          <w:szCs w:val="24"/>
        </w:rPr>
      </w:pPr>
      <w:r w:rsidRPr="00A77170">
        <w:rPr>
          <w:rFonts w:ascii="Times New Roman" w:eastAsia="新細明體" w:hAnsi="Times New Roman"/>
          <w:sz w:val="24"/>
          <w:szCs w:val="24"/>
        </w:rPr>
        <w:t>SAKAE ELECTRONICS CORPORATION is a company primarily engaged in the sale of electronic components and electronic equipment. Along with its subsidiaries, the Company is mainly engaged in the sale of general industrial electronic components and electronic devices in Japan and China. As of March 31, 2013, the Company had two subsidiaries.</w:t>
      </w:r>
    </w:p>
    <w:p w:rsidR="00B63EA4" w:rsidRPr="00DA0522" w:rsidRDefault="00B63EA4" w:rsidP="00B63EA4">
      <w:pPr>
        <w:pStyle w:val="Normal8"/>
        <w:rPr>
          <w:rFonts w:eastAsia="新細明體"/>
          <w:lang w:eastAsia="zh-TW"/>
        </w:rPr>
      </w:pPr>
    </w:p>
    <w:p w:rsidR="00B63EA4" w:rsidRPr="00B63EA4" w:rsidRDefault="00B63EA4" w:rsidP="006106D4">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SANSHIN ELECTRONICS CO., LTD.</w:t>
      </w:r>
    </w:p>
    <w:p w:rsidR="00B63EA4" w:rsidRPr="00B63EA4" w:rsidRDefault="00A77170" w:rsidP="00B63EA4">
      <w:pPr>
        <w:pStyle w:val="Normal8"/>
        <w:rPr>
          <w:rFonts w:ascii="Times New Roman" w:eastAsia="新細明體" w:hAnsi="Times New Roman"/>
          <w:sz w:val="24"/>
          <w:szCs w:val="24"/>
          <w:lang w:eastAsia="zh-TW"/>
        </w:rPr>
      </w:pPr>
      <w:r w:rsidRPr="00A77170">
        <w:rPr>
          <w:rFonts w:ascii="Times New Roman" w:eastAsia="新細明體" w:hAnsi="Times New Roman"/>
          <w:sz w:val="24"/>
          <w:szCs w:val="24"/>
        </w:rPr>
        <w:t>SANSHIN ELECTRONICS CO., LTD. is principally engaged in the trading of semiconductor and electronic components. The Company operates in two business segments. The Device segment is involved in the sale, import and export of semiconductor and electronic components, and the provision of technical services and information related to semiconductor and electronic components. The Solution segment is involved in the sale, import and export of electronic equipment, and the provision of technical services related to information communication systems, among others. As of March 31, 2014, the Company had 12 subsidiaries.</w:t>
      </w:r>
    </w:p>
    <w:p w:rsidR="00B63EA4" w:rsidRPr="00DA0522" w:rsidRDefault="00B63EA4" w:rsidP="00B63EA4">
      <w:pPr>
        <w:pStyle w:val="Normal8"/>
        <w:rPr>
          <w:rFonts w:eastAsia="新細明體"/>
          <w:lang w:eastAsia="zh-TW"/>
        </w:rPr>
      </w:pPr>
    </w:p>
    <w:p w:rsidR="00B63EA4" w:rsidRPr="00B63EA4" w:rsidRDefault="00B63EA4" w:rsidP="006106D4">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lastRenderedPageBreak/>
        <w:t xml:space="preserve"> Tokai Electronics Co Ltd</w:t>
      </w:r>
    </w:p>
    <w:p w:rsidR="00B63EA4" w:rsidRPr="00DA0522" w:rsidRDefault="00A77170" w:rsidP="00B63EA4">
      <w:pPr>
        <w:pStyle w:val="Normal8"/>
        <w:rPr>
          <w:rFonts w:eastAsia="新細明體"/>
          <w:lang w:eastAsia="zh-TW"/>
        </w:rPr>
      </w:pPr>
      <w:r w:rsidRPr="00A77170">
        <w:rPr>
          <w:rFonts w:ascii="Times New Roman" w:eastAsia="新細明體" w:hAnsi="Times New Roman"/>
          <w:sz w:val="24"/>
          <w:szCs w:val="24"/>
        </w:rPr>
        <w:t>TOKAI ELECTRONICS CO., LTD. is principally engaged in the sale of electronic parts and related products. Along with its subsidiaries, the Company is mainly engaged in the sale of functional materials, electronics devices, semiconductor devices, medical equipment, energy-related products and environment-related products, among others. Through its subsidiaries, the Company is also engaged in the sale of control machinery products, the development and sale of software, as well as the provision of maintenance and management services for real estate and facilities. As of March 31, 2014, the Company had 12 subsidiaries</w:t>
      </w:r>
      <w:r>
        <w:rPr>
          <w:rFonts w:ascii="Times New Roman" w:eastAsia="新細明體" w:hAnsi="Times New Roman" w:hint="eastAsia"/>
          <w:sz w:val="24"/>
          <w:szCs w:val="24"/>
          <w:lang w:eastAsia="zh-TW"/>
        </w:rPr>
        <w:t>.</w:t>
      </w:r>
    </w:p>
    <w:p w:rsidR="00B63EA4" w:rsidRPr="00B63EA4" w:rsidRDefault="00B63EA4" w:rsidP="006106D4">
      <w:pPr>
        <w:pStyle w:val="SectionLevel5"/>
        <w:numPr>
          <w:ilvl w:val="0"/>
          <w:numId w:val="5"/>
        </w:numPr>
        <w:spacing w:before="240"/>
        <w:rPr>
          <w:rFonts w:ascii="Times New Roman" w:eastAsia="標楷體" w:hAnsi="Times New Roman" w:cs="Times New Roman"/>
          <w:color w:val="auto"/>
          <w:kern w:val="2"/>
          <w:sz w:val="26"/>
          <w:szCs w:val="26"/>
          <w:lang w:eastAsia="zh-TW"/>
        </w:rPr>
      </w:pPr>
      <w:r w:rsidRPr="00B63EA4">
        <w:rPr>
          <w:rFonts w:ascii="Times New Roman" w:eastAsia="標楷體" w:hAnsi="Times New Roman" w:cs="Times New Roman"/>
          <w:color w:val="auto"/>
          <w:kern w:val="2"/>
          <w:sz w:val="26"/>
          <w:szCs w:val="26"/>
          <w:lang w:eastAsia="zh-TW"/>
        </w:rPr>
        <w:t xml:space="preserve"> Tokyo Electron Device Ltd</w:t>
      </w:r>
    </w:p>
    <w:p w:rsidR="000B7051" w:rsidRPr="00B63EA4" w:rsidRDefault="00A77170" w:rsidP="00CA5702">
      <w:pPr>
        <w:rPr>
          <w:kern w:val="0"/>
        </w:rPr>
        <w:sectPr w:rsidR="000B7051" w:rsidRPr="00B63EA4" w:rsidSect="006B72E6">
          <w:headerReference w:type="default" r:id="rId18"/>
          <w:footerReference w:type="even" r:id="rId19"/>
          <w:footerReference w:type="default" r:id="rId20"/>
          <w:pgSz w:w="11906" w:h="16838"/>
          <w:pgMar w:top="2160" w:right="1440" w:bottom="1814" w:left="1440" w:header="851" w:footer="567" w:gutter="567"/>
          <w:pgNumType w:start="1" w:chapSep="enDash"/>
          <w:cols w:space="425"/>
          <w:docGrid w:type="linesAndChars" w:linePitch="360"/>
        </w:sectPr>
      </w:pPr>
      <w:r w:rsidRPr="00A77170">
        <w:rPr>
          <w:noProof/>
          <w:kern w:val="0"/>
          <w:lang w:eastAsia="en-US"/>
        </w:rPr>
        <w:t>TOKYO ELECTRON DEVICE LIMITED is a company mainly engaged in the sale of semiconductor electronic parts. The Company has two business segments. The Semiconductors and Electronic Devices segment sells micro processors, memory integrated circuits (ICs) such as flash memories, custom ICs, general purpose ICs, specialty ICs, optical parts such as light-emitting diodes and photo couplers, as well as other electronics parts. The Computer Systems segment sells software, as well as storages and network equipments. As of March 31, 2015, the Company had seven subsidiaries, one associated company and one affiliated company.</w:t>
      </w:r>
    </w:p>
    <w:p w:rsidR="009D2474" w:rsidRPr="00D44C3A" w:rsidRDefault="00D44C3A" w:rsidP="00D44C3A">
      <w:r>
        <w:rPr>
          <w:noProof/>
        </w:rPr>
        <w:lastRenderedPageBreak/>
        <w:drawing>
          <wp:inline distT="0" distB="0" distL="0" distR="0" wp14:anchorId="2ABA640A" wp14:editId="4B9C951F">
            <wp:extent cx="5371465" cy="239415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1465" cy="2394156"/>
                    </a:xfrm>
                    <a:prstGeom prst="rect">
                      <a:avLst/>
                    </a:prstGeom>
                  </pic:spPr>
                </pic:pic>
              </a:graphicData>
            </a:graphic>
          </wp:inline>
        </w:drawing>
      </w:r>
    </w:p>
    <w:p w:rsidR="001633EF" w:rsidRPr="00121A87" w:rsidRDefault="00D44C3A" w:rsidP="00121A87">
      <w:pPr>
        <w:tabs>
          <w:tab w:val="right" w:pos="9360"/>
        </w:tabs>
        <w:autoSpaceDE w:val="0"/>
        <w:autoSpaceDN w:val="0"/>
        <w:adjustRightInd w:val="0"/>
        <w:spacing w:before="120" w:after="120"/>
        <w:rPr>
          <w:rFonts w:cs="Arial"/>
          <w:b/>
          <w:bCs/>
          <w:szCs w:val="20"/>
        </w:rPr>
      </w:pPr>
      <w:r>
        <w:rPr>
          <w:noProof/>
        </w:rPr>
        <w:drawing>
          <wp:inline distT="0" distB="0" distL="0" distR="0" wp14:anchorId="7D6DADBC" wp14:editId="73AEFDEE">
            <wp:extent cx="5371465" cy="70997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1465" cy="709978"/>
                    </a:xfrm>
                    <a:prstGeom prst="rect">
                      <a:avLst/>
                    </a:prstGeom>
                  </pic:spPr>
                </pic:pic>
              </a:graphicData>
            </a:graphic>
          </wp:inline>
        </w:drawing>
      </w:r>
    </w:p>
    <w:p w:rsidR="00121A87" w:rsidRPr="00EF1107" w:rsidRDefault="00121A87" w:rsidP="001714DF">
      <w:pPr>
        <w:widowControl/>
        <w:rPr>
          <w:b/>
          <w:bCs/>
          <w:kern w:val="0"/>
        </w:rPr>
        <w:sectPr w:rsidR="00121A87" w:rsidRPr="00EF1107" w:rsidSect="006B72E6">
          <w:headerReference w:type="default" r:id="rId23"/>
          <w:footerReference w:type="even" r:id="rId24"/>
          <w:footerReference w:type="default" r:id="rId25"/>
          <w:pgSz w:w="11906" w:h="16838"/>
          <w:pgMar w:top="2160" w:right="1440" w:bottom="1814" w:left="1440" w:header="851" w:footer="567" w:gutter="567"/>
          <w:pgNumType w:start="1" w:chapSep="enDash"/>
          <w:cols w:space="425"/>
          <w:docGrid w:type="linesAndChars" w:linePitch="360"/>
        </w:sectPr>
      </w:pPr>
      <w:r>
        <w:rPr>
          <w:noProof/>
        </w:rPr>
        <w:drawing>
          <wp:inline distT="0" distB="0" distL="0" distR="0" wp14:anchorId="0507E056" wp14:editId="20CE5EF8">
            <wp:extent cx="5403850" cy="355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41811" cy="358098"/>
                    </a:xfrm>
                    <a:prstGeom prst="rect">
                      <a:avLst/>
                    </a:prstGeom>
                  </pic:spPr>
                </pic:pic>
              </a:graphicData>
            </a:graphic>
          </wp:inline>
        </w:drawing>
      </w:r>
    </w:p>
    <w:tbl>
      <w:tblPr>
        <w:tblW w:w="8580" w:type="dxa"/>
        <w:tblInd w:w="13" w:type="dxa"/>
        <w:tblCellMar>
          <w:left w:w="28" w:type="dxa"/>
          <w:right w:w="28" w:type="dxa"/>
        </w:tblCellMar>
        <w:tblLook w:val="04A0" w:firstRow="1" w:lastRow="0" w:firstColumn="1" w:lastColumn="0" w:noHBand="0" w:noVBand="1"/>
      </w:tblPr>
      <w:tblGrid>
        <w:gridCol w:w="378"/>
        <w:gridCol w:w="4330"/>
        <w:gridCol w:w="478"/>
        <w:gridCol w:w="560"/>
        <w:gridCol w:w="600"/>
        <w:gridCol w:w="526"/>
        <w:gridCol w:w="471"/>
        <w:gridCol w:w="1237"/>
      </w:tblGrid>
      <w:tr w:rsidR="00D44C3A" w:rsidRPr="00D44C3A" w:rsidTr="00D44C3A">
        <w:trPr>
          <w:trHeight w:val="315"/>
          <w:tblHeader/>
        </w:trPr>
        <w:tc>
          <w:tcPr>
            <w:tcW w:w="37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lastRenderedPageBreak/>
              <w:t>編號</w:t>
            </w:r>
          </w:p>
        </w:tc>
        <w:tc>
          <w:tcPr>
            <w:tcW w:w="433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公司名稱</w:t>
            </w:r>
          </w:p>
        </w:tc>
        <w:tc>
          <w:tcPr>
            <w:tcW w:w="47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D44C3A" w:rsidRPr="00D44C3A" w:rsidRDefault="00D44C3A" w:rsidP="00D44C3A">
            <w:pPr>
              <w:widowControl/>
              <w:spacing w:before="100" w:beforeAutospacing="1"/>
              <w:jc w:val="center"/>
              <w:rPr>
                <w:b/>
                <w:bCs/>
                <w:color w:val="000000"/>
                <w:kern w:val="0"/>
                <w:sz w:val="20"/>
                <w:szCs w:val="20"/>
              </w:rPr>
            </w:pPr>
            <w:r w:rsidRPr="00D44C3A">
              <w:rPr>
                <w:b/>
                <w:bCs/>
                <w:color w:val="000000"/>
                <w:kern w:val="0"/>
                <w:sz w:val="20"/>
                <w:szCs w:val="20"/>
              </w:rPr>
              <w:t>SIC</w:t>
            </w:r>
          </w:p>
        </w:tc>
        <w:tc>
          <w:tcPr>
            <w:tcW w:w="1160" w:type="dxa"/>
            <w:gridSpan w:val="2"/>
            <w:tcBorders>
              <w:top w:val="single" w:sz="4" w:space="0" w:color="auto"/>
              <w:left w:val="nil"/>
              <w:bottom w:val="single" w:sz="4" w:space="0" w:color="auto"/>
              <w:right w:val="single" w:sz="4" w:space="0" w:color="auto"/>
            </w:tcBorders>
            <w:shd w:val="clear" w:color="000000" w:fill="BFBFBF"/>
            <w:noWrap/>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定量篩選</w:t>
            </w:r>
          </w:p>
        </w:tc>
        <w:tc>
          <w:tcPr>
            <w:tcW w:w="526" w:type="dxa"/>
            <w:tcBorders>
              <w:top w:val="single" w:sz="4" w:space="0" w:color="auto"/>
              <w:left w:val="nil"/>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拒絕</w:t>
            </w:r>
          </w:p>
        </w:tc>
        <w:tc>
          <w:tcPr>
            <w:tcW w:w="47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接受</w:t>
            </w:r>
          </w:p>
        </w:tc>
        <w:tc>
          <w:tcPr>
            <w:tcW w:w="123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拒絕原因</w:t>
            </w:r>
          </w:p>
        </w:tc>
      </w:tr>
      <w:tr w:rsidR="00D44C3A" w:rsidRPr="00D44C3A" w:rsidTr="00D44C3A">
        <w:trPr>
          <w:trHeight w:val="450"/>
          <w:tblHeader/>
        </w:trPr>
        <w:tc>
          <w:tcPr>
            <w:tcW w:w="378" w:type="dxa"/>
            <w:vMerge/>
            <w:tcBorders>
              <w:top w:val="single" w:sz="4" w:space="0" w:color="auto"/>
              <w:left w:val="single" w:sz="4" w:space="0" w:color="auto"/>
              <w:bottom w:val="single" w:sz="4" w:space="0" w:color="auto"/>
              <w:right w:val="single" w:sz="4" w:space="0" w:color="auto"/>
            </w:tcBorders>
            <w:vAlign w:val="center"/>
            <w:hideMark/>
          </w:tcPr>
          <w:p w:rsidR="00D44C3A" w:rsidRPr="00D44C3A" w:rsidRDefault="00D44C3A" w:rsidP="00D44C3A">
            <w:pPr>
              <w:widowControl/>
              <w:rPr>
                <w:rFonts w:ascii="標楷體" w:eastAsia="標楷體" w:hAnsi="標楷體" w:cs="Arial"/>
                <w:b/>
                <w:bCs/>
                <w:color w:val="000000"/>
                <w:kern w:val="0"/>
                <w:sz w:val="20"/>
                <w:szCs w:val="20"/>
              </w:rPr>
            </w:pPr>
          </w:p>
        </w:tc>
        <w:tc>
          <w:tcPr>
            <w:tcW w:w="4330" w:type="dxa"/>
            <w:vMerge/>
            <w:tcBorders>
              <w:top w:val="single" w:sz="4" w:space="0" w:color="auto"/>
              <w:left w:val="single" w:sz="4" w:space="0" w:color="auto"/>
              <w:bottom w:val="single" w:sz="4" w:space="0" w:color="auto"/>
              <w:right w:val="single" w:sz="4" w:space="0" w:color="auto"/>
            </w:tcBorders>
            <w:vAlign w:val="center"/>
            <w:hideMark/>
          </w:tcPr>
          <w:p w:rsidR="00D44C3A" w:rsidRPr="00D44C3A" w:rsidRDefault="00D44C3A" w:rsidP="00D44C3A">
            <w:pPr>
              <w:widowControl/>
              <w:rPr>
                <w:rFonts w:ascii="標楷體" w:eastAsia="標楷體" w:hAnsi="標楷體" w:cs="Arial"/>
                <w:b/>
                <w:bCs/>
                <w:color w:val="000000"/>
                <w:kern w:val="0"/>
                <w:sz w:val="20"/>
                <w:szCs w:val="20"/>
              </w:rPr>
            </w:pPr>
          </w:p>
        </w:tc>
        <w:tc>
          <w:tcPr>
            <w:tcW w:w="478" w:type="dxa"/>
            <w:vMerge/>
            <w:tcBorders>
              <w:top w:val="single" w:sz="4" w:space="0" w:color="auto"/>
              <w:left w:val="single" w:sz="4" w:space="0" w:color="auto"/>
              <w:bottom w:val="single" w:sz="4" w:space="0" w:color="auto"/>
              <w:right w:val="single" w:sz="4" w:space="0" w:color="auto"/>
            </w:tcBorders>
            <w:vAlign w:val="center"/>
            <w:hideMark/>
          </w:tcPr>
          <w:p w:rsidR="00D44C3A" w:rsidRPr="00D44C3A" w:rsidRDefault="00D44C3A" w:rsidP="00D44C3A">
            <w:pPr>
              <w:widowControl/>
              <w:rPr>
                <w:b/>
                <w:bCs/>
                <w:color w:val="000000"/>
                <w:kern w:val="0"/>
                <w:sz w:val="20"/>
                <w:szCs w:val="20"/>
              </w:rPr>
            </w:pPr>
          </w:p>
        </w:tc>
        <w:tc>
          <w:tcPr>
            <w:tcW w:w="560" w:type="dxa"/>
            <w:tcBorders>
              <w:top w:val="nil"/>
              <w:left w:val="nil"/>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定性</w:t>
            </w:r>
          </w:p>
        </w:tc>
        <w:tc>
          <w:tcPr>
            <w:tcW w:w="600" w:type="dxa"/>
            <w:tcBorders>
              <w:top w:val="nil"/>
              <w:left w:val="nil"/>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業務</w:t>
            </w:r>
          </w:p>
        </w:tc>
        <w:tc>
          <w:tcPr>
            <w:tcW w:w="526" w:type="dxa"/>
            <w:tcBorders>
              <w:top w:val="nil"/>
              <w:left w:val="nil"/>
              <w:bottom w:val="single" w:sz="4" w:space="0" w:color="auto"/>
              <w:right w:val="single" w:sz="4" w:space="0" w:color="auto"/>
            </w:tcBorders>
            <w:shd w:val="clear" w:color="000000" w:fill="BFBFBF"/>
            <w:vAlign w:val="center"/>
            <w:hideMark/>
          </w:tcPr>
          <w:p w:rsidR="00D44C3A" w:rsidRPr="00D44C3A" w:rsidRDefault="00D44C3A" w:rsidP="00D44C3A">
            <w:pPr>
              <w:widowControl/>
              <w:jc w:val="center"/>
              <w:rPr>
                <w:rFonts w:ascii="標楷體" w:eastAsia="標楷體" w:hAnsi="標楷體" w:cs="Arial"/>
                <w:b/>
                <w:bCs/>
                <w:color w:val="000000"/>
                <w:kern w:val="0"/>
                <w:sz w:val="20"/>
                <w:szCs w:val="20"/>
              </w:rPr>
            </w:pPr>
            <w:r w:rsidRPr="00D44C3A">
              <w:rPr>
                <w:rFonts w:ascii="標楷體" w:eastAsia="標楷體" w:hAnsi="標楷體" w:cs="Arial" w:hint="eastAsia"/>
                <w:b/>
                <w:bCs/>
                <w:color w:val="000000"/>
                <w:kern w:val="0"/>
                <w:sz w:val="20"/>
                <w:szCs w:val="20"/>
              </w:rPr>
              <w:t>覆核</w:t>
            </w:r>
          </w:p>
        </w:tc>
        <w:tc>
          <w:tcPr>
            <w:tcW w:w="471" w:type="dxa"/>
            <w:vMerge/>
            <w:tcBorders>
              <w:top w:val="single" w:sz="4" w:space="0" w:color="auto"/>
              <w:left w:val="single" w:sz="4" w:space="0" w:color="auto"/>
              <w:bottom w:val="single" w:sz="4" w:space="0" w:color="auto"/>
              <w:right w:val="single" w:sz="4" w:space="0" w:color="auto"/>
            </w:tcBorders>
            <w:vAlign w:val="center"/>
            <w:hideMark/>
          </w:tcPr>
          <w:p w:rsidR="00D44C3A" w:rsidRPr="00D44C3A" w:rsidRDefault="00D44C3A" w:rsidP="00D44C3A">
            <w:pPr>
              <w:widowControl/>
              <w:rPr>
                <w:rFonts w:ascii="標楷體" w:eastAsia="標楷體" w:hAnsi="標楷體" w:cs="Arial"/>
                <w:b/>
                <w:bCs/>
                <w:color w:val="000000"/>
                <w:kern w:val="0"/>
                <w:sz w:val="20"/>
                <w:szCs w:val="20"/>
              </w:rPr>
            </w:pPr>
          </w:p>
        </w:tc>
        <w:tc>
          <w:tcPr>
            <w:tcW w:w="1237" w:type="dxa"/>
            <w:vMerge/>
            <w:tcBorders>
              <w:top w:val="single" w:sz="4" w:space="0" w:color="auto"/>
              <w:left w:val="single" w:sz="4" w:space="0" w:color="auto"/>
              <w:bottom w:val="single" w:sz="4" w:space="0" w:color="auto"/>
              <w:right w:val="single" w:sz="4" w:space="0" w:color="auto"/>
            </w:tcBorders>
            <w:vAlign w:val="center"/>
            <w:hideMark/>
          </w:tcPr>
          <w:p w:rsidR="00D44C3A" w:rsidRPr="00D44C3A" w:rsidRDefault="00D44C3A" w:rsidP="00D44C3A">
            <w:pPr>
              <w:widowControl/>
              <w:rPr>
                <w:rFonts w:ascii="標楷體" w:eastAsia="標楷體" w:hAnsi="標楷體" w:cs="Arial"/>
                <w:b/>
                <w:bCs/>
                <w:color w:val="000000"/>
                <w:kern w:val="0"/>
                <w:sz w:val="20"/>
                <w:szCs w:val="20"/>
              </w:rPr>
            </w:pP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bookmarkStart w:id="5" w:name="RANGE!B3:H220"/>
            <w:r w:rsidRPr="00D44C3A">
              <w:rPr>
                <w:kern w:val="0"/>
                <w:sz w:val="20"/>
                <w:szCs w:val="20"/>
              </w:rPr>
              <w:t>3S Korea Co Ltd</w:t>
            </w:r>
            <w:bookmarkEnd w:id="5"/>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Adept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Advanced Process Systems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AIXTRON SE</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AIXTRON SE (ADR)</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All Ring 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Amba Enterprises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AMPOC FAR-EAST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APIC YAMADA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Asia Tele-Net &amp; Technology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ASM International NV (ADR)</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ASM International NV (Amsterdam)</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ASM Pacific Technology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ASML Holding NV</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ASML Holding NV (ADR)</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ASTI Holdings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AT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Aurotek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Avaco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Aval Data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Axcelis Technologies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BE Semiconductor Industrs NV (USA)</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Beijing New Universal Scie &amp; 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Beijing Quanyou Time Sci and 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Binh Trieu Construction &amp; Enginering JSC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 SUN MFG.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Calitech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Cavotec SA</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centrotherm photovoltaics AG</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Cerinnov Group SA</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Charm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Chen Full International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33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Chien Wei Precise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Chime Ball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China National Materials Company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Ching Chan Optical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CITIC Heavy Industries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Contrel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39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Cosmos Machinery Enterprises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CVD Equipment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Cymechs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DA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Dalian Sunlight Machinery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Dalian Zhiyun Automation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DI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DISCO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DMS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DSK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49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E&amp;R Engineering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Eclat Forever Machinery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ELGI Rubber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EO Technics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Equis N Zaroo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Eugene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Ferrotec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Foxsemicon Integrated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Frencken Group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Fujian Excellence Honcha Envrmtl Int Eqp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59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Fujian Haiyuan Automatic Eqpmnts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Gallant Precision Machining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Garb Oil &amp; Power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Genetec Technology Berhad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Global Material Science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Global Standard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65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Global Testing Corp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Gongin Precision Industrial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Grand Kartech Tbk PT</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GRAND PLASTIC TECHNOLOGY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69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Guangdong Jinming Machinery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Guangdong Yizumi Precision Mchnry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Guangdong Zhengye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Hanergy Thin Film Power Group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Hankook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Hanmi Semiconductor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Hanyang Eng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Harbin Boshi Automation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HB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HIRANO TECSEED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79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Hirata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HOLON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Hunan China Sun Pharmactcl Mchnry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 Factory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Impact Coatings AB (publ)</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Innovation For Creative Devices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Interbulls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Intevac,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Invenia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ISC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89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Ishii Hyoki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ISHII TOOL &amp; ENGINEERING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Japan Steel Works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Jastech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Jinyitong Sci AND TechBeijing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JS Huasheng Tianlong Photoelec.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Juki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Jusung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97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Kabra Extrusion Technik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Katy Industries,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99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Kctech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Keen Offshore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Key Ware Electronics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KIMURA CHEMICAL PLANTS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Kodi M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Korea Semiconductor System</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Lanzhou Hua Ye Tech Engr Jt Stck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Laser Tek Taiwan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LB Semicon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Lectra SA</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109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Leed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Lotvacuum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Lung Lung Pien Vacuum Industry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Luoyang North Glass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MagneGas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Manitex International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Manufacturing Integration Technology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Manz AG</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Marketech International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Mattson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119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Mechanical &amp; Industrial Construction JSC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Meere Company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Mesnac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MiCo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Milacron Holdings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Mirae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Mycronic AB (publ)</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Nakamura Choukou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New Power Plasma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128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NISSEI PLASTIC INDUSTRIAL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129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NITCHITSU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NITTOKU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Nova Technology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NuFlare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Odawara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Osaki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Paragon Technologies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Placo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Pontex Polyblend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Precisetech Networks Beijing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139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Protec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PSK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PVA TePla AG</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Quantenna Communications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Riber SA</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Roblon A/S</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RORZE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Rorze Systems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San Lien Technology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Screen Holdings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149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SFA Engineering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SGSB Group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Shandong Huate Magnet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Shandong Juxiang Machinery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Shenzhen Hekeda Precision Clng Eq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Shenzhen JT Automation Equipment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SHIBAURA MECHATRONICS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SHINKAWA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SHINSUNG FA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SHOWA SHINKU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159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Singer India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Singer Industries Ceylon PLC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161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Single Well Industrial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SINGULUS TECHNOLOGIES  AG</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Sinoma International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Skako A/S</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Sntek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SNU Precision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Sono-Tek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Sunedison Semiconductor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169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Suss MicroTec AG</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Suzhou Goldway Technologies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Symtek Automation Asia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Systems Technology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Ta Liang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 xml:space="preserve">　</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Taiwan Kong King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Tambovskiy Zvd Kmsmlt Imn NS Artm AO (P)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Tangshan Jidong Equipment Enginrg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TAZMO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Techwing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179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Tera Autotech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Tera Semicon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Tes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Tex Holdings plc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TIANJIN SAIXIANG TECHNOLOGY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Tokyo Electron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TOKYO OHKA KOGYO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TOKYO SEIMITSU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Top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TOPGREEN TECHNOLOGY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189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Topoint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Toptec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TOWA CORPORATION</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Toyo Machinery Metal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lastRenderedPageBreak/>
              <w:t>193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TRINITY INDUSTRIAL CORP.</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TSE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TSUKISHIMA KIKAI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Ultratech,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UMS Holdings Limited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Union Semiconductor Equipment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199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Unisplendour Technology (Holdings)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Uroica Mining Safety Engineering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Usun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Veeco Instruments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連續3年虧損</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Vessel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Viatron Technologies Inc</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VisDynamics Holdings Berhad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控股公司</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Walchandnagar Industries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Wonik IPS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Wooshin Systems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209</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Wuhan Newway Chenchuang Technology Dev</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210</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Y.A.C.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211</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Yantai Longyuan Power Technology Co.,Ltd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212</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Yest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213</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YUSHIN PRECISION EQUIPMENT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214</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Zeus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215</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ZHEJIANG JINGGONG SCIENCE &amp; TECH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216</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Zhejiang Kefei Technology Co Ltd</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217</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Zhengzhou Coal Mining Machinery Group Co</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r w:rsidR="00D44C3A" w:rsidRPr="00D44C3A" w:rsidTr="00D44C3A">
        <w:trPr>
          <w:trHeight w:val="285"/>
        </w:trPr>
        <w:tc>
          <w:tcPr>
            <w:tcW w:w="378" w:type="dxa"/>
            <w:tcBorders>
              <w:top w:val="nil"/>
              <w:left w:val="single" w:sz="4" w:space="0" w:color="auto"/>
              <w:bottom w:val="single" w:sz="4" w:space="0" w:color="auto"/>
              <w:right w:val="single" w:sz="4" w:space="0" w:color="auto"/>
            </w:tcBorders>
            <w:shd w:val="clear" w:color="auto" w:fill="auto"/>
            <w:noWrap/>
            <w:vAlign w:val="center"/>
            <w:hideMark/>
          </w:tcPr>
          <w:p w:rsidR="00D44C3A" w:rsidRPr="00D44C3A" w:rsidRDefault="00D44C3A" w:rsidP="00D44C3A">
            <w:pPr>
              <w:widowControl/>
              <w:jc w:val="right"/>
              <w:rPr>
                <w:kern w:val="0"/>
                <w:sz w:val="20"/>
                <w:szCs w:val="20"/>
              </w:rPr>
            </w:pPr>
            <w:r w:rsidRPr="00D44C3A">
              <w:rPr>
                <w:kern w:val="0"/>
                <w:sz w:val="20"/>
                <w:szCs w:val="20"/>
              </w:rPr>
              <w:t>218</w:t>
            </w:r>
          </w:p>
        </w:tc>
        <w:tc>
          <w:tcPr>
            <w:tcW w:w="433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Zhengzhou Coal Mining Machinery Group Co</w:t>
            </w:r>
          </w:p>
        </w:tc>
        <w:tc>
          <w:tcPr>
            <w:tcW w:w="478"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3559</w:t>
            </w:r>
          </w:p>
        </w:tc>
        <w:tc>
          <w:tcPr>
            <w:tcW w:w="56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526"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X</w:t>
            </w:r>
          </w:p>
        </w:tc>
        <w:tc>
          <w:tcPr>
            <w:tcW w:w="471"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kern w:val="0"/>
                <w:sz w:val="20"/>
                <w:szCs w:val="20"/>
              </w:rPr>
            </w:pPr>
            <w:r w:rsidRPr="00D44C3A">
              <w:rPr>
                <w:kern w:val="0"/>
                <w:sz w:val="20"/>
                <w:szCs w:val="20"/>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rsidR="00D44C3A" w:rsidRPr="00D44C3A" w:rsidRDefault="00D44C3A" w:rsidP="00D44C3A">
            <w:pPr>
              <w:widowControl/>
              <w:rPr>
                <w:rFonts w:ascii="標楷體" w:eastAsia="標楷體" w:hAnsi="標楷體" w:cs="Arial"/>
                <w:kern w:val="0"/>
                <w:sz w:val="20"/>
                <w:szCs w:val="20"/>
              </w:rPr>
            </w:pPr>
            <w:r w:rsidRPr="00D44C3A">
              <w:rPr>
                <w:rFonts w:ascii="標楷體" w:eastAsia="標楷體" w:hAnsi="標楷體" w:cs="Arial" w:hint="eastAsia"/>
                <w:kern w:val="0"/>
                <w:sz w:val="20"/>
                <w:szCs w:val="20"/>
              </w:rPr>
              <w:t>產品有異</w:t>
            </w:r>
          </w:p>
        </w:tc>
      </w:tr>
    </w:tbl>
    <w:p w:rsidR="00E10942" w:rsidRPr="00EF1107" w:rsidRDefault="00E10942" w:rsidP="00662661">
      <w:pPr>
        <w:rPr>
          <w:b/>
          <w:sz w:val="28"/>
          <w:szCs w:val="28"/>
        </w:rPr>
      </w:pPr>
    </w:p>
    <w:p w:rsidR="00EA3CAF" w:rsidRPr="00EF1107" w:rsidRDefault="00EA3CAF" w:rsidP="00872D2E">
      <w:pPr>
        <w:rPr>
          <w:bCs/>
        </w:rPr>
        <w:sectPr w:rsidR="00EA3CAF" w:rsidRPr="00EF1107" w:rsidSect="006B72E6">
          <w:headerReference w:type="default" r:id="rId27"/>
          <w:footerReference w:type="even" r:id="rId28"/>
          <w:footerReference w:type="default" r:id="rId29"/>
          <w:pgSz w:w="11906" w:h="16838"/>
          <w:pgMar w:top="2160" w:right="1440" w:bottom="1814" w:left="1440" w:header="851" w:footer="567" w:gutter="567"/>
          <w:pgNumType w:start="1" w:chapSep="enDash"/>
          <w:cols w:space="425"/>
          <w:docGrid w:type="linesAndChars" w:linePitch="360"/>
        </w:sectPr>
      </w:pPr>
    </w:p>
    <w:p w:rsidR="009D2474" w:rsidRPr="009D2474" w:rsidRDefault="00121A87"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121A87">
        <w:rPr>
          <w:rFonts w:ascii="Times New Roman" w:eastAsia="標楷體" w:hAnsi="Times New Roman" w:cs="Times New Roman"/>
          <w:color w:val="auto"/>
          <w:kern w:val="2"/>
          <w:sz w:val="26"/>
          <w:szCs w:val="26"/>
          <w:lang w:eastAsia="zh-TW"/>
        </w:rPr>
        <w:lastRenderedPageBreak/>
        <w:t>AMPOC FAR-EAST CO.,LTD</w:t>
      </w:r>
    </w:p>
    <w:p w:rsidR="009D2474" w:rsidRDefault="00121A87" w:rsidP="00121A87">
      <w:r w:rsidRPr="00DA0522">
        <w:t>AMPOC FAR-EAST CO., LTD. is a Taiwan-based company principally engaged in the manufacture, packaging and distribution of equipment and related consumptive materials. The Company’s primary products include the production and testing equipment of printed circuit boards (PCBs), semiconductors, integrated circuit (IC) wafers, liquid crystal display (LCD) products, micro electro mechanical systems (MEMSs), light emitting diode (LED) products and organic light emitting diode (OLED) products. The Company is also engaged in the production of related chemicals and chemical syrup. The Company mainly distributes its products within domestic market and to overseas markets, including Southeast Asia, the Americas, Japan and others.</w:t>
      </w:r>
    </w:p>
    <w:p w:rsidR="00121A87" w:rsidRPr="00121A87" w:rsidRDefault="00121A87" w:rsidP="00121A87"/>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APIC YAMADA CORPORATION</w:t>
      </w:r>
    </w:p>
    <w:p w:rsidR="009D2474" w:rsidRDefault="00121A87" w:rsidP="00121A87">
      <w:r w:rsidRPr="00DA0522">
        <w:t xml:space="preserve">APIC YAMADA CORPORATION is a Japan-based company mainly engaged in the manufacture and sale of electronic component assembly equipment and electronic components. The Company operates in three business segments. The Electronic Component Assembly segment provides molding equipment, molded dies, </w:t>
      </w:r>
      <w:proofErr w:type="gramStart"/>
      <w:r w:rsidRPr="00DA0522">
        <w:t>lead</w:t>
      </w:r>
      <w:proofErr w:type="gramEnd"/>
      <w:r w:rsidRPr="00DA0522">
        <w:t xml:space="preserve">-processing machinery and test handlers. The Electronic Component segment provides lead frames and electronic telecommunications parts. The </w:t>
      </w:r>
      <w:proofErr w:type="gramStart"/>
      <w:r w:rsidRPr="00DA0522">
        <w:t>Others</w:t>
      </w:r>
      <w:proofErr w:type="gramEnd"/>
      <w:r w:rsidRPr="00DA0522">
        <w:t xml:space="preserve"> segment provides lead-processing dies and lead frame dies. As of March 31, 2013, the Company had six subsidiaries and three associated companies.</w:t>
      </w:r>
    </w:p>
    <w:p w:rsidR="00121A87" w:rsidRPr="00121A87" w:rsidRDefault="00121A87" w:rsidP="00121A87"/>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Aurotek Corp</w:t>
      </w:r>
    </w:p>
    <w:p w:rsidR="009D2474" w:rsidRPr="009D2474" w:rsidRDefault="00121A87" w:rsidP="009D2474">
      <w:pPr>
        <w:pStyle w:val="Normal8"/>
        <w:rPr>
          <w:rFonts w:ascii="Times New Roman" w:eastAsia="新細明體" w:hAnsi="Times New Roman"/>
          <w:noProof w:val="0"/>
          <w:kern w:val="2"/>
          <w:sz w:val="24"/>
          <w:szCs w:val="24"/>
          <w:lang w:eastAsia="zh-TW"/>
        </w:rPr>
      </w:pPr>
      <w:r w:rsidRPr="00121A87">
        <w:rPr>
          <w:rFonts w:ascii="Times New Roman" w:eastAsia="新細明體" w:hAnsi="Times New Roman"/>
          <w:noProof w:val="0"/>
          <w:kern w:val="2"/>
          <w:sz w:val="24"/>
          <w:szCs w:val="24"/>
          <w:lang w:eastAsia="zh-TW"/>
        </w:rPr>
        <w:t xml:space="preserve">AUROTEK CORPORATION is principally engaged in the manufacture and distribution of automation systems and safety systems. The Company provides printed circuit board (PCB) processing equipment, automation control systems, optical communication component processing equipment, mechanical actuators and patterned sapphire substrates (PSSs). The Company is also involved in the agent distribution of automation drive components, automation transmission components, automatic smoke exhausting systems and structure earthquake-prevention devices. The Company distributes its products primarily </w:t>
      </w:r>
      <w:r>
        <w:rPr>
          <w:rFonts w:ascii="Times New Roman" w:eastAsia="新細明體" w:hAnsi="Times New Roman"/>
          <w:noProof w:val="0"/>
          <w:kern w:val="2"/>
          <w:sz w:val="24"/>
          <w:szCs w:val="24"/>
          <w:lang w:eastAsia="zh-TW"/>
        </w:rPr>
        <w:t>in Asian markets</w:t>
      </w:r>
      <w:r w:rsidR="009D2474" w:rsidRPr="009D2474">
        <w:rPr>
          <w:rFonts w:ascii="Times New Roman" w:eastAsia="新細明體" w:hAnsi="Times New Roman"/>
          <w:noProof w:val="0"/>
          <w:kern w:val="2"/>
          <w:sz w:val="24"/>
          <w:szCs w:val="24"/>
          <w:lang w:eastAsia="zh-TW"/>
        </w:rPr>
        <w:t>.</w:t>
      </w:r>
    </w:p>
    <w:p w:rsidR="009D2474" w:rsidRPr="00DA0522" w:rsidRDefault="009D2474" w:rsidP="009D2474">
      <w:pPr>
        <w:pStyle w:val="Normal8"/>
        <w:rPr>
          <w:lang w:eastAsia="zh-TW"/>
        </w:rPr>
      </w:pPr>
    </w:p>
    <w:p w:rsidR="009D2474" w:rsidRPr="00C92B23"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C92B23">
        <w:rPr>
          <w:rFonts w:ascii="Times New Roman" w:eastAsia="標楷體" w:hAnsi="Times New Roman" w:cs="Times New Roman"/>
          <w:color w:val="auto"/>
          <w:kern w:val="2"/>
          <w:sz w:val="26"/>
          <w:szCs w:val="26"/>
          <w:lang w:eastAsia="zh-TW"/>
        </w:rPr>
        <w:lastRenderedPageBreak/>
        <w:t xml:space="preserve"> </w:t>
      </w:r>
      <w:r w:rsidR="00121A87" w:rsidRPr="00121A87">
        <w:rPr>
          <w:rFonts w:ascii="Times New Roman" w:eastAsia="標楷體" w:hAnsi="Times New Roman" w:cs="Times New Roman"/>
          <w:color w:val="auto"/>
          <w:kern w:val="2"/>
          <w:sz w:val="26"/>
          <w:szCs w:val="26"/>
          <w:lang w:eastAsia="zh-TW"/>
        </w:rPr>
        <w:t>Avaco Co Ltd</w:t>
      </w:r>
    </w:p>
    <w:p w:rsidR="00121A87" w:rsidRDefault="00121A87" w:rsidP="00121A87">
      <w:r w:rsidRPr="00DA0522">
        <w:t>AVACO CO., LTD. is a Korea-based company mainly engaged in the manufacture of flat panel display (FPD) equipment. The Company’s products consist of conveyances, including stockers and maintenance cranes; specialized equipment, including auto claves, scribes and break systems, tab bonders and polarizer film attachment equipment, and vacuum equipment, including evaporation and coating systems, sputter systems, organic light-emitting diode (OLED) encapsulation systems, exhaust and gas filling systems and manufacture equipment for solar cells. The Company distributes its products within domestic market and to overseas markets.</w:t>
      </w:r>
    </w:p>
    <w:p w:rsidR="009D2474" w:rsidRPr="00DA0522" w:rsidRDefault="009D2474" w:rsidP="009D2474">
      <w:pPr>
        <w:pStyle w:val="Normal8"/>
        <w:rPr>
          <w:lang w:eastAsia="zh-TW"/>
        </w:rPr>
      </w:pPr>
    </w:p>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Beijing New Universal Scie &amp; Tech Co Ltd</w:t>
      </w:r>
    </w:p>
    <w:p w:rsidR="009D2474" w:rsidRPr="009D2474" w:rsidRDefault="00121A87" w:rsidP="009D2474">
      <w:pPr>
        <w:pStyle w:val="Normal8"/>
        <w:rPr>
          <w:rFonts w:ascii="Times New Roman" w:eastAsia="新細明體" w:hAnsi="Times New Roman"/>
          <w:noProof w:val="0"/>
          <w:kern w:val="2"/>
          <w:sz w:val="24"/>
          <w:szCs w:val="24"/>
          <w:lang w:eastAsia="zh-TW"/>
        </w:rPr>
      </w:pPr>
      <w:r w:rsidRPr="00121A87">
        <w:rPr>
          <w:rFonts w:ascii="Times New Roman" w:eastAsia="新細明體" w:hAnsi="Times New Roman"/>
          <w:noProof w:val="0"/>
          <w:kern w:val="2"/>
          <w:sz w:val="24"/>
          <w:szCs w:val="24"/>
          <w:lang w:eastAsia="zh-TW"/>
        </w:rPr>
        <w:t>Beijing New Universal Science Technology CO., Ltd. is a China-based company that provides complete solutions of industrial intelligent material conveying and ingredients. The solutions include program design, research and development, equipment manufacture, system integration and sales service. The Company's main products include intelligent environmental protection upstream equipment system for mixer, material pneumatic conveying system and ingredient weighing system, among others.</w:t>
      </w:r>
      <w:r w:rsidR="009D2474" w:rsidRPr="009D2474">
        <w:rPr>
          <w:rFonts w:ascii="Times New Roman" w:eastAsia="新細明體" w:hAnsi="Times New Roman"/>
          <w:noProof w:val="0"/>
          <w:kern w:val="2"/>
          <w:sz w:val="24"/>
          <w:szCs w:val="24"/>
          <w:lang w:eastAsia="zh-TW"/>
        </w:rPr>
        <w:t xml:space="preserve"> </w:t>
      </w:r>
    </w:p>
    <w:p w:rsidR="009D2474" w:rsidRPr="00DA0522" w:rsidRDefault="009D2474" w:rsidP="009D2474">
      <w:pPr>
        <w:pStyle w:val="Normal8"/>
        <w:rPr>
          <w:lang w:eastAsia="zh-TW"/>
        </w:rPr>
      </w:pPr>
    </w:p>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Charm Engineering Co Ltd</w:t>
      </w:r>
    </w:p>
    <w:p w:rsidR="009D2474" w:rsidRPr="00DA0522" w:rsidRDefault="00121A87" w:rsidP="009D2474">
      <w:pPr>
        <w:pStyle w:val="Normal8"/>
        <w:rPr>
          <w:lang w:eastAsia="zh-TW"/>
        </w:rPr>
      </w:pPr>
      <w:r w:rsidRPr="00121A87">
        <w:rPr>
          <w:rFonts w:ascii="Times New Roman" w:eastAsia="新細明體" w:hAnsi="Times New Roman"/>
          <w:noProof w:val="0"/>
          <w:kern w:val="2"/>
          <w:sz w:val="24"/>
          <w:szCs w:val="24"/>
          <w:lang w:eastAsia="zh-TW"/>
        </w:rPr>
        <w:t>Charm Engineering Co, Ltd. is a Korea-based company engaged in the manufacture of equipment for liquid crystal displays (LCDs) and semiconductors. The Company operates its business under four segments: flat panel display (FPD) segment, semiconductor segment, real estate segment and other business segment. Its FPD segment provides repairing equipment, including array laser repair, array laser chemical vapor deposition (CVD) repair and cell repair equipment, laser trimmers, tape polishing repair, ink repair and module repair equipment and others. Its semiconductor segment provides wafer bevel etching equipment. Its real estate segment engages in the sale of apartments. Its other business segment provides multiprotocol access equipment, and operates real estate rental business.</w:t>
      </w:r>
    </w:p>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DSK CO LTD</w:t>
      </w:r>
    </w:p>
    <w:p w:rsidR="009D2474" w:rsidRDefault="00121A87" w:rsidP="00121A87">
      <w:pPr>
        <w:pStyle w:val="Normal8"/>
        <w:rPr>
          <w:rFonts w:ascii="Times New Roman" w:eastAsia="新細明體" w:hAnsi="Times New Roman"/>
          <w:noProof w:val="0"/>
          <w:kern w:val="2"/>
          <w:sz w:val="24"/>
          <w:szCs w:val="24"/>
          <w:lang w:eastAsia="zh-TW"/>
        </w:rPr>
      </w:pPr>
      <w:r w:rsidRPr="00121A87">
        <w:rPr>
          <w:rFonts w:ascii="Times New Roman" w:eastAsia="新細明體" w:hAnsi="Times New Roman"/>
          <w:noProof w:val="0"/>
          <w:kern w:val="2"/>
          <w:sz w:val="24"/>
          <w:szCs w:val="24"/>
          <w:lang w:eastAsia="zh-TW"/>
        </w:rPr>
        <w:t xml:space="preserve">DSK CO., LTD. is a Korea-based company engaged in the manufacture of flat panel display (FPD) equipment. The Company’s products consist of printed circuit boards </w:t>
      </w:r>
      <w:r w:rsidRPr="00121A87">
        <w:rPr>
          <w:rFonts w:ascii="Times New Roman" w:eastAsia="新細明體" w:hAnsi="Times New Roman"/>
          <w:noProof w:val="0"/>
          <w:kern w:val="2"/>
          <w:sz w:val="24"/>
          <w:szCs w:val="24"/>
          <w:lang w:eastAsia="zh-TW"/>
        </w:rPr>
        <w:lastRenderedPageBreak/>
        <w:t>(PCB) bonding machine systems, in-line systems, linear systems, vision systems, robots, servomechanisms and photo mapping sensors. The Company mainly supplies its products to liquid crystal display (LCD) panels, televisions (TVs), monitors, laptops and other manufacturers. It also engages in the office building rental business. The Company distributes its products within domestic market and to overseas markets.</w:t>
      </w:r>
    </w:p>
    <w:p w:rsidR="00121A87" w:rsidRPr="00121A87" w:rsidRDefault="00121A87" w:rsidP="00121A87">
      <w:pPr>
        <w:pStyle w:val="Normal8"/>
        <w:rPr>
          <w:rFonts w:ascii="Times New Roman" w:eastAsia="新細明體" w:hAnsi="Times New Roman"/>
          <w:noProof w:val="0"/>
          <w:kern w:val="2"/>
          <w:sz w:val="24"/>
          <w:szCs w:val="24"/>
          <w:lang w:eastAsia="zh-TW"/>
        </w:rPr>
      </w:pPr>
    </w:p>
    <w:p w:rsidR="009D2474" w:rsidRPr="009D2474" w:rsidRDefault="009D2474" w:rsidP="006106D4">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DSK CO LTD</w:t>
      </w:r>
    </w:p>
    <w:p w:rsidR="009D2474" w:rsidRDefault="009D2474" w:rsidP="00121A87">
      <w:pPr>
        <w:pStyle w:val="Normal8"/>
        <w:rPr>
          <w:rFonts w:ascii="Times New Roman" w:eastAsia="新細明體" w:hAnsi="Times New Roman"/>
          <w:noProof w:val="0"/>
          <w:kern w:val="2"/>
          <w:sz w:val="24"/>
          <w:szCs w:val="24"/>
          <w:lang w:eastAsia="zh-TW"/>
        </w:rPr>
      </w:pPr>
      <w:r w:rsidRPr="009D2474">
        <w:rPr>
          <w:rFonts w:ascii="Times New Roman" w:eastAsia="新細明體" w:hAnsi="Times New Roman"/>
          <w:noProof w:val="0"/>
          <w:kern w:val="2"/>
          <w:sz w:val="24"/>
          <w:szCs w:val="24"/>
          <w:lang w:eastAsia="zh-TW"/>
        </w:rPr>
        <w:t xml:space="preserve">DSK CO., LTD. is a Korea-based company engaged in the manufacture of flat panel display (FPD) equipment. The Company’s products consist of printed circuit boards (PCB) bonding machine systems, in-line systems, linear systems, vision systems, robots, servomechanisms and photo mapping sensors. The Company mainly supplies its products to liquid crystal display (LCD) panels, televisions (TVs), monitors, laptops and other manufacturers. It also engages in the office building rental business. The Company distributes its products within domestic market and to overseas markets. </w:t>
      </w:r>
    </w:p>
    <w:p w:rsidR="00121A87" w:rsidRPr="00121A87" w:rsidRDefault="00121A87" w:rsidP="00121A87">
      <w:pPr>
        <w:pStyle w:val="Normal8"/>
        <w:rPr>
          <w:rFonts w:ascii="Times New Roman" w:eastAsia="新細明體" w:hAnsi="Times New Roman"/>
          <w:noProof w:val="0"/>
          <w:kern w:val="2"/>
          <w:sz w:val="24"/>
          <w:szCs w:val="24"/>
          <w:lang w:eastAsia="zh-TW"/>
        </w:rPr>
      </w:pPr>
    </w:p>
    <w:p w:rsidR="009D2474" w:rsidRPr="009D2474" w:rsidRDefault="009D2474" w:rsidP="006106D4">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E&amp;R Engineering Corp</w:t>
      </w:r>
    </w:p>
    <w:p w:rsidR="009D2474" w:rsidRPr="009D2474" w:rsidRDefault="009D2474" w:rsidP="009D2474">
      <w:pPr>
        <w:pStyle w:val="Normal8"/>
        <w:rPr>
          <w:rFonts w:ascii="Times New Roman" w:eastAsia="新細明體" w:hAnsi="Times New Roman"/>
          <w:noProof w:val="0"/>
          <w:kern w:val="2"/>
          <w:sz w:val="24"/>
          <w:szCs w:val="24"/>
          <w:lang w:eastAsia="zh-TW"/>
        </w:rPr>
      </w:pPr>
      <w:r w:rsidRPr="009D2474">
        <w:rPr>
          <w:rFonts w:ascii="Times New Roman" w:eastAsia="新細明體" w:hAnsi="Times New Roman"/>
          <w:noProof w:val="0"/>
          <w:kern w:val="2"/>
          <w:sz w:val="24"/>
          <w:szCs w:val="24"/>
          <w:lang w:eastAsia="zh-TW"/>
        </w:rPr>
        <w:t xml:space="preserve">E&amp;R ENGINEERING CORPORATION is principally engaged in the manufacture and sale of packaging and testing equipment for semiconductors and electronics. The Company’s products consist of laser markers, plasma cleaning machines, dispensers, molding cutting equipment, embossed carrier tapes, flexible printed circuit (FPC) equipment and related components, as well as automation equipment, among others. The Company’s products are mainly applied in semiconductor industry. The Company distributes its products within domestic market and to overseas markets. </w:t>
      </w:r>
    </w:p>
    <w:p w:rsidR="009D2474" w:rsidRPr="009D2474" w:rsidRDefault="009D2474" w:rsidP="006106D4">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Guangdong Zhengye Technology Co Ltd</w:t>
      </w:r>
    </w:p>
    <w:p w:rsidR="009D2474" w:rsidRDefault="00121A87" w:rsidP="00121A87">
      <w:r w:rsidRPr="00DA0522">
        <w:t xml:space="preserve">GUANGDONG ZHENGYE TECHNOLOGY CO., LTD. is primarily engaged in the research, development, manufacture, sale and service of printed circuit board (PCB) precision machining and testing equipment and auxiliary materials. The Company primarily provides PCB precision machining and testing equipment, including X-ray machines, ionic contamination testers, characteristic impedance testers, ultraviolet (UV) laser cutting machines, automatic supplement strong machines and prepreg machine automatic cutting machines; precision machining auxiliary materials, including PCB precision positioning, filtration and purification, precision photographic, special </w:t>
      </w:r>
      <w:r w:rsidRPr="00DA0522">
        <w:lastRenderedPageBreak/>
        <w:t>plastics and others.</w:t>
      </w:r>
    </w:p>
    <w:p w:rsidR="00121A87" w:rsidRPr="00121A87" w:rsidRDefault="00121A87" w:rsidP="00121A87"/>
    <w:p w:rsidR="009D2474" w:rsidRPr="009D2474" w:rsidRDefault="009D2474" w:rsidP="006106D4">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HB Technology Co Ltd</w:t>
      </w:r>
    </w:p>
    <w:p w:rsidR="009D2474" w:rsidRDefault="00121A87" w:rsidP="00121A87">
      <w:r w:rsidRPr="00DA0522">
        <w:t>HB Technology CO.</w:t>
      </w:r>
      <w:proofErr w:type="gramStart"/>
      <w:r w:rsidRPr="00DA0522">
        <w:t>,LTD</w:t>
      </w:r>
      <w:proofErr w:type="gramEnd"/>
      <w:r w:rsidRPr="00DA0522">
        <w:t>., formerly NCB NETWORKS CO.,LTD., is a Korea-based company mainly engaged in the manufacture of semiconductor inspection equipment. The Company’s products include automated optical inspection (AOI) systems, which are used for thin film transistor liquid crystal displays (TFT LCDs), organic light-emitting diodes (OLEDs) and plasma display panels (PDPs); POL inspection systems, which are mainly used for plat films of LCD displays, and bare glass inspection systems. The Company’s customers include SAMSUNG ELECTRONICS CO</w:t>
      </w:r>
      <w:proofErr w:type="gramStart"/>
      <w:r w:rsidRPr="00DA0522">
        <w:t>,.</w:t>
      </w:r>
      <w:proofErr w:type="gramEnd"/>
      <w:r w:rsidRPr="00DA0522">
        <w:t>LTD, Samsung Mobile Display Co., Ltd., Samsung Corning Precision Materials Co., Ltd., Beijing BOE Display Technology Co., Ltd., and other display and semiconductor manufacturers. On July 8, 2013, it merged with LST, a Korea-based company mainly engaged in the manufacturing and sales of display parts. After the merger, the Company survived and LST was dissolved.</w:t>
      </w:r>
    </w:p>
    <w:p w:rsidR="00121A87" w:rsidRPr="00121A87" w:rsidRDefault="00121A87" w:rsidP="00121A87"/>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Interbulls Co Ltd</w:t>
      </w:r>
    </w:p>
    <w:p w:rsidR="00121A87" w:rsidRDefault="00121A87" w:rsidP="00121A87">
      <w:r w:rsidRPr="00DA0522">
        <w:t>Interbulls Co., Ltd, formerly SEHO ROBOT CO.</w:t>
      </w:r>
      <w:proofErr w:type="gramStart"/>
      <w:r w:rsidRPr="00DA0522">
        <w:t>,LTD</w:t>
      </w:r>
      <w:proofErr w:type="gramEnd"/>
      <w:r w:rsidRPr="00DA0522">
        <w:t xml:space="preserve">, is a Korea-based company principally engaged in the manufacture and distribution of printed circuit board (PCB) equipment. The Company’s products consist of touch and glass panel processors, including window glass edge grinders, vision cell punching machines and others, as well as flexible PCB tack welding and punching machines, including vision press equipment, coverlay bonders, stiffener bonders and guide </w:t>
      </w:r>
      <w:proofErr w:type="gramStart"/>
      <w:r w:rsidRPr="00DA0522">
        <w:t>hole</w:t>
      </w:r>
      <w:proofErr w:type="gramEnd"/>
      <w:r w:rsidRPr="00DA0522">
        <w:t xml:space="preserve"> punchers. The Company distributes its products within domestic market and to overseas markets.</w:t>
      </w:r>
    </w:p>
    <w:p w:rsidR="009D2474" w:rsidRPr="00121A87" w:rsidRDefault="009D2474" w:rsidP="009D2474">
      <w:pPr>
        <w:pStyle w:val="Normal8"/>
        <w:rPr>
          <w:rFonts w:ascii="Times New Roman" w:eastAsia="新細明體" w:hAnsi="Times New Roman"/>
          <w:noProof w:val="0"/>
          <w:kern w:val="2"/>
          <w:sz w:val="24"/>
          <w:szCs w:val="24"/>
          <w:lang w:eastAsia="zh-TW"/>
        </w:rPr>
      </w:pPr>
      <w:r w:rsidRPr="009D2474">
        <w:rPr>
          <w:rFonts w:ascii="Times New Roman" w:eastAsia="新細明體" w:hAnsi="Times New Roman"/>
          <w:noProof w:val="0"/>
          <w:kern w:val="2"/>
          <w:sz w:val="24"/>
          <w:szCs w:val="24"/>
          <w:lang w:eastAsia="zh-TW"/>
        </w:rPr>
        <w:t xml:space="preserve"> </w:t>
      </w:r>
    </w:p>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Odawara Engineering Co., Ltd.</w:t>
      </w:r>
    </w:p>
    <w:p w:rsidR="009D2474" w:rsidRPr="009D2474" w:rsidRDefault="00121A87" w:rsidP="009D2474">
      <w:pPr>
        <w:pStyle w:val="Normal8"/>
        <w:rPr>
          <w:rFonts w:ascii="Times New Roman" w:eastAsia="新細明體" w:hAnsi="Times New Roman"/>
          <w:noProof w:val="0"/>
          <w:kern w:val="2"/>
          <w:sz w:val="24"/>
          <w:szCs w:val="24"/>
          <w:lang w:eastAsia="zh-TW"/>
        </w:rPr>
      </w:pPr>
      <w:r w:rsidRPr="00121A87">
        <w:rPr>
          <w:rFonts w:ascii="Times New Roman" w:eastAsia="新細明體" w:hAnsi="Times New Roman"/>
          <w:noProof w:val="0"/>
          <w:kern w:val="2"/>
          <w:sz w:val="24"/>
          <w:szCs w:val="24"/>
          <w:lang w:eastAsia="zh-TW"/>
        </w:rPr>
        <w:t xml:space="preserve">Odawara Engineering Co., Ltd. is a Japan-based company principally engaged in the development, design, manufacture and sale of motor winding systems. The Company operates through three business segments. The Winding Machine segment provides winding equipment for motors and coils to customers in home appliances, automobile, communication and other industries. The Blowers and Household Equipment segment manufactures and sells small blowers, such as cross-flow fans, axial fans and others, as </w:t>
      </w:r>
      <w:r w:rsidRPr="00121A87">
        <w:rPr>
          <w:rFonts w:ascii="Times New Roman" w:eastAsia="新細明體" w:hAnsi="Times New Roman"/>
          <w:noProof w:val="0"/>
          <w:kern w:val="2"/>
          <w:sz w:val="24"/>
          <w:szCs w:val="24"/>
          <w:lang w:eastAsia="zh-TW"/>
        </w:rPr>
        <w:lastRenderedPageBreak/>
        <w:t xml:space="preserve">well as waterproof lighting equipment and residential ventilation- and building ventilation-related products. The </w:t>
      </w:r>
      <w:proofErr w:type="gramStart"/>
      <w:r w:rsidRPr="00121A87">
        <w:rPr>
          <w:rFonts w:ascii="Times New Roman" w:eastAsia="新細明體" w:hAnsi="Times New Roman"/>
          <w:noProof w:val="0"/>
          <w:kern w:val="2"/>
          <w:sz w:val="24"/>
          <w:szCs w:val="24"/>
          <w:lang w:eastAsia="zh-TW"/>
        </w:rPr>
        <w:t>Others</w:t>
      </w:r>
      <w:proofErr w:type="gramEnd"/>
      <w:r w:rsidRPr="00121A87">
        <w:rPr>
          <w:rFonts w:ascii="Times New Roman" w:eastAsia="新細明體" w:hAnsi="Times New Roman"/>
          <w:noProof w:val="0"/>
          <w:kern w:val="2"/>
          <w:sz w:val="24"/>
          <w:szCs w:val="24"/>
          <w:lang w:eastAsia="zh-TW"/>
        </w:rPr>
        <w:t xml:space="preserve"> segment provides corporate rehabilitation and support services to the subject companies. As of December 31, 2013, the Company had eight subsidiaries and one associated company.</w:t>
      </w:r>
    </w:p>
    <w:p w:rsidR="009D2474" w:rsidRPr="009D2474" w:rsidRDefault="009D2474" w:rsidP="009D2474">
      <w:pPr>
        <w:pStyle w:val="Normal8"/>
        <w:rPr>
          <w:rFonts w:ascii="Times New Roman" w:eastAsia="新細明體" w:hAnsi="Times New Roman"/>
          <w:noProof w:val="0"/>
          <w:kern w:val="2"/>
          <w:sz w:val="24"/>
          <w:szCs w:val="24"/>
          <w:lang w:eastAsia="zh-TW"/>
        </w:rPr>
      </w:pPr>
    </w:p>
    <w:p w:rsidR="009D2474" w:rsidRPr="00DA0522" w:rsidRDefault="009D2474" w:rsidP="009D2474">
      <w:pPr>
        <w:pStyle w:val="Normal8"/>
        <w:rPr>
          <w:lang w:eastAsia="zh-TW"/>
        </w:rPr>
      </w:pPr>
    </w:p>
    <w:p w:rsidR="009D2474" w:rsidRPr="009D2474" w:rsidRDefault="009D2474"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sidRPr="009D2474">
        <w:rPr>
          <w:rFonts w:ascii="Times New Roman" w:eastAsia="標楷體" w:hAnsi="Times New Roman" w:cs="Times New Roman"/>
          <w:color w:val="auto"/>
          <w:kern w:val="2"/>
          <w:sz w:val="26"/>
          <w:szCs w:val="26"/>
          <w:lang w:eastAsia="zh-TW"/>
        </w:rPr>
        <w:t xml:space="preserve"> </w:t>
      </w:r>
      <w:r w:rsidR="00121A87" w:rsidRPr="00121A87">
        <w:rPr>
          <w:rFonts w:ascii="Times New Roman" w:eastAsia="標楷體" w:hAnsi="Times New Roman" w:cs="Times New Roman"/>
          <w:color w:val="auto"/>
          <w:kern w:val="2"/>
          <w:sz w:val="26"/>
          <w:szCs w:val="26"/>
          <w:lang w:eastAsia="zh-TW"/>
        </w:rPr>
        <w:t>Rorze Systems Corporation</w:t>
      </w:r>
    </w:p>
    <w:p w:rsidR="00121A87" w:rsidRDefault="00121A87" w:rsidP="00121A87">
      <w:r w:rsidRPr="00DA0522">
        <w:t>RORZE SYSTEMS COPORATION is a Korea-based company engaged in the manufacture and distribution of thin film transistor liquid crystal display (TFT-LCD) and semiconductor manufacturing equipment. The Company produces liquid crystal display (LCD) cassette stations, water cassette stations, buffer stations, load ports, wafer sorters, laser glass cutting machines (GCMs), clean robots, controllers, drivers and motors. It also involves in the provision of LCD and semiconductor equipment repair and maintenance services. The Company's main customers include Samsung Electronics, Samsung Corning Precision Materials Co., Ltd., PSK Tech and others. The Company distributes its products within domestic market and to overseas markets.</w:t>
      </w:r>
    </w:p>
    <w:p w:rsidR="009D2474" w:rsidRPr="00121A87" w:rsidRDefault="009D2474" w:rsidP="009D2474">
      <w:pPr>
        <w:pStyle w:val="Normal8"/>
        <w:rPr>
          <w:rFonts w:ascii="Times New Roman" w:eastAsia="新細明體" w:hAnsi="Times New Roman"/>
          <w:noProof w:val="0"/>
          <w:kern w:val="2"/>
          <w:sz w:val="24"/>
          <w:szCs w:val="24"/>
          <w:lang w:eastAsia="zh-TW"/>
        </w:rPr>
      </w:pPr>
    </w:p>
    <w:p w:rsidR="009D2474" w:rsidRPr="009D2474" w:rsidRDefault="009D2474" w:rsidP="009D2474">
      <w:pPr>
        <w:pStyle w:val="Normal8"/>
        <w:rPr>
          <w:rFonts w:ascii="Times New Roman" w:eastAsia="新細明體" w:hAnsi="Times New Roman"/>
          <w:noProof w:val="0"/>
          <w:kern w:val="2"/>
          <w:sz w:val="24"/>
          <w:szCs w:val="24"/>
          <w:lang w:eastAsia="zh-TW"/>
        </w:rPr>
      </w:pPr>
    </w:p>
    <w:p w:rsidR="009D2474" w:rsidRPr="009D2474" w:rsidRDefault="00121A87" w:rsidP="00121A87">
      <w:pPr>
        <w:pStyle w:val="SectionLevel5"/>
        <w:numPr>
          <w:ilvl w:val="0"/>
          <w:numId w:val="6"/>
        </w:numPr>
        <w:spacing w:before="240"/>
        <w:rPr>
          <w:rFonts w:ascii="Times New Roman" w:eastAsia="標楷體" w:hAnsi="Times New Roman" w:cs="Times New Roman"/>
          <w:color w:val="auto"/>
          <w:kern w:val="2"/>
          <w:sz w:val="26"/>
          <w:szCs w:val="26"/>
          <w:lang w:eastAsia="zh-TW"/>
        </w:rPr>
      </w:pPr>
      <w:r>
        <w:rPr>
          <w:rFonts w:ascii="Times New Roman" w:eastAsia="標楷體" w:hAnsi="Times New Roman" w:cs="Times New Roman" w:hint="eastAsia"/>
          <w:color w:val="auto"/>
          <w:kern w:val="2"/>
          <w:sz w:val="26"/>
          <w:szCs w:val="26"/>
          <w:lang w:eastAsia="zh-TW"/>
        </w:rPr>
        <w:t xml:space="preserve"> </w:t>
      </w:r>
      <w:r w:rsidRPr="00121A87">
        <w:rPr>
          <w:rFonts w:ascii="Times New Roman" w:eastAsia="標楷體" w:hAnsi="Times New Roman" w:cs="Times New Roman"/>
          <w:color w:val="auto"/>
          <w:kern w:val="2"/>
          <w:sz w:val="26"/>
          <w:szCs w:val="26"/>
          <w:lang w:eastAsia="zh-TW"/>
        </w:rPr>
        <w:t>Ta Liang Technology Co Ltd</w:t>
      </w:r>
    </w:p>
    <w:p w:rsidR="009D2474" w:rsidRPr="009D2474" w:rsidRDefault="00121A87" w:rsidP="009D2474">
      <w:pPr>
        <w:pStyle w:val="Normal8"/>
        <w:rPr>
          <w:rFonts w:ascii="Times New Roman" w:eastAsia="新細明體" w:hAnsi="Times New Roman"/>
          <w:noProof w:val="0"/>
          <w:kern w:val="2"/>
          <w:sz w:val="24"/>
          <w:szCs w:val="24"/>
          <w:lang w:eastAsia="zh-TW"/>
        </w:rPr>
      </w:pPr>
      <w:r w:rsidRPr="00121A87">
        <w:rPr>
          <w:rFonts w:ascii="Times New Roman" w:eastAsia="新細明體" w:hAnsi="Times New Roman"/>
          <w:noProof w:val="0"/>
          <w:kern w:val="2"/>
          <w:sz w:val="24"/>
          <w:szCs w:val="24"/>
          <w:lang w:eastAsia="zh-TW"/>
        </w:rPr>
        <w:t xml:space="preserve">Ta </w:t>
      </w:r>
      <w:proofErr w:type="gramStart"/>
      <w:r w:rsidRPr="00121A87">
        <w:rPr>
          <w:rFonts w:ascii="Times New Roman" w:eastAsia="新細明體" w:hAnsi="Times New Roman"/>
          <w:noProof w:val="0"/>
          <w:kern w:val="2"/>
          <w:sz w:val="24"/>
          <w:szCs w:val="24"/>
          <w:lang w:eastAsia="zh-TW"/>
        </w:rPr>
        <w:t>liang</w:t>
      </w:r>
      <w:proofErr w:type="gramEnd"/>
      <w:r w:rsidRPr="00121A87">
        <w:rPr>
          <w:rFonts w:ascii="Times New Roman" w:eastAsia="新細明體" w:hAnsi="Times New Roman"/>
          <w:noProof w:val="0"/>
          <w:kern w:val="2"/>
          <w:sz w:val="24"/>
          <w:szCs w:val="24"/>
          <w:lang w:eastAsia="zh-TW"/>
        </w:rPr>
        <w:t xml:space="preserve"> Technology Co Ltd is a Taiwan-based company principally engaged in the design, manufacture, processing and distribution of computer numerically controlled (CNC) precision machines. The Company's products are applied in printed circuit board (PCB) cutting and forming of back end of line (BEOL), PCB drilling of front end of line (FEOL), cutting and polishing of touch protective panels of cell phones, tablet computers and digital cameras. The Company mainly distributes its products within Asia.</w:t>
      </w:r>
    </w:p>
    <w:p w:rsidR="00427667" w:rsidRPr="00EF1107" w:rsidRDefault="00427667" w:rsidP="009A76AA">
      <w:pPr>
        <w:rPr>
          <w:sz w:val="28"/>
          <w:szCs w:val="28"/>
        </w:rPr>
        <w:sectPr w:rsidR="00427667" w:rsidRPr="00EF1107" w:rsidSect="006B72E6">
          <w:headerReference w:type="default" r:id="rId30"/>
          <w:footerReference w:type="even" r:id="rId31"/>
          <w:footerReference w:type="default" r:id="rId32"/>
          <w:pgSz w:w="11906" w:h="16838"/>
          <w:pgMar w:top="2160" w:right="1440" w:bottom="1814" w:left="1440" w:header="851" w:footer="567" w:gutter="567"/>
          <w:pgNumType w:start="1" w:chapSep="enDash"/>
          <w:cols w:space="425"/>
          <w:docGrid w:type="linesAndChars" w:linePitch="360"/>
        </w:sectPr>
      </w:pPr>
    </w:p>
    <w:p w:rsidR="00CA5702" w:rsidRPr="00EF1107" w:rsidRDefault="00A06FC6" w:rsidP="00CA5702">
      <w:pPr>
        <w:rPr>
          <w:rFonts w:eastAsia="標楷體"/>
          <w:color w:val="000000"/>
        </w:rPr>
      </w:pPr>
      <w:r>
        <w:rPr>
          <w:noProof/>
        </w:rPr>
        <w:lastRenderedPageBreak/>
        <w:drawing>
          <wp:inline distT="0" distB="0" distL="0" distR="0" wp14:anchorId="7DF22F47" wp14:editId="32B60A56">
            <wp:extent cx="5371465" cy="2377371"/>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71465" cy="2377371"/>
                    </a:xfrm>
                    <a:prstGeom prst="rect">
                      <a:avLst/>
                    </a:prstGeom>
                  </pic:spPr>
                </pic:pic>
              </a:graphicData>
            </a:graphic>
          </wp:inline>
        </w:drawing>
      </w:r>
    </w:p>
    <w:p w:rsidR="007D42C5" w:rsidRPr="00576A69" w:rsidRDefault="00576A69" w:rsidP="00576A69">
      <w:pPr>
        <w:rPr>
          <w:rFonts w:eastAsia="標楷體"/>
          <w:color w:val="000000"/>
        </w:rPr>
      </w:pPr>
      <w:r>
        <w:rPr>
          <w:noProof/>
        </w:rPr>
        <w:drawing>
          <wp:inline distT="0" distB="0" distL="0" distR="0" wp14:anchorId="16CE0078" wp14:editId="77F4AE78">
            <wp:extent cx="5371465" cy="70811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71465" cy="708113"/>
                    </a:xfrm>
                    <a:prstGeom prst="rect">
                      <a:avLst/>
                    </a:prstGeom>
                  </pic:spPr>
                </pic:pic>
              </a:graphicData>
            </a:graphic>
          </wp:inline>
        </w:drawing>
      </w:r>
    </w:p>
    <w:p w:rsidR="00427667" w:rsidRPr="00EF1107" w:rsidRDefault="00576A69" w:rsidP="00CA5702">
      <w:pPr>
        <w:rPr>
          <w:rFonts w:eastAsia="標楷體"/>
          <w:color w:val="000000"/>
        </w:rPr>
        <w:sectPr w:rsidR="00427667" w:rsidRPr="00EF1107" w:rsidSect="006B72E6">
          <w:headerReference w:type="default" r:id="rId35"/>
          <w:footerReference w:type="default" r:id="rId36"/>
          <w:pgSz w:w="11906" w:h="16838"/>
          <w:pgMar w:top="2160" w:right="1440" w:bottom="1814" w:left="1440" w:header="851" w:footer="567" w:gutter="567"/>
          <w:pgNumType w:start="1"/>
          <w:cols w:space="425"/>
          <w:docGrid w:type="linesAndChars" w:linePitch="360"/>
        </w:sectPr>
      </w:pPr>
      <w:r>
        <w:rPr>
          <w:noProof/>
        </w:rPr>
        <w:drawing>
          <wp:inline distT="0" distB="0" distL="0" distR="0" wp14:anchorId="09CD4038" wp14:editId="0CAFB016">
            <wp:extent cx="5371465" cy="585639"/>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71465" cy="585639"/>
                    </a:xfrm>
                    <a:prstGeom prst="rect">
                      <a:avLst/>
                    </a:prstGeom>
                  </pic:spPr>
                </pic:pic>
              </a:graphicData>
            </a:graphic>
          </wp:inline>
        </w:drawing>
      </w:r>
    </w:p>
    <w:p w:rsidR="00CA5702" w:rsidRDefault="00CA5702" w:rsidP="00E168F6">
      <w:pPr>
        <w:rPr>
          <w:rFonts w:eastAsia="標楷體"/>
        </w:rPr>
      </w:pPr>
    </w:p>
    <w:tbl>
      <w:tblPr>
        <w:tblW w:w="9372" w:type="dxa"/>
        <w:tblInd w:w="13" w:type="dxa"/>
        <w:tblCellMar>
          <w:left w:w="28" w:type="dxa"/>
          <w:right w:w="28" w:type="dxa"/>
        </w:tblCellMar>
        <w:tblLook w:val="04A0" w:firstRow="1" w:lastRow="0" w:firstColumn="1" w:lastColumn="0" w:noHBand="0" w:noVBand="1"/>
      </w:tblPr>
      <w:tblGrid>
        <w:gridCol w:w="363"/>
        <w:gridCol w:w="4580"/>
        <w:gridCol w:w="456"/>
        <w:gridCol w:w="620"/>
        <w:gridCol w:w="600"/>
        <w:gridCol w:w="620"/>
        <w:gridCol w:w="421"/>
        <w:gridCol w:w="421"/>
        <w:gridCol w:w="1291"/>
      </w:tblGrid>
      <w:tr w:rsidR="004D70CE" w:rsidRPr="004D70CE" w:rsidTr="004D70CE">
        <w:trPr>
          <w:trHeight w:val="330"/>
          <w:tblHeader/>
        </w:trPr>
        <w:tc>
          <w:tcPr>
            <w:tcW w:w="363"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編號</w:t>
            </w:r>
          </w:p>
        </w:tc>
        <w:tc>
          <w:tcPr>
            <w:tcW w:w="458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公司名稱</w:t>
            </w:r>
          </w:p>
        </w:tc>
        <w:tc>
          <w:tcPr>
            <w:tcW w:w="45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b/>
                <w:bCs/>
                <w:color w:val="000000"/>
                <w:kern w:val="0"/>
                <w:sz w:val="20"/>
                <w:szCs w:val="20"/>
              </w:rPr>
            </w:pPr>
            <w:r w:rsidRPr="004D70CE">
              <w:rPr>
                <w:b/>
                <w:bCs/>
                <w:color w:val="000000"/>
                <w:kern w:val="0"/>
                <w:sz w:val="20"/>
                <w:szCs w:val="20"/>
              </w:rPr>
              <w:t xml:space="preserve">SIC </w:t>
            </w:r>
          </w:p>
        </w:tc>
        <w:tc>
          <w:tcPr>
            <w:tcW w:w="1840" w:type="dxa"/>
            <w:gridSpan w:val="3"/>
            <w:tcBorders>
              <w:top w:val="single" w:sz="4" w:space="0" w:color="auto"/>
              <w:left w:val="nil"/>
              <w:bottom w:val="single" w:sz="4" w:space="0" w:color="auto"/>
              <w:right w:val="single" w:sz="4" w:space="0" w:color="auto"/>
            </w:tcBorders>
            <w:shd w:val="clear" w:color="000000" w:fill="BFBFBF"/>
            <w:noWrap/>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bookmarkStart w:id="6" w:name="RANGE!D1:F1"/>
            <w:r w:rsidRPr="004D70CE">
              <w:rPr>
                <w:rFonts w:ascii="標楷體" w:eastAsia="標楷體" w:hAnsi="標楷體" w:cs="Arial" w:hint="eastAsia"/>
                <w:b/>
                <w:bCs/>
                <w:color w:val="000000"/>
                <w:kern w:val="0"/>
                <w:sz w:val="20"/>
                <w:szCs w:val="20"/>
              </w:rPr>
              <w:t>定量篩選</w:t>
            </w:r>
            <w:bookmarkEnd w:id="6"/>
          </w:p>
        </w:tc>
        <w:tc>
          <w:tcPr>
            <w:tcW w:w="421" w:type="dxa"/>
            <w:tcBorders>
              <w:top w:val="single" w:sz="4" w:space="0" w:color="auto"/>
              <w:left w:val="nil"/>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bookmarkStart w:id="7" w:name="RANGE!G1"/>
            <w:r w:rsidRPr="004D70CE">
              <w:rPr>
                <w:rFonts w:ascii="標楷體" w:eastAsia="標楷體" w:hAnsi="標楷體" w:cs="Arial" w:hint="eastAsia"/>
                <w:b/>
                <w:bCs/>
                <w:color w:val="000000"/>
                <w:kern w:val="0"/>
                <w:sz w:val="20"/>
                <w:szCs w:val="20"/>
              </w:rPr>
              <w:t>拒絕</w:t>
            </w:r>
            <w:bookmarkEnd w:id="7"/>
          </w:p>
        </w:tc>
        <w:tc>
          <w:tcPr>
            <w:tcW w:w="42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接受</w:t>
            </w:r>
          </w:p>
        </w:tc>
        <w:tc>
          <w:tcPr>
            <w:tcW w:w="129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拒絕原因</w:t>
            </w:r>
          </w:p>
        </w:tc>
      </w:tr>
      <w:tr w:rsidR="004D70CE" w:rsidRPr="004D70CE" w:rsidTr="004D70CE">
        <w:trPr>
          <w:trHeight w:val="345"/>
          <w:tblHeader/>
        </w:trPr>
        <w:tc>
          <w:tcPr>
            <w:tcW w:w="363" w:type="dxa"/>
            <w:vMerge/>
            <w:tcBorders>
              <w:top w:val="single" w:sz="4" w:space="0" w:color="auto"/>
              <w:left w:val="single" w:sz="4" w:space="0" w:color="auto"/>
              <w:bottom w:val="single" w:sz="4" w:space="0" w:color="auto"/>
              <w:right w:val="single" w:sz="4" w:space="0" w:color="auto"/>
            </w:tcBorders>
            <w:vAlign w:val="center"/>
            <w:hideMark/>
          </w:tcPr>
          <w:p w:rsidR="004D70CE" w:rsidRPr="004D70CE" w:rsidRDefault="004D70CE" w:rsidP="004D70CE">
            <w:pPr>
              <w:widowControl/>
              <w:rPr>
                <w:rFonts w:ascii="標楷體" w:eastAsia="標楷體" w:hAnsi="標楷體" w:cs="Arial"/>
                <w:b/>
                <w:bCs/>
                <w:color w:val="000000"/>
                <w:kern w:val="0"/>
                <w:sz w:val="20"/>
                <w:szCs w:val="20"/>
              </w:rPr>
            </w:pPr>
          </w:p>
        </w:tc>
        <w:tc>
          <w:tcPr>
            <w:tcW w:w="4580" w:type="dxa"/>
            <w:vMerge/>
            <w:tcBorders>
              <w:top w:val="single" w:sz="4" w:space="0" w:color="auto"/>
              <w:left w:val="single" w:sz="4" w:space="0" w:color="auto"/>
              <w:bottom w:val="single" w:sz="4" w:space="0" w:color="auto"/>
              <w:right w:val="single" w:sz="4" w:space="0" w:color="auto"/>
            </w:tcBorders>
            <w:vAlign w:val="center"/>
            <w:hideMark/>
          </w:tcPr>
          <w:p w:rsidR="004D70CE" w:rsidRPr="004D70CE" w:rsidRDefault="004D70CE" w:rsidP="004D70CE">
            <w:pPr>
              <w:widowControl/>
              <w:rPr>
                <w:rFonts w:ascii="標楷體" w:eastAsia="標楷體" w:hAnsi="標楷體" w:cs="Arial"/>
                <w:b/>
                <w:bCs/>
                <w:color w:val="000000"/>
                <w:kern w:val="0"/>
                <w:sz w:val="20"/>
                <w:szCs w:val="20"/>
              </w:rPr>
            </w:pPr>
          </w:p>
        </w:tc>
        <w:tc>
          <w:tcPr>
            <w:tcW w:w="456" w:type="dxa"/>
            <w:vMerge/>
            <w:tcBorders>
              <w:top w:val="single" w:sz="4" w:space="0" w:color="auto"/>
              <w:left w:val="single" w:sz="4" w:space="0" w:color="auto"/>
              <w:bottom w:val="single" w:sz="4" w:space="0" w:color="auto"/>
              <w:right w:val="single" w:sz="4" w:space="0" w:color="auto"/>
            </w:tcBorders>
            <w:vAlign w:val="center"/>
            <w:hideMark/>
          </w:tcPr>
          <w:p w:rsidR="004D70CE" w:rsidRPr="004D70CE" w:rsidRDefault="004D70CE" w:rsidP="004D70CE">
            <w:pPr>
              <w:widowControl/>
              <w:rPr>
                <w:b/>
                <w:bCs/>
                <w:color w:val="000000"/>
                <w:kern w:val="0"/>
                <w:sz w:val="20"/>
                <w:szCs w:val="20"/>
              </w:rPr>
            </w:pPr>
          </w:p>
        </w:tc>
        <w:tc>
          <w:tcPr>
            <w:tcW w:w="620" w:type="dxa"/>
            <w:tcBorders>
              <w:top w:val="nil"/>
              <w:left w:val="nil"/>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定性</w:t>
            </w:r>
          </w:p>
        </w:tc>
        <w:tc>
          <w:tcPr>
            <w:tcW w:w="600" w:type="dxa"/>
            <w:tcBorders>
              <w:top w:val="nil"/>
              <w:left w:val="nil"/>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業務</w:t>
            </w:r>
          </w:p>
        </w:tc>
        <w:tc>
          <w:tcPr>
            <w:tcW w:w="620" w:type="dxa"/>
            <w:tcBorders>
              <w:top w:val="nil"/>
              <w:left w:val="nil"/>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研發</w:t>
            </w:r>
          </w:p>
        </w:tc>
        <w:tc>
          <w:tcPr>
            <w:tcW w:w="421" w:type="dxa"/>
            <w:tcBorders>
              <w:top w:val="nil"/>
              <w:left w:val="nil"/>
              <w:bottom w:val="single" w:sz="4" w:space="0" w:color="auto"/>
              <w:right w:val="single" w:sz="4" w:space="0" w:color="auto"/>
            </w:tcBorders>
            <w:shd w:val="clear" w:color="000000" w:fill="BFBFBF"/>
            <w:vAlign w:val="center"/>
            <w:hideMark/>
          </w:tcPr>
          <w:p w:rsidR="004D70CE" w:rsidRPr="004D70CE" w:rsidRDefault="004D70CE" w:rsidP="004D70CE">
            <w:pPr>
              <w:widowControl/>
              <w:jc w:val="center"/>
              <w:rPr>
                <w:rFonts w:ascii="標楷體" w:eastAsia="標楷體" w:hAnsi="標楷體" w:cs="Arial"/>
                <w:b/>
                <w:bCs/>
                <w:color w:val="000000"/>
                <w:kern w:val="0"/>
                <w:sz w:val="20"/>
                <w:szCs w:val="20"/>
              </w:rPr>
            </w:pPr>
            <w:r w:rsidRPr="004D70CE">
              <w:rPr>
                <w:rFonts w:ascii="標楷體" w:eastAsia="標楷體" w:hAnsi="標楷體" w:cs="Arial" w:hint="eastAsia"/>
                <w:b/>
                <w:bCs/>
                <w:color w:val="000000"/>
                <w:kern w:val="0"/>
                <w:sz w:val="20"/>
                <w:szCs w:val="20"/>
              </w:rPr>
              <w:t>覆核</w:t>
            </w:r>
          </w:p>
        </w:tc>
        <w:tc>
          <w:tcPr>
            <w:tcW w:w="421" w:type="dxa"/>
            <w:vMerge/>
            <w:tcBorders>
              <w:top w:val="single" w:sz="4" w:space="0" w:color="auto"/>
              <w:left w:val="single" w:sz="4" w:space="0" w:color="auto"/>
              <w:bottom w:val="single" w:sz="4" w:space="0" w:color="auto"/>
              <w:right w:val="single" w:sz="4" w:space="0" w:color="auto"/>
            </w:tcBorders>
            <w:vAlign w:val="center"/>
            <w:hideMark/>
          </w:tcPr>
          <w:p w:rsidR="004D70CE" w:rsidRPr="004D70CE" w:rsidRDefault="004D70CE" w:rsidP="004D70CE">
            <w:pPr>
              <w:widowControl/>
              <w:rPr>
                <w:rFonts w:ascii="標楷體" w:eastAsia="標楷體" w:hAnsi="標楷體" w:cs="Arial"/>
                <w:b/>
                <w:bCs/>
                <w:color w:val="000000"/>
                <w:kern w:val="0"/>
                <w:sz w:val="20"/>
                <w:szCs w:val="20"/>
              </w:rPr>
            </w:pPr>
          </w:p>
        </w:tc>
        <w:tc>
          <w:tcPr>
            <w:tcW w:w="1291" w:type="dxa"/>
            <w:vMerge/>
            <w:tcBorders>
              <w:top w:val="single" w:sz="4" w:space="0" w:color="auto"/>
              <w:left w:val="single" w:sz="4" w:space="0" w:color="auto"/>
              <w:bottom w:val="single" w:sz="4" w:space="0" w:color="auto"/>
              <w:right w:val="single" w:sz="4" w:space="0" w:color="auto"/>
            </w:tcBorders>
            <w:vAlign w:val="center"/>
            <w:hideMark/>
          </w:tcPr>
          <w:p w:rsidR="004D70CE" w:rsidRPr="004D70CE" w:rsidRDefault="004D70CE" w:rsidP="004D70CE">
            <w:pPr>
              <w:widowControl/>
              <w:rPr>
                <w:rFonts w:ascii="標楷體" w:eastAsia="標楷體" w:hAnsi="標楷體" w:cs="Arial"/>
                <w:b/>
                <w:bCs/>
                <w:color w:val="000000"/>
                <w:kern w:val="0"/>
                <w:sz w:val="20"/>
                <w:szCs w:val="20"/>
              </w:rPr>
            </w:pP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bookmarkStart w:id="8" w:name="RANGE!B2:I2"/>
            <w:bookmarkStart w:id="9" w:name="RANGE!B3:I268"/>
            <w:bookmarkEnd w:id="8"/>
            <w:r w:rsidRPr="004D70CE">
              <w:rPr>
                <w:kern w:val="0"/>
                <w:sz w:val="20"/>
                <w:szCs w:val="20"/>
              </w:rPr>
              <w:t>A.L.D. Advanced Logistics Developments</w:t>
            </w:r>
            <w:bookmarkEnd w:id="9"/>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Acando AB</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Actcall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Actua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Adaptive Medias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Advance Information Marketing Berhad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Advanced Environmental Petrolm Prdcr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Advancer Global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Allgeier SE</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Alliance Data Systems Corporation</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Altair International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Altech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AMN Healthcare Services,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AMREP Corporation</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Andino Investment Holding SAA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Aquila Services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Aramex PJSC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Architects Studio Japan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ARIP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Arkados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Atento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athenahealth,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Auxilio,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Axcelasia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Bamboo Capital JSC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Barrett Business Services,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Bellsystem24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BG Staffing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Blackcraft Cult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30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Booz Allen Hamilton Holding Corporation</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Bremer Lagerhaus Geslschft AG Von 1877</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Brooker Group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BTS Group AB</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Bureau Veritas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Capacent Holding AB (publ)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Car Charging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Carillion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Cartesian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39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Cavali SA I C L V</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CCID Consulting Company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CDI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CEB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Changan Minsheng APLL Logistics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China Bull Management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China Customer Relations Centers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China Finance Online Co. (ADR)</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Chinlink International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Clipper Logistics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49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CMO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CNI Holdings Berhad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Compass Diversified Holdings</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Complete Logistic Services Berhad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Continntal Warhosng Crprtn (Nhv Sev)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Coor Service Management Holding AB</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Corecivic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Costar Technologies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CREEK &amp; RIVER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CRIE ANABUKI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59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Cross Country Healthcare,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60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Ctrip.Com International Ltd (ADR)</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Culture Landmark Investment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CWT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Datalinks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Debt Resolve,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Depa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Deufol SE</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DGA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DHI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69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Display Art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DKSH Holdings Malaysia Bhd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Donnelley Financial Solutions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Dovre Group Oyj</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Ebiquity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Eckoh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Ecoark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Ecosave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Edenred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Edu Fin Inv JSC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79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Eficom-Sinersio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ELQ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Energy Assets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EnerNOC,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Envestnet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Equiniti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Escrow Agent Japan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E-SUPPORTLINK,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Eternal Asia Supply Chain Management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ExlService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89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Exponent,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90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Fidelity National Information Servcs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Fiera Milano SpA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First Choice Healthcare Solutions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8741</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First Rate Staffing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FleetCor Technologies,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Franchise Brands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7299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FTI Consulting,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Funai Soken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Genie Gateway</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99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Genpact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Gexeed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Global Equity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Global Logistic Properties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GP Strategies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Gromo Trade &amp; Consultancy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Hansol Inticube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Harbin Hairun Interntnl Cltr Cmmnctn Co</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Havelock Europa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Higher One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109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HIP Corporation</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Hoegh LNG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Hogg Robinson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HOKKAN HOLDINGS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HOLOSFIND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Hua Lien International (Holding)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Huayi Brothers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Hudson Global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Huron Consulting Group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HyAS&amp;Co.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119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Hyosung ITX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120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ICF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iEnergizer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IGEN Networks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IHQ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Information Services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Insperity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International Business Setlmnt Hlds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International Monetary Systems,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Interpace Diagnostics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129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Intertrade ITA d.d.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Intertrust NV</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IR Japan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ISG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Issuer Direct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Itera ASA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Jiangsu Uni-Benefit IntL Logistics CoLtd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Jordanian Management and Consulting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Kelly Services,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KEYEAST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139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Kingsmen CMTI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Kingsmen Creatives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KM Wedding Events Management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7299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Lajin Entertainment Network Group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Lawton Development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LD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Lightbridge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Limelight Networks,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Lionbridge Technologies,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Logzact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149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Lycos Internet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150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Management Consulting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Management Resource Solutions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ManpowerGroup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Maruwa Unyu Kikan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Mastech Digital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Mattersight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MCT Danismanlik AS</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Micromega Holdings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Mitie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159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MMRGlobal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Monster Worldwide,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Morneau Shepell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MPC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Msci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NAHL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Navigant Consulting,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Nevada Canyon Gold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NEWTEK Business Services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Nielsen Holdings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169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Nobel Design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Northacre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Novisource NV</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Novosadski sajam ad Novi Sad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Oilfield Workforce Group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Oman International Marketing Co.</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One to One Contacts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Onvia,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Paid,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Pan-gulf Logistics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179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Paxys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180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PFSweb,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Phil Company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Pico Far East Holdings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plenum AG</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Powerwell Pacific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Premier Capital Services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Prestige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Priceline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Programmed Maintenance Services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189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Progressive Green Solutions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PSAV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Pure Technologies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QuoteMedia,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 C M Technologies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R1 RCM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8741</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Radware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Recall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Reis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Resources Connection,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199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Richards Packaging Income Fund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Robert Half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 xml:space="preserve">　</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Rumo Logistica Operadora Multimodal 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 Kumars Online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Sajan,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Saramin HR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Serco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Servicesource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Shenzhen Feima Intl Supply Chain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Shenzhen Huapengfei Modern Logist</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209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Shenzhen Prolto Supply Chain Mgt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210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Siam Wellness Group PCL</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7299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Sigmaxyz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SilverSun Technologies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Simco Songda JSC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Sito Mobile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Skilled Group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Spearhead Integrated Marketing Commtn Gp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Starrex International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StarTek,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219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Styles and Wood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Sumeru Industries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Supwave Auto Technology Beijing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Sweett Group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Synacor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TAKASE CORPORATION</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TANABE MANAGEMENT CONSULTING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TANSEISHA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Tefen Industrial Eng. Mgt</w:t>
            </w:r>
            <w:proofErr w:type="gramStart"/>
            <w:r w:rsidRPr="004D70CE">
              <w:rPr>
                <w:kern w:val="0"/>
                <w:sz w:val="20"/>
                <w:szCs w:val="20"/>
              </w:rPr>
              <w:t>.&amp;</w:t>
            </w:r>
            <w:proofErr w:type="gramEnd"/>
            <w:r w:rsidRPr="004D70CE">
              <w:rPr>
                <w:kern w:val="0"/>
                <w:sz w:val="20"/>
                <w:szCs w:val="20"/>
              </w:rPr>
              <w:t>Sys. Analysis</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Teleperformance SE</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229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TeleTech Holdings,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Temp Holdings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The Advisory Board Company</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8741</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The GEO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8744</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The Hackett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Tianjin Binhai Teda Logistics Grp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Towers Watson &amp; Co</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Transatlantic Capital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Transcom Worldwide AB</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238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Tri Viet Management Investment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lastRenderedPageBreak/>
              <w:t>239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TriNet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Trueblue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TSS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連續3年虧損</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UEM Edgenta Bhd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Vantiv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Vectrus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Veda Group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VJTF Eduservices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Volt Information Sciences,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Volvere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249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Weight Watchers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7299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West Corp</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WEX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Wilhelmina International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Will Group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Wincanton plc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Wise Group AB</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Workforce Holdings Limited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257</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World Holdings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258</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WSP Global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259</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Xiamen Jiayin Online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260</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Xiamen Xiangyu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261</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Xura Inc</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7389</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262</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Y.U.D Yangtze River Investment Industry</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排除研發費用</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263</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Yamada Consulting Group Co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264</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Yin He Holdings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7363</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265</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Zalaris ASA</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服務有異</w:t>
            </w:r>
          </w:p>
        </w:tc>
      </w:tr>
      <w:tr w:rsidR="004D70CE" w:rsidRPr="004D70CE" w:rsidTr="004D70CE">
        <w:trPr>
          <w:trHeight w:val="285"/>
        </w:trPr>
        <w:tc>
          <w:tcPr>
            <w:tcW w:w="363" w:type="dxa"/>
            <w:tcBorders>
              <w:top w:val="nil"/>
              <w:left w:val="single" w:sz="4" w:space="0" w:color="auto"/>
              <w:bottom w:val="single" w:sz="4" w:space="0" w:color="auto"/>
              <w:right w:val="single" w:sz="4" w:space="0" w:color="auto"/>
            </w:tcBorders>
            <w:shd w:val="clear" w:color="auto" w:fill="auto"/>
            <w:noWrap/>
            <w:vAlign w:val="center"/>
            <w:hideMark/>
          </w:tcPr>
          <w:p w:rsidR="004D70CE" w:rsidRPr="004D70CE" w:rsidRDefault="004D70CE" w:rsidP="004D70CE">
            <w:pPr>
              <w:widowControl/>
              <w:jc w:val="right"/>
              <w:rPr>
                <w:kern w:val="0"/>
                <w:sz w:val="20"/>
                <w:szCs w:val="20"/>
              </w:rPr>
            </w:pPr>
            <w:r w:rsidRPr="004D70CE">
              <w:rPr>
                <w:kern w:val="0"/>
                <w:sz w:val="20"/>
                <w:szCs w:val="20"/>
              </w:rPr>
              <w:t>266</w:t>
            </w:r>
          </w:p>
        </w:tc>
        <w:tc>
          <w:tcPr>
            <w:tcW w:w="458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ZZ Capital International Ltd</w:t>
            </w:r>
          </w:p>
        </w:tc>
        <w:tc>
          <w:tcPr>
            <w:tcW w:w="456"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8742</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X</w:t>
            </w:r>
          </w:p>
        </w:tc>
        <w:tc>
          <w:tcPr>
            <w:tcW w:w="620"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kern w:val="0"/>
                <w:sz w:val="20"/>
                <w:szCs w:val="20"/>
              </w:rPr>
            </w:pPr>
            <w:r w:rsidRPr="004D70CE">
              <w:rPr>
                <w:kern w:val="0"/>
                <w:sz w:val="20"/>
                <w:szCs w:val="20"/>
              </w:rPr>
              <w:t xml:space="preserve">　</w:t>
            </w:r>
          </w:p>
        </w:tc>
        <w:tc>
          <w:tcPr>
            <w:tcW w:w="1291" w:type="dxa"/>
            <w:tcBorders>
              <w:top w:val="nil"/>
              <w:left w:val="nil"/>
              <w:bottom w:val="single" w:sz="4" w:space="0" w:color="auto"/>
              <w:right w:val="single" w:sz="4" w:space="0" w:color="auto"/>
            </w:tcBorders>
            <w:shd w:val="clear" w:color="auto" w:fill="auto"/>
            <w:noWrap/>
            <w:vAlign w:val="center"/>
            <w:hideMark/>
          </w:tcPr>
          <w:p w:rsidR="004D70CE" w:rsidRPr="004D70CE" w:rsidRDefault="004D70CE" w:rsidP="004D70CE">
            <w:pPr>
              <w:widowControl/>
              <w:rPr>
                <w:rFonts w:ascii="標楷體" w:eastAsia="標楷體" w:hAnsi="標楷體" w:cs="Arial"/>
                <w:kern w:val="0"/>
                <w:sz w:val="20"/>
                <w:szCs w:val="20"/>
              </w:rPr>
            </w:pPr>
            <w:r w:rsidRPr="004D70CE">
              <w:rPr>
                <w:rFonts w:ascii="標楷體" w:eastAsia="標楷體" w:hAnsi="標楷體" w:cs="Arial" w:hint="eastAsia"/>
                <w:kern w:val="0"/>
                <w:sz w:val="20"/>
                <w:szCs w:val="20"/>
              </w:rPr>
              <w:t>控股公司</w:t>
            </w:r>
          </w:p>
        </w:tc>
      </w:tr>
    </w:tbl>
    <w:p w:rsidR="007D42C5" w:rsidRPr="00EF1107" w:rsidRDefault="007D42C5" w:rsidP="00E168F6">
      <w:pPr>
        <w:rPr>
          <w:rFonts w:eastAsia="標楷體"/>
        </w:rPr>
        <w:sectPr w:rsidR="007D42C5" w:rsidRPr="00EF1107" w:rsidSect="006B72E6">
          <w:headerReference w:type="default" r:id="rId38"/>
          <w:footerReference w:type="even" r:id="rId39"/>
          <w:footerReference w:type="default" r:id="rId40"/>
          <w:pgSz w:w="11906" w:h="16838" w:code="9"/>
          <w:pgMar w:top="2160" w:right="1440" w:bottom="1814" w:left="1440" w:header="851" w:footer="567" w:gutter="567"/>
          <w:pgNumType w:start="1"/>
          <w:cols w:space="425"/>
          <w:docGrid w:type="linesAndChars" w:linePitch="360"/>
        </w:sect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lastRenderedPageBreak/>
        <w:t>Acando AB</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 xml:space="preserve">Acando AB is a Sweden-based company active in the business support sector. It offers services and solutions in three areas: Management Consulting, Enterprise Solutions and IT Consulting. The Management Consulting </w:t>
      </w:r>
      <w:proofErr w:type="gramStart"/>
      <w:r w:rsidRPr="005A3C43">
        <w:rPr>
          <w:rFonts w:ascii="Times New Roman" w:eastAsia="新細明體" w:hAnsi="Times New Roman"/>
          <w:noProof w:val="0"/>
          <w:kern w:val="2"/>
          <w:sz w:val="24"/>
          <w:szCs w:val="24"/>
          <w:lang w:eastAsia="zh-TW"/>
        </w:rPr>
        <w:t>include</w:t>
      </w:r>
      <w:proofErr w:type="gramEnd"/>
      <w:r w:rsidRPr="005A3C43">
        <w:rPr>
          <w:rFonts w:ascii="Times New Roman" w:eastAsia="新細明體" w:hAnsi="Times New Roman"/>
          <w:noProof w:val="0"/>
          <w:kern w:val="2"/>
          <w:sz w:val="24"/>
          <w:szCs w:val="24"/>
          <w:lang w:eastAsia="zh-TW"/>
        </w:rPr>
        <w:t xml:space="preserve"> business development in the areas of Strategy and Transformation, Sales and Marketing Excellence, Supply Chain Management and Finance and Performance Management. Enterprise Solutions contains business system-related services based on the Company’s strategic partners Microsoft and SAP, including feasibility studies, project management, design, implementation, data migration, testing and application management. IT </w:t>
      </w:r>
      <w:proofErr w:type="gramStart"/>
      <w:r w:rsidRPr="005A3C43">
        <w:rPr>
          <w:rFonts w:ascii="Times New Roman" w:eastAsia="新細明體" w:hAnsi="Times New Roman"/>
          <w:noProof w:val="0"/>
          <w:kern w:val="2"/>
          <w:sz w:val="24"/>
          <w:szCs w:val="24"/>
          <w:lang w:eastAsia="zh-TW"/>
        </w:rPr>
        <w:t>Consulting</w:t>
      </w:r>
      <w:proofErr w:type="gramEnd"/>
      <w:r w:rsidRPr="005A3C43">
        <w:rPr>
          <w:rFonts w:ascii="Times New Roman" w:eastAsia="新細明體" w:hAnsi="Times New Roman"/>
          <w:noProof w:val="0"/>
          <w:kern w:val="2"/>
          <w:sz w:val="24"/>
          <w:szCs w:val="24"/>
          <w:lang w:eastAsia="zh-TW"/>
        </w:rPr>
        <w:t xml:space="preserve"> encompasses three areas: IT Solutions &amp; Integration, Strategic IT and Business Intelligence. The Company is active in Sweden, Germany, Norway, Finland and the United Kingdom. It operates through Connecta AB and Brickmakers GmbH, among others.</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Carillion plc</w:t>
      </w:r>
    </w:p>
    <w:p w:rsid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 xml:space="preserve">Carillion plc is an integrated support services company. The Company has a portfolio of Public Private Partnership projects and construction capabilities. It operates through four business segments: Support services, Public Private Partnership projects, Middle East construction services and Construction services. The Support Services segment includes its facilities management, facilities services, energy services, rail services, utility services, </w:t>
      </w:r>
      <w:proofErr w:type="gramStart"/>
      <w:r w:rsidRPr="005A3C43">
        <w:rPr>
          <w:rFonts w:ascii="Times New Roman" w:eastAsia="新細明體" w:hAnsi="Times New Roman"/>
          <w:noProof w:val="0"/>
          <w:kern w:val="2"/>
          <w:sz w:val="24"/>
          <w:szCs w:val="24"/>
          <w:lang w:eastAsia="zh-TW"/>
        </w:rPr>
        <w:t>road</w:t>
      </w:r>
      <w:proofErr w:type="gramEnd"/>
      <w:r w:rsidRPr="005A3C43">
        <w:rPr>
          <w:rFonts w:ascii="Times New Roman" w:eastAsia="新細明體" w:hAnsi="Times New Roman"/>
          <w:noProof w:val="0"/>
          <w:kern w:val="2"/>
          <w:sz w:val="24"/>
          <w:szCs w:val="24"/>
          <w:lang w:eastAsia="zh-TW"/>
        </w:rPr>
        <w:t xml:space="preserve"> maintenance and consultancy businesses. The Public Private Partnership projects segment includes the financial returns generated by investments it makes in Public Private Partnership (PPP) projects, including those from the sale of equity investments. The Middle East construction services segment includes its building and civil engineering activities in Middle East and North Africa. The Construction services segment includes its United Kingdom building, civil engineering, developments businesses and its construction activities in Canada.</w:t>
      </w:r>
    </w:p>
    <w:p w:rsidR="00472744" w:rsidRPr="00DA0522" w:rsidRDefault="00472744"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CDI Corp.</w:t>
      </w:r>
    </w:p>
    <w:p w:rsidR="007D42C5" w:rsidRDefault="005A3C43" w:rsidP="007D42C5">
      <w:pPr>
        <w:pStyle w:val="Normal8"/>
      </w:pPr>
      <w:r w:rsidRPr="005A3C43">
        <w:rPr>
          <w:rFonts w:ascii="Times New Roman" w:eastAsia="新細明體" w:hAnsi="Times New Roman"/>
          <w:noProof w:val="0"/>
          <w:kern w:val="2"/>
          <w:sz w:val="24"/>
          <w:szCs w:val="24"/>
          <w:lang w:eastAsia="zh-TW"/>
        </w:rPr>
        <w:t xml:space="preserve">CDI Corp. provides engineering, information technology and staffing solutions. The Company operates in three segments: Global Engineering and Technology Solutions (GETS), Professional Staffing Services (PSS) and Management Recruiters </w:t>
      </w:r>
      <w:r w:rsidRPr="005A3C43">
        <w:rPr>
          <w:rFonts w:ascii="Times New Roman" w:eastAsia="新細明體" w:hAnsi="Times New Roman"/>
          <w:noProof w:val="0"/>
          <w:kern w:val="2"/>
          <w:sz w:val="24"/>
          <w:szCs w:val="24"/>
          <w:lang w:eastAsia="zh-TW"/>
        </w:rPr>
        <w:lastRenderedPageBreak/>
        <w:t>International (MRI). It provides staffing services through its MRINetwork of franchisees. The GETS segment provides engineering and information technology solutions that involve the production of deliverable work products or services performed at its facility or at a customer's facility. The PSS segment provides technical and professional personnel for discrete periods of time to augment the customer's workforce in times of project, seasonal, peak period or business cycle needs. The MRI segment is a global franchisor that does business as MRINetwork and provides the use of its trademarks, business systems and training and support services to its franchisees. It serves the oil, gas and chemicals, aerospace and industrial equipment, and hi-tech industries.</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CRIE ANABUKI INC.</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 xml:space="preserve">CRIE ANABUKI INC. is mainly engaged in the human resource service-related business. The Company operates in six business segments. The Human Resource Dispatching segment is involved in the general manpower dispatching business. The Outsourcing segment provides outsourcing services, including the placement of staff, suggestion for projects and management of company operation. The Human Resource Introduction segment provides fee-charging employment services and temp to perm (TTP) services. The Re-employment Support segment provides support services for retired persons, and the employment adjustment consulting services for companies. The Information Technology (IT)-related segment provides IT-related services, including IT trainings, seminar operation and sample program development, among others. The </w:t>
      </w:r>
      <w:proofErr w:type="gramStart"/>
      <w:r w:rsidRPr="005A3C43">
        <w:rPr>
          <w:rFonts w:ascii="Times New Roman" w:eastAsia="新細明體" w:hAnsi="Times New Roman"/>
          <w:noProof w:val="0"/>
          <w:kern w:val="2"/>
          <w:sz w:val="24"/>
          <w:szCs w:val="24"/>
          <w:lang w:eastAsia="zh-TW"/>
        </w:rPr>
        <w:t>Others</w:t>
      </w:r>
      <w:proofErr w:type="gramEnd"/>
      <w:r w:rsidRPr="005A3C43">
        <w:rPr>
          <w:rFonts w:ascii="Times New Roman" w:eastAsia="新細明體" w:hAnsi="Times New Roman"/>
          <w:noProof w:val="0"/>
          <w:kern w:val="2"/>
          <w:sz w:val="24"/>
          <w:szCs w:val="24"/>
          <w:lang w:eastAsia="zh-TW"/>
        </w:rPr>
        <w:t xml:space="preserve"> segment provides training and testing services, and human resource-related consulting services.</w:t>
      </w:r>
      <w:r w:rsidR="007D42C5" w:rsidRPr="007D42C5">
        <w:rPr>
          <w:rFonts w:ascii="Times New Roman" w:eastAsia="新細明體" w:hAnsi="Times New Roman"/>
          <w:noProof w:val="0"/>
          <w:kern w:val="2"/>
          <w:sz w:val="24"/>
          <w:szCs w:val="24"/>
          <w:lang w:eastAsia="zh-TW"/>
        </w:rPr>
        <w:t xml:space="preserve"> </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Datalinks Corp</w:t>
      </w:r>
    </w:p>
    <w:p w:rsid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 xml:space="preserve">DATALINKS CORPORATION is a Japan-based company that offers system solution services and business process outsourcing (BPO) services. The Company has two business segments. The System Solution Services segment offers system integration services with a Website development application under the name intra-mart; data mining solution services, such as programming and statistics analysis services based on market-relate data collection, sales analysis and estimate, and cost and quality management analysis, as well as mission-critical system development services for </w:t>
      </w:r>
      <w:r w:rsidRPr="005A3C43">
        <w:rPr>
          <w:rFonts w:ascii="Times New Roman" w:eastAsia="新細明體" w:hAnsi="Times New Roman"/>
          <w:noProof w:val="0"/>
          <w:kern w:val="2"/>
          <w:sz w:val="24"/>
          <w:szCs w:val="24"/>
          <w:lang w:eastAsia="zh-TW"/>
        </w:rPr>
        <w:lastRenderedPageBreak/>
        <w:t>human resources, payrolls, accounting and sales management. The BPO Services segment is engaged in the provision of temporary staffing service, employment agency service, as well as outsourcing services, among others.</w:t>
      </w:r>
    </w:p>
    <w:p w:rsidR="005A3C43" w:rsidRPr="00DA0522" w:rsidRDefault="005A3C43"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Eternal Asia Supply Chain Management LTD</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Eternal Asia Supply Chain Management Ltd. is a supply chain service provider. The Company provides enterprises with supply chain services supporting their core businesses. The Company operates its business through provision of production-oriented supply chain services, circulating consumption-oriented supply chain services, global sourcing and product integration supply chain services, and supply chain finance services. In addition, it operates supply chain service platform and supply chain base, as well as provides supply chain management services.</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Insperity Inc</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Insperity, Inc. (Insperity) provides an array of human resources (HR) and business solutions. The Company's HR services offerings are provided through its Workforce Optimization and Workforce Synchronization solutions (together, its professional employer organization (PEO) HR Outsourcing solutions), which encompass a range of human resources functions, including payroll and employment administration, employee benefits, workers' compensation, government compliance, performance management, and training and development services. In addition to its PEO HR Outsourcing solutions, the Company offers human capital management, payroll services, time and attendance, performance management, organizational planning, recruiting services, employment screening, financial and expense management services, retirement services and insurance services, many of which are offered through desktop applications and cloud-based delivery models.</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MCT Danismanlik AS</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 xml:space="preserve">MCT Danismanlik AS is a Turkey-based management consulting company offering business consulting services. The Company provides support for organizational development and human resource consultancy services as well as trainings. It also offers international executive trainings and development programs. MCT Danismanlik </w:t>
      </w:r>
      <w:r w:rsidRPr="005A3C43">
        <w:rPr>
          <w:rFonts w:ascii="Times New Roman" w:eastAsia="新細明體" w:hAnsi="Times New Roman"/>
          <w:noProof w:val="0"/>
          <w:kern w:val="2"/>
          <w:sz w:val="24"/>
          <w:szCs w:val="24"/>
          <w:lang w:eastAsia="zh-TW"/>
        </w:rPr>
        <w:lastRenderedPageBreak/>
        <w:t>AS is a subsidiary of Middle East Management Centre Sprl and has one subsidiary, Eventus Organizasyon Fuarcilik ve Ticaret Anonim Sirketi.</w:t>
      </w:r>
    </w:p>
    <w:p w:rsidR="007D42C5" w:rsidRPr="00DA0522" w:rsidRDefault="007D42C5"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Resources Connection, Inc.</w:t>
      </w:r>
    </w:p>
    <w:p w:rsid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Resources Connection, Inc. is a multinational consulting firm. The Company's operating entities primarily provide services under the name Resources Global Professionals (RGP). The Company provides consulting and business initiative support services to its global client base in the areas of accounting; finance; corporate governance, risk and compliance (GRC) management; corporate advisory, strategic communications and restructuring; information management; human capital; supply chain management, and legal and regulatory. The Company provides its services and solutions to a client base in a range of industries. Its finance and accounting services encompass accounting operations, financial reporting, internal controls, financial analyses and business transactions. It offers a range of technology solutions, which include enterprise resource planning systems; strategic front-of-the-house systems; human resources (HR) information systems, and supply chain management systems, among others.</w:t>
      </w:r>
    </w:p>
    <w:p w:rsidR="005A3C43" w:rsidRPr="00DA0522" w:rsidRDefault="005A3C43" w:rsidP="007D42C5">
      <w:pPr>
        <w:pStyle w:val="Normal8"/>
        <w:rPr>
          <w:lang w:eastAsia="zh-TW"/>
        </w:rPr>
      </w:pPr>
    </w:p>
    <w:p w:rsidR="007D42C5" w:rsidRPr="007D42C5" w:rsidRDefault="007D42C5" w:rsidP="006106D4">
      <w:pPr>
        <w:pStyle w:val="SectionLevel5"/>
        <w:numPr>
          <w:ilvl w:val="0"/>
          <w:numId w:val="7"/>
        </w:numPr>
        <w:spacing w:before="240"/>
        <w:rPr>
          <w:rFonts w:ascii="Times New Roman" w:eastAsia="標楷體" w:hAnsi="Times New Roman" w:cs="Times New Roman"/>
          <w:color w:val="auto"/>
          <w:kern w:val="2"/>
          <w:sz w:val="26"/>
          <w:szCs w:val="26"/>
          <w:lang w:eastAsia="zh-TW"/>
        </w:rPr>
      </w:pPr>
      <w:r w:rsidRPr="007D42C5">
        <w:rPr>
          <w:rFonts w:ascii="Times New Roman" w:eastAsia="標楷體" w:hAnsi="Times New Roman" w:cs="Times New Roman"/>
          <w:color w:val="auto"/>
          <w:kern w:val="2"/>
          <w:sz w:val="26"/>
          <w:szCs w:val="26"/>
          <w:lang w:eastAsia="zh-TW"/>
        </w:rPr>
        <w:t xml:space="preserve"> Robert Half International Inc.</w:t>
      </w:r>
    </w:p>
    <w:p w:rsidR="007D42C5" w:rsidRPr="007D42C5" w:rsidRDefault="005A3C43" w:rsidP="007D42C5">
      <w:pPr>
        <w:pStyle w:val="Normal8"/>
        <w:rPr>
          <w:rFonts w:ascii="Times New Roman" w:eastAsia="新細明體" w:hAnsi="Times New Roman"/>
          <w:noProof w:val="0"/>
          <w:kern w:val="2"/>
          <w:sz w:val="24"/>
          <w:szCs w:val="24"/>
          <w:lang w:eastAsia="zh-TW"/>
        </w:rPr>
      </w:pPr>
      <w:r w:rsidRPr="005A3C43">
        <w:rPr>
          <w:rFonts w:ascii="Times New Roman" w:eastAsia="新細明體" w:hAnsi="Times New Roman"/>
          <w:noProof w:val="0"/>
          <w:kern w:val="2"/>
          <w:sz w:val="24"/>
          <w:szCs w:val="24"/>
          <w:lang w:eastAsia="zh-TW"/>
        </w:rPr>
        <w:t>Robert Half International Inc. provides specialized staffing and risk consulting services. The Company's divisions are Accountemps, Robert Half Finance &amp; Accounting, OfficeTeam, Robert Half Technology, Robert Half Management Resources, Robert Half Legal, The Creative Group and Protiviti. It operates through three segments: temporary and consultant staffing, permanent placement staffing, and risk consulting and internal audit services. The Accountemps, Robert Half Finance &amp; Accounting and Robert Half Management Resources divisions provide professionals in the fields of accounting and finance. Its OfficeTeam specializes in skilled temporary administrative support personnel. Robert Half Technology provides information technology (IT) professionals. Robert Half Legal provides staffing of attorneys and specialized support personnel. The Creative Group provides project staffing in the interactive media, design and marketing fields. Protiviti is a business con</w:t>
      </w:r>
      <w:r>
        <w:rPr>
          <w:rFonts w:ascii="Times New Roman" w:eastAsia="新細明體" w:hAnsi="Times New Roman"/>
          <w:noProof w:val="0"/>
          <w:kern w:val="2"/>
          <w:sz w:val="24"/>
          <w:szCs w:val="24"/>
          <w:lang w:eastAsia="zh-TW"/>
        </w:rPr>
        <w:t>sulting and internal audit firm</w:t>
      </w:r>
      <w:r w:rsidR="007D42C5" w:rsidRPr="007D42C5">
        <w:rPr>
          <w:rFonts w:ascii="Times New Roman" w:eastAsia="新細明體" w:hAnsi="Times New Roman"/>
          <w:noProof w:val="0"/>
          <w:kern w:val="2"/>
          <w:sz w:val="24"/>
          <w:szCs w:val="24"/>
          <w:lang w:eastAsia="zh-TW"/>
        </w:rPr>
        <w:t>.</w:t>
      </w:r>
    </w:p>
    <w:p w:rsidR="00662661" w:rsidRPr="00EF1107" w:rsidRDefault="00662661" w:rsidP="001A6824">
      <w:pPr>
        <w:jc w:val="both"/>
        <w:rPr>
          <w:kern w:val="0"/>
        </w:rPr>
        <w:sectPr w:rsidR="00662661" w:rsidRPr="00EF1107" w:rsidSect="006B72E6">
          <w:headerReference w:type="default" r:id="rId41"/>
          <w:footerReference w:type="even" r:id="rId42"/>
          <w:footerReference w:type="default" r:id="rId43"/>
          <w:pgSz w:w="11906" w:h="16838"/>
          <w:pgMar w:top="2160" w:right="1440" w:bottom="1814" w:left="1440" w:header="851" w:footer="567" w:gutter="567"/>
          <w:pgNumType w:start="1"/>
          <w:cols w:space="425"/>
          <w:docGrid w:type="linesAndChars" w:linePitch="360"/>
        </w:sectPr>
      </w:pP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ASEC International Corporation</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 w:name="IncomeStatement"/>
            <w:bookmarkEnd w:id="1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 w:name="IncomeStatement_0"/>
            <w:bookmarkEnd w:id="1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 w:name="IncomeStatement_1"/>
            <w:bookmarkEnd w:id="1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3" w:name="IncomeStatement_2"/>
            <w:bookmarkEnd w:id="1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4" w:name="IncomeStatement_3"/>
            <w:bookmarkEnd w:id="14"/>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1,703,701,000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1,619,517,000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1,859,861,000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1,727,693,000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1,622,391,000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1,518,897,000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1,757,872,000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1,633,053,333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81,310,000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100,620,000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101,989,000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94,639,667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145,899,000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152,729,000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168,876,000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155,834,667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-64,589,000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-52,109,000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-66,887,000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-61,195,000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-2,930,000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-2,452,667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2A7E3F" w:rsidRPr="00844BCB" w:rsidRDefault="00A66499"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TWD</w:t>
      </w:r>
    </w:p>
    <w:p w:rsidR="002A7E3F" w:rsidRPr="00844BCB" w:rsidRDefault="002A7E3F" w:rsidP="002A7E3F">
      <w:pPr>
        <w:keepLines/>
        <w:autoSpaceDE w:val="0"/>
        <w:autoSpaceDN w:val="0"/>
        <w:adjustRightInd w:val="0"/>
        <w:jc w:val="both"/>
        <w:rPr>
          <w:b/>
          <w:bCs/>
          <w:color w:val="000000"/>
          <w:kern w:val="0"/>
          <w:sz w:val="20"/>
          <w:szCs w:val="20"/>
        </w:rPr>
      </w:pPr>
      <w:bookmarkStart w:id="15" w:name="IncomeStatementBookmark"/>
      <w:bookmarkEnd w:id="15"/>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6" w:name="BalanceSheet"/>
            <w:bookmarkEnd w:id="1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7" w:name="BalanceSheet_0"/>
            <w:bookmarkEnd w:id="1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8" w:name="BalanceSheet_1"/>
            <w:bookmarkEnd w:id="1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9" w:name="BalanceSheet_2"/>
            <w:bookmarkEnd w:id="1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0" w:name="BalanceSheet_3"/>
            <w:bookmarkEnd w:id="20"/>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843,659,500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905,956,000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934,564,000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894,726,500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531,020,500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540,392,000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583,501,000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551,637,833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100,474,000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106,742,000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109,440,000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105,552,000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207,348,000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183,398,000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201,798,667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38,953,500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38,036,000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36,548,000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37,845,833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166,610,500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172,174,000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184,351,000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174,378,500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103,919,000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145,193,000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124,556,000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157,300,500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120,813,500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32,234,500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103,449,500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2A7E3F" w:rsidRPr="00844BCB" w:rsidRDefault="00A66499"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TWD</w:t>
      </w:r>
      <w:bookmarkStart w:id="21" w:name="BalanceSheetBookmark"/>
      <w:bookmarkEnd w:id="21"/>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Edom Technology Co Ltd</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2" w:name="IncomeStatement_4"/>
            <w:bookmarkEnd w:id="2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3" w:name="IncomeStatement_0_0"/>
            <w:bookmarkEnd w:id="2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4" w:name="IncomeStatement_1_0"/>
            <w:bookmarkEnd w:id="2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5" w:name="IncomeStatement_2_0"/>
            <w:bookmarkEnd w:id="2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6" w:name="IncomeStatement_3_0"/>
            <w:bookmarkEnd w:id="26"/>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71,618,425,000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61,012,033,000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34,736,756,000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55,789,071,333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69,380,110,000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58,780,757,000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33,175,531,000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53,778,799,333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2,238,315,000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2,231,276,000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1,561,225,000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2,010,272,000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1,468,610,000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1,425,133,000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1,250,849,000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1,381,530,667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769,705,000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806,143,000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310,376,000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628,741,333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-278,176,000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-201,382,000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-91,211,000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-190,256,333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2A7E3F" w:rsidRPr="00844BCB" w:rsidRDefault="00844BCB"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TWD</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27" w:name="IncomeStatementBookmark_0"/>
      <w:bookmarkEnd w:id="27"/>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1"/>
        <w:gridCol w:w="1216"/>
        <w:gridCol w:w="1216"/>
        <w:gridCol w:w="113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8" w:name="BalanceSheet_4"/>
            <w:bookmarkEnd w:id="2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29" w:name="BalanceSheet_0_0"/>
            <w:bookmarkEnd w:id="2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0" w:name="BalanceSheet_1_0"/>
            <w:bookmarkEnd w:id="3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1" w:name="BalanceSheet_2_0"/>
            <w:bookmarkEnd w:id="3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2" w:name="BalanceSheet_3_0"/>
            <w:bookmarkEnd w:id="32"/>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13,614,002,000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11,175,966,000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7,286,439,500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10,692,135,833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12,346,641,000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10,039,946,500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6,263,009,500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9,549,865,667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6,054,893,500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4,989,515,500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2,691,865,500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4,578,758,167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2,646,572,000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2,062,127,000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1,032,171,000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1,913,623,333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487,984,500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479,347,000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467,060,500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478,130,667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8,919,795,000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7,189,111,500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4,429,638,500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6,846,181,667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604,165,000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640,640,000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613,625,500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619,476,833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55,925,500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74,424,500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64,559,000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64,969,667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TWD</w:t>
      </w:r>
      <w:bookmarkStart w:id="33" w:name="BalanceSheetBookmark_0"/>
      <w:bookmarkEnd w:id="33"/>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Ferrum PCL</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4" w:name="IncomeStatement_5"/>
            <w:bookmarkEnd w:id="3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5" w:name="IncomeStatement_0_1"/>
            <w:bookmarkEnd w:id="3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6" w:name="IncomeStatement_1_1"/>
            <w:bookmarkEnd w:id="3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7" w:name="IncomeStatement_2_1"/>
            <w:bookmarkEnd w:id="3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38" w:name="IncomeStatement_3_1"/>
            <w:bookmarkEnd w:id="38"/>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1,613,421,760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2,589,388,270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4,733,705,640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2,978,838,557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1,653,085,790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2,514,218,970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4,301,118,900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2,822,807,887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-39,664,030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75,169,300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432,586,740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156,030,670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360,994,190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268,982,000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345,544,010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325,173,400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-400,658,220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-193,812,700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87,042,730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-169,142,730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-15,105,050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-54,422,430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-72,007,310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-47,178,263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2A7E3F" w:rsidRPr="00844BCB" w:rsidRDefault="00844BCB"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THB</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39" w:name="IncomeStatementBookmark_1"/>
      <w:bookmarkEnd w:id="39"/>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0" w:name="BalanceSheet_5"/>
            <w:bookmarkEnd w:id="4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1" w:name="BalanceSheet_0_1"/>
            <w:bookmarkEnd w:id="4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2" w:name="BalanceSheet_1_1"/>
            <w:bookmarkEnd w:id="4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3" w:name="BalanceSheet_2_1"/>
            <w:bookmarkEnd w:id="4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4" w:name="BalanceSheet_3_1"/>
            <w:bookmarkEnd w:id="44"/>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1,187,482,000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1,100,650,980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1,240,714,150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1,176,282,377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672,618,500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948,204,190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1,107,422,375</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909,415,022</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50,304,500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92,096,840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80,393,035</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74,264,792</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77,519,000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196,698,920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246,709,515</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173,642,478</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200,536,000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173,556,770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167,841,350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180,644,707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213,284,000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489,641,490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451,921,475</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384,948,988</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74,173,610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74,173,610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255,823,500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71,903,535</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66,920,070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131,549,035</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THB</w:t>
      </w:r>
      <w:bookmarkStart w:id="45" w:name="BalanceSheetBookmark_1"/>
      <w:bookmarkEnd w:id="45"/>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Gremz Inc</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6" w:name="IncomeStatement_6"/>
            <w:bookmarkEnd w:id="4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7" w:name="IncomeStatement_0_2"/>
            <w:bookmarkEnd w:id="4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8" w:name="IncomeStatement_1_2"/>
            <w:bookmarkEnd w:id="4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49" w:name="IncomeStatement_2_2"/>
            <w:bookmarkEnd w:id="4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0" w:name="IncomeStatement_3_2"/>
            <w:bookmarkEnd w:id="50"/>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6,739,006,000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6,171,982,000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5,781,912,000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6,230,966,667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3,505,864,000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3,042,714,000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2,759,296,000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3,102,624,667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3,233,142,000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3,129,268,000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3,022,616,000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3,128,342,000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2,657,807,000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2,773,029,000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2,744,283,000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2,725,039,667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575,335,000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356,239,000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278,333,000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403,302,333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-7,237,000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-5,840,667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844BCB"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51" w:name="IncomeStatementBookmark_2"/>
      <w:bookmarkEnd w:id="51"/>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2" w:name="BalanceSheet_6"/>
            <w:bookmarkEnd w:id="5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3" w:name="BalanceSheet_0_2"/>
            <w:bookmarkEnd w:id="5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4" w:name="BalanceSheet_1_2"/>
            <w:bookmarkEnd w:id="5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5" w:name="BalanceSheet_2_2"/>
            <w:bookmarkEnd w:id="5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6" w:name="BalanceSheet_3_2"/>
            <w:bookmarkEnd w:id="56"/>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4,439,377,000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3,567,918,500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2,853,882,500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3,620,392,667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2,054,317,500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1,722,775,500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1,105,412,000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1,627,501,667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340,513,500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328,454,000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325,406,000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331,457,833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573,721,000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640,971,000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420,107,500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544,933,167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728,257,500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417,820,500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204,526,500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450,201,500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293,649,000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269,000,500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187,827,000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250,158,833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2,333,148,500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1,792,702,500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1,661,807,500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1,929,219,500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bookmarkStart w:id="57" w:name="BalanceSheetBookmark_2"/>
      <w:bookmarkEnd w:id="57"/>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KANADEN CORPORATION</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8" w:name="IncomeStatement_7"/>
            <w:bookmarkEnd w:id="5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59" w:name="IncomeStatement_0_3"/>
            <w:bookmarkEnd w:id="5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0" w:name="IncomeStatement_1_3"/>
            <w:bookmarkEnd w:id="6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1" w:name="IncomeStatement_2_3"/>
            <w:bookmarkEnd w:id="6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2" w:name="IncomeStatement_3_3"/>
            <w:bookmarkEnd w:id="62"/>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120,534,000,000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122,009,000,000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120,410,000,000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120,984,333,333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105,172,000,000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106,394,000,000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105,209,000,000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105,591,666,667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15,362,000,000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15,615,000,000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15,201,000,000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15,392,666,667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11,028,000,000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11,481,000,000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11,446,000,000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11,318,333,333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4,334,000,000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4,134,000,000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3,755,000,000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4,074,333,333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844BCB" w:rsidP="002A7E3F">
      <w:pPr>
        <w:widowControl/>
        <w:tabs>
          <w:tab w:val="right" w:pos="216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63" w:name="IncomeStatementBookmark_3"/>
      <w:bookmarkEnd w:id="63"/>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4" w:name="BalanceSheet_7"/>
            <w:bookmarkEnd w:id="6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5" w:name="BalanceSheet_0_3"/>
            <w:bookmarkEnd w:id="6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6" w:name="BalanceSheet_1_3"/>
            <w:bookmarkEnd w:id="6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7" w:name="BalanceSheet_2_3"/>
            <w:bookmarkEnd w:id="6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68" w:name="BalanceSheet_3_3"/>
            <w:bookmarkEnd w:id="68"/>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79,702,500,000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77,332,500,000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74,185,000,000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77,073,333,333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53,865,500,000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51,332,500,000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48,807,500,000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51,335,166,667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32,642,500,000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31,226,000,000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29,936,500,000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31,268,333,333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37,379,500,000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34,910,000,000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32,712,500,000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35,000,666,667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4,188,500,000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4,249,500,000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4,205,000,000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4,214,333,333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3,208,000,000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3,308,500,000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3,218,500,000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3,245,000,000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5,834,500,000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5,227,000,000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5,125,500,000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5,395,666,667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kern w:val="0"/>
          <w:sz w:val="16"/>
          <w:szCs w:val="16"/>
          <w:lang w:eastAsia="en-US"/>
        </w:rPr>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bookmarkStart w:id="69" w:name="BalanceSheetBookmark_3"/>
      <w:bookmarkEnd w:id="69"/>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MARUBUN CORPORATION</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0" w:name="IncomeStatement_8"/>
            <w:bookmarkEnd w:id="7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1" w:name="IncomeStatement_0_4"/>
            <w:bookmarkEnd w:id="7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2" w:name="IncomeStatement_1_4"/>
            <w:bookmarkEnd w:id="7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3" w:name="IncomeStatement_2_4"/>
            <w:bookmarkEnd w:id="7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4" w:name="IncomeStatement_3_4"/>
            <w:bookmarkEnd w:id="74"/>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279,571,000,000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273,683,000,000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260,424,000,000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271,226,000,000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261,252,000,000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254,537,000,000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241,581,000,000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252,456,666,667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18,319,000,000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19,146,000,000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18,843,000,000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18,769,333,333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15,106,000,000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14,593,000,000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14,930,000,000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14,876,333,333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3,213,000,000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4,553,000,000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3,913,000,000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3,893,000,000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-226,666,667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844BCB"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rPr>
      </w:pPr>
      <w:bookmarkStart w:id="75" w:name="IncomeStatementBookmark_4"/>
      <w:bookmarkEnd w:id="75"/>
    </w:p>
    <w:p w:rsidR="002A7E3F" w:rsidRPr="00844BCB" w:rsidRDefault="002A7E3F" w:rsidP="002A7E3F">
      <w:pPr>
        <w:keepLines/>
        <w:autoSpaceDE w:val="0"/>
        <w:autoSpaceDN w:val="0"/>
        <w:adjustRightInd w:val="0"/>
        <w:spacing w:before="240" w:after="240"/>
        <w:jc w:val="both"/>
        <w:rPr>
          <w:b/>
          <w:bCs/>
          <w:kern w:val="0"/>
          <w:sz w:val="20"/>
          <w:lang w:eastAsia="en-US"/>
        </w:rPr>
      </w:pPr>
      <w:r w:rsidRPr="00844BCB">
        <w:rPr>
          <w:b/>
          <w:bCs/>
          <w:kern w:val="0"/>
          <w:sz w:val="20"/>
          <w:lang w:eastAsia="en-US"/>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6" w:name="BalanceSheet_8"/>
            <w:bookmarkEnd w:id="7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7" w:name="BalanceSheet_0_4"/>
            <w:bookmarkEnd w:id="7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8" w:name="BalanceSheet_1_4"/>
            <w:bookmarkEnd w:id="7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79" w:name="BalanceSheet_2_4"/>
            <w:bookmarkEnd w:id="7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0" w:name="BalanceSheet_3_4"/>
            <w:bookmarkEnd w:id="80"/>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117,413,000,000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119,474,000,000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107,689,000,000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114,858,666,667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97,176,500,000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96,728,500,000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85,662,000,000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93,189,000,000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44,449,500,000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46,444,000,000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36,716,500,000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42,536,666,667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58,448,000,000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62,150,500,000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54,597,500,000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58,398,666,667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3,655,500,000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4,254,500,000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4,289,500,000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4,066,500,000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26,951,000,000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22,958,500,000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21,177,500,000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23,695,666,667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17,910,500,000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20,438,000,000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18,295,500,000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18,881,333,333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2A7E3F" w:rsidP="002A7E3F">
      <w:pPr>
        <w:widowControl/>
        <w:jc w:val="both"/>
        <w:rPr>
          <w:kern w:val="0"/>
          <w:sz w:val="16"/>
          <w:szCs w:val="16"/>
        </w:rPr>
      </w:pPr>
      <w:r w:rsidRPr="00844BCB">
        <w:rPr>
          <w:b/>
          <w:kern w:val="0"/>
          <w:sz w:val="16"/>
          <w:szCs w:val="16"/>
          <w:lang w:eastAsia="en-US"/>
        </w:rPr>
        <w:tab/>
        <w:t xml:space="preserve">                   </w:t>
      </w:r>
      <w:r w:rsidRPr="00844BCB">
        <w:rPr>
          <w:b/>
          <w:kern w:val="0"/>
          <w:sz w:val="16"/>
          <w:szCs w:val="16"/>
        </w:rPr>
        <w:t xml:space="preserve"> </w:t>
      </w:r>
      <w:r w:rsidRPr="00844BCB">
        <w:rPr>
          <w:b/>
          <w:bCs/>
          <w:kern w:val="0"/>
          <w:sz w:val="16"/>
          <w:szCs w:val="16"/>
          <w:lang w:eastAsia="en-US"/>
        </w:rPr>
        <w:t>Currency</w:t>
      </w:r>
      <w:r w:rsidRPr="00844BCB">
        <w:rPr>
          <w:b/>
          <w:kern w:val="0"/>
          <w:sz w:val="16"/>
          <w:szCs w:val="16"/>
          <w:lang w:eastAsia="en-US"/>
        </w:rPr>
        <w:t>:</w:t>
      </w:r>
      <w:r w:rsidRPr="00844BCB">
        <w:rPr>
          <w:b/>
          <w:kern w:val="0"/>
          <w:sz w:val="16"/>
          <w:szCs w:val="16"/>
          <w:lang w:eastAsia="en-US"/>
        </w:rPr>
        <w:tab/>
      </w:r>
      <w:r w:rsidRPr="00844BCB">
        <w:rPr>
          <w:kern w:val="0"/>
          <w:sz w:val="16"/>
          <w:szCs w:val="16"/>
          <w:lang w:eastAsia="en-US"/>
        </w:rPr>
        <w:t>JPY</w:t>
      </w:r>
      <w:bookmarkStart w:id="81" w:name="BalanceSheetBookmark_4"/>
      <w:bookmarkEnd w:id="81"/>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Sakae Electronics Corporation</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2" w:name="IncomeStatement_9"/>
            <w:bookmarkEnd w:id="8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3" w:name="IncomeStatement_0_5"/>
            <w:bookmarkEnd w:id="8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4" w:name="IncomeStatement_1_5"/>
            <w:bookmarkEnd w:id="8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5" w:name="IncomeStatement_2_5"/>
            <w:bookmarkEnd w:id="8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6" w:name="IncomeStatement_3_5"/>
            <w:bookmarkEnd w:id="86"/>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4,903,004,000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4,878,888,000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4,392,283,000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4,724,725,000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4,058,466,000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4,023,754,000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3,616,477,000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3,899,565,667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844,538,000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855,134,000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775,806,000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825,159,333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725,231,000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714,055,000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662,362,000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700,549,333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119,307,000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141,079,000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113,444,000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124,610,000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-10,069,000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-11,338,000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-13,723,000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-11,710,000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2A7E3F" w:rsidP="002A7E3F">
      <w:pPr>
        <w:widowControl/>
        <w:tabs>
          <w:tab w:val="right" w:pos="2160"/>
          <w:tab w:val="left" w:pos="2340"/>
        </w:tabs>
        <w:jc w:val="both"/>
        <w:rPr>
          <w:bCs/>
          <w:noProof/>
          <w:color w:val="000000"/>
          <w:kern w:val="0"/>
          <w:sz w:val="16"/>
          <w:szCs w:val="16"/>
          <w:lang w:eastAsia="en-US"/>
        </w:rPr>
      </w:pPr>
      <w:r w:rsidRPr="00844BCB">
        <w:rPr>
          <w:b/>
          <w:bCs/>
          <w:noProof/>
          <w:color w:val="000000"/>
          <w:kern w:val="0"/>
          <w:sz w:val="16"/>
          <w:szCs w:val="16"/>
        </w:rPr>
        <w:t xml:space="preserve">                    </w:t>
      </w:r>
      <w:r w:rsidR="00844BCB">
        <w:rPr>
          <w:b/>
          <w:bCs/>
          <w:noProof/>
          <w:color w:val="000000"/>
          <w:kern w:val="0"/>
          <w:sz w:val="16"/>
          <w:szCs w:val="16"/>
        </w:rPr>
        <w:t xml:space="preserve">      </w:t>
      </w:r>
      <w:r w:rsidRPr="00844BCB">
        <w:rPr>
          <w:b/>
          <w:bCs/>
          <w:noProof/>
          <w:color w:val="000000"/>
          <w:kern w:val="0"/>
          <w:sz w:val="16"/>
          <w:szCs w:val="16"/>
          <w:lang w:eastAsia="en-US"/>
        </w:rPr>
        <w:t>Currency:</w:t>
      </w:r>
      <w:r w:rsidRPr="00844BCB">
        <w:rPr>
          <w:b/>
          <w:bCs/>
          <w:noProof/>
          <w:color w:val="000000"/>
          <w:kern w:val="0"/>
          <w:sz w:val="16"/>
          <w:szCs w:val="16"/>
          <w:lang w:eastAsia="en-US"/>
        </w:rPr>
        <w:tab/>
      </w:r>
      <w:r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87" w:name="IncomeStatementBookmark_5"/>
      <w:bookmarkEnd w:id="87"/>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8" w:name="BalanceSheet_9"/>
            <w:bookmarkEnd w:id="8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89" w:name="BalanceSheet_0_5"/>
            <w:bookmarkEnd w:id="8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0" w:name="BalanceSheet_1_5"/>
            <w:bookmarkEnd w:id="9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1" w:name="BalanceSheet_2_5"/>
            <w:bookmarkEnd w:id="9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2" w:name="BalanceSheet_3_5"/>
            <w:bookmarkEnd w:id="92"/>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4,849,872,000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4,837,336,000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5,244,153,000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4,977,120,333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4,032,314,500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4,073,326,000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4,090,043,500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4,065,228,000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1,119,726,000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1,106,993,000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977,516,000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1,068,078,333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1,418,786,500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1,390,841,000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1,248,892,000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1,352,839,833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1,757,694,000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1,785,632,500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1,811,400,000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1,784,908,833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330,464,500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327,015,000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312,035,000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323,171,500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746,778,500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726,350,000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1,128,097,000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867,075,167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bookmarkStart w:id="93" w:name="BalanceSheetBookmark_5"/>
      <w:bookmarkEnd w:id="93"/>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SANSHIN ELECTRONICS CO., LTD.</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4" w:name="IncomeStatement_10"/>
            <w:bookmarkEnd w:id="9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5" w:name="IncomeStatement_0_6"/>
            <w:bookmarkEnd w:id="9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6" w:name="IncomeStatement_1_6"/>
            <w:bookmarkEnd w:id="9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7" w:name="IncomeStatement_2_6"/>
            <w:bookmarkEnd w:id="9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98" w:name="IncomeStatement_3_6"/>
            <w:bookmarkEnd w:id="98"/>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199,075,000,000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219,091,000,000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192,240,000,000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203,468,666,667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186,845,000,000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205,375,000,000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179,850,000,000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190,690,000,000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12,230,000,000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13,716,000,000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12,390,000,000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12,778,666,667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10,316,000,000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10,455,000,000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9,871,000,000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10,214,000,000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1,914,000,000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3,261,000,000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2,519,000,000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2,564,666,667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844BCB"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99" w:name="IncomeStatementBookmark_6"/>
      <w:bookmarkEnd w:id="99"/>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0" w:name="BalanceSheet_10"/>
            <w:bookmarkEnd w:id="10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1" w:name="BalanceSheet_0_6"/>
            <w:bookmarkEnd w:id="10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2" w:name="BalanceSheet_1_6"/>
            <w:bookmarkEnd w:id="10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3" w:name="BalanceSheet_2_6"/>
            <w:bookmarkEnd w:id="10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4" w:name="BalanceSheet_3_6"/>
            <w:bookmarkEnd w:id="104"/>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98,626,000,000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97,597,000,000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88,219,000,000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94,814,000,000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86,522,000,000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79,862,000,000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70,847,500,000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79,077,166,667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26,773,000,000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27,632,000,000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20,397,500,000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24,934,166,667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52,154,500,000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54,087,000,000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43,759,000,000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50,000,166,667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4,008,000,000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4,030,000,000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4,137,000,000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4,058,333,333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17,883,500,000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15,408,000,000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18,080,500,000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17,124,000,000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11,337,500,000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17,123,500,000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16,461,000,000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14,974,000,000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844BCB"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bookmarkStart w:id="105" w:name="BalanceSheetBookmark_6"/>
      <w:bookmarkEnd w:id="105"/>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Tokai Electronics Co Ltd</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6" w:name="IncomeStatement_11"/>
            <w:bookmarkEnd w:id="10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7" w:name="IncomeStatement_0_7"/>
            <w:bookmarkEnd w:id="10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8" w:name="IncomeStatement_1_7"/>
            <w:bookmarkEnd w:id="10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09" w:name="IncomeStatement_2_7"/>
            <w:bookmarkEnd w:id="10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0" w:name="IncomeStatement_3_7"/>
            <w:bookmarkEnd w:id="110"/>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38,288,250,000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41,812,503,000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39,689,149,000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39,929,967,333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33,208,981,000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36,662,015,000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34,928,651,000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34,933,215,667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5,079,269,000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5,150,488,000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4,760,498,000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4,996,751,667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4,163,063,000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4,081,840,000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3,773,871,000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4,006,258,000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916,206,000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1,068,648,000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986,627,000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990,493,667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-226,333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545C38" w:rsidP="002A7E3F">
      <w:pPr>
        <w:widowControl/>
        <w:tabs>
          <w:tab w:val="right" w:pos="216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111" w:name="IncomeStatementBookmark_7"/>
      <w:bookmarkEnd w:id="111"/>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2" w:name="BalanceSheet_11"/>
            <w:bookmarkEnd w:id="11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3" w:name="BalanceSheet_0_7"/>
            <w:bookmarkEnd w:id="11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4" w:name="BalanceSheet_1_7"/>
            <w:bookmarkEnd w:id="11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5" w:name="BalanceSheet_2_7"/>
            <w:bookmarkEnd w:id="11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6" w:name="BalanceSheet_3_7"/>
            <w:bookmarkEnd w:id="116"/>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19,074,382,000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18,974,795,000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17,640,255,000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18,563,144,000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17,227,420,500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17,078,898,500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15,992,172,000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16,766,163,667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6,383,540,500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6,627,468,000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6,148,008,000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6,386,338,833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10,202,409,000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10,503,328,000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9,543,198,000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10,082,978,333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2,852,962,500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2,864,907,000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3,011,228,500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2,909,699,333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2,970,851,000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2,538,915,500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2,375,673,000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2,628,479,833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1,642,638,500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1,660,603,000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1,350,135,500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1,551,125,667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545C38" w:rsidP="002A7E3F">
      <w:pPr>
        <w:widowControl/>
        <w:jc w:val="both"/>
        <w:rPr>
          <w:kern w:val="0"/>
          <w:sz w:val="16"/>
          <w:szCs w:val="16"/>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bookmarkStart w:id="117" w:name="BalanceSheetBookmark_7"/>
      <w:bookmarkEnd w:id="117"/>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lastRenderedPageBreak/>
        <w:t>Tokyo Electron Device Ltd</w:t>
      </w:r>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8" w:name="IncomeStatement_12"/>
            <w:bookmarkEnd w:id="11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19" w:name="IncomeStatement_0_8"/>
            <w:bookmarkEnd w:id="11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0" w:name="IncomeStatement_1_8"/>
            <w:bookmarkEnd w:id="12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1" w:name="IncomeStatement_2_8"/>
            <w:bookmarkEnd w:id="12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2" w:name="IncomeStatement_3_8"/>
            <w:bookmarkEnd w:id="122"/>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117,831,000,000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111,664,000,000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101,801,000,000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110,432,000,000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102,852,000,000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95,104,000,000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86,865,000,000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94,940,333,333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14,979,000,000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16,560,000,000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14,936,000,000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15,491,666,667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13,488,000,000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13,965,000,000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13,444,000,000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13,632,333,333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1,491,000,000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2,595,000,000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1,859,333,333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-81,000,000</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-81,000,000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autoSpaceDE w:val="0"/>
              <w:autoSpaceDN w:val="0"/>
              <w:adjustRightInd w:val="0"/>
              <w:jc w:val="center"/>
              <w:rPr>
                <w:noProof/>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2A7E3F" w:rsidRPr="00844BCB" w:rsidRDefault="00545C38" w:rsidP="002A7E3F">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2A7E3F" w:rsidRPr="00844BCB">
        <w:rPr>
          <w:b/>
          <w:bCs/>
          <w:noProof/>
          <w:color w:val="000000"/>
          <w:kern w:val="0"/>
          <w:sz w:val="16"/>
          <w:szCs w:val="16"/>
          <w:lang w:eastAsia="en-US"/>
        </w:rPr>
        <w:t>Currency:</w:t>
      </w:r>
      <w:r w:rsidR="002A7E3F" w:rsidRPr="00844BCB">
        <w:rPr>
          <w:b/>
          <w:bCs/>
          <w:noProof/>
          <w:color w:val="000000"/>
          <w:kern w:val="0"/>
          <w:sz w:val="16"/>
          <w:szCs w:val="16"/>
          <w:lang w:eastAsia="en-US"/>
        </w:rPr>
        <w:tab/>
      </w:r>
      <w:r w:rsidR="002A7E3F" w:rsidRPr="00844BCB">
        <w:rPr>
          <w:bCs/>
          <w:noProof/>
          <w:color w:val="000000"/>
          <w:kern w:val="0"/>
          <w:sz w:val="16"/>
          <w:szCs w:val="16"/>
          <w:lang w:eastAsia="en-US"/>
        </w:rPr>
        <w:t>JPY</w:t>
      </w:r>
    </w:p>
    <w:p w:rsidR="002A7E3F" w:rsidRPr="00844BCB" w:rsidRDefault="002A7E3F" w:rsidP="002A7E3F">
      <w:pPr>
        <w:widowControl/>
        <w:tabs>
          <w:tab w:val="right" w:pos="2160"/>
          <w:tab w:val="left" w:pos="2340"/>
        </w:tabs>
        <w:jc w:val="both"/>
        <w:rPr>
          <w:bCs/>
          <w:noProof/>
          <w:color w:val="000000"/>
          <w:kern w:val="0"/>
          <w:sz w:val="16"/>
          <w:szCs w:val="16"/>
          <w:lang w:eastAsia="en-US"/>
        </w:rPr>
      </w:pPr>
    </w:p>
    <w:p w:rsidR="002A7E3F" w:rsidRPr="00844BCB" w:rsidRDefault="002A7E3F" w:rsidP="002A7E3F">
      <w:pPr>
        <w:keepLines/>
        <w:autoSpaceDE w:val="0"/>
        <w:autoSpaceDN w:val="0"/>
        <w:adjustRightInd w:val="0"/>
        <w:jc w:val="both"/>
        <w:rPr>
          <w:b/>
          <w:bCs/>
          <w:color w:val="000000"/>
          <w:kern w:val="0"/>
          <w:sz w:val="20"/>
          <w:szCs w:val="20"/>
          <w:lang w:eastAsia="en-US"/>
        </w:rPr>
      </w:pPr>
      <w:bookmarkStart w:id="123" w:name="IncomeStatementBookmark_8"/>
      <w:bookmarkEnd w:id="123"/>
    </w:p>
    <w:p w:rsidR="002A7E3F" w:rsidRPr="00F81654" w:rsidRDefault="002A7E3F"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4" w:name="BalanceSheet_12"/>
            <w:bookmarkEnd w:id="12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5" w:name="BalanceSheet_0_8"/>
            <w:bookmarkEnd w:id="12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6" w:name="BalanceSheet_1_8"/>
            <w:bookmarkEnd w:id="12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7" w:name="BalanceSheet_2_8"/>
            <w:bookmarkEnd w:id="12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2A7E3F" w:rsidRPr="00844BCB" w:rsidRDefault="002A7E3F" w:rsidP="002A7E3F">
            <w:pPr>
              <w:keepNext/>
              <w:autoSpaceDE w:val="0"/>
              <w:autoSpaceDN w:val="0"/>
              <w:adjustRightInd w:val="0"/>
              <w:jc w:val="center"/>
              <w:rPr>
                <w:b/>
                <w:color w:val="000000"/>
                <w:kern w:val="0"/>
                <w:sz w:val="16"/>
                <w:szCs w:val="16"/>
                <w:lang w:eastAsia="en-US"/>
              </w:rPr>
            </w:pPr>
            <w:bookmarkStart w:id="128" w:name="BalanceSheet_3_8"/>
            <w:bookmarkEnd w:id="128"/>
            <w:r w:rsidRPr="00844BCB">
              <w:rPr>
                <w:b/>
                <w:color w:val="000000"/>
                <w:kern w:val="0"/>
                <w:sz w:val="16"/>
                <w:szCs w:val="16"/>
                <w:lang w:eastAsia="en-US"/>
              </w:rPr>
              <w:t>Average</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66,866,500,000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63,456,500,000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52,510,504,500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60,944,501,500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61,532,000,000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58,964,000,000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48,713,180,500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56,403,060,167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9,183,500,000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8,780,000,000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7,606,168,500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8,523,222,833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29,194,500,000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25,926,000,000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21,976,936,500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25,699,145,500</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886,000,000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945,500,000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1,060,046,000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963,848,667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23,272,000,000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23,247,000,000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18,730,365,000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21,749,788,333</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2,469,500,000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1,793,500,000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1,213,154,000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1,825,384,667</w:t>
            </w: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r w:rsidR="002A7E3F" w:rsidRPr="00844BCB" w:rsidTr="002A7E3F">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2A7E3F" w:rsidRPr="00844BCB" w:rsidRDefault="002A7E3F" w:rsidP="002A7E3F">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2A7E3F" w:rsidRPr="00844BCB" w:rsidRDefault="002A7E3F" w:rsidP="002A7E3F">
            <w:pPr>
              <w:tabs>
                <w:tab w:val="right" w:pos="9360"/>
              </w:tabs>
              <w:autoSpaceDE w:val="0"/>
              <w:autoSpaceDN w:val="0"/>
              <w:adjustRightInd w:val="0"/>
              <w:spacing w:before="20" w:after="20"/>
              <w:jc w:val="center"/>
              <w:rPr>
                <w:color w:val="000000"/>
                <w:kern w:val="0"/>
                <w:sz w:val="16"/>
                <w:szCs w:val="16"/>
                <w:lang w:eastAsia="en-US"/>
              </w:rPr>
            </w:pPr>
          </w:p>
        </w:tc>
      </w:tr>
    </w:tbl>
    <w:p w:rsidR="002A7E3F" w:rsidRPr="00844BCB" w:rsidRDefault="002A7E3F" w:rsidP="002A7E3F">
      <w:pPr>
        <w:widowControl/>
        <w:jc w:val="both"/>
        <w:rPr>
          <w:kern w:val="0"/>
          <w:sz w:val="20"/>
          <w:lang w:eastAsia="en-US"/>
        </w:rPr>
      </w:pPr>
    </w:p>
    <w:p w:rsidR="002A7E3F" w:rsidRPr="00844BCB" w:rsidRDefault="002A7E3F" w:rsidP="002A7E3F">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2A7E3F" w:rsidRPr="00844BCB" w:rsidRDefault="00545C38" w:rsidP="002A7E3F">
      <w:pPr>
        <w:widowControl/>
        <w:jc w:val="both"/>
        <w:rPr>
          <w:kern w:val="0"/>
          <w:sz w:val="16"/>
          <w:szCs w:val="16"/>
          <w:lang w:eastAsia="en-US"/>
        </w:rPr>
      </w:pPr>
      <w:r>
        <w:rPr>
          <w:b/>
          <w:kern w:val="0"/>
          <w:sz w:val="16"/>
          <w:szCs w:val="16"/>
          <w:lang w:eastAsia="en-US"/>
        </w:rPr>
        <w:tab/>
        <w:t xml:space="preserve">                    </w:t>
      </w:r>
      <w:r w:rsidR="002A7E3F" w:rsidRPr="00844BCB">
        <w:rPr>
          <w:b/>
          <w:bCs/>
          <w:kern w:val="0"/>
          <w:sz w:val="16"/>
          <w:szCs w:val="16"/>
          <w:lang w:eastAsia="en-US"/>
        </w:rPr>
        <w:t>Currency</w:t>
      </w:r>
      <w:r w:rsidR="002A7E3F" w:rsidRPr="00844BCB">
        <w:rPr>
          <w:b/>
          <w:kern w:val="0"/>
          <w:sz w:val="16"/>
          <w:szCs w:val="16"/>
          <w:lang w:eastAsia="en-US"/>
        </w:rPr>
        <w:t>:</w:t>
      </w:r>
      <w:r w:rsidR="002A7E3F" w:rsidRPr="00844BCB">
        <w:rPr>
          <w:b/>
          <w:kern w:val="0"/>
          <w:sz w:val="16"/>
          <w:szCs w:val="16"/>
          <w:lang w:eastAsia="en-US"/>
        </w:rPr>
        <w:tab/>
      </w:r>
      <w:r w:rsidR="002A7E3F" w:rsidRPr="00844BCB">
        <w:rPr>
          <w:kern w:val="0"/>
          <w:sz w:val="16"/>
          <w:szCs w:val="16"/>
          <w:lang w:eastAsia="en-US"/>
        </w:rPr>
        <w:t>JPY</w:t>
      </w:r>
    </w:p>
    <w:p w:rsidR="008C4E03" w:rsidRPr="00844BCB" w:rsidRDefault="008C4E03" w:rsidP="008C4E03">
      <w:pPr>
        <w:rPr>
          <w:b/>
          <w:sz w:val="28"/>
          <w:szCs w:val="28"/>
        </w:rPr>
        <w:sectPr w:rsidR="008C4E03" w:rsidRPr="00844BCB" w:rsidSect="006B72E6">
          <w:headerReference w:type="default" r:id="rId44"/>
          <w:footerReference w:type="even" r:id="rId45"/>
          <w:footerReference w:type="default" r:id="rId46"/>
          <w:pgSz w:w="11906" w:h="16838"/>
          <w:pgMar w:top="2160" w:right="1440" w:bottom="1814" w:left="1440" w:header="851" w:footer="567" w:gutter="567"/>
          <w:pgNumType w:start="1" w:chapSep="enDash"/>
          <w:cols w:space="425"/>
          <w:docGrid w:type="linesAndChars" w:linePitch="360"/>
        </w:sect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Advanced Process Systems Corp</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293,175,235,020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175,386,050,290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254,086,978,820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240,882,754,710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253,319,134,890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149,129,314,350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216,044,305,810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206,164,251,683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39,856,100,130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26,256,735,940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38,042,673,010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34,718,503,027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27,724,709,280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22,586,192,810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22,008,880,720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24,106,594,270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12,131,390,850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3,670,543,130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16,033,792,290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10,611,908,757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-3,070,977,000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-2,492,956,000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-2,128,220,000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-2,564,051,000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4,497,212,000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5,477,132,000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5,315,725,000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5,096,689,667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keepLines/>
        <w:autoSpaceDE w:val="0"/>
        <w:autoSpaceDN w:val="0"/>
        <w:adjustRightInd w:val="0"/>
        <w:jc w:val="both"/>
        <w:rPr>
          <w:b/>
          <w:bCs/>
          <w:color w:val="000000"/>
          <w:kern w:val="0"/>
          <w:sz w:val="20"/>
          <w:szCs w:val="20"/>
        </w:rPr>
      </w:pPr>
    </w:p>
    <w:p w:rsidR="004E315D" w:rsidRPr="00844BCB" w:rsidRDefault="004E315D" w:rsidP="004E315D">
      <w:pPr>
        <w:keepLines/>
        <w:autoSpaceDE w:val="0"/>
        <w:autoSpaceDN w:val="0"/>
        <w:adjustRightInd w:val="0"/>
        <w:spacing w:before="240" w:after="240"/>
        <w:jc w:val="both"/>
        <w:rPr>
          <w:b/>
          <w:bCs/>
          <w:kern w:val="0"/>
          <w:sz w:val="20"/>
          <w:lang w:eastAsia="en-US"/>
        </w:rPr>
      </w:pPr>
      <w:r w:rsidRPr="00844BCB">
        <w:rPr>
          <w:b/>
          <w:bCs/>
          <w:kern w:val="0"/>
          <w:sz w:val="20"/>
          <w:lang w:eastAsia="en-US"/>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257,288,514,410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198,902,162,155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193,851,454,590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216,680,710,385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223,262,894,865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155,528,219,505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140,411,447,790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173,067,520,720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36,585,927,855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25,925,263,190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13,419,336,765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25,310,175,937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59,027,483,020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27,388,251,275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41,511,079,000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42,642,271,098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81,879,507,695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66,016,629,125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59,618,135,820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69,171,424,213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42,208,616,290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33,694,508,495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20,881,121,010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32,261,415,265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12,924,870,650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25,637,517,100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37,443,325,390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25,335,237,713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AMPOC FAR-EAST CO.</w:t>
      </w:r>
      <w:proofErr w:type="gramStart"/>
      <w:r w:rsidRPr="00F81654">
        <w:rPr>
          <w:b/>
          <w:bCs/>
          <w:color w:val="000000"/>
          <w:szCs w:val="20"/>
        </w:rPr>
        <w:t>,LTD</w:t>
      </w:r>
      <w:proofErr w:type="gramEnd"/>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2,200,585,000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2,359,316,000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2,196,683,000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2,252,194,667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1,582,657,000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1,653,097,000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1,620,239,000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1,618,664,333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617,928,000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706,219,000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576,444,000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633,530,333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312,268,000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310,479,000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295,919,000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306,222,000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305,660,000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395,740,000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280,525,000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327,308,333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-713,000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-521,667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35,288,000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32,263,000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39,080,000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35,543,667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TWD</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844BCB" w:rsidRDefault="004E315D" w:rsidP="004E315D">
      <w:pPr>
        <w:keepLines/>
        <w:autoSpaceDE w:val="0"/>
        <w:autoSpaceDN w:val="0"/>
        <w:adjustRightInd w:val="0"/>
        <w:spacing w:before="240" w:after="240"/>
        <w:jc w:val="both"/>
        <w:rPr>
          <w:b/>
          <w:bCs/>
          <w:kern w:val="0"/>
          <w:sz w:val="20"/>
          <w:lang w:eastAsia="en-US"/>
        </w:rPr>
      </w:pPr>
      <w:r w:rsidRPr="00844BCB">
        <w:rPr>
          <w:b/>
          <w:bCs/>
          <w:kern w:val="0"/>
          <w:sz w:val="20"/>
          <w:lang w:eastAsia="en-US"/>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3,141,149,500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3,043,507,500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2,841,465,000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3,008,707,333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2,186,612,000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2,130,130,500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1,992,596,500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2,103,113,000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356,770,500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346,836,000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263,898,500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322,501,667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871,302,000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853,252,500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729,760,000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818,104,833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488,507,000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491,076,000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496,036,500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491,873,167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693,167,500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646,594,500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544,682,000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628,148,000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205,503,000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196,034,500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164,385,500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188,641,000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110,892,000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113,417,000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113,281,000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112,530,000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TWD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APIC YAMADA CORPORATION</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1"/>
        <w:gridCol w:w="1216"/>
        <w:gridCol w:w="1216"/>
        <w:gridCol w:w="113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10,897,239,000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11,648,180,000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9,097,053,000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10,547,490,667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8,345,756,000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9,217,304,000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7,449,256,000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8,337,438,667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2,551,483,000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2,430,876,000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1,647,797,000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2,210,052,000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2,411,987,000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2,264,158,000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2,232,466,000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2,302,870,333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139,496,000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166,718,000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-584,669,000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-92,818,333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-76,424,000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-76,482,000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-73,074,000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-75,326,667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38,396,000</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38,396,000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March 31,</w:t>
      </w:r>
      <w:r w:rsidRPr="00844BCB">
        <w:rPr>
          <w:bCs/>
          <w:color w:val="000000"/>
          <w:kern w:val="0"/>
          <w:sz w:val="16"/>
          <w:szCs w:val="16"/>
          <w:lang w:eastAsia="en-US"/>
        </w:rPr>
        <w:t xml:space="preserve"> 2016</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JPY</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12,350,508,500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11,446,871,500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10,427,422,000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11,408,267,333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8,482,806,500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7,800,802,000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6,405,358,500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7,562,989,000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2,601,903,500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2,149,132,500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1,427,211,500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2,059,415,833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3,524,971,500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3,098,135,500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2,061,803,500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2,894,970,167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2,127,150,000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2,201,897,000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2,114,798,000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2,147,948,333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2,378,731,500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2,011,332,000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1,630,912,500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2,006,992,000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2,894,650,000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2,618,032,500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3,062,363,500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2,858,348,667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March 31, 2016</w:t>
      </w:r>
    </w:p>
    <w:p w:rsidR="004E315D" w:rsidRPr="00844BCB" w:rsidRDefault="004E315D" w:rsidP="004E315D">
      <w:pPr>
        <w:widowControl/>
        <w:jc w:val="both"/>
        <w:rPr>
          <w:kern w:val="0"/>
          <w:sz w:val="16"/>
          <w:szCs w:val="16"/>
        </w:rPr>
      </w:pPr>
      <w:r w:rsidRPr="00844BCB">
        <w:rPr>
          <w:b/>
          <w:kern w:val="0"/>
          <w:sz w:val="16"/>
          <w:szCs w:val="16"/>
          <w:lang w:eastAsia="en-US"/>
        </w:rPr>
        <w:tab/>
        <w:t xml:space="preserve">   </w:t>
      </w:r>
      <w:r w:rsidR="00545C38">
        <w:rPr>
          <w:b/>
          <w:kern w:val="0"/>
          <w:sz w:val="16"/>
          <w:szCs w:val="16"/>
          <w:lang w:eastAsia="en-US"/>
        </w:rPr>
        <w:t xml:space="preserve">                 </w:t>
      </w:r>
      <w:r w:rsidRPr="00844BCB">
        <w:rPr>
          <w:b/>
          <w:bCs/>
          <w:kern w:val="0"/>
          <w:sz w:val="16"/>
          <w:szCs w:val="16"/>
          <w:lang w:eastAsia="en-US"/>
        </w:rPr>
        <w:t>Currency</w:t>
      </w:r>
      <w:r w:rsidRPr="00844BCB">
        <w:rPr>
          <w:b/>
          <w:kern w:val="0"/>
          <w:sz w:val="16"/>
          <w:szCs w:val="16"/>
          <w:lang w:eastAsia="en-US"/>
        </w:rPr>
        <w:t>:</w:t>
      </w:r>
      <w:r w:rsidRPr="00844BCB">
        <w:rPr>
          <w:b/>
          <w:kern w:val="0"/>
          <w:sz w:val="16"/>
          <w:szCs w:val="16"/>
          <w:lang w:eastAsia="en-US"/>
        </w:rPr>
        <w:tab/>
      </w:r>
      <w:r w:rsidRPr="00844BCB">
        <w:rPr>
          <w:kern w:val="0"/>
          <w:sz w:val="16"/>
          <w:szCs w:val="16"/>
          <w:lang w:eastAsia="en-US"/>
        </w:rPr>
        <w:t>JPY</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Aurotek Corp</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1,741,484,000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1,998,487,000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1,459,418,000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1,733,129,667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1,303,677,000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1,468,902,000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1,124,062,000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1,298,880,333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437,807,000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529,585,000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335,356,000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434,249,333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406,822,000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393,158,000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319,227,000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373,069,000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30,985,000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136,427,000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16,129,000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61,180,333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-12,067,000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-11,848,000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-13,765,000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-12,560,000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115,076,000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76,238,000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63,039,000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84,784,333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TWD</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2,166,596,500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2,149,914,500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2,137,831,500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2,151,447,500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1,725,655,500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1,734,216,000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1,758,212,000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1,739,361,167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179,588,000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162,621,500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163,968,000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168,725,833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435,726,500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403,601,500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392,472,500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410,600,167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520,031,000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547,241,500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574,934,000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547,402,167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527,580,000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547,794,000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544,017,500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539,797,167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224,736,500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225,797,000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212,620,000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221,051,167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41,380,000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21,027,000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36,211,000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32,872,667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TWD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Avaco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137,697,413,910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149,373,648,190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166,890,779,140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151,320,613,747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114,179,389,710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126,873,559,850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147,663,752,940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129,572,234,167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23,518,024,200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22,500,088,340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19,227,026,200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21,748,379,580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13,954,884,430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13,618,859,420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9,733,700,980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12,435,814,943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9,563,139,770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8,881,228,920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9,493,325,220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9,312,564,637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-16,680,630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-191,804,520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-104,242,575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4,344,777,940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3,941,388,820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4,417,475,510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4,234,547,423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34,261,280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51,076,700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52,447,380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45,928,453</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134,229,448,860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130,839,763,870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131,088,606,455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132,052,606,395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93,578,846,425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96,348,018,530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110,616,456,205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100,181,107,053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24,546,390,825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26,138,365,560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21,323,109,535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24,002,621,973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55,269,739,225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58,854,423,815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58,589,552,040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57,571,238,360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26,727,876,170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27,436,102,550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28,260,118,500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27,474,699,073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3,656,498,770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1,557,251,075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1,558,270,445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2,257,340,097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22,042,159,580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21,099,159,425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20,156,159,270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21,099,159,425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37,351,837,950</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5,084,631,150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21,218,234,550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Beijing New Universal Scie &amp; Tech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214,272,080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192,262,400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173,488,720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193,341,067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144,967,130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114,223,900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105,624,610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121,605,213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69,304,950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78,038,500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67,864,110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71,735,853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49,945,850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39,833,150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30,190,910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39,989,970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19,359,100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38,205,350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37,673,200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31,745,883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14,049,130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13,466,560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9,020,700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12,178,797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1,248,540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162,310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193,150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534,667</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CNY</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428,991,360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310,452,485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249,764,170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329,736,005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296,878,150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225,224,440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183,542,955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235,215,182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45,332,305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35,376,210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27,315,170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36,007,895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107,798,255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75,263,300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66,660,485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83,240,680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61,778,125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48,465,360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45,756,005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51,999,830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85,411,900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60,026,185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35,539,610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60,325,898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79,627,155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58,337,450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46,752,825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61,572,477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CNY</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Charm Engineering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196,878,931,200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113,032,800,330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135,905,969,680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148,605,900,403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144,176,237,020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90,868,689,890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99,727,301,360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111,590,742,757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52,702,694,180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22,164,110,440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36,178,668,320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37,015,157,647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35,835,613,500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36,310,409,170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24,426,539,200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32,190,853,957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16,867,080,680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-14,146,298,730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11,752,129,120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4,824,303,690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-6,699,084,000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-5,245,133,000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-5,204,875,000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-5,716,364,000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8,593,534,000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8,105,587,000</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8,349,560,500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1,078,133,000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970,649,000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434,628,000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827,803,333</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604,803,030,790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549,863,799,600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364,318,152,860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506,328,327,750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228,029,167,340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219,033,118,485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178,021,811,060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208,361,365,628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29,285,510,650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21,578,640,665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12,009,847,635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20,957,999,650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21,919,870,840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14,144,704,590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18,305,994,890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18,123,523,440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72,738,901,600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83,594,446,605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58,536,212,920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71,623,187,042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37,727,737,615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38,747,413,355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36,970,245,355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37,815,132,108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537,326,500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546,491,000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371,423,000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485,080,167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24,027,407,015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10,477,057,110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9,260,670,195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14,588,378,107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DSK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56,461,731,280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35,009,889,970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32,036,754,370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41,169,458,540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43,264,212,110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29,554,491,610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27,437,957,440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33,418,887,053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13,197,519,170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5,455,398,360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4,598,796,930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7,750,571,487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2,706,005,030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2,502,680,160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2,454,879,240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2,554,521,477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10,491,514,140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2,952,718,200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2,143,917,690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5,196,050,010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-11,640,000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-16,740,000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-42,589,000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-23,656,333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1,005,707,530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669,485,540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1,083,872,500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919,688,523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50,533,110,655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41,054,613,250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36,489,442,820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42,692,388,908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30,912,900,420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24,583,064,235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27,134,197,895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27,543,387,517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5,932,051,410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5,426,668,765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3,714,292,760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5,024,337,645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18,794,857,270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13,089,106,140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14,370,851,370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15,418,271,593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7,464,524,265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7,666,683,120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8,129,873,495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7,753,693,627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2,359,431,165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1,515,141,400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2,018,340,100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1,964,304,222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11,597,451,375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9,542,497,610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6,012,021,195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9,050,656,727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E&amp;R Engineering Corp</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1,542,420,000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1,993,526,000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1,314,793,000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1,616,913,000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1,123,083,000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1,408,991,000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977,815,000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1,169,963,000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419,337,000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584,535,000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336,978,000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446,950,000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414,948,000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473,602,000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303,376,000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397,308,667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4,389,000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110,933,000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33,602,000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49,641,333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-8,264,000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-8,376,000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-8,914,333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109,502,000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111,801,000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62,962,000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94,755,000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TWD</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1,790,650,000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1,470,929,500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1,154,593,000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1,472,057,500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1,420,544,500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1,179,820,500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974,205,000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1,191,523,333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311,040,000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308,098,000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273,228,000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297,455,333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512,277,500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471,616,500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394,666,000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459,520,000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377,398,500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313,423,500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249,374,500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313,398,833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425,975,000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344,020,500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282,724,000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350,906,500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85,550,000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78,012,000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81,781,000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214,370,500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129,085,000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11,056,500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118,170,667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TWD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Guangdong Zhengye Technology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357,083,510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311,074,660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264,057,690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310,738,620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230,394,400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204,843,380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166,763,960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200,667,247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126,689,110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106,231,280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97,293,730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110,071,373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92,169,430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74,342,500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63,461,710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76,657,880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34,519,680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31,888,780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33,832,020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33,413,493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21,057,890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17,049,810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14,917,560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17,675,087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1,348,540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1,176,530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1,339,190</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CNY</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637,162,890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414,138,625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309,524,965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453,608,827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397,454,190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295,028,365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244,444,290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312,308,948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60,707,155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50,038,970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38,810,650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49,852,258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207,018,115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152,152,865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116,074,670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158,415,217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85,266,680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63,500,100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64,243,475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71,003,418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70,953,515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62,654,140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47,371,425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60,326,360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153,390,325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109,513,370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47,420,990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103,441,562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55,827,980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55,827,980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CNY</w:t>
      </w:r>
      <w:bookmarkStart w:id="129" w:name="BalanceSheetBookmark_8"/>
      <w:bookmarkEnd w:id="129"/>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HB Technology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1296"/>
        <w:gridCol w:w="1296"/>
        <w:gridCol w:w="129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0" w:name="IncomeStatement_13"/>
            <w:bookmarkEnd w:id="13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1" w:name="IncomeStatement_0_9"/>
            <w:bookmarkEnd w:id="13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2" w:name="IncomeStatement_1_9"/>
            <w:bookmarkEnd w:id="13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3" w:name="IncomeStatement_2_9"/>
            <w:bookmarkEnd w:id="13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4" w:name="IncomeStatement_3_9"/>
            <w:bookmarkEnd w:id="134"/>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145,657,335,800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133,327,678,110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144,295,442,020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141,093,485,310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118,399,847,620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114,556,460,100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114,141,551,950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115,699,286,557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27,257,488,180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18,771,218,010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30,153,890,070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25,394,198,753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17,158,861,560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16,216,924,620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13,681,969,320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15,685,918,500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10,098,626,620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2,554,293,390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16,471,920,750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9,708,280,253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-609,769,000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-1,013,594,000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-1,178,334,000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-933,899,000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3,232,622,000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2,351,789,000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1,786,536,000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2,456,982,333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0</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bookmarkStart w:id="135" w:name="IncomeStatementBookmark_9"/>
      <w:bookmarkEnd w:id="135"/>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1"/>
        <w:gridCol w:w="1296"/>
        <w:gridCol w:w="1296"/>
        <w:gridCol w:w="1216"/>
        <w:gridCol w:w="129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6" w:name="BalanceSheet_13"/>
            <w:bookmarkEnd w:id="13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7" w:name="BalanceSheet_0_9"/>
            <w:bookmarkEnd w:id="13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8" w:name="BalanceSheet_1_9"/>
            <w:bookmarkEnd w:id="13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39" w:name="BalanceSheet_2_9"/>
            <w:bookmarkEnd w:id="13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0" w:name="BalanceSheet_3_9"/>
            <w:bookmarkEnd w:id="140"/>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116,530,747,930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124,416,984,845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95,250,502,095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112,066,078,290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102,126,972,390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111,278,701,750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84,932,785,625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99,446,153,255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4,794,734,700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11,544,612,855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12,258,703,040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9,532,683,532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18,435,485,520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21,140,469,055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15,952,746,760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18,509,567,112</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43,197,437,260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47,409,482,080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39,560,478,890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43,389,132,743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7,780,732,965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7,400,405,665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3,384,654,460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6,188,597,697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711,500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642,500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8,147,431,790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6,141,292,925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5,257,621,320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6,515,448,678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bookmarkStart w:id="141" w:name="BalanceSheetBookmark_9"/>
      <w:bookmarkEnd w:id="141"/>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Interbulls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2" w:name="IncomeStatement_14"/>
            <w:bookmarkEnd w:id="14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3" w:name="IncomeStatement_0_10"/>
            <w:bookmarkEnd w:id="14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4" w:name="IncomeStatement_1_10"/>
            <w:bookmarkEnd w:id="14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5" w:name="IncomeStatement_2_10"/>
            <w:bookmarkEnd w:id="14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6" w:name="IncomeStatement_3_10"/>
            <w:bookmarkEnd w:id="146"/>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6,963,731,520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12,578,344,250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25,051,034,670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14,864,370,147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10,937,799,140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10,163,335,500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17,968,409,450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13,023,181,363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-3,974,067,620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2,415,008,750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7,082,625,220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1,841,188,783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5,103,345,280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3,425,407,730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2,653,376,110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3,727,376,373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-9,077,412,900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-1,010,398,980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4,429,249,110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-1,886,187,590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-339,512,000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-2,049,000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-4,101,000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-115,220,667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42,163,000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42,163,000</w:t>
            </w: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4E315D" w:rsidP="004E315D">
      <w:pPr>
        <w:widowControl/>
        <w:tabs>
          <w:tab w:val="right" w:pos="2160"/>
          <w:tab w:val="left" w:pos="2340"/>
        </w:tabs>
        <w:jc w:val="both"/>
        <w:rPr>
          <w:bCs/>
          <w:noProof/>
          <w:color w:val="000000"/>
          <w:kern w:val="0"/>
          <w:sz w:val="16"/>
          <w:szCs w:val="16"/>
          <w:lang w:eastAsia="en-US"/>
        </w:rPr>
      </w:pPr>
      <w:r w:rsidRPr="00844BCB">
        <w:rPr>
          <w:b/>
          <w:bCs/>
          <w:noProof/>
          <w:color w:val="000000"/>
          <w:kern w:val="0"/>
          <w:sz w:val="16"/>
          <w:szCs w:val="16"/>
        </w:rPr>
        <w:t xml:space="preserve">                      </w:t>
      </w:r>
      <w:r w:rsidR="00545C38">
        <w:rPr>
          <w:b/>
          <w:bCs/>
          <w:noProof/>
          <w:color w:val="000000"/>
          <w:kern w:val="0"/>
          <w:sz w:val="16"/>
          <w:szCs w:val="16"/>
        </w:rPr>
        <w:t xml:space="preserve">    </w:t>
      </w:r>
      <w:r w:rsidRPr="00844BCB">
        <w:rPr>
          <w:b/>
          <w:bCs/>
          <w:noProof/>
          <w:color w:val="000000"/>
          <w:kern w:val="0"/>
          <w:sz w:val="16"/>
          <w:szCs w:val="16"/>
          <w:lang w:eastAsia="en-US"/>
        </w:rPr>
        <w:t>Currency:</w:t>
      </w:r>
      <w:r w:rsidRPr="00844BCB">
        <w:rPr>
          <w:b/>
          <w:bCs/>
          <w:noProof/>
          <w:color w:val="000000"/>
          <w:kern w:val="0"/>
          <w:sz w:val="16"/>
          <w:szCs w:val="16"/>
          <w:lang w:eastAsia="en-US"/>
        </w:rPr>
        <w:tab/>
      </w:r>
      <w:r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bookmarkStart w:id="147" w:name="IncomeStatementBookmark_10"/>
      <w:bookmarkEnd w:id="147"/>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8" w:name="BalanceSheet_14"/>
            <w:bookmarkEnd w:id="14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49" w:name="BalanceSheet_0_10"/>
            <w:bookmarkEnd w:id="14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0" w:name="BalanceSheet_1_10"/>
            <w:bookmarkEnd w:id="15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1" w:name="BalanceSheet_2_10"/>
            <w:bookmarkEnd w:id="15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2" w:name="BalanceSheet_3_10"/>
            <w:bookmarkEnd w:id="152"/>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27,487,343,635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33,687,272,040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30,488,761,125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30,554,458,933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18,464,701,630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20,336,410,890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17,465,042,705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18,755,385,075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912,758,860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2,051,945,355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4,343,348,235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2,436,017,483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3,988,904,010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4,459,699,280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4,603,120,615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4,350,574,635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7,331,256,090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8,852,652,675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6,840,228,355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7,674,712,373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4,377,595,665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6,216,013,210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5,327,694,150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5,307,101,008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23,623,000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330,626,000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5,047,322,500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1,800,523,833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3,405,063,125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1,307,457,740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517,494,895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1,743,338,587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bookmarkStart w:id="153" w:name="BalanceSheetBookmark_10"/>
      <w:bookmarkEnd w:id="153"/>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Odawara Engineering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1"/>
        <w:gridCol w:w="121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4" w:name="IncomeStatement_15"/>
            <w:bookmarkEnd w:id="15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5" w:name="IncomeStatement_0_11"/>
            <w:bookmarkEnd w:id="15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6" w:name="IncomeStatement_1_11"/>
            <w:bookmarkEnd w:id="15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7" w:name="IncomeStatement_2_11"/>
            <w:bookmarkEnd w:id="15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58" w:name="IncomeStatement_3_11"/>
            <w:bookmarkEnd w:id="158"/>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10,319,133,000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9,219,156,000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5,626,689,000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8,388,326,000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7,925,191,000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7,412,707,000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4,246,263,000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6,528,053,667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2,393,942,000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1,806,449,000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1,380,426,000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1,860,272,333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1,758,337,000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1,847,372,000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1,197,765,000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1,601,158,000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635,605,000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-40,923,000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182,661,000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259,114,333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-1,517,000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-1,537,000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-1,211,667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28,088,000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34,388,000</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31,238,000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JPY</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bookmarkStart w:id="159" w:name="IncomeStatementBookmark_11"/>
      <w:bookmarkEnd w:id="159"/>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0" w:name="BalanceSheet_15"/>
            <w:bookmarkEnd w:id="160"/>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1" w:name="BalanceSheet_0_11"/>
            <w:bookmarkEnd w:id="161"/>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2" w:name="BalanceSheet_1_11"/>
            <w:bookmarkEnd w:id="162"/>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3" w:name="BalanceSheet_2_11"/>
            <w:bookmarkEnd w:id="163"/>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4" w:name="BalanceSheet_3_11"/>
            <w:bookmarkEnd w:id="164"/>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12,608,840,000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12,479,373,500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10,673,998,500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11,920,737,333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10,048,564,500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9,188,548,000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5,697,724,500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8,311,612,333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1,288,059,500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1,278,840,500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746,773,000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1,104,557,667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3,063,217,000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2,697,107,500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1,407,897,500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2,389,407,333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3,299,773,000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3,141,544,500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1,968,950,000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2,803,422,500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2,551,959,000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2,154,416,000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1,521,417,000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2,075,930,667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2,195,226,000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2,867,610,000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3,418,151,000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2,826,995,667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JPY</w:t>
      </w:r>
      <w:bookmarkStart w:id="165" w:name="BalanceSheetBookmark_11"/>
      <w:bookmarkEnd w:id="165"/>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Rorze Systems Corporation</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6" w:name="IncomeStatement_16"/>
            <w:bookmarkEnd w:id="166"/>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7" w:name="IncomeStatement_0_12"/>
            <w:bookmarkEnd w:id="167"/>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8" w:name="IncomeStatement_1_12"/>
            <w:bookmarkEnd w:id="168"/>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69" w:name="IncomeStatement_2_12"/>
            <w:bookmarkEnd w:id="169"/>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0" w:name="IncomeStatement_3_12"/>
            <w:bookmarkEnd w:id="170"/>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74,901,958,690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35,169,379,460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66,097,694,450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58,723,010,867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62,801,181,760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32,990,562,790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52,788,117,820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49,526,620,790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12,100,776,930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2,178,816,670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13,309,576,630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9,196,390,077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8,648,159,390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5,956,017,700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8,147,566,980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7,583,914,690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3,452,617,540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-3,777,201,030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5,162,009,650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1,612,475,387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-105,105,000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-65,578,000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-237,246,000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-135,976,333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1,412,014,810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1,411,983,250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1,524,667,050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1,449,555,037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KRW</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bookmarkStart w:id="171" w:name="IncomeStatementBookmark_12"/>
      <w:bookmarkEnd w:id="171"/>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2" w:name="BalanceSheet_16"/>
            <w:bookmarkEnd w:id="172"/>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3" w:name="BalanceSheet_0_12"/>
            <w:bookmarkEnd w:id="173"/>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4" w:name="BalanceSheet_1_12"/>
            <w:bookmarkEnd w:id="174"/>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5" w:name="BalanceSheet_2_12"/>
            <w:bookmarkEnd w:id="175"/>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6" w:name="BalanceSheet_3_12"/>
            <w:bookmarkEnd w:id="176"/>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54,001,221,245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57,831,816,505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58,385,611,920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56,739,549,890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45,769,565,590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51,179,273,640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51,119,473,370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49,356,104,200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3,997,793,130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5,907,056,730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4,814,361,535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4,906,403,798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11,574,490,750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15,749,173,880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15,684,418,680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14,336,027,770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24,251,864,645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24,656,471,190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24,557,697,355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24,488,677,730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6,735,741,260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6,874,605,340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6,655,486,615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6,755,277,738</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7,546,455,870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6,135,241,335</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6,800,748,300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6,827,481,835</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rPr>
      </w:pPr>
      <w:r>
        <w:rPr>
          <w:b/>
          <w:kern w:val="0"/>
          <w:sz w:val="16"/>
          <w:szCs w:val="16"/>
          <w:lang w:eastAsia="en-US"/>
        </w:rPr>
        <w:tab/>
        <w:t xml:space="preserve">                   </w:t>
      </w:r>
      <w:r>
        <w:rPr>
          <w:rFonts w:hint="eastAsia"/>
          <w:b/>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KRW</w:t>
      </w:r>
      <w:bookmarkStart w:id="177" w:name="BalanceSheetBookmark_12"/>
      <w:bookmarkEnd w:id="177"/>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lastRenderedPageBreak/>
        <w:t>Ta Liang Technology Co Ltd</w:t>
      </w:r>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8" w:name="IncomeStatement_17"/>
            <w:bookmarkEnd w:id="178"/>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79" w:name="IncomeStatement_0_13"/>
            <w:bookmarkEnd w:id="179"/>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0" w:name="IncomeStatement_1_13"/>
            <w:bookmarkEnd w:id="180"/>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1" w:name="IncomeStatement_2_13"/>
            <w:bookmarkEnd w:id="181"/>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2" w:name="IncomeStatement_3_13"/>
            <w:bookmarkEnd w:id="182"/>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1,928,263,000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2,398,192,000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2,196,249,000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2,174,234,667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1,307,610,000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1,628,378,000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1,545,496,000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1,493,828,000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620,653,000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769,814,000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650,753,000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680,406,667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440,495,000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578,123,000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503,929,000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507,515,667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180,158,000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191,691,000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146,824,000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172,891,000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-19,152,000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-13,101,000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-14,671,000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-15,641,333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R and D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93,382,000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106,169,000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103,981,000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jc w:val="center"/>
              <w:rPr>
                <w:noProof/>
                <w:color w:val="000000"/>
                <w:kern w:val="0"/>
                <w:sz w:val="16"/>
                <w:szCs w:val="16"/>
                <w:lang w:eastAsia="en-US"/>
              </w:rPr>
            </w:pPr>
            <w:r w:rsidRPr="00844BCB">
              <w:rPr>
                <w:noProof/>
                <w:color w:val="000000"/>
                <w:kern w:val="0"/>
                <w:sz w:val="16"/>
                <w:szCs w:val="16"/>
                <w:lang w:eastAsia="en-US"/>
              </w:rPr>
              <w:t>101,177,333</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autoSpaceDE w:val="0"/>
              <w:autoSpaceDN w:val="0"/>
              <w:adjustRightInd w:val="0"/>
              <w:rPr>
                <w:noProof/>
                <w:color w:val="000000"/>
                <w:kern w:val="0"/>
                <w:sz w:val="16"/>
                <w:szCs w:val="16"/>
                <w:lang w:eastAsia="en-US"/>
              </w:rPr>
            </w:pPr>
            <w:r w:rsidRPr="00844BCB">
              <w:rPr>
                <w:noProof/>
                <w:color w:val="000000"/>
                <w:kern w:val="0"/>
                <w:sz w:val="16"/>
                <w:szCs w:val="16"/>
                <w:lang w:eastAsia="en-US"/>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autoSpaceDE w:val="0"/>
              <w:autoSpaceDN w:val="0"/>
              <w:adjustRightInd w:val="0"/>
              <w:jc w:val="center"/>
              <w:rPr>
                <w:noProof/>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color w:val="000000"/>
          <w:kern w:val="0"/>
          <w:sz w:val="16"/>
          <w:szCs w:val="16"/>
          <w:lang w:eastAsia="en-US"/>
        </w:rPr>
        <w:tab/>
        <w:t>Latest Consolidated Tax Year Available:</w:t>
      </w:r>
      <w:r w:rsidRPr="00844BCB">
        <w:rPr>
          <w:b/>
          <w:bCs/>
          <w:color w:val="000000"/>
          <w:kern w:val="0"/>
          <w:sz w:val="16"/>
          <w:szCs w:val="16"/>
          <w:lang w:eastAsia="en-US"/>
        </w:rPr>
        <w:tab/>
      </w:r>
      <w:r w:rsidRPr="00844BCB">
        <w:rPr>
          <w:bCs/>
          <w:noProof/>
          <w:color w:val="000000"/>
          <w:kern w:val="0"/>
          <w:sz w:val="16"/>
          <w:szCs w:val="16"/>
          <w:lang w:eastAsia="en-US"/>
        </w:rPr>
        <w:t>December 31,</w:t>
      </w:r>
      <w:r w:rsidRPr="00844BCB">
        <w:rPr>
          <w:bCs/>
          <w:color w:val="000000"/>
          <w:kern w:val="0"/>
          <w:sz w:val="16"/>
          <w:szCs w:val="16"/>
          <w:lang w:eastAsia="en-US"/>
        </w:rPr>
        <w:t xml:space="preserve"> 2015</w:t>
      </w:r>
    </w:p>
    <w:p w:rsidR="004E315D" w:rsidRPr="00844BCB" w:rsidRDefault="00545C38" w:rsidP="004E315D">
      <w:pPr>
        <w:widowControl/>
        <w:tabs>
          <w:tab w:val="right" w:pos="2160"/>
          <w:tab w:val="left" w:pos="2340"/>
        </w:tabs>
        <w:jc w:val="both"/>
        <w:rPr>
          <w:bCs/>
          <w:noProof/>
          <w:color w:val="000000"/>
          <w:kern w:val="0"/>
          <w:sz w:val="16"/>
          <w:szCs w:val="16"/>
          <w:lang w:eastAsia="en-US"/>
        </w:rPr>
      </w:pPr>
      <w:r>
        <w:rPr>
          <w:b/>
          <w:bCs/>
          <w:noProof/>
          <w:color w:val="000000"/>
          <w:kern w:val="0"/>
          <w:sz w:val="16"/>
          <w:szCs w:val="16"/>
        </w:rPr>
        <w:t xml:space="preserve">                          </w:t>
      </w:r>
      <w:r w:rsidR="004E315D" w:rsidRPr="00844BCB">
        <w:rPr>
          <w:b/>
          <w:bCs/>
          <w:noProof/>
          <w:color w:val="000000"/>
          <w:kern w:val="0"/>
          <w:sz w:val="16"/>
          <w:szCs w:val="16"/>
          <w:lang w:eastAsia="en-US"/>
        </w:rPr>
        <w:t>Currency:</w:t>
      </w:r>
      <w:r w:rsidR="004E315D" w:rsidRPr="00844BCB">
        <w:rPr>
          <w:b/>
          <w:bCs/>
          <w:noProof/>
          <w:color w:val="000000"/>
          <w:kern w:val="0"/>
          <w:sz w:val="16"/>
          <w:szCs w:val="16"/>
          <w:lang w:eastAsia="en-US"/>
        </w:rPr>
        <w:tab/>
      </w:r>
      <w:r w:rsidR="004E315D" w:rsidRPr="00844BCB">
        <w:rPr>
          <w:bCs/>
          <w:noProof/>
          <w:color w:val="000000"/>
          <w:kern w:val="0"/>
          <w:sz w:val="16"/>
          <w:szCs w:val="16"/>
          <w:lang w:eastAsia="en-US"/>
        </w:rPr>
        <w:t>TWD</w:t>
      </w:r>
    </w:p>
    <w:p w:rsidR="004E315D" w:rsidRPr="00844BCB" w:rsidRDefault="004E315D" w:rsidP="004E315D">
      <w:pPr>
        <w:widowControl/>
        <w:tabs>
          <w:tab w:val="right" w:pos="2160"/>
          <w:tab w:val="left" w:pos="2340"/>
        </w:tabs>
        <w:jc w:val="both"/>
        <w:rPr>
          <w:bCs/>
          <w:noProof/>
          <w:color w:val="000000"/>
          <w:kern w:val="0"/>
          <w:sz w:val="16"/>
          <w:szCs w:val="16"/>
          <w:lang w:eastAsia="en-US"/>
        </w:rPr>
      </w:pPr>
    </w:p>
    <w:p w:rsidR="004E315D" w:rsidRPr="00844BCB" w:rsidRDefault="004E315D" w:rsidP="004E315D">
      <w:pPr>
        <w:keepLines/>
        <w:autoSpaceDE w:val="0"/>
        <w:autoSpaceDN w:val="0"/>
        <w:adjustRightInd w:val="0"/>
        <w:jc w:val="both"/>
        <w:rPr>
          <w:b/>
          <w:bCs/>
          <w:color w:val="000000"/>
          <w:kern w:val="0"/>
          <w:sz w:val="20"/>
          <w:szCs w:val="20"/>
          <w:lang w:eastAsia="en-US"/>
        </w:rPr>
      </w:pPr>
      <w:bookmarkStart w:id="183" w:name="IncomeStatementBookmark_13"/>
      <w:bookmarkEnd w:id="183"/>
    </w:p>
    <w:p w:rsidR="004E315D" w:rsidRPr="00F81654" w:rsidRDefault="004E315D" w:rsidP="00F81654">
      <w:pPr>
        <w:keepLines/>
        <w:autoSpaceDE w:val="0"/>
        <w:autoSpaceDN w:val="0"/>
        <w:adjustRightInd w:val="0"/>
        <w:spacing w:before="240" w:after="240"/>
        <w:rPr>
          <w:b/>
          <w:bCs/>
          <w:color w:val="000000"/>
          <w:szCs w:val="20"/>
        </w:rPr>
      </w:pPr>
      <w:r w:rsidRPr="00F81654">
        <w:rPr>
          <w:b/>
          <w:bCs/>
          <w:color w:val="000000"/>
          <w:szCs w:val="20"/>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4" w:name="BalanceSheet_17"/>
            <w:bookmarkEnd w:id="184"/>
            <w:r w:rsidRPr="00844BCB">
              <w:rPr>
                <w:b/>
                <w:color w:val="000000"/>
                <w:kern w:val="0"/>
                <w:sz w:val="16"/>
                <w:szCs w:val="16"/>
                <w:lang w:eastAsia="en-US"/>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5" w:name="BalanceSheet_0_13"/>
            <w:bookmarkEnd w:id="185"/>
            <w:r w:rsidRPr="00844BCB">
              <w:rPr>
                <w:b/>
                <w:color w:val="000000"/>
                <w:kern w:val="0"/>
                <w:sz w:val="16"/>
                <w:szCs w:val="16"/>
                <w:lang w:eastAsia="en-US"/>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6" w:name="BalanceSheet_1_13"/>
            <w:bookmarkEnd w:id="186"/>
            <w:r w:rsidRPr="00844BCB">
              <w:rPr>
                <w:b/>
                <w:color w:val="000000"/>
                <w:kern w:val="0"/>
                <w:sz w:val="16"/>
                <w:szCs w:val="16"/>
                <w:lang w:eastAsia="en-US"/>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7" w:name="BalanceSheet_2_13"/>
            <w:bookmarkEnd w:id="187"/>
            <w:r w:rsidRPr="00844BCB">
              <w:rPr>
                <w:b/>
                <w:color w:val="000000"/>
                <w:kern w:val="0"/>
                <w:sz w:val="16"/>
                <w:szCs w:val="16"/>
                <w:lang w:eastAsia="en-US"/>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E315D" w:rsidRPr="00844BCB" w:rsidRDefault="004E315D" w:rsidP="004E315D">
            <w:pPr>
              <w:keepNext/>
              <w:autoSpaceDE w:val="0"/>
              <w:autoSpaceDN w:val="0"/>
              <w:adjustRightInd w:val="0"/>
              <w:jc w:val="center"/>
              <w:rPr>
                <w:b/>
                <w:color w:val="000000"/>
                <w:kern w:val="0"/>
                <w:sz w:val="16"/>
                <w:szCs w:val="16"/>
                <w:lang w:eastAsia="en-US"/>
              </w:rPr>
            </w:pPr>
            <w:bookmarkStart w:id="188" w:name="BalanceSheet_3_13"/>
            <w:bookmarkEnd w:id="188"/>
            <w:r w:rsidRPr="00844BCB">
              <w:rPr>
                <w:b/>
                <w:color w:val="000000"/>
                <w:kern w:val="0"/>
                <w:sz w:val="16"/>
                <w:szCs w:val="16"/>
                <w:lang w:eastAsia="en-US"/>
              </w:rPr>
              <w:t>Average</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3,046,800,000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3,032,226,000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2,836,533,500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2,971,853,167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2,071,763,500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2,229,191,000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2,122,883,000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2,141,279,167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333,067,500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344,848,000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240,760,000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306,225,167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1,007,178,000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1,080,461,500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812,602,000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966,747,167</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439,905,000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432,358,000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454,416,500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442,226,500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567,088,000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663,882,000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790,493,000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673,821,000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438,669,000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366,776,000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364,045,000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389,830,000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427,960,000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313,125,000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168,383,000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r w:rsidRPr="00844BCB">
              <w:rPr>
                <w:color w:val="000000"/>
                <w:kern w:val="0"/>
                <w:sz w:val="16"/>
                <w:szCs w:val="16"/>
                <w:lang w:eastAsia="en-US"/>
              </w:rPr>
              <w:t>303,156,000</w:t>
            </w: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r w:rsidR="004E315D" w:rsidRPr="00844BCB" w:rsidTr="004E315D">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4E315D" w:rsidRPr="00844BCB" w:rsidRDefault="004E315D" w:rsidP="004E315D">
            <w:pPr>
              <w:tabs>
                <w:tab w:val="right" w:pos="9360"/>
              </w:tabs>
              <w:autoSpaceDE w:val="0"/>
              <w:autoSpaceDN w:val="0"/>
              <w:adjustRightInd w:val="0"/>
              <w:spacing w:before="20" w:after="20"/>
              <w:rPr>
                <w:color w:val="000000"/>
                <w:kern w:val="0"/>
                <w:sz w:val="16"/>
                <w:szCs w:val="16"/>
                <w:lang w:eastAsia="en-US"/>
              </w:rPr>
            </w:pPr>
            <w:r w:rsidRPr="00844BCB">
              <w:rPr>
                <w:color w:val="000000"/>
                <w:kern w:val="0"/>
                <w:sz w:val="16"/>
                <w:szCs w:val="16"/>
                <w:lang w:eastAsia="en-US"/>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4E315D" w:rsidRPr="00844BCB" w:rsidRDefault="004E315D" w:rsidP="004E315D">
            <w:pPr>
              <w:tabs>
                <w:tab w:val="right" w:pos="9360"/>
              </w:tabs>
              <w:autoSpaceDE w:val="0"/>
              <w:autoSpaceDN w:val="0"/>
              <w:adjustRightInd w:val="0"/>
              <w:spacing w:before="20" w:after="20"/>
              <w:jc w:val="center"/>
              <w:rPr>
                <w:color w:val="000000"/>
                <w:kern w:val="0"/>
                <w:sz w:val="16"/>
                <w:szCs w:val="16"/>
                <w:lang w:eastAsia="en-US"/>
              </w:rPr>
            </w:pPr>
          </w:p>
        </w:tc>
      </w:tr>
    </w:tbl>
    <w:p w:rsidR="004E315D" w:rsidRPr="00844BCB" w:rsidRDefault="004E315D" w:rsidP="004E315D">
      <w:pPr>
        <w:widowControl/>
        <w:jc w:val="both"/>
        <w:rPr>
          <w:kern w:val="0"/>
          <w:sz w:val="20"/>
          <w:lang w:eastAsia="en-US"/>
        </w:rPr>
      </w:pPr>
    </w:p>
    <w:p w:rsidR="004E315D" w:rsidRPr="00844BCB" w:rsidRDefault="004E315D" w:rsidP="004E315D">
      <w:pPr>
        <w:keepLines/>
        <w:tabs>
          <w:tab w:val="right" w:pos="2160"/>
          <w:tab w:val="left" w:pos="2340"/>
        </w:tabs>
        <w:autoSpaceDE w:val="0"/>
        <w:autoSpaceDN w:val="0"/>
        <w:adjustRightInd w:val="0"/>
        <w:jc w:val="both"/>
        <w:rPr>
          <w:bCs/>
          <w:color w:val="000000"/>
          <w:kern w:val="0"/>
          <w:sz w:val="16"/>
          <w:szCs w:val="16"/>
          <w:lang w:eastAsia="en-US"/>
        </w:rPr>
      </w:pPr>
      <w:r w:rsidRPr="00844BCB">
        <w:rPr>
          <w:b/>
          <w:bCs/>
          <w:kern w:val="0"/>
          <w:sz w:val="16"/>
          <w:szCs w:val="16"/>
          <w:lang w:eastAsia="en-US"/>
        </w:rPr>
        <w:t>Latest Consolidated Tax Year Available:</w:t>
      </w:r>
      <w:r w:rsidRPr="00844BCB">
        <w:rPr>
          <w:b/>
          <w:bCs/>
          <w:color w:val="000000"/>
          <w:kern w:val="0"/>
          <w:sz w:val="16"/>
          <w:szCs w:val="16"/>
          <w:lang w:eastAsia="en-US"/>
        </w:rPr>
        <w:tab/>
      </w:r>
      <w:r w:rsidRPr="00844BCB">
        <w:rPr>
          <w:kern w:val="0"/>
          <w:sz w:val="16"/>
          <w:szCs w:val="16"/>
          <w:lang w:eastAsia="en-US"/>
        </w:rPr>
        <w:t>December 31, 2015</w:t>
      </w:r>
    </w:p>
    <w:p w:rsidR="004E315D" w:rsidRPr="00844BCB" w:rsidRDefault="00545C38" w:rsidP="004E315D">
      <w:pPr>
        <w:widowControl/>
        <w:jc w:val="both"/>
        <w:rPr>
          <w:kern w:val="0"/>
          <w:sz w:val="16"/>
          <w:szCs w:val="16"/>
          <w:lang w:eastAsia="en-US"/>
        </w:rPr>
      </w:pPr>
      <w:r>
        <w:rPr>
          <w:b/>
          <w:bCs/>
          <w:kern w:val="0"/>
          <w:sz w:val="16"/>
          <w:szCs w:val="16"/>
        </w:rPr>
        <w:t xml:space="preserve">                          </w:t>
      </w:r>
      <w:r w:rsidR="004E315D" w:rsidRPr="00844BCB">
        <w:rPr>
          <w:b/>
          <w:bCs/>
          <w:kern w:val="0"/>
          <w:sz w:val="16"/>
          <w:szCs w:val="16"/>
          <w:lang w:eastAsia="en-US"/>
        </w:rPr>
        <w:t>Currency</w:t>
      </w:r>
      <w:r w:rsidR="004E315D" w:rsidRPr="00844BCB">
        <w:rPr>
          <w:b/>
          <w:kern w:val="0"/>
          <w:sz w:val="16"/>
          <w:szCs w:val="16"/>
          <w:lang w:eastAsia="en-US"/>
        </w:rPr>
        <w:t>:</w:t>
      </w:r>
      <w:r w:rsidR="004E315D" w:rsidRPr="00844BCB">
        <w:rPr>
          <w:b/>
          <w:kern w:val="0"/>
          <w:sz w:val="16"/>
          <w:szCs w:val="16"/>
          <w:lang w:eastAsia="en-US"/>
        </w:rPr>
        <w:tab/>
      </w:r>
      <w:r w:rsidR="004E315D" w:rsidRPr="00844BCB">
        <w:rPr>
          <w:kern w:val="0"/>
          <w:sz w:val="16"/>
          <w:szCs w:val="16"/>
          <w:lang w:eastAsia="en-US"/>
        </w:rPr>
        <w:t>TWD</w:t>
      </w:r>
    </w:p>
    <w:p w:rsidR="00662661" w:rsidRPr="00844BCB" w:rsidRDefault="00662661" w:rsidP="002E3304">
      <w:pPr>
        <w:pStyle w:val="Normal8"/>
        <w:tabs>
          <w:tab w:val="right" w:pos="2160"/>
          <w:tab w:val="left" w:pos="2340"/>
        </w:tabs>
        <w:rPr>
          <w:rFonts w:ascii="Times New Roman" w:hAnsi="Times New Roman"/>
          <w:bCs/>
          <w:color w:val="000000"/>
          <w:lang w:eastAsia="zh-TW"/>
        </w:rPr>
        <w:sectPr w:rsidR="00662661" w:rsidRPr="00844BCB" w:rsidSect="006B72E6">
          <w:headerReference w:type="default" r:id="rId47"/>
          <w:footerReference w:type="even" r:id="rId48"/>
          <w:footerReference w:type="default" r:id="rId49"/>
          <w:pgSz w:w="11906" w:h="16838"/>
          <w:pgMar w:top="2160" w:right="1440" w:bottom="1814" w:left="1440" w:header="851" w:footer="567" w:gutter="567"/>
          <w:pgNumType w:start="1" w:chapSep="enDash"/>
          <w:cols w:space="425"/>
          <w:docGrid w:type="linesAndChars" w:linePitch="360"/>
        </w:sectPr>
      </w:pPr>
    </w:p>
    <w:p w:rsidR="000D4860" w:rsidRPr="00F81654" w:rsidRDefault="000D4860" w:rsidP="000D4860">
      <w:pPr>
        <w:keepLines/>
        <w:autoSpaceDE w:val="0"/>
        <w:autoSpaceDN w:val="0"/>
        <w:adjustRightInd w:val="0"/>
        <w:spacing w:before="240" w:after="240"/>
        <w:rPr>
          <w:color w:val="000000"/>
          <w:szCs w:val="20"/>
        </w:rPr>
      </w:pPr>
      <w:bookmarkStart w:id="189" w:name="FinancialBookmark"/>
      <w:bookmarkStart w:id="190" w:name="AdjustmentCalculationsBookMark"/>
      <w:bookmarkEnd w:id="189"/>
      <w:bookmarkEnd w:id="190"/>
      <w:r w:rsidRPr="00F81654">
        <w:rPr>
          <w:color w:val="000000"/>
          <w:szCs w:val="20"/>
        </w:rPr>
        <w:lastRenderedPageBreak/>
        <w:t>Acando AB</w:t>
      </w:r>
    </w:p>
    <w:p w:rsidR="000D4860" w:rsidRPr="00F81654" w:rsidRDefault="000D4860" w:rsidP="000D4860">
      <w:pPr>
        <w:keepLines/>
        <w:autoSpaceDE w:val="0"/>
        <w:autoSpaceDN w:val="0"/>
        <w:adjustRightInd w:val="0"/>
        <w:spacing w:before="240" w:after="240"/>
        <w:rPr>
          <w:b/>
          <w:bCs/>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2,115,271,000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1,856,180,000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1,437,759,000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1,803,070,000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518,712,000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527,893,000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454,215,000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500,273,333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1,596,559,000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1,328,287,000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983,544,000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1,302,796,667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1,432,909,000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1,213,781,000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921,798,000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1,189,496,000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163,650,000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114,506,000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61,746,000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113,300,667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-2,730,000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-2,595,000</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-2,662,500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D437D1">
      <w:pPr>
        <w:pStyle w:val="Normal8"/>
        <w:tabs>
          <w:tab w:val="right" w:pos="2160"/>
          <w:tab w:val="left" w:pos="2340"/>
        </w:tabs>
        <w:jc w:val="left"/>
        <w:rPr>
          <w:rFonts w:ascii="Times New Roman" w:hAnsi="Times New Roman"/>
          <w:bCs/>
          <w:color w:val="000000"/>
        </w:rPr>
      </w:pPr>
      <w:r w:rsidRPr="00844BCB">
        <w:rPr>
          <w:rFonts w:ascii="Times New Roman" w:hAnsi="Times New Roman"/>
          <w:b/>
          <w:bCs/>
          <w:color w:val="000000"/>
          <w:lang w:eastAsia="zh-TW"/>
        </w:rPr>
        <w:t xml:space="preserve">                 </w:t>
      </w:r>
      <w:r w:rsidRPr="00844BCB">
        <w:rPr>
          <w:rStyle w:val="afd"/>
          <w:rFonts w:ascii="Times New Roman" w:eastAsia="新細明體" w:hAnsi="Times New Roman"/>
          <w:b w:val="0"/>
          <w:bCs w:val="0"/>
          <w:noProof w:val="0"/>
          <w:kern w:val="2"/>
          <w:lang w:eastAsia="zh-TW"/>
        </w:rPr>
        <w:t xml:space="preserve">      </w:t>
      </w:r>
      <w:r w:rsidRPr="00844BCB">
        <w:rPr>
          <w:rStyle w:val="afd"/>
          <w:rFonts w:ascii="Times New Roman" w:eastAsia="新細明體" w:hAnsi="Times New Roman"/>
          <w:bCs w:val="0"/>
          <w:noProof w:val="0"/>
          <w:kern w:val="2"/>
          <w:lang w:eastAsia="zh-TW"/>
        </w:rPr>
        <w:t xml:space="preserve">  </w:t>
      </w:r>
      <w:r w:rsidR="000D4860" w:rsidRPr="00844BCB">
        <w:rPr>
          <w:rStyle w:val="afd"/>
          <w:rFonts w:ascii="Times New Roman" w:eastAsia="新細明體" w:hAnsi="Times New Roman"/>
          <w:bCs w:val="0"/>
          <w:noProof w:val="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SEK</w:t>
      </w: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1,708,199,500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1,421,533,500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1,055,456,000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1,395,063,000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1,537,390,500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1,241,990,000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895,920,000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1,225,100,167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94,974,500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95,443,000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73,607,000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88,008,167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499,775,500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451,233,000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358,787,500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436,598,667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17,889,000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15,007,000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15,167,000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16,021,000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84,440,000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87,364,000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107,028,500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92,944,167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D437D1" w:rsidP="000D4860">
      <w:pPr>
        <w:rPr>
          <w:sz w:val="16"/>
          <w:szCs w:val="16"/>
        </w:rPr>
      </w:pPr>
      <w:r w:rsidRPr="00844BCB">
        <w:rPr>
          <w:rStyle w:val="afd"/>
          <w:sz w:val="16"/>
          <w:szCs w:val="16"/>
        </w:rPr>
        <w:t xml:space="preserve">                         </w:t>
      </w:r>
      <w:r w:rsidR="000D4860" w:rsidRPr="00844BCB">
        <w:rPr>
          <w:rStyle w:val="afd"/>
          <w:sz w:val="16"/>
          <w:szCs w:val="16"/>
        </w:rPr>
        <w:t>Currency</w:t>
      </w:r>
      <w:r w:rsidR="000D4860" w:rsidRPr="00844BCB">
        <w:rPr>
          <w:b/>
          <w:sz w:val="16"/>
          <w:szCs w:val="16"/>
        </w:rPr>
        <w:t>:</w:t>
      </w:r>
      <w:r w:rsidR="000D4860" w:rsidRPr="00844BCB">
        <w:rPr>
          <w:b/>
          <w:sz w:val="16"/>
          <w:szCs w:val="16"/>
        </w:rPr>
        <w:tab/>
      </w:r>
      <w:r w:rsidR="000D4860" w:rsidRPr="00844BCB">
        <w:rPr>
          <w:sz w:val="16"/>
          <w:szCs w:val="16"/>
        </w:rPr>
        <w:t>SEK</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Carillion plc</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3,950,700,000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3,493,900,000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3,332,600,000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3,592,400,000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3,609,800,000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3,166,400,000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2,984,600,000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3,253,600,000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340,900,000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327,500,000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348,000,000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338,800,000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195,200,000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166,400,000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268,200,000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209,933,333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145,700,000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161,100,000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79,800,000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128,866,667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-14,100,000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-11,400,000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-9,500,000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-11,666,667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0D4860">
      <w:pPr>
        <w:pStyle w:val="Normal8"/>
        <w:tabs>
          <w:tab w:val="right" w:pos="2160"/>
          <w:tab w:val="left" w:pos="2340"/>
        </w:tabs>
        <w:rPr>
          <w:rFonts w:ascii="Times New Roman" w:hAnsi="Times New Roman"/>
          <w:bCs/>
          <w:color w:val="000000"/>
        </w:rPr>
      </w:pPr>
      <w:r w:rsidRPr="00844BCB">
        <w:rPr>
          <w:rFonts w:ascii="Times New Roman" w:eastAsia="新細明體" w:hAnsi="Times New Roman"/>
          <w:b/>
          <w:bCs/>
          <w:noProof w:val="0"/>
          <w:color w:val="000000"/>
          <w:kern w:val="2"/>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w:t>
      </w:r>
      <w:r w:rsidR="000D4860" w:rsidRPr="00844BCB">
        <w:rPr>
          <w:rFonts w:ascii="Times New Roman" w:hAnsi="Times New Roman"/>
          <w:b/>
          <w:bCs/>
          <w:color w:val="000000"/>
        </w:rPr>
        <w:tab/>
      </w:r>
      <w:r w:rsidR="000D4860" w:rsidRPr="00844BCB">
        <w:rPr>
          <w:rFonts w:ascii="Times New Roman" w:hAnsi="Times New Roman"/>
          <w:bCs/>
          <w:color w:val="000000"/>
        </w:rPr>
        <w:t>GBP</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3,883,250,000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3,768,150,000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3,751,150,000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3,800,850,000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3,146,450,000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3,054,700,000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2,930,900,000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3,044,016,667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601,550,000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601,200,000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644,650,000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615,800,000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660,050,000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643,100,000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592,700,000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631,950,000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141,350,000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135,050,000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127,000,000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134,466,667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57,200,000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49,350,000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51,950,000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52,833,333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467,100,000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442,850,000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535,400,000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481,783,333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GBP</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CDI Corp.</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1"/>
        <w:gridCol w:w="101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985,494,000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1,122,972,000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1,087,859,000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1,065,441,667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800,593,000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916,415,000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881,218,000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866,075,333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184,901,000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206,557,000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206,641,000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199,366,333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187,433,000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182,873,000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180,009,000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183,438,333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-2,532,000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23,684,000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26,632,000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15,928,000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0D4860">
      <w:pPr>
        <w:pStyle w:val="Normal8"/>
        <w:tabs>
          <w:tab w:val="right" w:pos="2160"/>
          <w:tab w:val="left" w:pos="2340"/>
        </w:tabs>
        <w:rPr>
          <w:rFonts w:ascii="Times New Roman" w:hAnsi="Times New Roman"/>
          <w:bCs/>
          <w:color w:val="000000"/>
        </w:rPr>
      </w:pPr>
      <w:r w:rsidRPr="00844BCB">
        <w:rPr>
          <w:rFonts w:ascii="Times New Roman" w:eastAsia="新細明體" w:hAnsi="Times New Roman"/>
          <w:b/>
          <w:bCs/>
          <w:noProof w:val="0"/>
          <w:color w:val="000000"/>
          <w:kern w:val="2"/>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USD</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355,658,500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389,013,500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403,256,000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382,642,667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320,746,000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336,449,500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348,243,000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335,146,167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30,166,500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34,045,000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39,588,000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34,599,833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212,631,500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225,095,500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227,121,500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221,616,167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19,539,000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20,439,000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21,309,000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20,429,000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26,628,000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40,901,500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44,565,500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37,365,000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USD</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CRIE ANABUKI INC.</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6,570,481,000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6,147,476,000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6,343,636,000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6,353,864,333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5,269,342,000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4,899,781,000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5,168,887,000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5,112,670,000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1,301,139,000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1,247,695,000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1,174,749,000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1,241,194,333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1,179,236,000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1,146,726,000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1,147,881,000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1,157,947,667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121,903,000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100,969,000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26,868,000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83,246,667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-3,750,000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-3,404,000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-3,710,333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104,706,000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123,630,000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114,168,000</w:t>
            </w: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March 31,</w:t>
      </w:r>
      <w:r w:rsidRPr="00844BCB">
        <w:rPr>
          <w:bCs/>
          <w:color w:val="000000"/>
          <w:sz w:val="16"/>
          <w:szCs w:val="16"/>
        </w:rPr>
        <w:t xml:space="preserve"> 2016</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eastAsia="新細明體" w:hAnsi="Times New Roman"/>
          <w:b/>
          <w:bCs/>
          <w:noProof w:val="0"/>
          <w:color w:val="000000"/>
          <w:kern w:val="2"/>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JPY</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1,908,684,000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1,795,184,000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1,712,449,000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1,805,439,000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914,474,500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900,210,500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959,224,500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924,636,500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703,695,500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672,784,000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687,384,500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687,954,667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18,599,500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18,282,500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23,890,500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20,257,500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1,135,000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2,085,000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1,315,667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920,589,500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816,653,000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694,269,500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810,504,000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March 31, 2016</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JPY</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Datalinks Corp</w:t>
      </w:r>
    </w:p>
    <w:p w:rsidR="000D4860" w:rsidRPr="00844BCB" w:rsidRDefault="000D4860" w:rsidP="000D4860">
      <w:pPr>
        <w:keepLines/>
        <w:autoSpaceDE w:val="0"/>
        <w:autoSpaceDN w:val="0"/>
        <w:adjustRightInd w:val="0"/>
        <w:spacing w:before="240" w:after="240"/>
        <w:rPr>
          <w:rStyle w:val="afd"/>
        </w:rPr>
      </w:pPr>
      <w:r w:rsidRPr="00844BCB">
        <w:rPr>
          <w:rStyle w:val="afd"/>
        </w:rPr>
        <w:t>Unconsolidated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7,750,145,000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7,616,214,000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7,851,963,000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7,739,440,667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6,758,495,000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6,807,984,000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6,994,439,000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6,853,639,333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991,650,000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808,230,000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857,524,000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885,801,333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669,072,000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533,377,000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584,058,000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595,502,333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322,578,000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274,853,000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273,466,000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290,299,000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r>
      <w:r w:rsidRPr="00844BCB">
        <w:rPr>
          <w:rStyle w:val="afd"/>
          <w:sz w:val="16"/>
          <w:szCs w:val="16"/>
        </w:rPr>
        <w:t>Latest Unconsolidated Tax Year Available:</w:t>
      </w:r>
      <w:r w:rsidRPr="00844BCB">
        <w:rPr>
          <w:b/>
          <w:bCs/>
          <w:color w:val="000000"/>
          <w:sz w:val="16"/>
          <w:szCs w:val="16"/>
        </w:rPr>
        <w:tab/>
      </w:r>
      <w:r w:rsidRPr="00844BCB">
        <w:rPr>
          <w:sz w:val="16"/>
          <w:szCs w:val="16"/>
        </w:rPr>
        <w:t>March 31, 2016</w:t>
      </w:r>
    </w:p>
    <w:p w:rsidR="000D4860" w:rsidRPr="00844BCB" w:rsidRDefault="00D437D1" w:rsidP="000D4860">
      <w:pPr>
        <w:pStyle w:val="Normal8"/>
        <w:tabs>
          <w:tab w:val="right" w:pos="2160"/>
          <w:tab w:val="left" w:pos="2340"/>
        </w:tabs>
        <w:rPr>
          <w:rFonts w:ascii="Times New Roman" w:hAnsi="Times New Roman"/>
        </w:rPr>
      </w:pPr>
      <w:r w:rsidRPr="00844BCB">
        <w:rPr>
          <w:rFonts w:ascii="Times New Roman" w:hAnsi="Times New Roman"/>
          <w:b/>
          <w:bCs/>
          <w:color w:val="000000"/>
          <w:lang w:eastAsia="zh-TW"/>
        </w:rPr>
        <w:t xml:space="preserve">                           </w:t>
      </w:r>
      <w:r w:rsidR="00545C38">
        <w:rPr>
          <w:rFonts w:ascii="Times New Roman" w:hAnsi="Times New Roman" w:hint="eastAsia"/>
          <w:b/>
          <w:bCs/>
          <w:color w:val="000000"/>
          <w:lang w:eastAsia="zh-TW"/>
        </w:rPr>
        <w:t xml:space="preserve"> </w:t>
      </w:r>
      <w:r w:rsidR="000D4860" w:rsidRPr="00844BCB">
        <w:rPr>
          <w:rStyle w:val="afd"/>
          <w:rFonts w:ascii="Times New Roman" w:hAnsi="Times New Roman"/>
        </w:rPr>
        <w:t>Currency:</w:t>
      </w:r>
      <w:r w:rsidR="000D4860" w:rsidRPr="00844BCB">
        <w:rPr>
          <w:rStyle w:val="afd"/>
          <w:rFonts w:ascii="Times New Roman" w:hAnsi="Times New Roman"/>
        </w:rPr>
        <w:tab/>
      </w:r>
      <w:r w:rsidR="000D4860" w:rsidRPr="00844BCB">
        <w:rPr>
          <w:rFonts w:ascii="Times New Roman" w:hAnsi="Times New Roman"/>
        </w:rPr>
        <w:t>JPY</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Unconsolidated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3,838,093,500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3,638,121,000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3,481,385,500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3,652,533,333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1,191,940,500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1,180,059,000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1,196,855,500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1,189,618,333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176,480,500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150,958,500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139,367,000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155,602,000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1,010,583,500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986,089,000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1,002,552,500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999,741,667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46,989,500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55,096,000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65,376,000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55,820,500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5,508,000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1,822,000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11,563,500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6,297,833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2,547,936,500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2,356,868,000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2,168,661,000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2,357,821,833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r>
      <w:r w:rsidRPr="00844BCB">
        <w:rPr>
          <w:rStyle w:val="afd"/>
          <w:sz w:val="16"/>
          <w:szCs w:val="16"/>
        </w:rPr>
        <w:t>Latest Unconsolidated Tax Year Available:</w:t>
      </w:r>
      <w:r w:rsidRPr="00844BCB">
        <w:rPr>
          <w:b/>
          <w:bCs/>
          <w:color w:val="000000"/>
          <w:sz w:val="16"/>
          <w:szCs w:val="16"/>
        </w:rPr>
        <w:tab/>
      </w:r>
      <w:r w:rsidRPr="00844BCB">
        <w:rPr>
          <w:sz w:val="16"/>
          <w:szCs w:val="16"/>
        </w:rPr>
        <w:t>March 31, 2016</w:t>
      </w:r>
    </w:p>
    <w:p w:rsidR="000D4860" w:rsidRPr="00844BCB" w:rsidRDefault="00D437D1" w:rsidP="000D4860">
      <w:pPr>
        <w:pStyle w:val="Normal8"/>
        <w:tabs>
          <w:tab w:val="right" w:pos="2160"/>
          <w:tab w:val="left" w:pos="2340"/>
        </w:tabs>
        <w:rPr>
          <w:rFonts w:ascii="Times New Roman" w:hAnsi="Times New Roman"/>
          <w:bCs/>
          <w:color w:val="000000"/>
        </w:rPr>
      </w:pPr>
      <w:r w:rsidRPr="00844BCB">
        <w:rPr>
          <w:rStyle w:val="afd"/>
          <w:rFonts w:ascii="Times New Roman" w:eastAsia="新細明體" w:hAnsi="Times New Roman"/>
          <w:noProof w:val="0"/>
          <w:kern w:val="2"/>
          <w:lang w:eastAsia="zh-TW"/>
        </w:rPr>
        <w:t xml:space="preserve">                            </w:t>
      </w:r>
      <w:r w:rsidR="000D4860" w:rsidRPr="00844BCB">
        <w:rPr>
          <w:rStyle w:val="afd"/>
          <w:rFonts w:ascii="Times New Roman" w:eastAsia="新細明體" w:hAnsi="Times New Roman"/>
          <w:noProof w:val="0"/>
          <w:kern w:val="2"/>
          <w:lang w:eastAsia="zh-TW"/>
        </w:rPr>
        <w:t>Currency</w:t>
      </w:r>
      <w:r w:rsidR="000D4860" w:rsidRPr="00844BCB">
        <w:rPr>
          <w:rStyle w:val="afd"/>
          <w:rFonts w:ascii="Times New Roman" w:eastAsia="新細明體" w:hAnsi="Times New Roman"/>
          <w:b w:val="0"/>
          <w:bCs w:val="0"/>
          <w:noProof w:val="0"/>
          <w:kern w:val="2"/>
          <w:lang w:eastAsia="zh-TW"/>
        </w:rPr>
        <w:t>:</w:t>
      </w:r>
      <w:r w:rsidR="000D4860" w:rsidRPr="00844BCB">
        <w:rPr>
          <w:rFonts w:ascii="Times New Roman" w:hAnsi="Times New Roman"/>
          <w:b/>
          <w:bCs/>
          <w:color w:val="000000"/>
        </w:rPr>
        <w:tab/>
      </w:r>
      <w:r w:rsidR="000D4860" w:rsidRPr="00844BCB">
        <w:rPr>
          <w:rFonts w:ascii="Times New Roman" w:hAnsi="Times New Roman"/>
        </w:rPr>
        <w:t>JPY</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Eternal Asia Supply Chain Management LTD</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39,938,674,370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33,805,802,130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11,622,941,320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28,455,805,940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37,120,922,140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32,046,866,300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10,538,725,560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26,568,838,000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2,817,752,230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1,758,935,830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1,084,215,760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1,886,967,940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1,579,628,350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1,017,452,680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689,074,210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1,095,385,080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1,238,123,880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741,483,150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395,141,550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791,582,860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45,352,530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35,720,370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33,473,060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38,181,987</w:t>
            </w: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eastAsia="新細明體" w:hAnsi="Times New Roman"/>
          <w:b/>
          <w:bCs/>
          <w:noProof w:val="0"/>
          <w:color w:val="000000"/>
          <w:kern w:val="2"/>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CNY</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1"/>
        <w:gridCol w:w="1216"/>
        <w:gridCol w:w="1216"/>
        <w:gridCol w:w="1216"/>
        <w:gridCol w:w="12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27,333,061,215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18,186,591,540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12,492,658,810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19,337,437,188</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17,655,613,385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11,354,334,525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7,435,702,150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12,148,550,020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789,873,750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448,706,770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567,346,445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601,975,655</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6,645,405,015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4,356,213,015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2,823,157,785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4,608,258,605</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622,050,250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517,054,790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704,390,405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614,498,482</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4,518,739,485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2,661,210,840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1,461,342,975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2,880,431,100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8,256,151,230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5,872,104,155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4,524,078,075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6,217,444,487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D437D1" w:rsidP="000D4860">
      <w:pPr>
        <w:rPr>
          <w:sz w:val="16"/>
          <w:szCs w:val="16"/>
        </w:rPr>
      </w:pPr>
      <w:r w:rsidRPr="00844BCB">
        <w:rPr>
          <w:rStyle w:val="afd"/>
          <w:sz w:val="16"/>
          <w:szCs w:val="16"/>
        </w:rPr>
        <w:t xml:space="preserve">                         </w:t>
      </w:r>
      <w:r w:rsidR="000D4860" w:rsidRPr="00844BCB">
        <w:rPr>
          <w:rStyle w:val="afd"/>
          <w:sz w:val="16"/>
          <w:szCs w:val="16"/>
        </w:rPr>
        <w:t>Currency</w:t>
      </w:r>
      <w:r w:rsidR="000D4860" w:rsidRPr="00844BCB">
        <w:rPr>
          <w:b/>
          <w:sz w:val="16"/>
          <w:szCs w:val="16"/>
        </w:rPr>
        <w:t>:</w:t>
      </w:r>
      <w:r w:rsidR="000D4860" w:rsidRPr="00844BCB">
        <w:rPr>
          <w:b/>
          <w:sz w:val="16"/>
          <w:szCs w:val="16"/>
        </w:rPr>
        <w:tab/>
      </w:r>
      <w:r w:rsidR="000D4860" w:rsidRPr="00844BCB">
        <w:rPr>
          <w:sz w:val="16"/>
          <w:szCs w:val="16"/>
        </w:rPr>
        <w:t>CNY</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Insperity Inc</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2,603,614,000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2,357,788,000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2,256,112,000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2,405,838,000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2,165,747,000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1,953,983,000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1,862,861,000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1,994,197,000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437,867,000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403,805,000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393,251,000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411,641,000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361,688,000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352,644,000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333,686,000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349,339,333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76,179,000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51,161,000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59,565,000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62,301,667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15,980,000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22,183,000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23,795,000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20,652,667</w:t>
            </w: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hAnsi="Times New Roman"/>
          <w:b/>
          <w:bCs/>
          <w:color w:val="000000"/>
          <w:lang w:eastAsia="zh-TW"/>
        </w:rPr>
        <w:t xml:space="preserve">                        </w:t>
      </w:r>
      <w:r w:rsidR="000D4860" w:rsidRPr="00844BCB">
        <w:rPr>
          <w:rFonts w:ascii="Times New Roman" w:hAnsi="Times New Roman"/>
          <w:b/>
          <w:bCs/>
          <w:color w:val="000000"/>
          <w:sz w:val="10"/>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USD</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788,753,500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779,577,500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758,380,000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775,570,333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477,895,000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476,773,500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464,910,500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473,193,000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5,027,500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3,676,000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3,169,000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3,957,500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60,590,500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62,697,000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122,855,000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82,047,500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73,052,000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85,380,000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90,178,500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82,870,167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272,997,000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251,105,500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245,149,500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256,417,333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D437D1" w:rsidP="000D4860">
      <w:pPr>
        <w:rPr>
          <w:sz w:val="16"/>
          <w:szCs w:val="16"/>
        </w:rPr>
      </w:pPr>
      <w:r w:rsidRPr="00844BCB">
        <w:rPr>
          <w:rStyle w:val="afd"/>
          <w:sz w:val="16"/>
          <w:szCs w:val="16"/>
        </w:rPr>
        <w:t xml:space="preserve">                         </w:t>
      </w:r>
      <w:r w:rsidR="000D4860" w:rsidRPr="00844BCB">
        <w:rPr>
          <w:rStyle w:val="afd"/>
          <w:sz w:val="16"/>
          <w:szCs w:val="16"/>
        </w:rPr>
        <w:t>Currency</w:t>
      </w:r>
      <w:r w:rsidR="000D4860" w:rsidRPr="00844BCB">
        <w:rPr>
          <w:b/>
          <w:sz w:val="16"/>
          <w:szCs w:val="16"/>
        </w:rPr>
        <w:t>:</w:t>
      </w:r>
      <w:r w:rsidR="000D4860" w:rsidRPr="00844BCB">
        <w:rPr>
          <w:b/>
          <w:sz w:val="16"/>
          <w:szCs w:val="16"/>
        </w:rPr>
        <w:tab/>
      </w:r>
      <w:r w:rsidR="000D4860" w:rsidRPr="00844BCB">
        <w:rPr>
          <w:sz w:val="16"/>
          <w:szCs w:val="16"/>
        </w:rPr>
        <w:t>USD</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MCT Danismanlik AS</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1"/>
        <w:gridCol w:w="936"/>
        <w:gridCol w:w="936"/>
        <w:gridCol w:w="936"/>
        <w:gridCol w:w="9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17,652,290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15,242,210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15,180,450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16,024,983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11,837,240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8,832,960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10,548,510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10,406,237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5,815,050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6,409,250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4,631,940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5,618,747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4,711,300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5,358,400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3,772,400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4,614,033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1,103,750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1,050,850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859,540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1,004,713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hAnsi="Times New Roman"/>
          <w:b/>
          <w:bCs/>
          <w:color w:val="000000"/>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TRY</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1"/>
        <w:gridCol w:w="931"/>
        <w:gridCol w:w="936"/>
        <w:gridCol w:w="931"/>
        <w:gridCol w:w="9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11,724,890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10,598,400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10,311,735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10,878,342</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7,402,830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7,111,390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7,099,950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7,204,723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554,635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425,350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446,920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475,635</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3,462,545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3,413,345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3,671,050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3,515,647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666,730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493,295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335,490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498,505</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52,250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78,417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3,704,795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3,465,610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3,185,385</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3,451,930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TRY</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Resources Connection, Inc.</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598,521,000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590,589,000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567,181,000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585,430,333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366,355,000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362,227,000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351,359,000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359,980,333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232,166,000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228,362,000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215,822,000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225,450,000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178,363,000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178,104,000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177,847,000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178,104,667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53,803,000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50,258,000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37,975,000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47,345,333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May 28,</w:t>
      </w:r>
      <w:r w:rsidRPr="00844BCB">
        <w:rPr>
          <w:bCs/>
          <w:color w:val="000000"/>
          <w:sz w:val="16"/>
          <w:szCs w:val="16"/>
        </w:rPr>
        <w:t xml:space="preserve"> 2016</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hAnsi="Times New Roman"/>
          <w:b/>
          <w:bCs/>
          <w:color w:val="000000"/>
          <w:lang w:eastAsia="zh-TW"/>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USD</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1"/>
        <w:gridCol w:w="1016"/>
        <w:gridCol w:w="1016"/>
        <w:gridCol w:w="1016"/>
        <w:gridCol w:w="101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417,118,000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418,529,500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418,859,000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418,168,833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296,404,500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296,495,500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293,816,500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295,572,167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97,190,500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93,454,000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87,264,000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92,636,167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21,637,500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22,579,500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22,122,500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22,113,167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89,169,500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83,770,500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87,153,500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86,697,833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May 28, 2016</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USD</w:t>
      </w:r>
    </w:p>
    <w:p w:rsidR="000D4860" w:rsidRPr="00844BCB" w:rsidRDefault="000D4860" w:rsidP="000D4860">
      <w:pPr>
        <w:keepLines/>
        <w:autoSpaceDE w:val="0"/>
        <w:autoSpaceDN w:val="0"/>
        <w:adjustRightInd w:val="0"/>
        <w:spacing w:before="240" w:after="240"/>
        <w:rPr>
          <w:rStyle w:val="afd"/>
        </w:rPr>
      </w:pPr>
      <w:r w:rsidRPr="00844BCB">
        <w:rPr>
          <w:rStyle w:val="afd"/>
        </w:rPr>
        <w:lastRenderedPageBreak/>
        <w:t>Robert Half International Inc.</w:t>
      </w:r>
    </w:p>
    <w:p w:rsidR="000D4860" w:rsidRPr="00844BCB" w:rsidRDefault="000D4860" w:rsidP="000D4860">
      <w:pPr>
        <w:keepLines/>
        <w:autoSpaceDE w:val="0"/>
        <w:autoSpaceDN w:val="0"/>
        <w:adjustRightInd w:val="0"/>
        <w:spacing w:before="240" w:after="240"/>
        <w:rPr>
          <w:color w:val="000000"/>
          <w:szCs w:val="20"/>
        </w:rPr>
      </w:pPr>
      <w:r w:rsidRPr="00844BCB">
        <w:rPr>
          <w:b/>
          <w:bCs/>
          <w:color w:val="000000"/>
          <w:szCs w:val="20"/>
        </w:rPr>
        <w:t>Consolidated 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Net Sales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5,094,933,000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4,695,014,000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4,245,895,000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4,678,614,000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Cost of Goods Sold</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2,980,462,000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2,772,098,000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2,522,803,000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2,758,454,333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Gross Profit</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2,114,471,000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1,922,916,000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1,723,092,000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1,920,159,667</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Expenses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1,533,991,000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1,426,291,000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1,326,515,000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1,428,932,333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Operating Income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580,480,000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496,625,000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396,577,000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jc w:val="center"/>
              <w:rPr>
                <w:rFonts w:ascii="Times New Roman" w:hAnsi="Times New Roman"/>
              </w:rPr>
            </w:pPr>
            <w:r w:rsidRPr="00844BCB">
              <w:rPr>
                <w:rFonts w:ascii="Times New Roman" w:hAnsi="Times New Roman"/>
              </w:rPr>
              <w:t>491,227,333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Interest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R and D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pStyle w:val="TableText8"/>
              <w:rPr>
                <w:rFonts w:ascii="Times New Roman" w:hAnsi="Times New Roman"/>
              </w:rPr>
            </w:pPr>
            <w:r w:rsidRPr="00844BCB">
              <w:rPr>
                <w:rFonts w:ascii="Times New Roman" w:hAnsi="Times New Roman"/>
              </w:rPr>
              <w:t>Advertising Expense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pStyle w:val="TableText8"/>
              <w:jc w:val="center"/>
              <w:rPr>
                <w:rFonts w:ascii="Times New Roman" w:hAnsi="Times New Roman"/>
              </w:rPr>
            </w:pPr>
          </w:p>
        </w:tc>
      </w:tr>
    </w:tbl>
    <w:p w:rsidR="000D4860" w:rsidRPr="00844BCB" w:rsidRDefault="000D4860" w:rsidP="000D4860">
      <w:pPr>
        <w:pStyle w:val="Text"/>
        <w:rPr>
          <w:rFonts w:ascii="Times New Roman" w:hAnsi="Times New Roman"/>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b/>
          <w:bCs/>
          <w:color w:val="000000"/>
          <w:sz w:val="16"/>
          <w:szCs w:val="16"/>
        </w:rPr>
        <w:tab/>
        <w:t>Latest Consolidated Tax Year Available:</w:t>
      </w:r>
      <w:r w:rsidRPr="00844BCB">
        <w:rPr>
          <w:b/>
          <w:bCs/>
          <w:color w:val="000000"/>
          <w:sz w:val="16"/>
          <w:szCs w:val="16"/>
        </w:rPr>
        <w:tab/>
      </w:r>
      <w:r w:rsidRPr="00844BCB">
        <w:rPr>
          <w:bCs/>
          <w:noProof/>
          <w:color w:val="000000"/>
          <w:sz w:val="16"/>
          <w:szCs w:val="16"/>
        </w:rPr>
        <w:t>December 31,</w:t>
      </w:r>
      <w:r w:rsidRPr="00844BCB">
        <w:rPr>
          <w:bCs/>
          <w:color w:val="000000"/>
          <w:sz w:val="16"/>
          <w:szCs w:val="16"/>
        </w:rPr>
        <w:t xml:space="preserve"> 2015</w:t>
      </w:r>
    </w:p>
    <w:p w:rsidR="000D4860" w:rsidRPr="00844BCB" w:rsidRDefault="00D437D1" w:rsidP="00D437D1">
      <w:pPr>
        <w:pStyle w:val="Normal8"/>
        <w:tabs>
          <w:tab w:val="right" w:pos="2160"/>
        </w:tabs>
        <w:rPr>
          <w:rFonts w:ascii="Times New Roman" w:hAnsi="Times New Roman"/>
          <w:bCs/>
          <w:color w:val="000000"/>
        </w:rPr>
      </w:pPr>
      <w:r w:rsidRPr="00844BCB">
        <w:rPr>
          <w:rFonts w:ascii="Times New Roman" w:hAnsi="Times New Roman"/>
          <w:b/>
          <w:bCs/>
          <w:color w:val="000000"/>
          <w:lang w:eastAsia="zh-TW"/>
        </w:rPr>
        <w:t xml:space="preserve">                        </w:t>
      </w:r>
      <w:r w:rsidR="000D4860" w:rsidRPr="00844BCB">
        <w:rPr>
          <w:rFonts w:ascii="Times New Roman" w:hAnsi="Times New Roman"/>
          <w:b/>
          <w:bCs/>
          <w:color w:val="000000"/>
          <w:sz w:val="10"/>
        </w:rPr>
        <w:t xml:space="preserve"> </w:t>
      </w:r>
      <w:r w:rsidR="000D4860" w:rsidRPr="00844BCB">
        <w:rPr>
          <w:rFonts w:ascii="Times New Roman" w:eastAsia="新細明體" w:hAnsi="Times New Roman"/>
          <w:b/>
          <w:bCs/>
          <w:noProof w:val="0"/>
          <w:color w:val="000000"/>
          <w:kern w:val="2"/>
          <w:lang w:eastAsia="zh-TW"/>
        </w:rPr>
        <w:t>Currency:</w:t>
      </w:r>
      <w:r w:rsidR="000D4860" w:rsidRPr="00844BCB">
        <w:rPr>
          <w:rFonts w:ascii="Times New Roman" w:hAnsi="Times New Roman"/>
          <w:b/>
          <w:bCs/>
          <w:color w:val="000000"/>
        </w:rPr>
        <w:tab/>
      </w:r>
      <w:r w:rsidR="000D4860" w:rsidRPr="00844BCB">
        <w:rPr>
          <w:rFonts w:ascii="Times New Roman" w:hAnsi="Times New Roman"/>
          <w:bCs/>
          <w:color w:val="000000"/>
        </w:rPr>
        <w:t>USD</w:t>
      </w:r>
    </w:p>
    <w:p w:rsidR="000D4860" w:rsidRPr="00844BCB" w:rsidRDefault="000D4860" w:rsidP="000D4860">
      <w:pPr>
        <w:pStyle w:val="Normal8"/>
        <w:tabs>
          <w:tab w:val="right" w:pos="2160"/>
          <w:tab w:val="left" w:pos="2340"/>
        </w:tabs>
        <w:rPr>
          <w:rFonts w:ascii="Times New Roman" w:hAnsi="Times New Roman"/>
          <w:bCs/>
          <w:color w:val="000000"/>
        </w:rPr>
      </w:pPr>
    </w:p>
    <w:p w:rsidR="000D4860" w:rsidRPr="00844BCB" w:rsidRDefault="000D4860" w:rsidP="000D4860">
      <w:pPr>
        <w:keepLines/>
        <w:autoSpaceDE w:val="0"/>
        <w:autoSpaceDN w:val="0"/>
        <w:adjustRightInd w:val="0"/>
        <w:rPr>
          <w:b/>
          <w:bCs/>
          <w:color w:val="000000"/>
          <w:szCs w:val="20"/>
        </w:rPr>
      </w:pPr>
    </w:p>
    <w:p w:rsidR="000D4860" w:rsidRPr="00844BCB" w:rsidRDefault="000D4860" w:rsidP="000D4860">
      <w:pPr>
        <w:keepLines/>
        <w:autoSpaceDE w:val="0"/>
        <w:autoSpaceDN w:val="0"/>
        <w:adjustRightInd w:val="0"/>
        <w:spacing w:before="240" w:after="240"/>
        <w:rPr>
          <w:rStyle w:val="afd"/>
        </w:rPr>
      </w:pPr>
      <w:r w:rsidRPr="00844BCB">
        <w:rPr>
          <w:rStyle w:val="afd"/>
        </w:rPr>
        <w:t>Consolidated Balance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1"/>
        <w:gridCol w:w="1136"/>
        <w:gridCol w:w="1136"/>
        <w:gridCol w:w="1136"/>
        <w:gridCol w:w="1136"/>
      </w:tblGrid>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Description</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2015</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2014</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2013</w:t>
            </w:r>
          </w:p>
        </w:tc>
        <w:tc>
          <w:tcPr>
            <w:tcW w:w="83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D4860" w:rsidRPr="00844BCB" w:rsidRDefault="000D4860">
            <w:pPr>
              <w:pStyle w:val="TableHeading"/>
              <w:jc w:val="center"/>
              <w:rPr>
                <w:rFonts w:ascii="Times New Roman" w:hAnsi="Times New Roman" w:cs="Times New Roman"/>
              </w:rPr>
            </w:pPr>
            <w:r w:rsidRPr="00844BCB">
              <w:rPr>
                <w:rFonts w:ascii="Times New Roman" w:hAnsi="Times New Roman" w:cs="Times New Roman"/>
              </w:rPr>
              <w:t>Average</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Total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1,675,113,500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1,568,769,000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1,435,771,000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1,559,884,500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Operating Assets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1,279,848,000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1,164,311,500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1,046,134,500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1,163,431,333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Payables</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Receivables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681,158,000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604,790,500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532,378,500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606,109,000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PPE</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132,330,000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117,199,000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110,162,000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119,897,000</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Net Inventory</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Cash And Cash Equivalents</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255,848,000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281,441,500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281,699,500</w:t>
            </w:r>
          </w:p>
        </w:tc>
        <w:tc>
          <w:tcPr>
            <w:tcW w:w="835"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r w:rsidRPr="00844BCB">
              <w:rPr>
                <w:color w:val="000000"/>
                <w:sz w:val="16"/>
                <w:szCs w:val="16"/>
              </w:rPr>
              <w:t>272,996,333</w:t>
            </w: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LIFO Reserve</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r w:rsidR="000D4860" w:rsidRPr="00844BCB" w:rsidTr="000D4860">
        <w:trPr>
          <w:cantSplit/>
          <w:trHeight w:val="288"/>
          <w:tblHeader/>
        </w:trPr>
        <w:tc>
          <w:tcPr>
            <w:tcW w:w="5731" w:type="dxa"/>
            <w:tcBorders>
              <w:top w:val="single" w:sz="4" w:space="0" w:color="auto"/>
              <w:left w:val="single" w:sz="4" w:space="0" w:color="auto"/>
              <w:bottom w:val="single" w:sz="4" w:space="0" w:color="auto"/>
              <w:right w:val="single" w:sz="4" w:space="0" w:color="auto"/>
            </w:tcBorders>
            <w:vAlign w:val="center"/>
            <w:hideMark/>
          </w:tcPr>
          <w:p w:rsidR="000D4860" w:rsidRPr="00844BCB" w:rsidRDefault="000D4860">
            <w:pPr>
              <w:tabs>
                <w:tab w:val="right" w:pos="9360"/>
              </w:tabs>
              <w:autoSpaceDE w:val="0"/>
              <w:autoSpaceDN w:val="0"/>
              <w:adjustRightInd w:val="0"/>
              <w:spacing w:before="20" w:after="20"/>
              <w:rPr>
                <w:rFonts w:eastAsiaTheme="minorEastAsia"/>
                <w:color w:val="000000"/>
                <w:sz w:val="16"/>
                <w:szCs w:val="16"/>
                <w:lang w:eastAsia="en-US"/>
              </w:rPr>
            </w:pPr>
            <w:r w:rsidRPr="00844BCB">
              <w:rPr>
                <w:color w:val="000000"/>
                <w:sz w:val="16"/>
                <w:szCs w:val="16"/>
              </w:rPr>
              <w:t>Avg Invested Capital</w:t>
            </w: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c>
          <w:tcPr>
            <w:tcW w:w="835" w:type="dxa"/>
            <w:tcBorders>
              <w:top w:val="single" w:sz="4" w:space="0" w:color="auto"/>
              <w:left w:val="single" w:sz="4" w:space="0" w:color="auto"/>
              <w:bottom w:val="single" w:sz="4" w:space="0" w:color="auto"/>
              <w:right w:val="single" w:sz="4" w:space="0" w:color="auto"/>
            </w:tcBorders>
            <w:vAlign w:val="center"/>
          </w:tcPr>
          <w:p w:rsidR="000D4860" w:rsidRPr="00844BCB" w:rsidRDefault="000D4860">
            <w:pPr>
              <w:tabs>
                <w:tab w:val="right" w:pos="9360"/>
              </w:tabs>
              <w:autoSpaceDE w:val="0"/>
              <w:autoSpaceDN w:val="0"/>
              <w:adjustRightInd w:val="0"/>
              <w:spacing w:before="20" w:after="20"/>
              <w:jc w:val="center"/>
              <w:rPr>
                <w:rFonts w:eastAsiaTheme="minorEastAsia"/>
                <w:color w:val="000000"/>
                <w:sz w:val="16"/>
                <w:szCs w:val="16"/>
                <w:lang w:eastAsia="en-US"/>
              </w:rPr>
            </w:pPr>
          </w:p>
        </w:tc>
      </w:tr>
    </w:tbl>
    <w:p w:rsidR="000D4860" w:rsidRPr="00844BCB" w:rsidRDefault="000D4860" w:rsidP="000D4860">
      <w:pPr>
        <w:rPr>
          <w:rFonts w:eastAsiaTheme="minorEastAsia"/>
          <w:sz w:val="20"/>
          <w:lang w:eastAsia="en-US"/>
        </w:rPr>
      </w:pPr>
    </w:p>
    <w:p w:rsidR="000D4860" w:rsidRPr="00844BCB" w:rsidRDefault="000D4860" w:rsidP="000D4860">
      <w:pPr>
        <w:keepLines/>
        <w:tabs>
          <w:tab w:val="right" w:pos="2160"/>
          <w:tab w:val="left" w:pos="2340"/>
        </w:tabs>
        <w:autoSpaceDE w:val="0"/>
        <w:autoSpaceDN w:val="0"/>
        <w:adjustRightInd w:val="0"/>
        <w:rPr>
          <w:bCs/>
          <w:color w:val="000000"/>
          <w:sz w:val="16"/>
          <w:szCs w:val="16"/>
        </w:rPr>
      </w:pPr>
      <w:r w:rsidRPr="00844BCB">
        <w:rPr>
          <w:rStyle w:val="afd"/>
          <w:sz w:val="16"/>
          <w:szCs w:val="16"/>
        </w:rPr>
        <w:t>Latest Consolidated Tax Year Available:</w:t>
      </w:r>
      <w:r w:rsidRPr="00844BCB">
        <w:rPr>
          <w:b/>
          <w:bCs/>
          <w:color w:val="000000"/>
          <w:sz w:val="16"/>
          <w:szCs w:val="16"/>
        </w:rPr>
        <w:tab/>
      </w:r>
      <w:r w:rsidRPr="00844BCB">
        <w:rPr>
          <w:sz w:val="16"/>
          <w:szCs w:val="16"/>
        </w:rPr>
        <w:t>December 31, 2015</w:t>
      </w:r>
    </w:p>
    <w:p w:rsidR="000D4860" w:rsidRPr="00844BCB" w:rsidRDefault="000D4860" w:rsidP="000D4860">
      <w:pPr>
        <w:rPr>
          <w:sz w:val="16"/>
          <w:szCs w:val="16"/>
        </w:rPr>
      </w:pPr>
      <w:r w:rsidRPr="00844BCB">
        <w:rPr>
          <w:b/>
          <w:sz w:val="16"/>
          <w:szCs w:val="16"/>
        </w:rPr>
        <w:tab/>
        <w:t xml:space="preserve">                   </w:t>
      </w:r>
      <w:r w:rsidRPr="00844BCB">
        <w:rPr>
          <w:rStyle w:val="afd"/>
          <w:sz w:val="16"/>
          <w:szCs w:val="16"/>
        </w:rPr>
        <w:t>Currency</w:t>
      </w:r>
      <w:r w:rsidRPr="00844BCB">
        <w:rPr>
          <w:b/>
          <w:sz w:val="16"/>
          <w:szCs w:val="16"/>
        </w:rPr>
        <w:t>:</w:t>
      </w:r>
      <w:r w:rsidRPr="00844BCB">
        <w:rPr>
          <w:b/>
          <w:sz w:val="16"/>
          <w:szCs w:val="16"/>
        </w:rPr>
        <w:tab/>
      </w:r>
      <w:r w:rsidRPr="00844BCB">
        <w:rPr>
          <w:sz w:val="16"/>
          <w:szCs w:val="16"/>
        </w:rPr>
        <w:t>USD</w:t>
      </w:r>
    </w:p>
    <w:p w:rsidR="00DA45CB" w:rsidRPr="00D07394" w:rsidRDefault="00DA45CB" w:rsidP="00D07394">
      <w:pPr>
        <w:pStyle w:val="Normal8"/>
        <w:tabs>
          <w:tab w:val="right" w:pos="2160"/>
          <w:tab w:val="left" w:pos="2340"/>
        </w:tabs>
        <w:rPr>
          <w:bCs/>
          <w:color w:val="000000"/>
          <w:lang w:eastAsia="zh-TW"/>
        </w:rPr>
        <w:sectPr w:rsidR="00DA45CB" w:rsidRPr="00D07394" w:rsidSect="006B72E6">
          <w:headerReference w:type="default" r:id="rId50"/>
          <w:footerReference w:type="even" r:id="rId51"/>
          <w:footerReference w:type="default" r:id="rId52"/>
          <w:pgSz w:w="11906" w:h="16838"/>
          <w:pgMar w:top="2160" w:right="1440" w:bottom="1814" w:left="1440" w:header="851" w:footer="567" w:gutter="567"/>
          <w:pgNumType w:start="1"/>
          <w:cols w:space="425"/>
          <w:docGrid w:type="linesAndChars" w:linePitch="360"/>
        </w:sectPr>
      </w:pPr>
    </w:p>
    <w:p w:rsidR="00DA45CB" w:rsidRDefault="00881ED6">
      <w:pPr>
        <w:widowControl/>
        <w:rPr>
          <w:rFonts w:ascii="Arial" w:eastAsiaTheme="minorEastAsia" w:hAnsi="Arial"/>
          <w:i/>
          <w:kern w:val="0"/>
          <w:sz w:val="20"/>
        </w:rPr>
      </w:pPr>
      <w:r>
        <w:rPr>
          <w:noProof/>
        </w:rPr>
        <w:lastRenderedPageBreak/>
        <w:drawing>
          <wp:inline distT="0" distB="0" distL="0" distR="0" wp14:anchorId="537CB560" wp14:editId="2B90E3D9">
            <wp:extent cx="5367663" cy="60325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71465" cy="6036772"/>
                    </a:xfrm>
                    <a:prstGeom prst="rect">
                      <a:avLst/>
                    </a:prstGeom>
                  </pic:spPr>
                </pic:pic>
              </a:graphicData>
            </a:graphic>
          </wp:inline>
        </w:drawing>
      </w:r>
    </w:p>
    <w:p w:rsidR="00DA45CB" w:rsidRDefault="00DA45CB">
      <w:pPr>
        <w:widowControl/>
        <w:rPr>
          <w:rFonts w:ascii="Arial" w:eastAsiaTheme="minorEastAsia" w:hAnsi="Arial"/>
          <w:i/>
          <w:kern w:val="0"/>
          <w:sz w:val="20"/>
        </w:rPr>
      </w:pPr>
      <w:r>
        <w:rPr>
          <w:i/>
        </w:rPr>
        <w:br w:type="page"/>
      </w:r>
    </w:p>
    <w:p w:rsidR="000531C8" w:rsidRPr="00D9715B" w:rsidRDefault="000531C8" w:rsidP="00D9715B">
      <w:pPr>
        <w:pStyle w:val="Text"/>
        <w:spacing w:before="360" w:after="240"/>
        <w:rPr>
          <w:i/>
          <w:lang w:eastAsia="zh-TW"/>
        </w:rPr>
        <w:sectPr w:rsidR="000531C8" w:rsidRPr="00D9715B" w:rsidSect="00DA45CB">
          <w:headerReference w:type="even" r:id="rId54"/>
          <w:headerReference w:type="default" r:id="rId55"/>
          <w:footerReference w:type="even" r:id="rId56"/>
          <w:footerReference w:type="default" r:id="rId57"/>
          <w:type w:val="oddPage"/>
          <w:pgSz w:w="11906" w:h="16838"/>
          <w:pgMar w:top="2160" w:right="1440" w:bottom="1814" w:left="1440" w:header="851" w:footer="567" w:gutter="567"/>
          <w:pgNumType w:start="1"/>
          <w:cols w:space="425"/>
          <w:docGrid w:type="linesAndChars" w:linePitch="360"/>
        </w:sectPr>
      </w:pPr>
    </w:p>
    <w:p w:rsidR="009F5D18" w:rsidRDefault="009F5D18" w:rsidP="009F5D18">
      <w:pPr>
        <w:rPr>
          <w:rFonts w:eastAsia="標楷體"/>
        </w:rPr>
      </w:pPr>
      <w:r w:rsidRPr="00CC05A5">
        <w:rPr>
          <w:rFonts w:eastAsia="標楷體"/>
        </w:rPr>
        <w:lastRenderedPageBreak/>
        <w:t>(</w:t>
      </w:r>
      <w:r w:rsidRPr="00CC05A5">
        <w:rPr>
          <w:rFonts w:eastAsia="標楷體"/>
        </w:rPr>
        <w:t>民國</w:t>
      </w:r>
      <w:r w:rsidRPr="00CC05A5">
        <w:rPr>
          <w:rFonts w:eastAsia="標楷體"/>
        </w:rPr>
        <w:t xml:space="preserve"> </w:t>
      </w:r>
      <w:smartTag w:uri="urn:schemas-microsoft-com:office:smarttags" w:element="chsdate">
        <w:smartTagPr>
          <w:attr w:name="Year" w:val="1993"/>
          <w:attr w:name="Month" w:val="12"/>
          <w:attr w:name="Day" w:val="28"/>
          <w:attr w:name="IsLunarDate" w:val="False"/>
          <w:attr w:name="IsROCDate" w:val="False"/>
        </w:smartTagPr>
        <w:r w:rsidRPr="00CC05A5">
          <w:rPr>
            <w:rFonts w:eastAsia="標楷體"/>
          </w:rPr>
          <w:t xml:space="preserve">93 </w:t>
        </w:r>
        <w:r w:rsidRPr="00CC05A5">
          <w:rPr>
            <w:rFonts w:eastAsia="標楷體"/>
          </w:rPr>
          <w:t>年</w:t>
        </w:r>
        <w:r w:rsidRPr="00CC05A5">
          <w:rPr>
            <w:rFonts w:eastAsia="標楷體"/>
          </w:rPr>
          <w:t xml:space="preserve"> 12 </w:t>
        </w:r>
        <w:r w:rsidRPr="00CC05A5">
          <w:rPr>
            <w:rFonts w:eastAsia="標楷體"/>
          </w:rPr>
          <w:t>月</w:t>
        </w:r>
      </w:smartTag>
      <w:r w:rsidRPr="00CC05A5">
        <w:rPr>
          <w:rFonts w:eastAsia="標楷體"/>
        </w:rPr>
        <w:t xml:space="preserve"> 28 </w:t>
      </w:r>
      <w:r w:rsidRPr="00CC05A5">
        <w:rPr>
          <w:rFonts w:eastAsia="標楷體"/>
        </w:rPr>
        <w:t>日發布</w:t>
      </w:r>
      <w:r>
        <w:rPr>
          <w:rFonts w:eastAsia="標楷體"/>
        </w:rPr>
        <w:t xml:space="preserve"> )</w:t>
      </w:r>
    </w:p>
    <w:p w:rsidR="009F5D18" w:rsidRPr="00214254" w:rsidRDefault="009F5D18" w:rsidP="006E47EB">
      <w:pPr>
        <w:spacing w:afterLines="50" w:after="180"/>
        <w:rPr>
          <w:rFonts w:eastAsia="標楷體"/>
          <w:color w:val="000000"/>
          <w:szCs w:val="26"/>
        </w:rPr>
      </w:pPr>
      <w:r w:rsidRPr="00214254">
        <w:rPr>
          <w:rFonts w:eastAsia="標楷體" w:hint="eastAsia"/>
          <w:color w:val="000000"/>
          <w:szCs w:val="26"/>
        </w:rPr>
        <w:t>(</w:t>
      </w:r>
      <w:r w:rsidRPr="00214254">
        <w:rPr>
          <w:rFonts w:eastAsia="標楷體" w:hint="eastAsia"/>
          <w:color w:val="000000"/>
          <w:szCs w:val="26"/>
        </w:rPr>
        <w:t>民國</w:t>
      </w:r>
      <w:r w:rsidRPr="00214254">
        <w:rPr>
          <w:rFonts w:eastAsia="標楷體" w:hint="eastAsia"/>
          <w:color w:val="000000"/>
          <w:szCs w:val="26"/>
        </w:rPr>
        <w:t xml:space="preserve"> 104 </w:t>
      </w:r>
      <w:r w:rsidRPr="00214254">
        <w:rPr>
          <w:rFonts w:eastAsia="標楷體" w:hint="eastAsia"/>
          <w:color w:val="000000"/>
          <w:szCs w:val="26"/>
        </w:rPr>
        <w:t>年</w:t>
      </w:r>
      <w:r w:rsidRPr="00214254">
        <w:rPr>
          <w:rFonts w:eastAsia="標楷體" w:hint="eastAsia"/>
          <w:color w:val="000000"/>
          <w:szCs w:val="26"/>
        </w:rPr>
        <w:t xml:space="preserve"> 3 </w:t>
      </w:r>
      <w:r w:rsidRPr="00214254">
        <w:rPr>
          <w:rFonts w:eastAsia="標楷體" w:hint="eastAsia"/>
          <w:color w:val="000000"/>
          <w:szCs w:val="26"/>
        </w:rPr>
        <w:t>月</w:t>
      </w:r>
      <w:r w:rsidRPr="00214254">
        <w:rPr>
          <w:rFonts w:eastAsia="標楷體" w:hint="eastAsia"/>
          <w:color w:val="000000"/>
          <w:szCs w:val="26"/>
        </w:rPr>
        <w:t xml:space="preserve">  6 </w:t>
      </w:r>
      <w:r w:rsidRPr="00214254">
        <w:rPr>
          <w:rFonts w:eastAsia="標楷體" w:hint="eastAsia"/>
          <w:color w:val="000000"/>
          <w:szCs w:val="26"/>
        </w:rPr>
        <w:t>日修正</w:t>
      </w:r>
      <w:r w:rsidRPr="00214254">
        <w:rPr>
          <w:rFonts w:eastAsia="標楷體" w:hint="eastAsia"/>
          <w:color w:val="000000"/>
          <w:szCs w:val="26"/>
        </w:rPr>
        <w:t xml:space="preserve"> )</w:t>
      </w:r>
    </w:p>
    <w:p w:rsidR="009F5D18" w:rsidRDefault="009F5D18" w:rsidP="006E47EB">
      <w:pPr>
        <w:spacing w:afterLines="50" w:after="180"/>
        <w:rPr>
          <w:color w:val="000000"/>
        </w:rPr>
      </w:pPr>
      <w:r>
        <w:rPr>
          <w:rFonts w:ascii="標楷體" w:eastAsia="標楷體" w:hAnsi="標楷體"/>
          <w:color w:val="000000"/>
        </w:rPr>
        <w:t xml:space="preserve"> </w:t>
      </w:r>
    </w:p>
    <w:tbl>
      <w:tblPr>
        <w:tblW w:w="4868" w:type="pct"/>
        <w:jc w:val="center"/>
        <w:tblCellSpacing w:w="15" w:type="dxa"/>
        <w:tblInd w:w="-1839" w:type="dxa"/>
        <w:tblCellMar>
          <w:top w:w="15" w:type="dxa"/>
          <w:left w:w="15" w:type="dxa"/>
          <w:bottom w:w="15" w:type="dxa"/>
          <w:right w:w="15" w:type="dxa"/>
        </w:tblCellMar>
        <w:tblLook w:val="0000" w:firstRow="0" w:lastRow="0" w:firstColumn="0" w:lastColumn="0" w:noHBand="0" w:noVBand="0"/>
      </w:tblPr>
      <w:tblGrid>
        <w:gridCol w:w="1272"/>
        <w:gridCol w:w="7051"/>
      </w:tblGrid>
      <w:tr w:rsidR="009F5D18" w:rsidRPr="00214254" w:rsidTr="006E47EB">
        <w:trPr>
          <w:tblCellSpacing w:w="15" w:type="dxa"/>
          <w:jc w:val="center"/>
        </w:trPr>
        <w:tc>
          <w:tcPr>
            <w:tcW w:w="4964" w:type="pct"/>
            <w:gridSpan w:val="2"/>
            <w:vAlign w:val="center"/>
          </w:tcPr>
          <w:p w:rsidR="009F5D18" w:rsidRPr="00214254" w:rsidRDefault="009F5D18" w:rsidP="006E47EB">
            <w:pPr>
              <w:widowControl/>
              <w:rPr>
                <w:rFonts w:eastAsia="標楷體" w:cs="新細明體"/>
                <w:kern w:val="0"/>
              </w:rPr>
            </w:pPr>
            <w:r w:rsidRPr="00214254">
              <w:rPr>
                <w:rFonts w:eastAsia="標楷體" w:cs="新細明體"/>
                <w:kern w:val="0"/>
                <w:szCs w:val="2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一</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總則</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58" w:history="1">
              <w:r w:rsidR="009F5D18" w:rsidRPr="00214254">
                <w:rPr>
                  <w:rFonts w:eastAsia="標楷體" w:hAnsi="標楷體" w:cs="新細明體"/>
                  <w:kern w:val="0"/>
                  <w:u w:val="single"/>
                </w:rPr>
                <w:t>第</w:t>
              </w:r>
              <w:r w:rsidR="009F5D18" w:rsidRPr="00214254">
                <w:rPr>
                  <w:rFonts w:eastAsia="標楷體" w:cs="新細明體"/>
                  <w:kern w:val="0"/>
                  <w:u w:val="single"/>
                </w:rPr>
                <w:t>  1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本準則依所得稅法</w:t>
            </w:r>
            <w:r w:rsidRPr="00214254">
              <w:rPr>
                <w:rFonts w:eastAsia="標楷體" w:cs="細明體"/>
                <w:kern w:val="0"/>
              </w:rPr>
              <w:t xml:space="preserve"> (</w:t>
            </w:r>
            <w:r w:rsidRPr="00214254">
              <w:rPr>
                <w:rFonts w:eastAsia="標楷體" w:hAnsi="標楷體" w:cs="細明體"/>
                <w:kern w:val="0"/>
              </w:rPr>
              <w:t>以下簡稱本法</w:t>
            </w:r>
            <w:r w:rsidRPr="00214254">
              <w:rPr>
                <w:rFonts w:eastAsia="標楷體" w:cs="細明體"/>
                <w:kern w:val="0"/>
              </w:rPr>
              <w:t xml:space="preserve">) </w:t>
            </w:r>
            <w:r w:rsidRPr="00214254">
              <w:rPr>
                <w:rFonts w:eastAsia="標楷體" w:hAnsi="標楷體" w:cs="細明體"/>
                <w:kern w:val="0"/>
              </w:rPr>
              <w:t>第八十條第五項規定訂定之。</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59"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營利事業與國內外其他營利事業具有從屬關係，或直接間接為另一事業所有或控制，其相互間有關收益、成本、費用或</w:t>
            </w:r>
            <w:proofErr w:type="gramStart"/>
            <w:r w:rsidRPr="00214254">
              <w:rPr>
                <w:rFonts w:eastAsia="標楷體" w:hAnsi="標楷體" w:cs="細明體"/>
                <w:kern w:val="0"/>
              </w:rPr>
              <w:t>損益攤計之</w:t>
            </w:r>
            <w:proofErr w:type="gramEnd"/>
            <w:r w:rsidRPr="00214254">
              <w:rPr>
                <w:rFonts w:eastAsia="標楷體" w:hAnsi="標楷體" w:cs="細明體"/>
                <w:kern w:val="0"/>
              </w:rPr>
              <w:t>交易，應符合營業常規，以正確計算相關營利事業在中華民國境內之納稅義務。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前項營利事業從事交易時，有以不合營業常規之安排，規避或減少其在中華民國境內之納稅義務者，</w:t>
            </w:r>
            <w:proofErr w:type="gramStart"/>
            <w:r w:rsidRPr="00214254">
              <w:rPr>
                <w:rFonts w:eastAsia="標楷體" w:hAnsi="標楷體" w:cs="細明體"/>
                <w:kern w:val="0"/>
              </w:rPr>
              <w:t>稽</w:t>
            </w:r>
            <w:proofErr w:type="gramEnd"/>
            <w:r w:rsidRPr="00214254">
              <w:rPr>
                <w:rFonts w:eastAsia="標楷體" w:hAnsi="標楷體" w:cs="細明體"/>
                <w:kern w:val="0"/>
              </w:rPr>
              <w:t>徵機關為正確計算相關營利事業之所得額及應納稅額，得依法進行調查，並依本法第四十三條之</w:t>
            </w:r>
            <w:proofErr w:type="gramStart"/>
            <w:r w:rsidRPr="00214254">
              <w:rPr>
                <w:rFonts w:eastAsia="標楷體" w:hAnsi="標楷體" w:cs="細明體"/>
                <w:kern w:val="0"/>
              </w:rPr>
              <w:t>一</w:t>
            </w:r>
            <w:proofErr w:type="gramEnd"/>
            <w:r w:rsidRPr="00214254">
              <w:rPr>
                <w:rFonts w:eastAsia="標楷體" w:hAnsi="標楷體" w:cs="細明體"/>
                <w:kern w:val="0"/>
              </w:rPr>
              <w:t>規定，報經財政部核准按營業常規予以調整。</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金融控股公司法或企業</w:t>
            </w:r>
            <w:proofErr w:type="gramStart"/>
            <w:r w:rsidRPr="00214254">
              <w:rPr>
                <w:rFonts w:eastAsia="標楷體" w:hAnsi="標楷體" w:cs="細明體"/>
                <w:kern w:val="0"/>
              </w:rPr>
              <w:t>併購法</w:t>
            </w:r>
            <w:proofErr w:type="gramEnd"/>
            <w:r w:rsidRPr="00214254">
              <w:rPr>
                <w:rFonts w:eastAsia="標楷體" w:hAnsi="標楷體" w:cs="細明體"/>
                <w:kern w:val="0"/>
              </w:rPr>
              <w:t>規定之公司與其子公司相互間，及該等公司或其子公司與國內、外其他個人、營利事業或教育、文化、公益、慈善機關或團體相互間，有關收入、成本、費用及</w:t>
            </w:r>
            <w:proofErr w:type="gramStart"/>
            <w:r w:rsidRPr="00214254">
              <w:rPr>
                <w:rFonts w:eastAsia="標楷體" w:hAnsi="標楷體" w:cs="細明體"/>
                <w:kern w:val="0"/>
              </w:rPr>
              <w:t>損益攤計之</w:t>
            </w:r>
            <w:proofErr w:type="gramEnd"/>
            <w:r w:rsidRPr="00214254">
              <w:rPr>
                <w:rFonts w:eastAsia="標楷體" w:hAnsi="標楷體" w:cs="細明體"/>
                <w:kern w:val="0"/>
              </w:rPr>
              <w:t>交易，應符合交易常規。</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前項公司從事交易時，有以不合交易常規之安排，規避或減少其在中華民國境內之納稅義務者，</w:t>
            </w:r>
            <w:proofErr w:type="gramStart"/>
            <w:r w:rsidRPr="00214254">
              <w:rPr>
                <w:rFonts w:eastAsia="標楷體" w:hAnsi="標楷體" w:cs="細明體"/>
                <w:kern w:val="0"/>
              </w:rPr>
              <w:t>稽</w:t>
            </w:r>
            <w:proofErr w:type="gramEnd"/>
            <w:r w:rsidRPr="00214254">
              <w:rPr>
                <w:rFonts w:eastAsia="標楷體" w:hAnsi="標楷體" w:cs="細明體"/>
                <w:kern w:val="0"/>
              </w:rPr>
              <w:t>徵機關為正確計算相關納稅義務人之所得額及應納稅額，得依法進行調查，並依金融控股公司法第五十條第一項或企業</w:t>
            </w:r>
            <w:proofErr w:type="gramStart"/>
            <w:r w:rsidRPr="00214254">
              <w:rPr>
                <w:rFonts w:eastAsia="標楷體" w:hAnsi="標楷體" w:cs="細明體"/>
                <w:kern w:val="0"/>
              </w:rPr>
              <w:t>併購法</w:t>
            </w:r>
            <w:proofErr w:type="gramEnd"/>
            <w:r w:rsidRPr="00214254">
              <w:rPr>
                <w:rFonts w:eastAsia="標楷體" w:hAnsi="標楷體" w:cs="細明體"/>
                <w:kern w:val="0"/>
              </w:rPr>
              <w:t>第四十二條第一項第一款規定，報經各該規定之主管機關核准，按交易常規予以調整。</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0"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3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本法第四十三條之一所稱營利事業與國內外其他營利事業具有從屬關係，或直接間接為另一事業所有或控制，指營利事業</w:t>
            </w:r>
            <w:proofErr w:type="gramStart"/>
            <w:r w:rsidRPr="00214254">
              <w:rPr>
                <w:rFonts w:eastAsia="標楷體" w:hAnsi="標楷體" w:cs="細明體"/>
                <w:kern w:val="0"/>
              </w:rPr>
              <w:t>相互間有下列</w:t>
            </w:r>
            <w:proofErr w:type="gramEnd"/>
            <w:r w:rsidRPr="00214254">
              <w:rPr>
                <w:rFonts w:eastAsia="標楷體" w:hAnsi="標楷體" w:cs="細明體"/>
                <w:kern w:val="0"/>
              </w:rPr>
              <w:t>情形之</w:t>
            </w:r>
            <w:proofErr w:type="gramStart"/>
            <w:r w:rsidRPr="00214254">
              <w:rPr>
                <w:rFonts w:eastAsia="標楷體" w:hAnsi="標楷體" w:cs="細明體"/>
                <w:kern w:val="0"/>
              </w:rPr>
              <w:t>一</w:t>
            </w:r>
            <w:proofErr w:type="gramEnd"/>
            <w:r w:rsidRPr="00214254">
              <w:rPr>
                <w:rFonts w:eastAsia="標楷體" w:hAnsi="標楷體" w:cs="細明體"/>
                <w:kern w:val="0"/>
              </w:rPr>
              <w:t>者：</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營利事業直接或間接持有另一營利事業有表決權之股份或資本額，超過該另一營利事業已發行有表決權之股份總數或資本總額百分之二十以上。</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營利事業與另一營利事業直接或間接由相同之人持有或控制之已發行有表決權之股份總數或資本總額各達百分之二十以上。</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營利事業持有另一營利事業有表決權之股份總數或資本總額百分比為最高且達百分之十以上。</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營利事業與另一營利事業之執行業務股東或董事有半數以上</w:t>
            </w:r>
            <w:r w:rsidRPr="00214254">
              <w:rPr>
                <w:rFonts w:eastAsia="標楷體" w:hAnsi="標楷體" w:cs="細明體"/>
                <w:kern w:val="0"/>
              </w:rPr>
              <w:lastRenderedPageBreak/>
              <w:t>相同。</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hint="eastAsia"/>
                <w:kern w:val="0"/>
              </w:rPr>
              <w:t>營</w:t>
            </w:r>
            <w:r w:rsidRPr="00214254">
              <w:rPr>
                <w:rFonts w:eastAsia="標楷體" w:hAnsi="標楷體" w:cs="細明體"/>
                <w:kern w:val="0"/>
              </w:rPr>
              <w:t>利事業及其直接或間接持有之股份總數或資本總額達百分之五十以上之營利事業，派任於另一營利事業之董事，合計超過該另一營利事業董事總席次半數以上。</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hint="eastAsia"/>
                <w:kern w:val="0"/>
              </w:rPr>
              <w:t>營</w:t>
            </w:r>
            <w:r w:rsidRPr="00214254">
              <w:rPr>
                <w:rFonts w:eastAsia="標楷體" w:hAnsi="標楷體" w:cs="細明體"/>
                <w:kern w:val="0"/>
              </w:rPr>
              <w:t>利事業之董事長、總經理或與其相當或更高層級職位之人與另一營利事業之董事長、總經理或與其相當或更高層級職位之人為同一人，或具有配偶或二親等以內親屬關係。</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總機構在中華民國境外之營利事業，其在中華民國境內之分支機構，與該總機構或該營利事業在中華民國境外之其他分支機構；總機構在中華民國境內之營利事業，其總機構或其在中華民國境內之分支機構，與該營利事業在中華民國境外之分支機構。</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營利事業直接或間接控制另一營利事業之人事、財務或業務經營，包括：</w:t>
            </w:r>
          </w:p>
          <w:p w:rsidR="009F5D18" w:rsidRPr="00214254" w:rsidRDefault="009F5D18" w:rsidP="009F5D1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營利事業指派人員擔任另一營利事業之總經理或與其相當或更高層級之職位。</w:t>
            </w:r>
          </w:p>
          <w:p w:rsidR="009F5D18" w:rsidRPr="00214254" w:rsidRDefault="009F5D18" w:rsidP="009F5D1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非金融機構之營利事業，對另一營利事業之資金融通金額或背書保證金額達該另一營利事業總資產之三分之一以上。</w:t>
            </w:r>
          </w:p>
          <w:p w:rsidR="009F5D18" w:rsidRPr="00214254" w:rsidRDefault="009F5D18" w:rsidP="009F5D1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營利事業之生產經營活動須由另一營利事業提供專利權、商標權、著作權、秘密方法、專門技術或各種特許權利，始能進行，且該生產經營活動之產值達該營利事業同年度生產經營活動總產值百分之五十以上。</w:t>
            </w:r>
          </w:p>
          <w:p w:rsidR="009F5D18" w:rsidRPr="00214254" w:rsidRDefault="009F5D18" w:rsidP="009F5D1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營利事業購進之原物料、商品，其價格及交易條件由另一營利事業控制，且該購進之原物料、商品之金額達該營利事業同年度購進之原物料、商品之總金額百分之五十以上。</w:t>
            </w:r>
          </w:p>
          <w:p w:rsidR="009F5D18" w:rsidRPr="00214254" w:rsidRDefault="009F5D18" w:rsidP="009F5D18">
            <w:pPr>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營利事業商品之銷售，由另一營利事業控制，且該商品之銷售收入達該營利事業同年度銷售收入總額百分之五十以上。</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營利事業與其他營利事業簽訂合資或聯合經營契約。</w:t>
            </w:r>
          </w:p>
          <w:p w:rsidR="009F5D18" w:rsidRPr="00214254" w:rsidRDefault="009F5D18" w:rsidP="009F5D18">
            <w:pPr>
              <w:widowControl/>
              <w:numPr>
                <w:ilvl w:val="0"/>
                <w:numId w:val="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其他足資證明營利事業對另一營利事業具有控制能力或在人事、財務業務經營或管理政策上具有重大影響力之情形。</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1"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4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本準則用詞定義如下：</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關係企業：指營利事業</w:t>
            </w:r>
            <w:proofErr w:type="gramStart"/>
            <w:r w:rsidRPr="00214254">
              <w:rPr>
                <w:rFonts w:eastAsia="標楷體" w:hAnsi="標楷體" w:cs="細明體"/>
                <w:kern w:val="0"/>
              </w:rPr>
              <w:t>相互間有前</w:t>
            </w:r>
            <w:proofErr w:type="gramEnd"/>
            <w:r w:rsidRPr="00214254">
              <w:rPr>
                <w:rFonts w:eastAsia="標楷體" w:hAnsi="標楷體" w:cs="細明體"/>
                <w:kern w:val="0"/>
              </w:rPr>
              <w:t>條從屬或控制關係者。</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關係人：指前款關係企業或有下列情形之人：</w:t>
            </w:r>
          </w:p>
          <w:p w:rsidR="009F5D18" w:rsidRPr="00214254" w:rsidRDefault="009F5D18" w:rsidP="006106D4">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營利事業與受其捐贈之金額達實收基金總額三分之一以上之財團法人。</w:t>
            </w:r>
          </w:p>
          <w:p w:rsidR="009F5D18" w:rsidRPr="00214254" w:rsidRDefault="009F5D18" w:rsidP="006106D4">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營利事業與其董事、監察人、總經理或與其相當或更高層級職位之人、副總經理、協理及直屬總經理之部門主管。</w:t>
            </w:r>
          </w:p>
          <w:p w:rsidR="009F5D18" w:rsidRPr="00214254" w:rsidRDefault="009F5D18" w:rsidP="006106D4">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營利事業與其董事、監察人、總經理或與其相當或更高層級職位之人之配偶。</w:t>
            </w:r>
          </w:p>
          <w:p w:rsidR="009F5D18" w:rsidRPr="00214254" w:rsidRDefault="009F5D18" w:rsidP="006106D4">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營利事業與其董事長、總經理或與其相當或更高層級職位之人之二親等以內親屬。</w:t>
            </w:r>
          </w:p>
          <w:p w:rsidR="009F5D18" w:rsidRPr="00214254" w:rsidRDefault="009F5D18" w:rsidP="006106D4">
            <w:pPr>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營利事業與其他足資證明對該營利事業具有控制能力或在人事、財務、業務經營或管理政策上具有重大影響力之人。</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非關係人：指前款以外之人。</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受控交易：指關係人</w:t>
            </w:r>
            <w:proofErr w:type="gramStart"/>
            <w:r w:rsidRPr="00214254">
              <w:rPr>
                <w:rFonts w:eastAsia="標楷體" w:hAnsi="標楷體" w:cs="細明體"/>
                <w:kern w:val="0"/>
              </w:rPr>
              <w:t>相互間所從事</w:t>
            </w:r>
            <w:proofErr w:type="gramEnd"/>
            <w:r w:rsidRPr="00214254">
              <w:rPr>
                <w:rFonts w:eastAsia="標楷體" w:hAnsi="標楷體" w:cs="細明體"/>
                <w:kern w:val="0"/>
              </w:rPr>
              <w:t>之交易，且屬第二條第一項或第三項規定之範圍者。</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未受控交易：指非關係人</w:t>
            </w:r>
            <w:proofErr w:type="gramStart"/>
            <w:r w:rsidRPr="00214254">
              <w:rPr>
                <w:rFonts w:eastAsia="標楷體" w:hAnsi="標楷體" w:cs="細明體"/>
                <w:kern w:val="0"/>
              </w:rPr>
              <w:t>相互間所從事</w:t>
            </w:r>
            <w:proofErr w:type="gramEnd"/>
            <w:r w:rsidRPr="00214254">
              <w:rPr>
                <w:rFonts w:eastAsia="標楷體" w:hAnsi="標楷體" w:cs="細明體"/>
                <w:kern w:val="0"/>
              </w:rPr>
              <w:t>之交易。</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交易結果：指交易價格或利潤。</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不合營業常規或不合交易常規：指交易人相互間，於其商業或財務上所訂定之條件，異於雙方為非關係人所為，致原應歸屬於其中</w:t>
            </w:r>
            <w:proofErr w:type="gramStart"/>
            <w:r w:rsidRPr="00214254">
              <w:rPr>
                <w:rFonts w:eastAsia="標楷體" w:hAnsi="標楷體" w:cs="細明體"/>
                <w:kern w:val="0"/>
              </w:rPr>
              <w:t>一</w:t>
            </w:r>
            <w:proofErr w:type="gramEnd"/>
            <w:r w:rsidRPr="00214254">
              <w:rPr>
                <w:rFonts w:eastAsia="標楷體" w:hAnsi="標楷體" w:cs="細明體"/>
                <w:kern w:val="0"/>
              </w:rPr>
              <w:t>交易人之所得，因該等條件而未歸屬於該交易人者。</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有形資產：指商品、原料、物料、在製品、製成品、副產品、短期投資、有價證券、應收帳款、應收票據、應收債權及其他應收款、固定資產、遞耗資產、長期投資及其他有形資產。</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無形資產：指營業權、著作權、專利權、商標權、事業名稱、品牌名稱、設計或模型、計畫、秘密方法、營業秘密，或有關工業、商業或科學經驗之資訊或專門知識、各種特許權利、行銷網路、客戶資料及其他具有財產價值之權利。</w:t>
            </w:r>
          </w:p>
          <w:p w:rsidR="009F5D18" w:rsidRPr="00214254" w:rsidRDefault="009F5D18" w:rsidP="006106D4">
            <w:pPr>
              <w:widowControl/>
              <w:numPr>
                <w:ilvl w:val="0"/>
                <w:numId w:val="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移轉訂價：指營利事業從事受控交易所訂定之價格或利潤。</w:t>
            </w:r>
          </w:p>
          <w:p w:rsidR="009F5D18" w:rsidRPr="00214254" w:rsidRDefault="009F5D18" w:rsidP="006106D4">
            <w:pPr>
              <w:widowControl/>
              <w:numPr>
                <w:ilvl w:val="0"/>
                <w:numId w:val="8"/>
              </w:numPr>
              <w:tabs>
                <w:tab w:val="left" w:pos="8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szCs w:val="26"/>
              </w:rPr>
            </w:pPr>
            <w:r w:rsidRPr="00214254">
              <w:rPr>
                <w:rFonts w:eastAsia="標楷體" w:hAnsi="標楷體" w:cs="細明體"/>
                <w:kern w:val="0"/>
                <w:szCs w:val="26"/>
              </w:rPr>
              <w:t>常規交易方法：指評估受控交易之結果是否符合營業常規或交易常規之方法，或決定受控交易常規交易結果之方法。</w:t>
            </w:r>
          </w:p>
          <w:p w:rsidR="009F5D18" w:rsidRPr="00214254" w:rsidRDefault="009F5D18" w:rsidP="006106D4">
            <w:pPr>
              <w:widowControl/>
              <w:numPr>
                <w:ilvl w:val="0"/>
                <w:numId w:val="8"/>
              </w:numPr>
              <w:tabs>
                <w:tab w:val="left" w:pos="7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kern w:val="0"/>
                <w:szCs w:val="26"/>
              </w:rPr>
              <w:t>企業重組</w:t>
            </w:r>
            <w:r w:rsidRPr="00214254">
              <w:rPr>
                <w:rFonts w:eastAsia="標楷體" w:cs="細明體"/>
                <w:kern w:val="0"/>
                <w:szCs w:val="26"/>
              </w:rPr>
              <w:t>:</w:t>
            </w:r>
            <w:r w:rsidRPr="00214254">
              <w:rPr>
                <w:rFonts w:eastAsia="標楷體" w:cs="細明體"/>
                <w:kern w:val="0"/>
                <w:szCs w:val="26"/>
              </w:rPr>
              <w:t>指跨國企業</w:t>
            </w:r>
            <w:r w:rsidRPr="00214254">
              <w:rPr>
                <w:rFonts w:eastAsia="標楷體" w:cs="細明體" w:hint="eastAsia"/>
                <w:kern w:val="0"/>
                <w:szCs w:val="26"/>
              </w:rPr>
              <w:t>或多國籍企業集團進行涉及關係企業間功能、資產、風險之重新配置及契約條款或安排之終止或重新議定、移轉之組織架構調整活動。其重組交易類型包括：</w:t>
            </w:r>
          </w:p>
          <w:p w:rsidR="009F5D18" w:rsidRPr="00214254" w:rsidRDefault="009F5D18" w:rsidP="006106D4">
            <w:pPr>
              <w:widowControl/>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全功能配銷商與有限風險配銷商或代理商間功能之轉換。</w:t>
            </w:r>
          </w:p>
          <w:p w:rsidR="009F5D18" w:rsidRPr="00214254" w:rsidRDefault="009F5D18" w:rsidP="006106D4">
            <w:pPr>
              <w:widowControl/>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全功能製造商與代工（進料或合約）製造商或來料加工製造商間功能之轉換。</w:t>
            </w:r>
          </w:p>
          <w:p w:rsidR="009F5D18" w:rsidRPr="00214254" w:rsidRDefault="009F5D18" w:rsidP="006106D4">
            <w:pPr>
              <w:widowControl/>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將無形資產權利移轉至集團內特定企業集中管理或分散至集團內其他企業。</w:t>
            </w:r>
          </w:p>
          <w:p w:rsidR="009F5D18" w:rsidRPr="00214254" w:rsidRDefault="009F5D18" w:rsidP="006106D4">
            <w:pPr>
              <w:widowControl/>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組織精簡或結束營運。</w:t>
            </w:r>
          </w:p>
          <w:p w:rsidR="009F5D18" w:rsidRPr="00214254" w:rsidRDefault="009F5D18" w:rsidP="006106D4">
            <w:pPr>
              <w:widowControl/>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lastRenderedPageBreak/>
              <w:t>經財政部公告之其他安排。</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cs="細明體"/>
                <w:color w:val="000000"/>
                <w:kern w:val="0"/>
                <w:szCs w:val="26"/>
              </w:rPr>
              <w:t>金融控股公司法或企業</w:t>
            </w:r>
            <w:proofErr w:type="gramStart"/>
            <w:r w:rsidRPr="00214254">
              <w:rPr>
                <w:rFonts w:eastAsia="標楷體" w:cs="細明體"/>
                <w:color w:val="000000"/>
                <w:kern w:val="0"/>
                <w:szCs w:val="26"/>
              </w:rPr>
              <w:t>併購法</w:t>
            </w:r>
            <w:proofErr w:type="gramEnd"/>
            <w:r w:rsidRPr="00214254">
              <w:rPr>
                <w:rFonts w:eastAsia="標楷體" w:cs="細明體"/>
                <w:color w:val="000000"/>
                <w:kern w:val="0"/>
                <w:szCs w:val="26"/>
              </w:rPr>
              <w:t>規定之公司或其子公司與非關係人相互間，有關收入、成本、費用及損益</w:t>
            </w:r>
            <w:proofErr w:type="gramStart"/>
            <w:r w:rsidRPr="00214254">
              <w:rPr>
                <w:rFonts w:eastAsia="標楷體" w:cs="細明體"/>
                <w:color w:val="000000"/>
                <w:kern w:val="0"/>
                <w:szCs w:val="26"/>
              </w:rPr>
              <w:t>之攤計</w:t>
            </w:r>
            <w:proofErr w:type="gramEnd"/>
            <w:r w:rsidRPr="00214254">
              <w:rPr>
                <w:rFonts w:eastAsia="標楷體" w:cs="細明體"/>
                <w:color w:val="000000"/>
                <w:kern w:val="0"/>
                <w:szCs w:val="26"/>
              </w:rPr>
              <w:t>，不符合交易常規者，於</w:t>
            </w:r>
            <w:proofErr w:type="gramStart"/>
            <w:r w:rsidRPr="00214254">
              <w:rPr>
                <w:rFonts w:eastAsia="標楷體" w:cs="細明體"/>
                <w:color w:val="000000"/>
                <w:kern w:val="0"/>
                <w:szCs w:val="26"/>
              </w:rPr>
              <w:t>稽</w:t>
            </w:r>
            <w:proofErr w:type="gramEnd"/>
            <w:r w:rsidRPr="00214254">
              <w:rPr>
                <w:rFonts w:eastAsia="標楷體" w:cs="細明體"/>
                <w:color w:val="000000"/>
                <w:kern w:val="0"/>
                <w:szCs w:val="26"/>
              </w:rPr>
              <w:t>徵機關進行調查時，視為關係人，其</w:t>
            </w:r>
            <w:proofErr w:type="gramStart"/>
            <w:r w:rsidRPr="00214254">
              <w:rPr>
                <w:rFonts w:eastAsia="標楷體" w:cs="細明體"/>
                <w:color w:val="000000"/>
                <w:kern w:val="0"/>
                <w:szCs w:val="26"/>
              </w:rPr>
              <w:t>相互間所從事</w:t>
            </w:r>
            <w:proofErr w:type="gramEnd"/>
            <w:r w:rsidRPr="00214254">
              <w:rPr>
                <w:rFonts w:eastAsia="標楷體" w:cs="細明體"/>
                <w:color w:val="000000"/>
                <w:kern w:val="0"/>
                <w:szCs w:val="26"/>
              </w:rPr>
              <w:t>之交易，視為受控交易。</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2"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5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適用本準則之交易類型如下：</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有形資產之移轉，包括買賣、交換、贈與或其他安排。</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有形資產之使用，包括租賃、設定權利、提供他人持有、使用或占有，或其他安排。</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無形資產之移轉，包括買賣、交換、贈與或其他安排。</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無形資產之使用，包括授權、再授權、提供他人使用或其他安排。</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服務之提供，包括行銷、管理、行政、技術、人事、研究與發展、資訊處理、法律、會計或其他服務。</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資金之使用，包括資金借貸、預付款、暫付款、擔保、延期收款或其他安排。</w:t>
            </w:r>
          </w:p>
          <w:p w:rsidR="009F5D18" w:rsidRPr="00214254" w:rsidRDefault="009F5D18" w:rsidP="006106D4">
            <w:pPr>
              <w:widowControl/>
              <w:numPr>
                <w:ilvl w:val="0"/>
                <w:numId w:val="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其他經財政部核定之交易類型。</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二</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常規交易原則</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3"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6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營利事業於辦理營利事業所得稅結算申報時，應依本準則規定，評估受控交易之結果是否符合常規，或決定受控交易之常規交易結果；</w:t>
            </w:r>
            <w:proofErr w:type="gramStart"/>
            <w:r w:rsidRPr="00214254">
              <w:rPr>
                <w:rFonts w:eastAsia="標楷體" w:hAnsi="標楷體" w:cs="細明體"/>
                <w:kern w:val="0"/>
              </w:rPr>
              <w:t>稽</w:t>
            </w:r>
            <w:proofErr w:type="gramEnd"/>
            <w:r w:rsidRPr="00214254">
              <w:rPr>
                <w:rFonts w:eastAsia="標楷體" w:hAnsi="標楷體" w:cs="細明體"/>
                <w:kern w:val="0"/>
              </w:rPr>
              <w:t>徵機關進行不合常規移轉訂價之調查及核定時，亦同。</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4"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7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w:t>
            </w:r>
            <w:proofErr w:type="gramStart"/>
            <w:r w:rsidRPr="00214254">
              <w:rPr>
                <w:rFonts w:eastAsia="標楷體" w:hAnsi="標楷體" w:cs="細明體"/>
                <w:kern w:val="0"/>
              </w:rPr>
              <w:t>稽</w:t>
            </w:r>
            <w:proofErr w:type="gramEnd"/>
            <w:r w:rsidRPr="00214254">
              <w:rPr>
                <w:rFonts w:eastAsia="標楷體" w:hAnsi="標楷體" w:cs="細明體"/>
                <w:kern w:val="0"/>
              </w:rPr>
              <w:t>徵機關依前條規定評估受控交易之結果是否符合常規，或決定受控交易之常規交易結果時，依下列原則辦理：</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可比較原則：以非關係人於可比較情況下從事可比較未受控交易之結果為常規交易結果，以評定受控交易之結果是否符合常規。</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採用</w:t>
            </w:r>
            <w:proofErr w:type="gramStart"/>
            <w:r w:rsidRPr="00214254">
              <w:rPr>
                <w:rFonts w:eastAsia="標楷體" w:hAnsi="標楷體" w:cs="細明體"/>
                <w:kern w:val="0"/>
              </w:rPr>
              <w:t>最</w:t>
            </w:r>
            <w:proofErr w:type="gramEnd"/>
            <w:r w:rsidRPr="00214254">
              <w:rPr>
                <w:rFonts w:eastAsia="標楷體" w:hAnsi="標楷體" w:cs="細明體"/>
                <w:kern w:val="0"/>
              </w:rPr>
              <w:t>適常規交易方法：按交易類型，依本準則規定，採用</w:t>
            </w:r>
            <w:proofErr w:type="gramStart"/>
            <w:r w:rsidRPr="00214254">
              <w:rPr>
                <w:rFonts w:eastAsia="標楷體" w:hAnsi="標楷體" w:cs="細明體"/>
                <w:kern w:val="0"/>
              </w:rPr>
              <w:t>最</w:t>
            </w:r>
            <w:proofErr w:type="gramEnd"/>
            <w:r w:rsidRPr="00214254">
              <w:rPr>
                <w:rFonts w:eastAsia="標楷體" w:hAnsi="標楷體" w:cs="細明體"/>
                <w:kern w:val="0"/>
              </w:rPr>
              <w:t>適之常規交易方法，以決定其常規交易結果。</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按個別交易評價：除適用之常規交易方法另有規定外，以個別交易為基礎，各自適用常規交易方法。但個別</w:t>
            </w:r>
            <w:proofErr w:type="gramStart"/>
            <w:r w:rsidRPr="00214254">
              <w:rPr>
                <w:rFonts w:eastAsia="標楷體" w:hAnsi="標楷體" w:cs="細明體"/>
                <w:kern w:val="0"/>
              </w:rPr>
              <w:t>交易間有關聯</w:t>
            </w:r>
            <w:proofErr w:type="gramEnd"/>
            <w:r w:rsidRPr="00214254">
              <w:rPr>
                <w:rFonts w:eastAsia="標楷體" w:hAnsi="標楷體" w:cs="細明體"/>
                <w:kern w:val="0"/>
              </w:rPr>
              <w:t>性或連續性者，應合併相關交易適用常規交易方法，以決定其常規交易結果。</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使用交易當年度資料：</w:t>
            </w:r>
          </w:p>
          <w:p w:rsidR="009F5D18" w:rsidRPr="00214254" w:rsidRDefault="009F5D18" w:rsidP="006106D4">
            <w:pPr>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決定常規交易結果時，以營利事業從事受控交易當年度之資</w:t>
            </w:r>
            <w:r w:rsidRPr="00214254">
              <w:rPr>
                <w:rFonts w:eastAsia="標楷體" w:hAnsi="標楷體" w:cs="細明體"/>
                <w:kern w:val="0"/>
              </w:rPr>
              <w:lastRenderedPageBreak/>
              <w:t>料及同一年度非關係人從事可比較未受控交易之資料為基礎。但有下列情形之</w:t>
            </w:r>
            <w:proofErr w:type="gramStart"/>
            <w:r w:rsidRPr="00214254">
              <w:rPr>
                <w:rFonts w:eastAsia="標楷體" w:hAnsi="標楷體" w:cs="細明體"/>
                <w:kern w:val="0"/>
              </w:rPr>
              <w:t>一</w:t>
            </w:r>
            <w:proofErr w:type="gramEnd"/>
            <w:r w:rsidRPr="00214254">
              <w:rPr>
                <w:rFonts w:eastAsia="標楷體" w:hAnsi="標楷體" w:cs="細明體"/>
                <w:kern w:val="0"/>
              </w:rPr>
              <w:t>者，得以涵蓋當年度及以前年度之連續多年度交易資料為基礎：</w:t>
            </w:r>
          </w:p>
          <w:p w:rsidR="009F5D18" w:rsidRPr="00214254" w:rsidRDefault="009F5D18" w:rsidP="006106D4">
            <w:pPr>
              <w:widowControl/>
              <w:numPr>
                <w:ilvl w:val="1"/>
                <w:numId w:val="35"/>
              </w:numPr>
              <w:tabs>
                <w:tab w:val="left" w:pos="11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7" w:hanging="338"/>
              <w:jc w:val="both"/>
              <w:rPr>
                <w:rFonts w:eastAsia="標楷體" w:cs="細明體"/>
                <w:kern w:val="0"/>
              </w:rPr>
            </w:pPr>
            <w:r w:rsidRPr="00214254">
              <w:rPr>
                <w:rFonts w:eastAsia="標楷體" w:hAnsi="標楷體" w:cs="細明體"/>
                <w:kern w:val="0"/>
              </w:rPr>
              <w:t>營利事業所屬產業受商業循環影響。</w:t>
            </w:r>
          </w:p>
          <w:p w:rsidR="009F5D18" w:rsidRPr="00214254" w:rsidRDefault="009F5D18" w:rsidP="006106D4">
            <w:pPr>
              <w:widowControl/>
              <w:numPr>
                <w:ilvl w:val="1"/>
                <w:numId w:val="35"/>
              </w:numPr>
              <w:tabs>
                <w:tab w:val="left" w:pos="11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7" w:hanging="338"/>
              <w:jc w:val="both"/>
              <w:rPr>
                <w:rFonts w:eastAsia="標楷體" w:cs="細明體"/>
                <w:kern w:val="0"/>
              </w:rPr>
            </w:pPr>
            <w:r w:rsidRPr="00214254">
              <w:rPr>
                <w:rFonts w:eastAsia="標楷體" w:hAnsi="標楷體" w:cs="細明體"/>
                <w:kern w:val="0"/>
              </w:rPr>
              <w:t>交易之有形資產、無形資產及服務受生命週期影響。</w:t>
            </w:r>
          </w:p>
          <w:p w:rsidR="009F5D18" w:rsidRPr="00214254" w:rsidRDefault="009F5D18" w:rsidP="006106D4">
            <w:pPr>
              <w:widowControl/>
              <w:numPr>
                <w:ilvl w:val="1"/>
                <w:numId w:val="35"/>
              </w:numPr>
              <w:tabs>
                <w:tab w:val="left" w:pos="11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7" w:hanging="338"/>
              <w:jc w:val="both"/>
              <w:rPr>
                <w:rFonts w:eastAsia="標楷體" w:cs="細明體"/>
                <w:kern w:val="0"/>
              </w:rPr>
            </w:pPr>
            <w:r w:rsidRPr="00214254">
              <w:rPr>
                <w:rFonts w:eastAsia="標楷體" w:hAnsi="標楷體" w:cs="細明體"/>
                <w:kern w:val="0"/>
              </w:rPr>
              <w:t>營利事業採用市場占有率策略。</w:t>
            </w:r>
          </w:p>
          <w:p w:rsidR="009F5D18" w:rsidRPr="00214254" w:rsidRDefault="009F5D18" w:rsidP="006106D4">
            <w:pPr>
              <w:widowControl/>
              <w:numPr>
                <w:ilvl w:val="1"/>
                <w:numId w:val="35"/>
              </w:numPr>
              <w:tabs>
                <w:tab w:val="left" w:pos="11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7" w:hanging="338"/>
              <w:jc w:val="both"/>
              <w:rPr>
                <w:rFonts w:eastAsia="標楷體" w:cs="細明體"/>
                <w:kern w:val="0"/>
              </w:rPr>
            </w:pPr>
            <w:r w:rsidRPr="00214254">
              <w:rPr>
                <w:rFonts w:eastAsia="標楷體" w:hAnsi="標楷體" w:cs="細明體"/>
                <w:kern w:val="0"/>
              </w:rPr>
              <w:t>採用以利潤為基礎之方法決定常規交易結果。</w:t>
            </w:r>
          </w:p>
          <w:p w:rsidR="009F5D18" w:rsidRPr="00214254" w:rsidRDefault="009F5D18" w:rsidP="006106D4">
            <w:pPr>
              <w:widowControl/>
              <w:numPr>
                <w:ilvl w:val="1"/>
                <w:numId w:val="35"/>
              </w:numPr>
              <w:tabs>
                <w:tab w:val="left" w:pos="11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7" w:hanging="338"/>
              <w:jc w:val="both"/>
              <w:rPr>
                <w:rFonts w:eastAsia="標楷體" w:cs="細明體"/>
                <w:kern w:val="0"/>
              </w:rPr>
            </w:pPr>
            <w:r w:rsidRPr="00214254">
              <w:rPr>
                <w:rFonts w:eastAsia="標楷體" w:hAnsi="標楷體" w:cs="細明體"/>
                <w:kern w:val="0"/>
              </w:rPr>
              <w:t>其他經財政部核定之情形。</w:t>
            </w:r>
          </w:p>
          <w:p w:rsidR="009F5D18" w:rsidRPr="00214254" w:rsidRDefault="009F5D18" w:rsidP="006106D4">
            <w:pPr>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proofErr w:type="gramStart"/>
            <w:r w:rsidRPr="00214254">
              <w:rPr>
                <w:rFonts w:eastAsia="標楷體" w:hAnsi="標楷體" w:cs="細明體"/>
                <w:kern w:val="0"/>
              </w:rPr>
              <w:t>前</w:t>
            </w:r>
            <w:r w:rsidRPr="00214254">
              <w:rPr>
                <w:rFonts w:eastAsia="標楷體" w:hAnsi="標楷體" w:cs="細明體" w:hint="eastAsia"/>
                <w:kern w:val="0"/>
              </w:rPr>
              <w:t>目</w:t>
            </w:r>
            <w:r w:rsidRPr="00214254">
              <w:rPr>
                <w:rFonts w:eastAsia="標楷體" w:hAnsi="標楷體" w:cs="細明體"/>
                <w:kern w:val="0"/>
              </w:rPr>
              <w:t>交易</w:t>
            </w:r>
            <w:proofErr w:type="gramEnd"/>
            <w:r w:rsidRPr="00214254">
              <w:rPr>
                <w:rFonts w:eastAsia="標楷體" w:hAnsi="標楷體" w:cs="細明體"/>
                <w:kern w:val="0"/>
              </w:rPr>
              <w:t>當年度之資料，如屬第二十條規定之可比較未受控交易財務報表資料，且為營利事業於辦理交易當年度營利事業所得稅結算申報時未能取得之資料者，營利事業得以可比較未受控交易之連續前三年度平均數代替之；營利事業</w:t>
            </w:r>
            <w:proofErr w:type="gramStart"/>
            <w:r w:rsidRPr="00214254">
              <w:rPr>
                <w:rFonts w:eastAsia="標楷體" w:hAnsi="標楷體" w:cs="細明體"/>
                <w:kern w:val="0"/>
              </w:rPr>
              <w:t>有前目但書</w:t>
            </w:r>
            <w:proofErr w:type="gramEnd"/>
            <w:r w:rsidRPr="00214254">
              <w:rPr>
                <w:rFonts w:eastAsia="標楷體" w:hAnsi="標楷體" w:cs="細明體"/>
                <w:kern w:val="0"/>
              </w:rPr>
              <w:t>規定情形之</w:t>
            </w:r>
            <w:proofErr w:type="gramStart"/>
            <w:r w:rsidRPr="00214254">
              <w:rPr>
                <w:rFonts w:eastAsia="標楷體" w:hAnsi="標楷體" w:cs="細明體"/>
                <w:kern w:val="0"/>
              </w:rPr>
              <w:t>一</w:t>
            </w:r>
            <w:proofErr w:type="gramEnd"/>
            <w:r w:rsidRPr="00214254">
              <w:rPr>
                <w:rFonts w:eastAsia="標楷體" w:hAnsi="標楷體" w:cs="細明體"/>
                <w:kern w:val="0"/>
              </w:rPr>
              <w:t>者，得以</w:t>
            </w:r>
            <w:proofErr w:type="gramStart"/>
            <w:r w:rsidRPr="00214254">
              <w:rPr>
                <w:rFonts w:eastAsia="標楷體" w:hAnsi="標楷體" w:cs="細明體"/>
                <w:kern w:val="0"/>
              </w:rPr>
              <w:t>不</w:t>
            </w:r>
            <w:proofErr w:type="gramEnd"/>
            <w:r w:rsidRPr="00214254">
              <w:rPr>
                <w:rFonts w:eastAsia="標楷體" w:hAnsi="標楷體" w:cs="細明體"/>
                <w:kern w:val="0"/>
              </w:rPr>
              <w:t>涵蓋當年度資料之連續多年度可比較未受控交易資料為基礎。</w:t>
            </w:r>
          </w:p>
          <w:p w:rsidR="009F5D18" w:rsidRPr="00214254" w:rsidRDefault="009F5D18" w:rsidP="006106D4">
            <w:pPr>
              <w:widowControl/>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w:t>
            </w:r>
            <w:proofErr w:type="gramStart"/>
            <w:r w:rsidRPr="00214254">
              <w:rPr>
                <w:rFonts w:eastAsia="標楷體" w:hAnsi="標楷體" w:cs="細明體"/>
                <w:kern w:val="0"/>
              </w:rPr>
              <w:t>依前目規定</w:t>
            </w:r>
            <w:proofErr w:type="gramEnd"/>
            <w:r w:rsidRPr="00214254">
              <w:rPr>
                <w:rFonts w:eastAsia="標楷體" w:hAnsi="標楷體" w:cs="細明體"/>
                <w:kern w:val="0"/>
              </w:rPr>
              <w:t>辦理者，</w:t>
            </w:r>
            <w:proofErr w:type="gramStart"/>
            <w:r w:rsidRPr="00214254">
              <w:rPr>
                <w:rFonts w:eastAsia="標楷體" w:hAnsi="標楷體" w:cs="細明體"/>
                <w:kern w:val="0"/>
              </w:rPr>
              <w:t>稽</w:t>
            </w:r>
            <w:proofErr w:type="gramEnd"/>
            <w:r w:rsidRPr="00214254">
              <w:rPr>
                <w:rFonts w:eastAsia="標楷體" w:hAnsi="標楷體" w:cs="細明體"/>
                <w:kern w:val="0"/>
              </w:rPr>
              <w:t>徵機關於進行不合常規移轉訂價之調查及核定時，應與營利事業採用相同之原則決定所使用之資料。</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採用常規交易範圍：</w:t>
            </w:r>
          </w:p>
          <w:p w:rsidR="009F5D18" w:rsidRPr="00214254" w:rsidRDefault="009F5D18" w:rsidP="006106D4">
            <w:pPr>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所稱常規交易範圍，指二個或二個以上之可比較未受控交易，適用相同之常規交易方法所產生常規交易結果之範圍。可比較未受控交易之資料如未</w:t>
            </w:r>
            <w:proofErr w:type="gramStart"/>
            <w:r w:rsidRPr="00214254">
              <w:rPr>
                <w:rFonts w:eastAsia="標楷體" w:hAnsi="標楷體" w:cs="細明體"/>
                <w:kern w:val="0"/>
              </w:rPr>
              <w:t>臻</w:t>
            </w:r>
            <w:proofErr w:type="gramEnd"/>
            <w:r w:rsidRPr="00214254">
              <w:rPr>
                <w:rFonts w:eastAsia="標楷體" w:hAnsi="標楷體" w:cs="細明體"/>
                <w:kern w:val="0"/>
              </w:rPr>
              <w:t>完整，致無法確認其與受控交易間之差異，或無法進行調整以消除該等差異對交易結果所產生之影響者，以可比較未受控交易結果之第二十五百分位數至第七十五百分位數之區間為常規交易範圍。</w:t>
            </w:r>
          </w:p>
          <w:p w:rsidR="009F5D18" w:rsidRPr="00214254" w:rsidRDefault="009F5D18" w:rsidP="006106D4">
            <w:pPr>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依前款第一目但書規定使用多年度資料者，以可比較未受控交易結果之多年度平均數，</w:t>
            </w:r>
            <w:proofErr w:type="gramStart"/>
            <w:r w:rsidRPr="00214254">
              <w:rPr>
                <w:rFonts w:eastAsia="標楷體" w:hAnsi="標楷體" w:cs="細明體"/>
                <w:kern w:val="0"/>
              </w:rPr>
              <w:t>依前目規定</w:t>
            </w:r>
            <w:proofErr w:type="gramEnd"/>
            <w:r w:rsidRPr="00214254">
              <w:rPr>
                <w:rFonts w:eastAsia="標楷體" w:hAnsi="標楷體" w:cs="細明體"/>
                <w:kern w:val="0"/>
              </w:rPr>
              <w:t>產生常規交易範圍。</w:t>
            </w:r>
          </w:p>
          <w:p w:rsidR="009F5D18" w:rsidRPr="00214254" w:rsidRDefault="009F5D18" w:rsidP="006106D4">
            <w:pPr>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w:t>
            </w:r>
            <w:proofErr w:type="gramStart"/>
            <w:r w:rsidRPr="00214254">
              <w:rPr>
                <w:rFonts w:eastAsia="標楷體" w:hAnsi="標楷體" w:cs="細明體"/>
                <w:kern w:val="0"/>
              </w:rPr>
              <w:t>以前款</w:t>
            </w:r>
            <w:proofErr w:type="gramEnd"/>
            <w:r w:rsidRPr="00214254">
              <w:rPr>
                <w:rFonts w:eastAsia="標楷體" w:hAnsi="標楷體" w:cs="細明體"/>
                <w:kern w:val="0"/>
              </w:rPr>
              <w:t>交易資料為基礎之交易結果在常規交易範圍之內者，視為符合常規，無需進行調整；其在常規交易範圍之外者，按第一目所有可比較未受控交易結果之中位數或第二目所有多年度平均數之中位數調整受控交易之當年度交易結果。</w:t>
            </w:r>
          </w:p>
          <w:p w:rsidR="009F5D18" w:rsidRPr="00214254" w:rsidRDefault="009F5D18" w:rsidP="006106D4">
            <w:pPr>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與非關係人間之內部可比較未受控交易，如與受控交易具有相當高之可比較程度，且可據以決定受控交易之單一最可信賴常規交易結果時，得以該結果決定受控交易之常規交易結果，不適用前三目之規定。</w:t>
            </w:r>
          </w:p>
          <w:p w:rsidR="009F5D18" w:rsidRPr="00214254" w:rsidRDefault="009F5D18" w:rsidP="006106D4">
            <w:pPr>
              <w:widowControl/>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依前二目調整之結果，將使其在中華民國境內之納稅義務較未調整前為低者，不予調整。</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分析虧損發生原因：營利事業申報虧損，而其集團全球總利潤為正數者，應分析其虧損發生之原因及其與關係企業相互間之交易結果是否符合常規。</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收支分別評價：受控交易之交易人一方對他方應收取之價款，與他方對一方應收取之價款，應按交易任一方分別列計收入與支出之交易價格評價。</w:t>
            </w:r>
          </w:p>
          <w:p w:rsidR="009F5D18" w:rsidRPr="00214254" w:rsidRDefault="009F5D18" w:rsidP="006106D4">
            <w:pPr>
              <w:widowControl/>
              <w:numPr>
                <w:ilvl w:val="0"/>
                <w:numId w:val="1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其他經財政部核定之常規交易原則。</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5"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8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前條第一款所稱可比較情況或可比較交易，指相同或類似之情況或交易。</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決定營利事業與非關係人之情況，或其所從事之受控交易與未受控交易是否相同或類似及其可比較程度時，應考量下列影響價格或利潤之因素：</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交易標的資產或服務之特性：</w:t>
            </w:r>
          </w:p>
          <w:p w:rsidR="009F5D18" w:rsidRPr="00214254" w:rsidRDefault="009F5D18" w:rsidP="006106D4">
            <w:pPr>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交易標的為有形資產者，為資產之實體特徵、品質、數量及是否包括無形資產。</w:t>
            </w:r>
          </w:p>
          <w:p w:rsidR="009F5D18" w:rsidRPr="00214254" w:rsidRDefault="009F5D18" w:rsidP="006106D4">
            <w:pPr>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交易標的為無形資產者，為交易型態、資產類型、法定享有年數及使用該資產之預期利益。所稱交易型態，如授權或轉讓。</w:t>
            </w:r>
          </w:p>
          <w:p w:rsidR="009F5D18" w:rsidRPr="00214254" w:rsidRDefault="009F5D18" w:rsidP="006106D4">
            <w:pPr>
              <w:widowControl/>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交易標的為服務時，為服務之性質及是否包括無形資產。</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執行之功能，包括：</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研究與發展。</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產品設計。</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採購及原物料管理。</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製造、加工、裝配。</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行銷、配銷、存貨管理、保證、廣告、產品服務。</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運送及倉儲。</w:t>
            </w:r>
          </w:p>
          <w:p w:rsidR="009F5D18" w:rsidRPr="00214254" w:rsidRDefault="009F5D18" w:rsidP="006106D4">
            <w:pPr>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經營管理、會計、財務、法律、信用、收款、訓練及人員管理服務。</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契約條款，包括：</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報酬收付方式。</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交易數量。</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售後保證範圍及條件。</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更新或修正契約內容之權利。</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授權或契約之有效</w:t>
            </w:r>
            <w:proofErr w:type="gramStart"/>
            <w:r w:rsidRPr="00214254">
              <w:rPr>
                <w:rFonts w:eastAsia="標楷體" w:hAnsi="標楷體" w:cs="細明體"/>
                <w:kern w:val="0"/>
              </w:rPr>
              <w:t>期間、</w:t>
            </w:r>
            <w:proofErr w:type="gramEnd"/>
            <w:r w:rsidRPr="00214254">
              <w:rPr>
                <w:rFonts w:eastAsia="標楷體" w:hAnsi="標楷體" w:cs="細明體"/>
                <w:kern w:val="0"/>
              </w:rPr>
              <w:t>終止及重新協商之權利。</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交易雙方間提供附屬或輔助服務之協議。</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交貨條件，如起運點交貨或目的地交貨。</w:t>
            </w:r>
          </w:p>
          <w:p w:rsidR="009F5D18" w:rsidRPr="00214254" w:rsidRDefault="009F5D18" w:rsidP="006106D4">
            <w:pPr>
              <w:widowControl/>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授信及付款條件。</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承擔之風險，包括：</w:t>
            </w:r>
          </w:p>
          <w:p w:rsidR="009F5D18" w:rsidRPr="00214254" w:rsidRDefault="009F5D18" w:rsidP="006106D4">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市場風險，如成本、需求、價格之變動、存貨水準風險。</w:t>
            </w:r>
          </w:p>
          <w:p w:rsidR="009F5D18" w:rsidRPr="00214254" w:rsidRDefault="009F5D18" w:rsidP="006106D4">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研究與發展活動之成敗風險。</w:t>
            </w:r>
          </w:p>
          <w:p w:rsidR="009F5D18" w:rsidRPr="00214254" w:rsidRDefault="009F5D18" w:rsidP="006106D4">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財務風險，如外匯匯率、利率變動風險。</w:t>
            </w:r>
          </w:p>
          <w:p w:rsidR="009F5D18" w:rsidRPr="00214254" w:rsidRDefault="009F5D18" w:rsidP="006106D4">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信用風險，</w:t>
            </w:r>
            <w:proofErr w:type="gramStart"/>
            <w:r w:rsidRPr="00214254">
              <w:rPr>
                <w:rFonts w:eastAsia="標楷體" w:hAnsi="標楷體" w:cs="細明體"/>
                <w:kern w:val="0"/>
              </w:rPr>
              <w:t>如授信</w:t>
            </w:r>
            <w:proofErr w:type="gramEnd"/>
            <w:r w:rsidRPr="00214254">
              <w:rPr>
                <w:rFonts w:eastAsia="標楷體" w:hAnsi="標楷體" w:cs="細明體"/>
                <w:kern w:val="0"/>
              </w:rPr>
              <w:t>、收款風險。</w:t>
            </w:r>
          </w:p>
          <w:p w:rsidR="009F5D18" w:rsidRPr="00214254" w:rsidRDefault="009F5D18" w:rsidP="006106D4">
            <w:pPr>
              <w:widowControl/>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產品責任風險。</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經濟及市場情況，包括：</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區域市場之相似性。</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市場規模及發展潛力。</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市場層級，如批發或零售市場。</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市場占有率。</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市場競爭程度、消費者購買力、交易雙方之其他選擇性。</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政府對市場之管理。</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產業概況，如新興或夕陽產業。</w:t>
            </w:r>
          </w:p>
          <w:p w:rsidR="009F5D18" w:rsidRPr="00214254" w:rsidRDefault="009F5D18" w:rsidP="006106D4">
            <w:pPr>
              <w:widowControl/>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運輸成本。</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商業策略，包括：</w:t>
            </w:r>
          </w:p>
          <w:p w:rsidR="009F5D18" w:rsidRPr="00214254" w:rsidRDefault="009F5D18" w:rsidP="006106D4">
            <w:pPr>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創新及產品開發策略。</w:t>
            </w:r>
          </w:p>
          <w:p w:rsidR="009F5D18" w:rsidRPr="00214254" w:rsidRDefault="009F5D18" w:rsidP="006106D4">
            <w:pPr>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避險策略。</w:t>
            </w:r>
          </w:p>
          <w:p w:rsidR="009F5D18" w:rsidRPr="00214254" w:rsidRDefault="009F5D18" w:rsidP="006106D4">
            <w:pPr>
              <w:widowControl/>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市場占有率策略。</w:t>
            </w:r>
          </w:p>
          <w:p w:rsidR="009F5D18" w:rsidRPr="00214254" w:rsidRDefault="009F5D18" w:rsidP="006106D4">
            <w:pPr>
              <w:widowControl/>
              <w:numPr>
                <w:ilvl w:val="0"/>
                <w:numId w:val="1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其他影響可比較程度之因素。</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非關係人之情況，或其所從事之受控交易與未受控交易間，如存在前項各款因素之顯著差異，應就該等差異對可比較未受控交易之價格或利潤所造成之影響進行合理之調整；其經由合理之調整可消除該等差異之影響者，得</w:t>
            </w:r>
            <w:proofErr w:type="gramStart"/>
            <w:r w:rsidRPr="00214254">
              <w:rPr>
                <w:rFonts w:eastAsia="標楷體" w:hAnsi="標楷體" w:cs="細明體"/>
                <w:kern w:val="0"/>
              </w:rPr>
              <w:t>選定該非關係</w:t>
            </w:r>
            <w:proofErr w:type="gramEnd"/>
            <w:r w:rsidRPr="00214254">
              <w:rPr>
                <w:rFonts w:eastAsia="標楷體" w:hAnsi="標楷體" w:cs="細明體"/>
                <w:kern w:val="0"/>
              </w:rPr>
              <w:t>人及未受控交易為可比較對象。</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決定營利事業與非關係人間所從事之未受控交易，與該營利事業與關係人間所從事受控交易之可比較程度及是否選定其為可比較對象時，比照前二項規定辦理。</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6"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9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w:t>
            </w:r>
            <w:proofErr w:type="gramStart"/>
            <w:r w:rsidRPr="00214254">
              <w:rPr>
                <w:rFonts w:eastAsia="標楷體" w:hAnsi="標楷體" w:cs="細明體"/>
                <w:kern w:val="0"/>
              </w:rPr>
              <w:t>稽</w:t>
            </w:r>
            <w:proofErr w:type="gramEnd"/>
            <w:r w:rsidRPr="00214254">
              <w:rPr>
                <w:rFonts w:eastAsia="標楷體" w:hAnsi="標楷體" w:cs="細明體"/>
                <w:kern w:val="0"/>
              </w:rPr>
              <w:t>徵機關決定第七條第二款所定</w:t>
            </w:r>
            <w:proofErr w:type="gramStart"/>
            <w:r w:rsidRPr="00214254">
              <w:rPr>
                <w:rFonts w:eastAsia="標楷體" w:hAnsi="標楷體" w:cs="細明體"/>
                <w:kern w:val="0"/>
              </w:rPr>
              <w:t>最</w:t>
            </w:r>
            <w:proofErr w:type="gramEnd"/>
            <w:r w:rsidRPr="00214254">
              <w:rPr>
                <w:rFonts w:eastAsia="標楷體" w:hAnsi="標楷體" w:cs="細明體"/>
                <w:kern w:val="0"/>
              </w:rPr>
              <w:t>適常規交易方法時，應依受控交易之交易類型，分別適用第十條至第十三條規定，並依下列規定決定之：</w:t>
            </w:r>
          </w:p>
          <w:p w:rsidR="009F5D18" w:rsidRPr="00214254" w:rsidRDefault="009F5D18" w:rsidP="006106D4">
            <w:pPr>
              <w:widowControl/>
              <w:numPr>
                <w:ilvl w:val="0"/>
                <w:numId w:val="1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可比較程度：以營利事業及其所從事之受控交易與可比較對象間之可比較程度決定之。其應考量前條第一項規定之因素，尤應特別考量第十四條第二項、第十五條第二項至第四項、第十六條第四項、第十七條第三項、第十八條第七項及第十九條第二項所列應特別考量因素之相似程度。相似程度愈高者，其適用性愈高。</w:t>
            </w:r>
          </w:p>
          <w:p w:rsidR="009F5D18" w:rsidRPr="00214254" w:rsidRDefault="009F5D18" w:rsidP="006106D4">
            <w:pPr>
              <w:widowControl/>
              <w:numPr>
                <w:ilvl w:val="0"/>
                <w:numId w:val="1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資料與假設之品質：以蒐集之資料足夠完整正確且能確認前款因素之差異、依前條第二項規定進行調整以消除該等差異之可能性及適宜性、使用假設之合理性因素決定之。品質愈佳者，其適用性愈高。</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ascii="標楷體" w:eastAsia="標楷體" w:hAnsi="標楷體"/>
                <w:szCs w:val="26"/>
                <w:u w:val="single"/>
              </w:rPr>
            </w:pPr>
            <w:hyperlink r:id="rId67" w:history="1">
              <w:r w:rsidR="009F5D18" w:rsidRPr="00214254">
                <w:rPr>
                  <w:rFonts w:ascii="標楷體" w:eastAsia="標楷體" w:hAnsi="標楷體" w:hint="eastAsia"/>
                  <w:szCs w:val="26"/>
                  <w:u w:val="single"/>
                </w:rPr>
                <w:t>第</w:t>
              </w:r>
              <w:r w:rsidR="009F5D18" w:rsidRPr="00214254">
                <w:rPr>
                  <w:rFonts w:eastAsia="標楷體"/>
                  <w:szCs w:val="26"/>
                  <w:u w:val="single"/>
                </w:rPr>
                <w:t xml:space="preserve"> 9-1</w:t>
              </w:r>
              <w:r w:rsidR="009F5D18" w:rsidRPr="00214254">
                <w:rPr>
                  <w:rFonts w:ascii="標楷體" w:eastAsia="標楷體" w:hAnsi="標楷體" w:hint="eastAsia"/>
                  <w:szCs w:val="26"/>
                  <w:u w:val="single"/>
                </w:rPr>
                <w:t xml:space="preserve"> 條</w:t>
              </w:r>
            </w:hyperlink>
          </w:p>
        </w:tc>
        <w:tc>
          <w:tcPr>
            <w:tcW w:w="4206" w:type="pct"/>
            <w:vAlign w:val="center"/>
          </w:tcPr>
          <w:p w:rsidR="009F5D18" w:rsidRPr="00214254" w:rsidRDefault="009F5D18" w:rsidP="006E47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eastAsia="標楷體"/>
                <w:kern w:val="0"/>
                <w:szCs w:val="26"/>
              </w:rPr>
            </w:pPr>
            <w:r w:rsidRPr="00214254">
              <w:rPr>
                <w:rFonts w:eastAsia="標楷體" w:hint="eastAsia"/>
                <w:kern w:val="0"/>
                <w:szCs w:val="26"/>
              </w:rPr>
              <w:t>營利事業從事企業重組之利潤分配應符合常規，評估時應考量下列因素：</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4" w:hangingChars="185" w:hanging="444"/>
              <w:rPr>
                <w:rFonts w:eastAsia="標楷體"/>
                <w:kern w:val="0"/>
                <w:szCs w:val="26"/>
              </w:rPr>
            </w:pPr>
            <w:r w:rsidRPr="00214254">
              <w:rPr>
                <w:rFonts w:eastAsia="標楷體" w:hint="eastAsia"/>
                <w:kern w:val="0"/>
                <w:szCs w:val="26"/>
              </w:rPr>
              <w:t>一、風險之特殊考量：</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（一）企業重組契約中關係企業間風險之重新分配與交易之經濟實質是否相同。</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（二）辨認重組前後功能、資產及風險分配狀況與歸屬之利潤是否符合常規。</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（三）確認風險承擔者是否具控制風險能力及承擔風險之財務能力。</w:t>
            </w:r>
          </w:p>
          <w:p w:rsidR="009F5D18" w:rsidRPr="00214254" w:rsidRDefault="009F5D18" w:rsidP="006E47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eastAsia="標楷體"/>
                <w:kern w:val="0"/>
                <w:szCs w:val="26"/>
              </w:rPr>
            </w:pPr>
            <w:r w:rsidRPr="00214254">
              <w:rPr>
                <w:rFonts w:eastAsia="標楷體" w:hint="eastAsia"/>
                <w:kern w:val="0"/>
                <w:szCs w:val="26"/>
              </w:rPr>
              <w:t>二、企業重組之常規補償：</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（一）企業重組之商業理由及預期利益。</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（二）企業重組各參與人於重組前後之權利義務。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（三）企業重組產生潛在利潤之移轉與風險之重新分配是否相當。</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（四）企業重組涉及有形資產、無形資產及活動之移轉，是否有適當之報酬。</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（五）企業重組之參與人因契約終止或重新協商所造成之損害，是否有適當之補償。</w:t>
            </w:r>
          </w:p>
          <w:p w:rsidR="009F5D18" w:rsidRPr="00214254" w:rsidRDefault="009F5D18" w:rsidP="006E47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eastAsia="標楷體"/>
                <w:kern w:val="0"/>
                <w:szCs w:val="26"/>
              </w:rPr>
            </w:pPr>
            <w:r w:rsidRPr="00214254">
              <w:rPr>
                <w:rFonts w:eastAsia="標楷體" w:hint="eastAsia"/>
                <w:kern w:val="0"/>
                <w:szCs w:val="26"/>
              </w:rPr>
              <w:t>三、企業重組後受控交易之合理補償或報酬：</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（一）就企業重組後受控交易進行可比較程度分析，以決定重組後受控交易移轉訂價方法。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5" w:left="804" w:hangingChars="300" w:hanging="720"/>
              <w:rPr>
                <w:rFonts w:eastAsia="標楷體"/>
                <w:kern w:val="0"/>
                <w:szCs w:val="26"/>
              </w:rPr>
            </w:pPr>
            <w:r w:rsidRPr="00214254">
              <w:rPr>
                <w:rFonts w:eastAsia="標楷體" w:hint="eastAsia"/>
                <w:kern w:val="0"/>
                <w:szCs w:val="26"/>
              </w:rPr>
              <w:t>（二）比較企業重組之補償與企業重組前後之營運報酬間之關係。</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Cs w:val="26"/>
              </w:rPr>
            </w:pPr>
            <w:proofErr w:type="gramStart"/>
            <w:r w:rsidRPr="00214254">
              <w:rPr>
                <w:rFonts w:eastAsia="標楷體" w:hint="eastAsia"/>
                <w:kern w:val="0"/>
                <w:szCs w:val="26"/>
              </w:rPr>
              <w:t>稽</w:t>
            </w:r>
            <w:proofErr w:type="gramEnd"/>
            <w:r w:rsidRPr="00214254">
              <w:rPr>
                <w:rFonts w:eastAsia="標楷體" w:hint="eastAsia"/>
                <w:kern w:val="0"/>
                <w:szCs w:val="26"/>
              </w:rPr>
              <w:t>徵機關依據納稅義務人提示之企業重組相關文件資料，正確辨識實際從事之受控交易，發現受控交易經濟實質不同於形式時，應就其實質交易進行不合常規移轉訂價之調整。</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三</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8"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10 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適用於有形資產移轉及使用之常規交易方法如下：</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可比較未受控價格法。</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再</w:t>
            </w:r>
            <w:proofErr w:type="gramStart"/>
            <w:r w:rsidRPr="00214254">
              <w:rPr>
                <w:rFonts w:eastAsia="標楷體" w:hAnsi="標楷體" w:cs="細明體"/>
                <w:kern w:val="0"/>
              </w:rPr>
              <w:t>售價格法</w:t>
            </w:r>
            <w:proofErr w:type="gramEnd"/>
            <w:r w:rsidRPr="00214254">
              <w:rPr>
                <w:rFonts w:eastAsia="標楷體" w:hAnsi="標楷體" w:cs="細明體"/>
                <w:kern w:val="0"/>
              </w:rPr>
              <w:t>。</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成本加價法。</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可比較利潤法。</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利潤分割法。</w:t>
            </w:r>
          </w:p>
          <w:p w:rsidR="009F5D18" w:rsidRPr="00214254" w:rsidRDefault="009F5D18" w:rsidP="006106D4">
            <w:pPr>
              <w:widowControl/>
              <w:numPr>
                <w:ilvl w:val="0"/>
                <w:numId w:val="1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69"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11 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適用於無形資產移轉及使用之常規交易方法如下：</w:t>
            </w:r>
          </w:p>
          <w:p w:rsidR="009F5D18" w:rsidRPr="00214254" w:rsidRDefault="009F5D18" w:rsidP="006106D4">
            <w:pPr>
              <w:widowControl/>
              <w:numPr>
                <w:ilvl w:val="0"/>
                <w:numId w:val="1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可比較未受控交易法。</w:t>
            </w:r>
          </w:p>
          <w:p w:rsidR="009F5D18" w:rsidRPr="00214254" w:rsidRDefault="009F5D18" w:rsidP="006106D4">
            <w:pPr>
              <w:widowControl/>
              <w:numPr>
                <w:ilvl w:val="0"/>
                <w:numId w:val="1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可比較利潤法。</w:t>
            </w:r>
          </w:p>
          <w:p w:rsidR="009F5D18" w:rsidRPr="00214254" w:rsidRDefault="009F5D18" w:rsidP="006106D4">
            <w:pPr>
              <w:widowControl/>
              <w:numPr>
                <w:ilvl w:val="0"/>
                <w:numId w:val="1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利潤分割法。</w:t>
            </w:r>
          </w:p>
          <w:p w:rsidR="009F5D18" w:rsidRPr="00214254" w:rsidRDefault="009F5D18" w:rsidP="006106D4">
            <w:pPr>
              <w:widowControl/>
              <w:numPr>
                <w:ilvl w:val="0"/>
                <w:numId w:val="1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0"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12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適用於服務提供之常規交易方法如下：</w:t>
            </w:r>
          </w:p>
          <w:p w:rsidR="009F5D18" w:rsidRPr="00214254" w:rsidRDefault="009F5D18" w:rsidP="006106D4">
            <w:pPr>
              <w:widowControl/>
              <w:numPr>
                <w:ilvl w:val="0"/>
                <w:numId w:val="1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可比較未受控價格法。</w:t>
            </w:r>
          </w:p>
          <w:p w:rsidR="009F5D18" w:rsidRPr="00214254" w:rsidRDefault="009F5D18" w:rsidP="006106D4">
            <w:pPr>
              <w:widowControl/>
              <w:numPr>
                <w:ilvl w:val="0"/>
                <w:numId w:val="1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成本加價法。</w:t>
            </w:r>
          </w:p>
          <w:p w:rsidR="009F5D18" w:rsidRPr="00214254" w:rsidRDefault="009F5D18" w:rsidP="006106D4">
            <w:pPr>
              <w:widowControl/>
              <w:numPr>
                <w:ilvl w:val="0"/>
                <w:numId w:val="1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可比較利潤法。</w:t>
            </w:r>
          </w:p>
          <w:p w:rsidR="009F5D18" w:rsidRPr="00214254" w:rsidRDefault="009F5D18" w:rsidP="006106D4">
            <w:pPr>
              <w:widowControl/>
              <w:numPr>
                <w:ilvl w:val="0"/>
                <w:numId w:val="1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利潤分割法。</w:t>
            </w:r>
          </w:p>
          <w:p w:rsidR="009F5D18" w:rsidRPr="00214254" w:rsidRDefault="009F5D18" w:rsidP="006106D4">
            <w:pPr>
              <w:widowControl/>
              <w:numPr>
                <w:ilvl w:val="0"/>
                <w:numId w:val="1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1"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13  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適用於資金使用之常規交易方法如下：</w:t>
            </w:r>
          </w:p>
          <w:p w:rsidR="009F5D18" w:rsidRPr="00214254" w:rsidRDefault="009F5D18" w:rsidP="006106D4">
            <w:pPr>
              <w:widowControl/>
              <w:numPr>
                <w:ilvl w:val="0"/>
                <w:numId w:val="1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可比較未受控價格法。</w:t>
            </w:r>
          </w:p>
          <w:p w:rsidR="009F5D18" w:rsidRPr="00214254" w:rsidRDefault="009F5D18" w:rsidP="006106D4">
            <w:pPr>
              <w:widowControl/>
              <w:numPr>
                <w:ilvl w:val="0"/>
                <w:numId w:val="1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成本加價法。</w:t>
            </w:r>
          </w:p>
          <w:p w:rsidR="009F5D18" w:rsidRPr="00214254" w:rsidRDefault="009F5D18" w:rsidP="006106D4">
            <w:pPr>
              <w:widowControl/>
              <w:numPr>
                <w:ilvl w:val="0"/>
                <w:numId w:val="1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其他經財政部核定之常規交易方法。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2"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14 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本準則所定可比較未受控價格法，係以非關係人於可比較情況下，從事有形資產之移轉或使用、服務之提供或資金之使用之可比較未受控交易所收取之價格，為受控交易之常規交易價格。</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評估可比較未受控價格法之適用性時，應考量第八條第一項規定之因素，尤應特別考量從事受控交易之營利事業與非關係人之交易標的資產或服務之特性、契約條款及經濟情況之差異，其間如有差異，應就該等差異對常規交易價格之影響進行合理之調整，其無法經由合理之調整以消除該等差異者，應依本準則規定採用其他適合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3"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w:t>
              </w:r>
              <w:r w:rsidR="009F5D18" w:rsidRPr="00214254">
                <w:rPr>
                  <w:rFonts w:eastAsia="標楷體" w:cs="新細明體" w:hint="eastAsia"/>
                  <w:kern w:val="0"/>
                  <w:u w:val="single"/>
                </w:rPr>
                <w:t>1</w:t>
              </w:r>
              <w:r w:rsidR="009F5D18" w:rsidRPr="00214254">
                <w:rPr>
                  <w:rFonts w:eastAsia="標楷體" w:cs="新細明體"/>
                  <w:kern w:val="0"/>
                  <w:u w:val="single"/>
                </w:rPr>
                <w:t xml:space="preserve">5 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本準則所定可比較未受控交易法，係以非關係人於可比較情況下，從事無形資產之移轉或使用之可比較未受控交易所收取之價格，為受控交易之常規交易價格。</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lastRenderedPageBreak/>
              <w:t>評估可比較未受控交易法之適用性時，應考量第八條第一項規定之因素，尤應特別考量從事受控交易之營利事業與非關係人之交易標的無形資產之可比較程度及二者所處情況之可比較程度。其間如有差異，應就該等差異對常規交易價格之影響進行合理之調整，其無法經由合理之調整以消除該等差異者，應依本準則規定採用其他適合之常規交易方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無形資產之可比較程度，應視其是否於相同產業或市場用於類似之產品或製程，及是否有相似之潛在利潤而定。所定潛在利潤，係於考量資本投資及創設費用、承擔之風險及其他相關因素下，依使用或後續移轉無形資產實現之利益所計算之淨現值。</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第二項所稱情況之可比較程度，應考量下列因素之差異：</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移轉條件，包括無形資產之使用權或授權是否具有專屬性、是否有任何使用限制、權利行使有無地區之限制。</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無形資產於使用市場所處之發展階段，包括是否須政府核准、授權或核發執照。</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是否擁有無形資產之更新、修改及修正之權利。</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無形資產之獨特性及其維持獨特性之</w:t>
            </w:r>
            <w:proofErr w:type="gramStart"/>
            <w:r w:rsidRPr="00214254">
              <w:rPr>
                <w:rFonts w:eastAsia="標楷體" w:hAnsi="標楷體" w:cs="細明體"/>
                <w:kern w:val="0"/>
              </w:rPr>
              <w:t>期間，</w:t>
            </w:r>
            <w:proofErr w:type="gramEnd"/>
            <w:r w:rsidRPr="00214254">
              <w:rPr>
                <w:rFonts w:eastAsia="標楷體" w:hAnsi="標楷體" w:cs="細明體"/>
                <w:kern w:val="0"/>
              </w:rPr>
              <w:t>包括相關國家法律對於該無形資產之保護程度及期間。</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授權、契約或其他協議之持續期間及終止或協商權利。</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受讓人承擔之任何經濟及產品責任風險。</w:t>
            </w:r>
          </w:p>
          <w:p w:rsidR="009F5D18" w:rsidRPr="00214254" w:rsidRDefault="009F5D18" w:rsidP="006106D4">
            <w:pPr>
              <w:widowControl/>
              <w:numPr>
                <w:ilvl w:val="0"/>
                <w:numId w:val="1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受讓人與讓與人所執行之功能，包括附屬及支援服務。</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4"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16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本準則所定再</w:t>
            </w:r>
            <w:proofErr w:type="gramStart"/>
            <w:r w:rsidRPr="00214254">
              <w:rPr>
                <w:rFonts w:eastAsia="標楷體" w:hAnsi="標楷體" w:cs="細明體"/>
                <w:kern w:val="0"/>
              </w:rPr>
              <w:t>售價格法</w:t>
            </w:r>
            <w:proofErr w:type="gramEnd"/>
            <w:r w:rsidRPr="00214254">
              <w:rPr>
                <w:rFonts w:eastAsia="標楷體" w:hAnsi="標楷體" w:cs="細明體"/>
                <w:kern w:val="0"/>
              </w:rPr>
              <w:t>，係按從事受控交易之營利事業再銷售予非關係人之價格，減除依可比較未受控交易毛利率計算之毛利後之金額，為受控交易之常規交易價格。其計算公式如下：</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常規交易價格＝再銷售予非關係人之價格</w:t>
            </w:r>
            <w:r w:rsidRPr="00214254">
              <w:rPr>
                <w:rFonts w:eastAsia="標楷體" w:cs="細明體"/>
                <w:kern w:val="0"/>
              </w:rPr>
              <w:t>× (</w:t>
            </w:r>
            <w:proofErr w:type="gramStart"/>
            <w:r w:rsidRPr="00214254">
              <w:rPr>
                <w:rFonts w:eastAsia="標楷體" w:hAnsi="標楷體" w:cs="細明體"/>
                <w:kern w:val="0"/>
              </w:rPr>
              <w:t>１－可比較</w:t>
            </w:r>
            <w:proofErr w:type="gramEnd"/>
            <w:r w:rsidRPr="00214254">
              <w:rPr>
                <w:rFonts w:eastAsia="標楷體" w:hAnsi="標楷體" w:cs="細明體"/>
                <w:kern w:val="0"/>
              </w:rPr>
              <w:t>未受控交易毛利率</w:t>
            </w:r>
            <w:r w:rsidRPr="00214254">
              <w:rPr>
                <w:rFonts w:eastAsia="標楷體" w:cs="細明體"/>
                <w:kern w:val="0"/>
              </w:rPr>
              <w:t>)</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毛利率＝毛利／銷貨淨額</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前項所稱再銷售予非關係人之價格，指受控交易標的之有形資產再銷售予非關係人之價格；其無此價格者，以相同之有形資產再銷售時或再銷售前、後，銷售予非關係人之價格為</w:t>
            </w:r>
            <w:proofErr w:type="gramStart"/>
            <w:r w:rsidRPr="00214254">
              <w:rPr>
                <w:rFonts w:eastAsia="標楷體" w:hAnsi="標楷體" w:cs="細明體"/>
                <w:kern w:val="0"/>
              </w:rPr>
              <w:t>準</w:t>
            </w:r>
            <w:proofErr w:type="gramEnd"/>
            <w:r w:rsidRPr="00214254">
              <w:rPr>
                <w:rFonts w:eastAsia="標楷體" w:hAnsi="標楷體" w:cs="細明體"/>
                <w:kern w:val="0"/>
              </w:rPr>
              <w:t>，但應就第八條第一項規定影響價格或利潤之因素，比照同條第二項規定進行合理之調整。</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第一項所稱可比較未受控交易毛利率，指該營利事業自非關係人購進同種類有形資產再銷售予非關係人之毛利率；其無此毛利率者，得以執行功能、承擔風險及契約條款類似之其他營利事業自非關係</w:t>
            </w:r>
            <w:r w:rsidRPr="00214254">
              <w:rPr>
                <w:rFonts w:eastAsia="標楷體" w:hAnsi="標楷體" w:cs="細明體"/>
                <w:kern w:val="0"/>
              </w:rPr>
              <w:lastRenderedPageBreak/>
              <w:t>人購進同種類有形資產再銷售予非關係人之毛利率為</w:t>
            </w:r>
            <w:proofErr w:type="gramStart"/>
            <w:r w:rsidRPr="00214254">
              <w:rPr>
                <w:rFonts w:eastAsia="標楷體" w:hAnsi="標楷體" w:cs="細明體"/>
                <w:kern w:val="0"/>
              </w:rPr>
              <w:t>準</w:t>
            </w:r>
            <w:proofErr w:type="gramEnd"/>
            <w:r w:rsidRPr="00214254">
              <w:rPr>
                <w:rFonts w:eastAsia="標楷體" w:hAnsi="標楷體" w:cs="細明體"/>
                <w:kern w:val="0"/>
              </w:rPr>
              <w:t>。</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評估再</w:t>
            </w:r>
            <w:proofErr w:type="gramStart"/>
            <w:r w:rsidRPr="00214254">
              <w:rPr>
                <w:rFonts w:eastAsia="標楷體" w:hAnsi="標楷體" w:cs="細明體"/>
                <w:kern w:val="0"/>
              </w:rPr>
              <w:t>售價格法之</w:t>
            </w:r>
            <w:proofErr w:type="gramEnd"/>
            <w:r w:rsidRPr="00214254">
              <w:rPr>
                <w:rFonts w:eastAsia="標楷體" w:hAnsi="標楷體" w:cs="細明體"/>
                <w:kern w:val="0"/>
              </w:rPr>
              <w:t>適用性時，應考量第八條第一項規定之因素，尤應特別考量下列影響毛利率之因素：</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執行之功能，如銷售、行銷、廣告及服務。</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承擔之風險，如存貨水準及其週轉率及相關風險。</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契約條款，如保證範圍及條款、交易數量、信用條件、交貨條件。</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市場情況，如處於批發或零售之市場層級。</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交易內容是否包含無形資產。</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成本結構，如機器、設備已使用之年數。</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商業經驗，如處於開創期或成熟期。</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管理效率。</w:t>
            </w:r>
          </w:p>
          <w:p w:rsidR="009F5D18" w:rsidRPr="00214254" w:rsidRDefault="009F5D18" w:rsidP="006106D4">
            <w:pPr>
              <w:widowControl/>
              <w:numPr>
                <w:ilvl w:val="0"/>
                <w:numId w:val="1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會計處理之一致性，如成本及存貨評價方法。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及其所從事之受控交易與可比較對象間，如存在前項因素之差異，應就該等差異對毛利率之影響進行合理之調整，其無法經由合理之調整以消除該等差異者，應依本準則規定採用其他適合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5"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17 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本準則所定成本加價法，係以自非關係人購進之成本或自行製造之成本，</w:t>
            </w:r>
            <w:proofErr w:type="gramStart"/>
            <w:r w:rsidRPr="00214254">
              <w:rPr>
                <w:rFonts w:eastAsia="標楷體" w:hAnsi="標楷體" w:cs="細明體"/>
                <w:kern w:val="0"/>
              </w:rPr>
              <w:t>加計依可</w:t>
            </w:r>
            <w:proofErr w:type="gramEnd"/>
            <w:r w:rsidRPr="00214254">
              <w:rPr>
                <w:rFonts w:eastAsia="標楷體" w:hAnsi="標楷體" w:cs="細明體"/>
                <w:kern w:val="0"/>
              </w:rPr>
              <w:t>比較未受控交易成本加價率計算之毛利後之金額，為受控交易之常規交易價格。其計算公式如下：</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常規交易價格＝自未受控交易人購進之成本或自行製造之成本</w:t>
            </w:r>
            <w:r w:rsidRPr="00214254">
              <w:rPr>
                <w:rFonts w:eastAsia="標楷體" w:cs="細明體"/>
                <w:kern w:val="0"/>
              </w:rPr>
              <w:t>× (</w:t>
            </w:r>
            <w:r w:rsidRPr="00214254">
              <w:rPr>
                <w:rFonts w:eastAsia="標楷體" w:hAnsi="標楷體" w:cs="細明體"/>
                <w:kern w:val="0"/>
              </w:rPr>
              <w:t>１＋可比較未受控交易成本加價率</w:t>
            </w:r>
            <w:r w:rsidRPr="00214254">
              <w:rPr>
                <w:rFonts w:eastAsia="標楷體" w:cs="細明體"/>
                <w:kern w:val="0"/>
              </w:rPr>
              <w:t xml:space="preserve">) </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成本加價率＝毛利／購進之成本或自行製造之成本</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前項所稱可比較未受控交易成本加價率，指從事受控交易之營利事業自非關係人購進或自行製造之同種類有形資產，銷售予非關係人之成本加價率；其無此成本</w:t>
            </w:r>
            <w:proofErr w:type="gramStart"/>
            <w:r w:rsidRPr="00214254">
              <w:rPr>
                <w:rFonts w:eastAsia="標楷體" w:hAnsi="標楷體" w:cs="細明體"/>
                <w:kern w:val="0"/>
              </w:rPr>
              <w:t>加價率者</w:t>
            </w:r>
            <w:proofErr w:type="gramEnd"/>
            <w:r w:rsidRPr="00214254">
              <w:rPr>
                <w:rFonts w:eastAsia="標楷體" w:hAnsi="標楷體" w:cs="細明體"/>
                <w:kern w:val="0"/>
              </w:rPr>
              <w:t>，得以執行功能、承擔風險及契約條款類似之其他營利事業自非關係人購進或自行製造之同種類有形資產，銷售予非關係人之成本加價率為</w:t>
            </w:r>
            <w:proofErr w:type="gramStart"/>
            <w:r w:rsidRPr="00214254">
              <w:rPr>
                <w:rFonts w:eastAsia="標楷體" w:hAnsi="標楷體" w:cs="細明體"/>
                <w:kern w:val="0"/>
              </w:rPr>
              <w:t>準</w:t>
            </w:r>
            <w:proofErr w:type="gramEnd"/>
            <w:r w:rsidRPr="00214254">
              <w:rPr>
                <w:rFonts w:eastAsia="標楷體" w:hAnsi="標楷體" w:cs="細明體"/>
                <w:kern w:val="0"/>
              </w:rPr>
              <w:t>。</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評估成本加價法之適用性時，應考量第八條第一項規定之因素，尤應特別考量下列影響成本加價率之因素：</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執行之功能，如製造、加工技術或安裝複雜程度、測試功能。</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承擔之風險，如市場風險、匯兌風險。</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契約條款，如保證範圍及條件、交易數量、信用條件及交貨條件。</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交易內容是否包含無形資產。</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成本結構，如機器、設備已使用之年數。</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商業經驗，如處於開創期或成熟期。</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管理效率。</w:t>
            </w:r>
          </w:p>
          <w:p w:rsidR="009F5D18" w:rsidRPr="00214254" w:rsidRDefault="009F5D18" w:rsidP="006106D4">
            <w:pPr>
              <w:widowControl/>
              <w:numPr>
                <w:ilvl w:val="0"/>
                <w:numId w:val="1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會計處理之一致性，如成本及存貨評價方法。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及其所從事之受控交易與可比較對象間，如存在前項因素之差異，應就該等差異對成本加價率之影響進行合理之調整，其無法經由合理之調整以消除該等差異者，應依本準則規定採用其他適合之常規交易方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前四項規定於服務提供或資金使用之情形</w:t>
            </w:r>
            <w:proofErr w:type="gramStart"/>
            <w:r w:rsidRPr="00214254">
              <w:rPr>
                <w:rFonts w:eastAsia="標楷體" w:hAnsi="標楷體" w:cs="細明體"/>
                <w:kern w:val="0"/>
              </w:rPr>
              <w:t>準</w:t>
            </w:r>
            <w:proofErr w:type="gramEnd"/>
            <w:r w:rsidRPr="00214254">
              <w:rPr>
                <w:rFonts w:eastAsia="標楷體" w:hAnsi="標楷體" w:cs="細明體"/>
                <w:kern w:val="0"/>
              </w:rPr>
              <w:t>用之。</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6"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w:t>
              </w:r>
              <w:r w:rsidR="009F5D18" w:rsidRPr="00214254">
                <w:rPr>
                  <w:rFonts w:eastAsia="標楷體" w:cs="新細明體" w:hint="eastAsia"/>
                  <w:kern w:val="0"/>
                  <w:u w:val="single"/>
                </w:rPr>
                <w:t>1</w:t>
              </w:r>
              <w:r w:rsidR="009F5D18" w:rsidRPr="00214254">
                <w:rPr>
                  <w:rFonts w:eastAsia="標楷體" w:cs="新細明體"/>
                  <w:kern w:val="0"/>
                  <w:u w:val="single"/>
                </w:rPr>
                <w:t xml:space="preserve">8 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本準則所定可比較利潤法，係以可比較未受控交易於特定年限內之平均利潤率指標為基礎，計算可比較營業利潤，並據以決定受控交易之常規交易結果。</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採用可比較利潤法時，依下列步驟辦理：</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選定受測個體及受測活動；其選定，依第三項規定辦理。</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選定與受測個體及受測活動相似之可比較未受控交易；其選定，依第七條第一款及第八條規定辦理。</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選定利潤率指標；其選定，依第四項至第六項規定辦理。</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決定可比較未受控交易之平均利潤率。所稱平均利潤率，指</w:t>
            </w:r>
            <w:proofErr w:type="gramStart"/>
            <w:r w:rsidRPr="00214254">
              <w:rPr>
                <w:rFonts w:eastAsia="標楷體" w:hAnsi="標楷體" w:cs="細明體"/>
                <w:kern w:val="0"/>
              </w:rPr>
              <w:t>第四項任一款</w:t>
            </w:r>
            <w:proofErr w:type="gramEnd"/>
            <w:r w:rsidRPr="00214254">
              <w:rPr>
                <w:rFonts w:eastAsia="標楷體" w:hAnsi="標楷體" w:cs="細明體"/>
                <w:kern w:val="0"/>
              </w:rPr>
              <w:t>規定之分子於特定年限內全部金額之總和，除以同款規定之分母於特定年限內全部金額之總和。所稱特定年限，依第六項第四款規定辦理。</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proofErr w:type="gramStart"/>
            <w:r w:rsidRPr="00214254">
              <w:rPr>
                <w:rFonts w:eastAsia="標楷體" w:hAnsi="標楷體" w:cs="細明體"/>
                <w:kern w:val="0"/>
              </w:rPr>
              <w:t>以前款</w:t>
            </w:r>
            <w:proofErr w:type="gramEnd"/>
            <w:r w:rsidRPr="00214254">
              <w:rPr>
                <w:rFonts w:eastAsia="標楷體" w:hAnsi="標楷體" w:cs="細明體"/>
                <w:kern w:val="0"/>
              </w:rPr>
              <w:t>平均利潤率指標，依受測個體之受測活動於特定年限內之營業資產、銷貨淨額、營業費用或其他基礎之年平均數，計算可比較營業利潤，並依第七條第五款第一目及第二目規定產生常規交易範圍。</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測個體從事受測活動於特定年限內之平均營業利潤在前款常規交易範圍之內者，視為符合常規；在該範圍之外者，按交易當年度所有可比較營業利潤之中位數調整受測個體當年度之營業利潤。其有第六項第四款未能取得交易當年度資料之情形者，按前款所有可比較營業利潤之中位數調整之。</w:t>
            </w:r>
          </w:p>
          <w:p w:rsidR="009F5D18" w:rsidRPr="00214254" w:rsidRDefault="009F5D18" w:rsidP="006106D4">
            <w:pPr>
              <w:widowControl/>
              <w:numPr>
                <w:ilvl w:val="0"/>
                <w:numId w:val="2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以受測個體之常規營業利潤為基礎，決定受測個體以外依本法規定應繳納中華民國所得稅之同一受控交易其他參與人之常規交易結果。</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受測個體，以受控交易之參與人中，能取得可信賴之可比較未受控交易資料，且於驗證應歸屬於該參與人之營業利潤時所需作之差異</w:t>
            </w:r>
            <w:r w:rsidRPr="00214254">
              <w:rPr>
                <w:rFonts w:eastAsia="標楷體" w:hAnsi="標楷體" w:cs="細明體"/>
                <w:kern w:val="0"/>
              </w:rPr>
              <w:lastRenderedPageBreak/>
              <w:t>調整最少，其調整結果最可信賴者決定之；即應以參與人中複雜度最低，且未擁有高價值無形資產或特有資產，或雖擁有該資產但與可比較未受控交易所擁有之無形資產或特有資產類似之參與人，為</w:t>
            </w:r>
            <w:proofErr w:type="gramStart"/>
            <w:r w:rsidRPr="00214254">
              <w:rPr>
                <w:rFonts w:eastAsia="標楷體" w:hAnsi="標楷體" w:cs="細明體"/>
                <w:kern w:val="0"/>
              </w:rPr>
              <w:t>最</w:t>
            </w:r>
            <w:proofErr w:type="gramEnd"/>
            <w:r w:rsidRPr="00214254">
              <w:rPr>
                <w:rFonts w:eastAsia="標楷體" w:hAnsi="標楷體" w:cs="細明體"/>
                <w:kern w:val="0"/>
              </w:rPr>
              <w:t>適之受測個體。受測活動，指受測個體參與受控交易可細分至最小且可資辨認之營業活動。</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可比較利潤法所使用之利潤率指標，包括：</w:t>
            </w:r>
          </w:p>
          <w:p w:rsidR="009F5D18" w:rsidRPr="00214254" w:rsidRDefault="009F5D18" w:rsidP="006106D4">
            <w:pPr>
              <w:widowControl/>
              <w:numPr>
                <w:ilvl w:val="0"/>
                <w:numId w:val="2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營業資產報酬率：以營業淨利為分子、營業資產為分母所計算之比率。</w:t>
            </w:r>
          </w:p>
          <w:p w:rsidR="009F5D18" w:rsidRPr="00214254" w:rsidRDefault="009F5D18" w:rsidP="006106D4">
            <w:pPr>
              <w:widowControl/>
              <w:numPr>
                <w:ilvl w:val="0"/>
                <w:numId w:val="2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營業淨利率：以營業淨利為分子、銷貨淨額為分母所計算之比率。</w:t>
            </w:r>
          </w:p>
          <w:p w:rsidR="009F5D18" w:rsidRPr="00214254" w:rsidRDefault="009F5D18" w:rsidP="006106D4">
            <w:pPr>
              <w:widowControl/>
              <w:numPr>
                <w:ilvl w:val="0"/>
                <w:numId w:val="2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貝里比率：以營業毛利為分子、營業費用為分母所計算之比率。</w:t>
            </w:r>
          </w:p>
          <w:p w:rsidR="009F5D18" w:rsidRPr="00214254" w:rsidRDefault="009F5D18" w:rsidP="006106D4">
            <w:pPr>
              <w:widowControl/>
              <w:numPr>
                <w:ilvl w:val="0"/>
                <w:numId w:val="2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hint="eastAsia"/>
                <w:kern w:val="0"/>
              </w:rPr>
              <w:t>成本及營業費用淨利率</w:t>
            </w:r>
            <w:r w:rsidRPr="00214254">
              <w:rPr>
                <w:rFonts w:eastAsia="標楷體" w:hAnsi="標楷體" w:cs="細明體"/>
                <w:kern w:val="0"/>
              </w:rPr>
              <w:t>：</w:t>
            </w:r>
            <w:r w:rsidRPr="00214254">
              <w:rPr>
                <w:rFonts w:eastAsia="標楷體" w:hint="eastAsia"/>
                <w:szCs w:val="26"/>
              </w:rPr>
              <w:t>以營業淨利為分子，銷貨成本或營業成本與</w:t>
            </w:r>
            <w:r w:rsidRPr="00214254">
              <w:rPr>
                <w:rFonts w:eastAsia="標楷體" w:hint="eastAsia"/>
                <w:kern w:val="0"/>
                <w:szCs w:val="26"/>
              </w:rPr>
              <w:t>營業費用為分母所計算之比率。</w:t>
            </w:r>
          </w:p>
          <w:p w:rsidR="009F5D18" w:rsidRPr="00214254" w:rsidRDefault="009F5D18" w:rsidP="006106D4">
            <w:pPr>
              <w:widowControl/>
              <w:numPr>
                <w:ilvl w:val="0"/>
                <w:numId w:val="2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其他經財政部核定之利潤率指標。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前項所稱營業淨利，指營業毛利減除營業費用後之金額，不包括</w:t>
            </w:r>
            <w:proofErr w:type="gramStart"/>
            <w:r w:rsidRPr="00214254">
              <w:rPr>
                <w:rFonts w:eastAsia="標楷體" w:hAnsi="標楷體" w:cs="細明體"/>
                <w:kern w:val="0"/>
              </w:rPr>
              <w:t>非屬受測</w:t>
            </w:r>
            <w:proofErr w:type="gramEnd"/>
            <w:r w:rsidRPr="00214254">
              <w:rPr>
                <w:rFonts w:eastAsia="標楷體" w:hAnsi="標楷體" w:cs="細明體"/>
                <w:kern w:val="0"/>
              </w:rPr>
              <w:t>活動之所得及與受測個體繼續經營無關之非常損益。所稱營業資產，指受測個體於相關營業活動所使用之資產，包括固定資產及流動資產，但不包括超額現金、短期投資、長期投資、閒置資產及與該營業活動無關之資產。所稱營業費用，不包括非屬經營本業之利息費用、所得稅及與受測活動無關之費用。</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第四項利潤率指標之選定，應以受測個體之受測活動為基礎，並考量下列因素：</w:t>
            </w:r>
          </w:p>
          <w:p w:rsidR="009F5D18" w:rsidRPr="00214254" w:rsidRDefault="009F5D18" w:rsidP="006106D4">
            <w:pPr>
              <w:widowControl/>
              <w:numPr>
                <w:ilvl w:val="0"/>
                <w:numId w:val="2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受測個體之活動性質。</w:t>
            </w:r>
          </w:p>
          <w:p w:rsidR="009F5D18" w:rsidRPr="00214254" w:rsidRDefault="009F5D18" w:rsidP="006106D4">
            <w:pPr>
              <w:widowControl/>
              <w:numPr>
                <w:ilvl w:val="0"/>
                <w:numId w:val="2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所取得未受控交易資料之可比較程度及其所使用資料與假設之品質。</w:t>
            </w:r>
          </w:p>
          <w:p w:rsidR="009F5D18" w:rsidRPr="00214254" w:rsidRDefault="009F5D18" w:rsidP="006106D4">
            <w:pPr>
              <w:widowControl/>
              <w:numPr>
                <w:ilvl w:val="0"/>
                <w:numId w:val="2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該指標用以衡量受測個體常規營業利潤之可信賴程度。</w:t>
            </w:r>
          </w:p>
          <w:p w:rsidR="009F5D18" w:rsidRPr="00214254" w:rsidRDefault="009F5D18" w:rsidP="006106D4">
            <w:pPr>
              <w:widowControl/>
              <w:numPr>
                <w:ilvl w:val="0"/>
                <w:numId w:val="2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第二款資料所涵蓋之期間需足以反映可比較未受控交易之合理報酬，其至少應包括交易當年度及前二年度之連續</w:t>
            </w:r>
            <w:proofErr w:type="gramStart"/>
            <w:r w:rsidRPr="00214254">
              <w:rPr>
                <w:rFonts w:eastAsia="標楷體" w:hAnsi="標楷體" w:cs="細明體"/>
                <w:kern w:val="0"/>
              </w:rPr>
              <w:t>三</w:t>
            </w:r>
            <w:proofErr w:type="gramEnd"/>
            <w:r w:rsidRPr="00214254">
              <w:rPr>
                <w:rFonts w:eastAsia="標楷體" w:hAnsi="標楷體" w:cs="細明體"/>
                <w:kern w:val="0"/>
              </w:rPr>
              <w:t>年度資料。營利事業於辦理交易當年度營利事業所得稅結算申報時，未能取得交易當年度可比較未受控交易資料者，得以不包括當年度之至少連續前三年度資料為基礎。</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評估可比較利潤法之適用性時，應考量第八條第一項規定之因素，尤應特別考量受測個體及受測活動與非關係人及其所從事相關活動之下列因素：</w:t>
            </w:r>
          </w:p>
          <w:p w:rsidR="009F5D18" w:rsidRPr="00214254" w:rsidRDefault="009F5D18" w:rsidP="006106D4">
            <w:pPr>
              <w:widowControl/>
              <w:numPr>
                <w:ilvl w:val="0"/>
                <w:numId w:val="2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影響</w:t>
            </w:r>
            <w:proofErr w:type="gramStart"/>
            <w:r w:rsidRPr="00214254">
              <w:rPr>
                <w:rFonts w:eastAsia="標楷體" w:hAnsi="標楷體" w:cs="細明體"/>
                <w:kern w:val="0"/>
              </w:rPr>
              <w:t>二者間可比較</w:t>
            </w:r>
            <w:proofErr w:type="gramEnd"/>
            <w:r w:rsidRPr="00214254">
              <w:rPr>
                <w:rFonts w:eastAsia="標楷體" w:hAnsi="標楷體" w:cs="細明體"/>
                <w:kern w:val="0"/>
              </w:rPr>
              <w:t>程度之因素，包括執行之功能、承擔之風</w:t>
            </w:r>
            <w:r w:rsidRPr="00214254">
              <w:rPr>
                <w:rFonts w:eastAsia="標楷體" w:hAnsi="標楷體" w:cs="細明體"/>
                <w:kern w:val="0"/>
              </w:rPr>
              <w:lastRenderedPageBreak/>
              <w:t>險、使用之營業資產、相關之營業、交易標的資產或服務之市場、營業規模、位於商業循環或產品循環之階段。</w:t>
            </w:r>
          </w:p>
          <w:p w:rsidR="009F5D18" w:rsidRPr="00214254" w:rsidRDefault="009F5D18" w:rsidP="006106D4">
            <w:pPr>
              <w:widowControl/>
              <w:numPr>
                <w:ilvl w:val="0"/>
                <w:numId w:val="2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成本、費用、所得及資產，於受測活動及其他活動間分攤方式之合理性及適宜性。</w:t>
            </w:r>
          </w:p>
          <w:p w:rsidR="009F5D18" w:rsidRPr="00214254" w:rsidRDefault="009F5D18" w:rsidP="006106D4">
            <w:pPr>
              <w:widowControl/>
              <w:numPr>
                <w:ilvl w:val="0"/>
                <w:numId w:val="23"/>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會計處理之一致性。</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受測個體及受測活動，與非關係人及其所從事之相關活動間，如存在前項因素之差異，應就該等差異對營業利潤之影響進行合理之調整，其無法經由合理之調整以消除該等差異者，應依本準則規定採用其他適合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7"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19  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本準則所定利潤分割法，係於受控交易之各參與人所從事之活動高度整合致無法單獨衡量其交易結果時，</w:t>
            </w:r>
            <w:r w:rsidRPr="00214254">
              <w:rPr>
                <w:rFonts w:eastAsia="標楷體" w:hAnsi="標楷體" w:cs="細明體" w:hint="eastAsia"/>
                <w:kern w:val="0"/>
              </w:rPr>
              <w:t>或受控交易之各參與</w:t>
            </w:r>
            <w:proofErr w:type="gramStart"/>
            <w:r w:rsidRPr="00214254">
              <w:rPr>
                <w:rFonts w:eastAsia="標楷體" w:hAnsi="標楷體" w:cs="細明體" w:hint="eastAsia"/>
                <w:kern w:val="0"/>
              </w:rPr>
              <w:t>人均對受</w:t>
            </w:r>
            <w:proofErr w:type="gramEnd"/>
            <w:r w:rsidRPr="00214254">
              <w:rPr>
                <w:rFonts w:eastAsia="標楷體" w:hAnsi="標楷體" w:cs="細明體" w:hint="eastAsia"/>
                <w:kern w:val="0"/>
              </w:rPr>
              <w:t>控交易作出獨特且有價值之貢獻時，</w:t>
            </w:r>
            <w:r w:rsidRPr="00214254">
              <w:rPr>
                <w:rFonts w:eastAsia="標楷體" w:hAnsi="標楷體" w:cs="細明體"/>
                <w:kern w:val="0"/>
              </w:rPr>
              <w:t>依各參與人對所有參與人合併營業利潤之貢獻，計算各參與人應分配之營業利潤。合併營業利潤之分配，依下列步驟辦理：</w:t>
            </w:r>
          </w:p>
          <w:p w:rsidR="009F5D18" w:rsidRPr="00214254" w:rsidRDefault="009F5D18" w:rsidP="006106D4">
            <w:pPr>
              <w:widowControl/>
              <w:numPr>
                <w:ilvl w:val="0"/>
                <w:numId w:val="2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按例行性貢獻分配例行性利潤：</w:t>
            </w:r>
          </w:p>
          <w:p w:rsidR="009F5D18" w:rsidRPr="00214254" w:rsidRDefault="009F5D18" w:rsidP="006106D4">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以合併營業利潤為基礎，依各參與人從事相關營業活動之例行性貢獻，分配其應得之市場公平報酬。</w:t>
            </w:r>
          </w:p>
          <w:p w:rsidR="009F5D18" w:rsidRPr="00214254" w:rsidRDefault="009F5D18" w:rsidP="006106D4">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所稱例行性貢獻，指非關係人對於相同或類似營業活動之貢獻，其以可資辨識市場公平報酬之營業活動為基礎。</w:t>
            </w:r>
          </w:p>
          <w:p w:rsidR="009F5D18" w:rsidRPr="00214254" w:rsidRDefault="009F5D18" w:rsidP="006106D4">
            <w:pPr>
              <w:widowControl/>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計算例行性利潤時，應進行功能分析，依各參與人執行之功能、承擔之風險及使用之資產，確認其從事相關營業活動應分配之市場公平報酬。市場公平報酬，得參照前五條規定之方法決定之。</w:t>
            </w:r>
          </w:p>
          <w:p w:rsidR="009F5D18" w:rsidRPr="00214254" w:rsidRDefault="009F5D18" w:rsidP="006106D4">
            <w:pPr>
              <w:widowControl/>
              <w:numPr>
                <w:ilvl w:val="0"/>
                <w:numId w:val="24"/>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按對無形資產之貢獻分配剩餘利潤：合併營業利潤減除依前款規定分配予各參與人之例行性利潤後，以其餘額按各參與人於相關營業活動中對於無形資產之貢獻價值，計算其應分配之剩餘利潤。無形資產之貢獻價值，得以外部市場公平報酬，或無形資產之開發及所有相關改良、更新之資本</w:t>
            </w:r>
            <w:proofErr w:type="gramStart"/>
            <w:r w:rsidRPr="00214254">
              <w:rPr>
                <w:rFonts w:eastAsia="標楷體" w:hAnsi="標楷體" w:cs="細明體"/>
                <w:kern w:val="0"/>
              </w:rPr>
              <w:t>化成本減除</w:t>
            </w:r>
            <w:proofErr w:type="gramEnd"/>
            <w:r w:rsidRPr="00214254">
              <w:rPr>
                <w:rFonts w:eastAsia="標楷體" w:hAnsi="標楷體" w:cs="細明體"/>
                <w:kern w:val="0"/>
              </w:rPr>
              <w:t>適當</w:t>
            </w:r>
            <w:proofErr w:type="gramStart"/>
            <w:r w:rsidRPr="00214254">
              <w:rPr>
                <w:rFonts w:eastAsia="標楷體" w:hAnsi="標楷體" w:cs="細明體"/>
                <w:kern w:val="0"/>
              </w:rPr>
              <w:t>攤銷後之</w:t>
            </w:r>
            <w:proofErr w:type="gramEnd"/>
            <w:r w:rsidRPr="00214254">
              <w:rPr>
                <w:rFonts w:eastAsia="標楷體" w:hAnsi="標楷體" w:cs="細明體"/>
                <w:kern w:val="0"/>
              </w:rPr>
              <w:t>餘額為衡量標準。</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評估利潤分割法之適用性時，應考量第八條第一項規定之因素，尤應特別考量下列因素：</w:t>
            </w:r>
          </w:p>
          <w:p w:rsidR="009F5D18" w:rsidRPr="00214254" w:rsidRDefault="009F5D18" w:rsidP="006106D4">
            <w:pPr>
              <w:widowControl/>
              <w:numPr>
                <w:ilvl w:val="0"/>
                <w:numId w:val="2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決定例行性貢獻市場公平報酬之方法所應考量之因素，包括執行之功能、承擔之風險及使用之資產。</w:t>
            </w:r>
          </w:p>
          <w:p w:rsidR="009F5D18" w:rsidRPr="00214254" w:rsidRDefault="009F5D18" w:rsidP="006106D4">
            <w:pPr>
              <w:widowControl/>
              <w:numPr>
                <w:ilvl w:val="0"/>
                <w:numId w:val="2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成本、費用、所得及資產，於相關營業活動及其他活動間分攤方式之合理性及適宜性。</w:t>
            </w:r>
          </w:p>
          <w:p w:rsidR="009F5D18" w:rsidRPr="00214254" w:rsidRDefault="009F5D18" w:rsidP="006106D4">
            <w:pPr>
              <w:widowControl/>
              <w:numPr>
                <w:ilvl w:val="0"/>
                <w:numId w:val="2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會計處理之一致性。</w:t>
            </w:r>
          </w:p>
          <w:p w:rsidR="009F5D18" w:rsidRPr="00214254" w:rsidRDefault="009F5D18" w:rsidP="006106D4">
            <w:pPr>
              <w:widowControl/>
              <w:numPr>
                <w:ilvl w:val="0"/>
                <w:numId w:val="25"/>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決定各參與人對無形資產之貢獻價值所使用資料及假設之可信賴程度。</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受控交易參與人及其所從事之營業活動，與非關係人及其所從事相同或類似之營業活動間，如存在前項第一款至第三款因素之差異，應就該等差異之影響進行合理之調整，其無法經由合理之調整以消除該等差異者，應依本準則規定採用其他適合之常規交易方法。</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8"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20 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第十六條規定之可比較未受控交易毛利率、第十七條規定之可比較未受控交易成本加價率、第十八條規定之可比較未受控交易之利潤率指標及第十九條規定非關係人之市場公平報酬，以可比較未受控交易之財務報表資料為基礎。評估受控交易之結果是否符合常規，或決定受控交易之常規交易結果時，受控交易應</w:t>
            </w:r>
            <w:proofErr w:type="gramStart"/>
            <w:r w:rsidRPr="00214254">
              <w:rPr>
                <w:rFonts w:eastAsia="標楷體" w:hAnsi="標楷體" w:cs="細明體"/>
                <w:kern w:val="0"/>
              </w:rPr>
              <w:t>採</w:t>
            </w:r>
            <w:proofErr w:type="gramEnd"/>
            <w:r w:rsidRPr="00214254">
              <w:rPr>
                <w:rFonts w:eastAsia="標楷體" w:hAnsi="標楷體" w:cs="細明體"/>
                <w:kern w:val="0"/>
              </w:rPr>
              <w:t>與可比較未受控交易相同之基礎。</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t> </w:t>
            </w:r>
            <w:r w:rsidRPr="00214254">
              <w:rPr>
                <w:rFonts w:eastAsia="標楷體" w:cs="新細明體"/>
                <w:kern w:val="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四</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文據資料</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79" w:history="1">
              <w:r w:rsidR="009F5D18" w:rsidRPr="00214254">
                <w:rPr>
                  <w:rFonts w:eastAsia="標楷體" w:hAnsi="標楷體" w:cs="新細明體"/>
                  <w:kern w:val="0"/>
                  <w:u w:val="single"/>
                </w:rPr>
                <w:t>第</w:t>
              </w:r>
              <w:r w:rsidR="009F5D18" w:rsidRPr="00214254">
                <w:rPr>
                  <w:rFonts w:eastAsia="標楷體" w:cs="新細明體"/>
                  <w:kern w:val="0"/>
                  <w:u w:val="single"/>
                </w:rPr>
                <w:t> 21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營利事業於辦理所得稅結算</w:t>
            </w:r>
            <w:r w:rsidRPr="00214254">
              <w:rPr>
                <w:rFonts w:eastAsia="標楷體" w:hAnsi="標楷體" w:cs="細明體" w:hint="eastAsia"/>
                <w:kern w:val="0"/>
              </w:rPr>
              <w:t>或決算</w:t>
            </w:r>
            <w:r w:rsidRPr="00214254">
              <w:rPr>
                <w:rFonts w:eastAsia="標楷體" w:hAnsi="標楷體" w:cs="細明體"/>
                <w:kern w:val="0"/>
              </w:rPr>
              <w:t>申報時，應依規定格式揭露第四條第一項第一款關係企業或第二款關係人之資料，及其與該等關係企業或關係人相互間交易之資料。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（調查時應提示之文據）</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0"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22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從事受控交易之營利事業，於辦理交易年度之所得稅結算</w:t>
            </w:r>
            <w:r w:rsidRPr="00214254">
              <w:rPr>
                <w:rFonts w:eastAsia="標楷體" w:hAnsi="標楷體" w:cs="細明體" w:hint="eastAsia"/>
                <w:kern w:val="0"/>
              </w:rPr>
              <w:t>或決算</w:t>
            </w:r>
            <w:r w:rsidRPr="00214254">
              <w:rPr>
                <w:rFonts w:eastAsia="標楷體" w:hAnsi="標楷體" w:cs="細明體"/>
                <w:kern w:val="0"/>
              </w:rPr>
              <w:t>申報時，應備妥下列文據：</w:t>
            </w:r>
          </w:p>
          <w:p w:rsidR="009F5D18" w:rsidRPr="00214254" w:rsidRDefault="009F5D18" w:rsidP="006106D4">
            <w:pPr>
              <w:widowControl/>
              <w:numPr>
                <w:ilvl w:val="0"/>
                <w:numId w:val="2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企業綜</w:t>
            </w:r>
            <w:proofErr w:type="gramStart"/>
            <w:r w:rsidRPr="00214254">
              <w:rPr>
                <w:rFonts w:eastAsia="標楷體" w:hAnsi="標楷體" w:cs="細明體"/>
                <w:kern w:val="0"/>
              </w:rPr>
              <w:t>覽</w:t>
            </w:r>
            <w:proofErr w:type="gramEnd"/>
            <w:r w:rsidRPr="00214254">
              <w:rPr>
                <w:rFonts w:eastAsia="標楷體" w:hAnsi="標楷體" w:cs="細明體"/>
                <w:kern w:val="0"/>
              </w:rPr>
              <w:t>：包括營運歷史及主要商業活動之說明、影響移轉訂價之經濟、法律及其他因素之分析。</w:t>
            </w:r>
          </w:p>
          <w:p w:rsidR="009F5D18" w:rsidRPr="00214254" w:rsidRDefault="009F5D18" w:rsidP="006106D4">
            <w:pPr>
              <w:widowControl/>
              <w:numPr>
                <w:ilvl w:val="0"/>
                <w:numId w:val="2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組織結構：包括國內、外關係企業結構圖、董事、監察人及經理人名冊及查核年度前後一年異動資料等。</w:t>
            </w:r>
          </w:p>
          <w:p w:rsidR="009F5D18" w:rsidRPr="00214254" w:rsidRDefault="009F5D18" w:rsidP="006106D4">
            <w:pPr>
              <w:widowControl/>
              <w:numPr>
                <w:ilvl w:val="0"/>
                <w:numId w:val="2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受控交易之彙整資料：包括交易類型、流程、日期、標的、數量、價格、契約條款及交易標的資產或服務之用途。所稱用途，內容包括供</w:t>
            </w:r>
            <w:r w:rsidRPr="00214254">
              <w:rPr>
                <w:rFonts w:eastAsia="標楷體" w:hAnsi="標楷體" w:cs="細明體"/>
                <w:kern w:val="0"/>
              </w:rPr>
              <w:t xml:space="preserve"> </w:t>
            </w:r>
            <w:r w:rsidRPr="00214254">
              <w:rPr>
                <w:rFonts w:eastAsia="標楷體" w:hAnsi="標楷體" w:cs="細明體"/>
                <w:kern w:val="0"/>
              </w:rPr>
              <w:t>銷售或使用及其效益敘述。</w:t>
            </w:r>
          </w:p>
          <w:p w:rsidR="009F5D18" w:rsidRPr="00214254" w:rsidRDefault="009F5D18" w:rsidP="006106D4">
            <w:pPr>
              <w:widowControl/>
              <w:numPr>
                <w:ilvl w:val="0"/>
                <w:numId w:val="2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移轉訂價報告，至少需包括下列內容：</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產業及經濟情況分析。</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受控交易各參與人之功能及風險分析。</w:t>
            </w:r>
            <w:r w:rsidRPr="00214254">
              <w:rPr>
                <w:rFonts w:eastAsia="標楷體" w:hAnsi="標楷體" w:cs="細明體" w:hint="eastAsia"/>
                <w:kern w:val="0"/>
              </w:rPr>
              <w:t>但涉及企業重組者，應包括前一年度之分析。</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依第七條規定原則辦理之情形。</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依第八條規定選定之可比較對象及相關資料。</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依第九條第一款規定進行之可比較程度分析。</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選定之</w:t>
            </w:r>
            <w:proofErr w:type="gramStart"/>
            <w:r w:rsidRPr="00214254">
              <w:rPr>
                <w:rFonts w:eastAsia="標楷體" w:hAnsi="標楷體" w:cs="細明體"/>
                <w:kern w:val="0"/>
              </w:rPr>
              <w:t>最</w:t>
            </w:r>
            <w:proofErr w:type="gramEnd"/>
            <w:r w:rsidRPr="00214254">
              <w:rPr>
                <w:rFonts w:eastAsia="標楷體" w:hAnsi="標楷體" w:cs="細明體"/>
                <w:kern w:val="0"/>
              </w:rPr>
              <w:t>適常規交易方法及選定之理由、列入考量之其他常規交易方法及不予採用之理由。</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受控交易之其他參與人採用之訂價方法及相關資料。</w:t>
            </w:r>
          </w:p>
          <w:p w:rsidR="009F5D18" w:rsidRPr="00214254" w:rsidRDefault="009F5D18" w:rsidP="006106D4">
            <w:pPr>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依</w:t>
            </w:r>
            <w:proofErr w:type="gramStart"/>
            <w:r w:rsidRPr="00214254">
              <w:rPr>
                <w:rFonts w:eastAsia="標楷體" w:hAnsi="標楷體" w:cs="細明體"/>
                <w:kern w:val="0"/>
              </w:rPr>
              <w:t>最</w:t>
            </w:r>
            <w:proofErr w:type="gramEnd"/>
            <w:r w:rsidRPr="00214254">
              <w:rPr>
                <w:rFonts w:eastAsia="標楷體" w:hAnsi="標楷體" w:cs="細明體"/>
                <w:kern w:val="0"/>
              </w:rPr>
              <w:t>適常規交易方法評估是否符合常規或決定常規交易結果之情形，包括所使用之可比較對象相關資料、為消除第九條第一款規定因素之差異所作之調整、使用之假設、常規交易範圍、是否符合常規之結論及按常規交易結果調整之情形等。</w:t>
            </w:r>
          </w:p>
          <w:p w:rsidR="009F5D18" w:rsidRPr="00214254" w:rsidRDefault="009F5D18" w:rsidP="006106D4">
            <w:pPr>
              <w:widowControl/>
              <w:numPr>
                <w:ilvl w:val="0"/>
                <w:numId w:val="26"/>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公司法第三百六十九條之十二規定之關係報告書、關係企業合併營業報告書等資料。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4" w:hangingChars="185" w:hanging="444"/>
              <w:jc w:val="both"/>
              <w:rPr>
                <w:rFonts w:eastAsia="標楷體" w:cs="細明體"/>
                <w:kern w:val="0"/>
              </w:rPr>
            </w:pPr>
            <w:r w:rsidRPr="00214254">
              <w:rPr>
                <w:rFonts w:eastAsia="標楷體" w:hAnsi="標楷體" w:cs="細明體"/>
                <w:kern w:val="0"/>
              </w:rPr>
              <w:t>六、其他與關係人或受控交易有關並影響其訂價之文件。</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營利事業與另一營利事業相互間，如因特殊市場或經濟因素所致而有第三條第八款第三目至第五目規定之情形，但確無實質控制或從屬關係者，得於辦理該年度所得稅結算申報前提示足資證明之文件送交該管</w:t>
            </w:r>
            <w:proofErr w:type="gramStart"/>
            <w:r w:rsidRPr="00214254">
              <w:rPr>
                <w:rFonts w:eastAsia="標楷體" w:hAnsi="標楷體" w:cs="細明體"/>
                <w:kern w:val="0"/>
              </w:rPr>
              <w:t>稽</w:t>
            </w:r>
            <w:proofErr w:type="gramEnd"/>
            <w:r w:rsidRPr="00214254">
              <w:rPr>
                <w:rFonts w:eastAsia="標楷體" w:hAnsi="標楷體" w:cs="細明體"/>
                <w:kern w:val="0"/>
              </w:rPr>
              <w:t>徵機關確認；其經確認者，不適用前項</w:t>
            </w:r>
            <w:proofErr w:type="gramStart"/>
            <w:r w:rsidRPr="00214254">
              <w:rPr>
                <w:rFonts w:eastAsia="標楷體" w:hAnsi="標楷體" w:cs="細明體"/>
                <w:kern w:val="0"/>
              </w:rPr>
              <w:t>備妥文據</w:t>
            </w:r>
            <w:proofErr w:type="gramEnd"/>
            <w:r w:rsidRPr="00214254">
              <w:rPr>
                <w:rFonts w:eastAsia="標楷體" w:hAnsi="標楷體" w:cs="細明體"/>
                <w:kern w:val="0"/>
              </w:rPr>
              <w:t>之規定。</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受控交易之金額在財政部規定標準以下者，得以其他足資證明其訂價結果符合常規交易結果之文據取代第一項第四款規定之移轉訂價報告。</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proofErr w:type="gramStart"/>
            <w:r w:rsidRPr="00214254">
              <w:rPr>
                <w:rFonts w:eastAsia="標楷體" w:hAnsi="標楷體" w:cs="細明體"/>
                <w:kern w:val="0"/>
              </w:rPr>
              <w:t>稽</w:t>
            </w:r>
            <w:proofErr w:type="gramEnd"/>
            <w:r w:rsidRPr="00214254">
              <w:rPr>
                <w:rFonts w:eastAsia="標楷體" w:hAnsi="標楷體" w:cs="細明體"/>
                <w:kern w:val="0"/>
              </w:rPr>
              <w:t>徵機關依本準則規定進行調查時，營利事業應於</w:t>
            </w:r>
            <w:proofErr w:type="gramStart"/>
            <w:r w:rsidRPr="00214254">
              <w:rPr>
                <w:rFonts w:eastAsia="標楷體" w:hAnsi="標楷體" w:cs="細明體"/>
                <w:kern w:val="0"/>
              </w:rPr>
              <w:t>稽</w:t>
            </w:r>
            <w:proofErr w:type="gramEnd"/>
            <w:r w:rsidRPr="00214254">
              <w:rPr>
                <w:rFonts w:eastAsia="標楷體" w:hAnsi="標楷體" w:cs="細明體"/>
                <w:kern w:val="0"/>
              </w:rPr>
              <w:t>徵機關書面調查函送達之日起一個月內提示第一項規定之文據；其因特殊情形，不能於規定期間內提示者，應於期間屆滿前申請延期，延長之期間最長不得超過一個月，並以一次為限。</w:t>
            </w:r>
            <w:proofErr w:type="gramStart"/>
            <w:r w:rsidRPr="00214254">
              <w:rPr>
                <w:rFonts w:eastAsia="標楷體" w:hAnsi="標楷體" w:cs="細明體"/>
                <w:kern w:val="0"/>
              </w:rPr>
              <w:t>稽</w:t>
            </w:r>
            <w:proofErr w:type="gramEnd"/>
            <w:r w:rsidRPr="00214254">
              <w:rPr>
                <w:rFonts w:eastAsia="標楷體" w:hAnsi="標楷體" w:cs="細明體"/>
                <w:kern w:val="0"/>
              </w:rPr>
              <w:t>徵機關經審閱營利事業所提示之文據，認為有再提供支持該等文據之必要文件及資料者，營利事業應於一個月內提供。</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營利事業依前項規定提供之文據，應附目錄及索引；提供之資料為外文者，應附中文譯本，但經</w:t>
            </w:r>
            <w:proofErr w:type="gramStart"/>
            <w:r w:rsidRPr="00214254">
              <w:rPr>
                <w:rFonts w:eastAsia="標楷體" w:hAnsi="標楷體" w:cs="細明體"/>
                <w:kern w:val="0"/>
              </w:rPr>
              <w:t>稽</w:t>
            </w:r>
            <w:proofErr w:type="gramEnd"/>
            <w:r w:rsidRPr="00214254">
              <w:rPr>
                <w:rFonts w:eastAsia="標楷體" w:hAnsi="標楷體" w:cs="細明體"/>
                <w:kern w:val="0"/>
              </w:rPr>
              <w:t>徵機關核准提示英文版本者，不在此限。</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第一項第四款規定，自九十四年度營利事業所得稅結算申報案件適用之。</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lastRenderedPageBreak/>
              <w:t> </w:t>
            </w:r>
            <w:r w:rsidRPr="00214254">
              <w:rPr>
                <w:rFonts w:eastAsia="標楷體" w:cs="新細明體"/>
                <w:kern w:val="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五</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預先訂價協議</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1" w:history="1">
              <w:r w:rsidR="009F5D18" w:rsidRPr="00214254">
                <w:rPr>
                  <w:rFonts w:eastAsia="標楷體" w:hAnsi="標楷體" w:cs="新細明體"/>
                  <w:kern w:val="0"/>
                  <w:u w:val="single"/>
                </w:rPr>
                <w:t>第</w:t>
              </w:r>
              <w:r w:rsidR="009F5D18" w:rsidRPr="00214254">
                <w:rPr>
                  <w:rFonts w:eastAsia="標楷體" w:cs="新細明體"/>
                  <w:kern w:val="0"/>
                  <w:u w:val="single"/>
                </w:rPr>
                <w:t> 23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營利事業與其關係人進行交易，符合下列各款條件者，得由該營利事業依本章規定，向該管</w:t>
            </w:r>
            <w:proofErr w:type="gramStart"/>
            <w:r w:rsidRPr="00214254">
              <w:rPr>
                <w:rFonts w:eastAsia="標楷體" w:hAnsi="標楷體" w:cs="細明體"/>
                <w:kern w:val="0"/>
              </w:rPr>
              <w:t>稽</w:t>
            </w:r>
            <w:proofErr w:type="gramEnd"/>
            <w:r w:rsidRPr="00214254">
              <w:rPr>
                <w:rFonts w:eastAsia="標楷體" w:hAnsi="標楷體" w:cs="細明體"/>
                <w:kern w:val="0"/>
              </w:rPr>
              <w:t>徵機關申請預先訂價協議，議定其常規交易結果：</w:t>
            </w:r>
          </w:p>
          <w:p w:rsidR="009F5D18" w:rsidRPr="00214254" w:rsidRDefault="009F5D18" w:rsidP="006106D4">
            <w:pPr>
              <w:widowControl/>
              <w:numPr>
                <w:ilvl w:val="0"/>
                <w:numId w:val="2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申請預先訂價協議之交易，其交易總額達新臺幣</w:t>
            </w:r>
            <w:r w:rsidRPr="00214254">
              <w:rPr>
                <w:rFonts w:eastAsia="標楷體" w:hAnsi="標楷體" w:cs="細明體" w:hint="eastAsia"/>
                <w:kern w:val="0"/>
              </w:rPr>
              <w:t>五</w:t>
            </w:r>
            <w:r w:rsidRPr="00214254">
              <w:rPr>
                <w:rFonts w:eastAsia="標楷體" w:hAnsi="標楷體" w:cs="細明體"/>
                <w:kern w:val="0"/>
              </w:rPr>
              <w:t>億元以上或年度交易金額達新臺幣</w:t>
            </w:r>
            <w:r w:rsidRPr="00214254">
              <w:rPr>
                <w:rFonts w:eastAsia="標楷體" w:hAnsi="標楷體" w:cs="細明體" w:hint="eastAsia"/>
                <w:kern w:val="0"/>
              </w:rPr>
              <w:t>兩</w:t>
            </w:r>
            <w:r w:rsidRPr="00214254">
              <w:rPr>
                <w:rFonts w:eastAsia="標楷體" w:hAnsi="標楷體" w:cs="細明體"/>
                <w:kern w:val="0"/>
              </w:rPr>
              <w:t>億元以上。</w:t>
            </w:r>
          </w:p>
          <w:p w:rsidR="009F5D18" w:rsidRPr="00214254" w:rsidRDefault="009F5D18" w:rsidP="006106D4">
            <w:pPr>
              <w:widowControl/>
              <w:numPr>
                <w:ilvl w:val="0"/>
                <w:numId w:val="2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前三年度無重大逃漏稅情事。</w:t>
            </w:r>
          </w:p>
          <w:p w:rsidR="009F5D18" w:rsidRPr="00214254" w:rsidRDefault="009F5D18" w:rsidP="006106D4">
            <w:pPr>
              <w:widowControl/>
              <w:numPr>
                <w:ilvl w:val="0"/>
                <w:numId w:val="2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已備妥第二十四條第一項第一款至第四款及第六款至第十款規定之文件。</w:t>
            </w:r>
          </w:p>
          <w:p w:rsidR="009F5D18" w:rsidRPr="00214254" w:rsidRDefault="009F5D18" w:rsidP="006106D4">
            <w:pPr>
              <w:widowControl/>
              <w:numPr>
                <w:ilvl w:val="0"/>
                <w:numId w:val="2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已完成第二十四條第一項第五款規定之移轉訂價報告。</w:t>
            </w:r>
          </w:p>
          <w:p w:rsidR="009F5D18" w:rsidRPr="00214254" w:rsidRDefault="009F5D18" w:rsidP="006106D4">
            <w:pPr>
              <w:widowControl/>
              <w:numPr>
                <w:ilvl w:val="0"/>
                <w:numId w:val="27"/>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其他經財政部核定之條件。</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申請預先訂價協議之營利事業</w:t>
            </w:r>
            <w:r w:rsidRPr="00214254">
              <w:rPr>
                <w:rFonts w:eastAsia="標楷體" w:cs="細明體"/>
                <w:kern w:val="0"/>
              </w:rPr>
              <w:t xml:space="preserve"> (</w:t>
            </w:r>
            <w:r w:rsidRPr="00214254">
              <w:rPr>
                <w:rFonts w:eastAsia="標楷體" w:hAnsi="標楷體" w:cs="細明體"/>
                <w:kern w:val="0"/>
              </w:rPr>
              <w:t>以下簡稱申請人</w:t>
            </w:r>
            <w:r w:rsidRPr="00214254">
              <w:rPr>
                <w:rFonts w:eastAsia="標楷體" w:cs="細明體"/>
                <w:kern w:val="0"/>
              </w:rPr>
              <w:t xml:space="preserve">) </w:t>
            </w:r>
            <w:r w:rsidRPr="00214254">
              <w:rPr>
                <w:rFonts w:eastAsia="標楷體" w:hAnsi="標楷體" w:cs="細明體"/>
                <w:kern w:val="0"/>
              </w:rPr>
              <w:t>應於前項第一款交易所涵蓋之第一個會計年度終了前，依規定格式向該管</w:t>
            </w:r>
            <w:proofErr w:type="gramStart"/>
            <w:r w:rsidRPr="00214254">
              <w:rPr>
                <w:rFonts w:eastAsia="標楷體" w:hAnsi="標楷體" w:cs="細明體"/>
                <w:kern w:val="0"/>
              </w:rPr>
              <w:t>稽</w:t>
            </w:r>
            <w:proofErr w:type="gramEnd"/>
            <w:r w:rsidRPr="00214254">
              <w:rPr>
                <w:rFonts w:eastAsia="標楷體" w:hAnsi="標楷體" w:cs="細明體"/>
                <w:kern w:val="0"/>
              </w:rPr>
              <w:t>徵機關申請；申請人有數人時，應推派一人申請之。該管</w:t>
            </w:r>
            <w:proofErr w:type="gramStart"/>
            <w:r w:rsidRPr="00214254">
              <w:rPr>
                <w:rFonts w:eastAsia="標楷體" w:hAnsi="標楷體" w:cs="細明體"/>
                <w:kern w:val="0"/>
              </w:rPr>
              <w:t>稽</w:t>
            </w:r>
            <w:proofErr w:type="gramEnd"/>
            <w:r w:rsidRPr="00214254">
              <w:rPr>
                <w:rFonts w:eastAsia="標楷體" w:hAnsi="標楷體" w:cs="細明體"/>
                <w:kern w:val="0"/>
              </w:rPr>
              <w:t>徵機關收到申請書後，應於一個月內書面通知申請人是否受理，其經同意受理者，應於書面通知送達之日起</w:t>
            </w:r>
            <w:r w:rsidRPr="00214254">
              <w:rPr>
                <w:rFonts w:eastAsia="標楷體" w:hAnsi="標楷體" w:cs="細明體" w:hint="eastAsia"/>
                <w:kern w:val="0"/>
              </w:rPr>
              <w:t>三</w:t>
            </w:r>
            <w:r w:rsidRPr="00214254">
              <w:rPr>
                <w:rFonts w:eastAsia="標楷體" w:hAnsi="標楷體" w:cs="細明體"/>
                <w:kern w:val="0"/>
              </w:rPr>
              <w:t>個月內提供前項第三款及第四款規定之文件及報告。</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前項規定格式應載明下列事項：</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申請人及其代理人之名稱或姓名、統一編號或身分證字號、住址。</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委託代理人申請者，應檢附授權書正本。</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申請預先訂價協議交易之內容概述。</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申請預先訂價協議交易之交易總額或年度交易金額。</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是否已備妥第一項第三款及第四款規定之文件及報告。</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以前年度是否曾經</w:t>
            </w:r>
            <w:proofErr w:type="gramStart"/>
            <w:r w:rsidRPr="00214254">
              <w:rPr>
                <w:rFonts w:eastAsia="標楷體" w:hAnsi="標楷體" w:cs="細明體"/>
                <w:kern w:val="0"/>
              </w:rPr>
              <w:t>稽</w:t>
            </w:r>
            <w:proofErr w:type="gramEnd"/>
            <w:r w:rsidRPr="00214254">
              <w:rPr>
                <w:rFonts w:eastAsia="標楷體" w:hAnsi="標楷體" w:cs="細明體"/>
                <w:kern w:val="0"/>
              </w:rPr>
              <w:t>徵機關進行不合常規之調查。</w:t>
            </w:r>
          </w:p>
          <w:p w:rsidR="009F5D18" w:rsidRPr="00214254" w:rsidRDefault="009F5D18" w:rsidP="006106D4">
            <w:pPr>
              <w:widowControl/>
              <w:numPr>
                <w:ilvl w:val="0"/>
                <w:numId w:val="28"/>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其他應載明事項。</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營利事業依第一項規定申請預先訂價協議前，得於第一項第一款交易所涵蓋之第一個會計年度終了三個月前，以書面向該管</w:t>
            </w:r>
            <w:proofErr w:type="gramStart"/>
            <w:r w:rsidRPr="00214254">
              <w:rPr>
                <w:rFonts w:eastAsia="標楷體" w:cs="細明體" w:hint="eastAsia"/>
                <w:kern w:val="0"/>
                <w:szCs w:val="26"/>
              </w:rPr>
              <w:t>稽</w:t>
            </w:r>
            <w:proofErr w:type="gramEnd"/>
            <w:r w:rsidRPr="00214254">
              <w:rPr>
                <w:rFonts w:eastAsia="標楷體" w:cs="細明體" w:hint="eastAsia"/>
                <w:kern w:val="0"/>
                <w:szCs w:val="26"/>
              </w:rPr>
              <w:t>徵機關申請預備會議並提供下列資料，供</w:t>
            </w:r>
            <w:proofErr w:type="gramStart"/>
            <w:r w:rsidRPr="00214254">
              <w:rPr>
                <w:rFonts w:eastAsia="標楷體" w:cs="細明體" w:hint="eastAsia"/>
                <w:kern w:val="0"/>
                <w:szCs w:val="26"/>
              </w:rPr>
              <w:t>稽</w:t>
            </w:r>
            <w:proofErr w:type="gramEnd"/>
            <w:r w:rsidRPr="00214254">
              <w:rPr>
                <w:rFonts w:eastAsia="標楷體" w:cs="細明體" w:hint="eastAsia"/>
                <w:kern w:val="0"/>
                <w:szCs w:val="26"/>
              </w:rPr>
              <w:t>徵機關審核評估是否同意預先訂價協議之申請：</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申請適用期間。</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集團全球組織架構。</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企業主要經營項目。</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參與關係人及受控交易類型與功能和風險說明。</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申請預先訂價協議理由。</w:t>
            </w:r>
          </w:p>
          <w:p w:rsidR="009F5D18" w:rsidRPr="00214254" w:rsidRDefault="009F5D18" w:rsidP="006106D4">
            <w:pPr>
              <w:widowControl/>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標楷體" w:eastAsia="標楷體" w:hAnsi="標楷體" w:cs="細明體"/>
                <w:color w:val="000000"/>
                <w:kern w:val="0"/>
                <w:szCs w:val="26"/>
              </w:rPr>
            </w:pPr>
            <w:r w:rsidRPr="00214254">
              <w:rPr>
                <w:rFonts w:ascii="標楷體" w:eastAsia="標楷體" w:hAnsi="標楷體" w:cs="細明體" w:hint="eastAsia"/>
                <w:color w:val="000000"/>
                <w:kern w:val="0"/>
                <w:szCs w:val="26"/>
              </w:rPr>
              <w:t>其他需要說明情況。</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proofErr w:type="gramStart"/>
            <w:r w:rsidRPr="00214254">
              <w:rPr>
                <w:rFonts w:eastAsia="標楷體" w:cs="細明體" w:hint="eastAsia"/>
                <w:kern w:val="0"/>
                <w:szCs w:val="26"/>
              </w:rPr>
              <w:t>稽</w:t>
            </w:r>
            <w:proofErr w:type="gramEnd"/>
            <w:r w:rsidRPr="00214254">
              <w:rPr>
                <w:rFonts w:eastAsia="標楷體" w:cs="細明體" w:hint="eastAsia"/>
                <w:kern w:val="0"/>
                <w:szCs w:val="26"/>
              </w:rPr>
              <w:t>徵機關應於營利事業申請預備會議之日起三個月內完成前項預備會議，並以書面通知申請人是否同意正式申請，營利事業應於書面通知送達之日起三個月內依第二項規定格式，並檢附第一項第三款及第四款規定之文件及報告，向該管</w:t>
            </w:r>
            <w:proofErr w:type="gramStart"/>
            <w:r w:rsidRPr="00214254">
              <w:rPr>
                <w:rFonts w:eastAsia="標楷體" w:cs="細明體" w:hint="eastAsia"/>
                <w:kern w:val="0"/>
                <w:szCs w:val="26"/>
              </w:rPr>
              <w:t>稽</w:t>
            </w:r>
            <w:proofErr w:type="gramEnd"/>
            <w:r w:rsidRPr="00214254">
              <w:rPr>
                <w:rFonts w:eastAsia="標楷體" w:cs="細明體" w:hint="eastAsia"/>
                <w:kern w:val="0"/>
                <w:szCs w:val="26"/>
              </w:rPr>
              <w:t>徵機關申請預先訂價協議。</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szCs w:val="26"/>
              </w:rPr>
            </w:pPr>
            <w:r w:rsidRPr="00214254">
              <w:rPr>
                <w:rFonts w:eastAsia="標楷體" w:cs="細明體" w:hint="eastAsia"/>
                <w:kern w:val="0"/>
                <w:szCs w:val="26"/>
              </w:rPr>
              <w:t>申請人未依第二項或第五項規定期間內提供相關文件及報告者，該管</w:t>
            </w:r>
            <w:proofErr w:type="gramStart"/>
            <w:r w:rsidRPr="00214254">
              <w:rPr>
                <w:rFonts w:eastAsia="標楷體" w:cs="細明體" w:hint="eastAsia"/>
                <w:kern w:val="0"/>
                <w:szCs w:val="26"/>
              </w:rPr>
              <w:t>稽</w:t>
            </w:r>
            <w:proofErr w:type="gramEnd"/>
            <w:r w:rsidRPr="00214254">
              <w:rPr>
                <w:rFonts w:eastAsia="標楷體" w:cs="細明體" w:hint="eastAsia"/>
                <w:kern w:val="0"/>
                <w:szCs w:val="26"/>
              </w:rPr>
              <w:t>徵機關得否准或不予受理其預先訂價協議之申請。</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cs="細明體" w:hint="eastAsia"/>
                <w:kern w:val="0"/>
                <w:szCs w:val="26"/>
              </w:rPr>
              <w:lastRenderedPageBreak/>
              <w:t>營利事業如申請跨境雙邊或多邊預先訂價協議，應另依所適用之所得稅協定及相關法令向我國主管機關申請與他方締約國主管機關進行相互協議程序。</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2"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24 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申請人或其代理人向該管</w:t>
            </w:r>
            <w:proofErr w:type="gramStart"/>
            <w:r w:rsidRPr="00214254">
              <w:rPr>
                <w:rFonts w:eastAsia="標楷體" w:hAnsi="標楷體" w:cs="細明體"/>
                <w:kern w:val="0"/>
              </w:rPr>
              <w:t>稽</w:t>
            </w:r>
            <w:proofErr w:type="gramEnd"/>
            <w:r w:rsidRPr="00214254">
              <w:rPr>
                <w:rFonts w:eastAsia="標楷體" w:hAnsi="標楷體" w:cs="細明體"/>
                <w:kern w:val="0"/>
              </w:rPr>
              <w:t>徵機關申請預先訂價協議時，應依規定提供下列文件及報告：</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企業綜</w:t>
            </w:r>
            <w:proofErr w:type="gramStart"/>
            <w:r w:rsidRPr="00214254">
              <w:rPr>
                <w:rFonts w:eastAsia="標楷體" w:hAnsi="標楷體" w:cs="細明體"/>
                <w:kern w:val="0"/>
              </w:rPr>
              <w:t>覽</w:t>
            </w:r>
            <w:proofErr w:type="gramEnd"/>
            <w:r w:rsidRPr="00214254">
              <w:rPr>
                <w:rFonts w:eastAsia="標楷體" w:hAnsi="標楷體" w:cs="細明體"/>
                <w:kern w:val="0"/>
              </w:rPr>
              <w:t>：包括營運歷史及主要商業活動之說明、影響移轉訂價之經濟、法律及其他因素之分析。</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國內外關係人結構圖。</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參與申請預先訂價協議交易之關係人相關資料：包括營運、法律、稅務、財務、會計、經濟等六個層面之分析報告，及申請年度之前</w:t>
            </w:r>
            <w:proofErr w:type="gramStart"/>
            <w:r w:rsidRPr="00214254">
              <w:rPr>
                <w:rFonts w:eastAsia="標楷體" w:hAnsi="標楷體" w:cs="細明體"/>
                <w:kern w:val="0"/>
              </w:rPr>
              <w:t>三</w:t>
            </w:r>
            <w:proofErr w:type="gramEnd"/>
            <w:r w:rsidRPr="00214254">
              <w:rPr>
                <w:rFonts w:eastAsia="標楷體" w:hAnsi="標楷體" w:cs="細明體"/>
                <w:kern w:val="0"/>
              </w:rPr>
              <w:t>年度所得稅申報書及財務報表。</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申請預先訂價協議交易之相關資料：</w:t>
            </w:r>
          </w:p>
          <w:p w:rsidR="009F5D18" w:rsidRPr="00214254" w:rsidRDefault="009F5D18" w:rsidP="006106D4">
            <w:pPr>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參與交易之關係人名稱及其與申請人之關係。</w:t>
            </w:r>
          </w:p>
          <w:p w:rsidR="009F5D18" w:rsidRPr="00214254" w:rsidRDefault="009F5D18" w:rsidP="006106D4">
            <w:pPr>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交易類型、流程、日期、標的、數量、價格、契約條款及交易標的資產或服務之用途。所稱用途，內容包括供銷售或使用及其效益敘述。</w:t>
            </w:r>
          </w:p>
          <w:p w:rsidR="009F5D18" w:rsidRPr="00214254" w:rsidRDefault="009F5D18" w:rsidP="006106D4">
            <w:pPr>
              <w:widowControl/>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交易涵蓋之期間。</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移轉訂價報告，其內容除</w:t>
            </w:r>
            <w:proofErr w:type="gramStart"/>
            <w:r w:rsidRPr="00214254">
              <w:rPr>
                <w:rFonts w:eastAsia="標楷體" w:hAnsi="標楷體" w:cs="細明體"/>
                <w:kern w:val="0"/>
              </w:rPr>
              <w:t>準</w:t>
            </w:r>
            <w:proofErr w:type="gramEnd"/>
            <w:r w:rsidRPr="00214254">
              <w:rPr>
                <w:rFonts w:eastAsia="標楷體" w:hAnsi="標楷體" w:cs="細明體"/>
                <w:kern w:val="0"/>
              </w:rPr>
              <w:t>用第二十二條第一項第四款各目之規定外，另應特別載明下列資料：</w:t>
            </w:r>
          </w:p>
          <w:p w:rsidR="009F5D18" w:rsidRPr="00214254" w:rsidRDefault="009F5D18" w:rsidP="006106D4">
            <w:pPr>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影響訂價之假設條件。</w:t>
            </w:r>
          </w:p>
          <w:p w:rsidR="009F5D18" w:rsidRPr="00214254" w:rsidRDefault="009F5D18" w:rsidP="006106D4">
            <w:pPr>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採用本準則未規定之常規交易方法時，應特別分析並說明該方法較規定之常規交易方法更為適用、更能產生常規交易結果之理由，並</w:t>
            </w:r>
            <w:proofErr w:type="gramStart"/>
            <w:r w:rsidRPr="00214254">
              <w:rPr>
                <w:rFonts w:eastAsia="標楷體" w:hAnsi="標楷體" w:cs="細明體"/>
                <w:kern w:val="0"/>
              </w:rPr>
              <w:t>檢附足資</w:t>
            </w:r>
            <w:proofErr w:type="gramEnd"/>
            <w:r w:rsidRPr="00214254">
              <w:rPr>
                <w:rFonts w:eastAsia="標楷體" w:hAnsi="標楷體" w:cs="細明體"/>
                <w:kern w:val="0"/>
              </w:rPr>
              <w:t>證明之文件。</w:t>
            </w:r>
          </w:p>
          <w:p w:rsidR="009F5D18" w:rsidRPr="00214254" w:rsidRDefault="009F5D18" w:rsidP="006106D4">
            <w:pPr>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直接影響其訂價方法之重要財務會計處理。</w:t>
            </w:r>
          </w:p>
          <w:p w:rsidR="009F5D18" w:rsidRPr="00214254" w:rsidRDefault="009F5D18" w:rsidP="006106D4">
            <w:pPr>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申請預先訂價協議交易所涉國家與我國之財務會計與稅法間之重大差異，但以足以影響其所採用之常規交易方法之差異為限。</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申請人與其他關係人進行相同交易或關聯交易之訂價資料。</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預先訂價協議適用期間內各年度經營效益預測及規劃等。</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申請當時與國內外業務主管機關間，已發生或討論中與其所採用之訂價方法有關之問題說明或已獲致之結論，或與國外業務</w:t>
            </w:r>
            <w:proofErr w:type="gramStart"/>
            <w:r w:rsidRPr="00214254">
              <w:rPr>
                <w:rFonts w:eastAsia="標楷體" w:hAnsi="標楷體" w:cs="細明體"/>
                <w:kern w:val="0"/>
              </w:rPr>
              <w:t>主管機關間已簽署</w:t>
            </w:r>
            <w:proofErr w:type="gramEnd"/>
            <w:r w:rsidRPr="00214254">
              <w:rPr>
                <w:rFonts w:eastAsia="標楷體" w:hAnsi="標楷體" w:cs="細明體"/>
                <w:kern w:val="0"/>
              </w:rPr>
              <w:t>之預先訂價協議。</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可能出現之重複課稅問題，及是否涉及租稅協定國之雙邊或多邊預先訂價協議。</w:t>
            </w:r>
          </w:p>
          <w:p w:rsidR="009F5D18" w:rsidRPr="00214254" w:rsidRDefault="009F5D18" w:rsidP="006106D4">
            <w:pPr>
              <w:widowControl/>
              <w:numPr>
                <w:ilvl w:val="0"/>
                <w:numId w:val="29"/>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其他經</w:t>
            </w:r>
            <w:proofErr w:type="gramStart"/>
            <w:r w:rsidRPr="00214254">
              <w:rPr>
                <w:rFonts w:eastAsia="標楷體" w:hAnsi="標楷體" w:cs="細明體"/>
                <w:kern w:val="0"/>
              </w:rPr>
              <w:t>稽</w:t>
            </w:r>
            <w:proofErr w:type="gramEnd"/>
            <w:r w:rsidRPr="00214254">
              <w:rPr>
                <w:rFonts w:eastAsia="標楷體" w:hAnsi="標楷體" w:cs="細明體"/>
                <w:kern w:val="0"/>
              </w:rPr>
              <w:t>徵機關要求提示之資料。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lastRenderedPageBreak/>
              <w:t>申請人或其代理人依前項規定提供之文件及報告，應附目錄及索引；提供之資料為外文者，應檢附中文譯本，但經該管</w:t>
            </w:r>
            <w:proofErr w:type="gramStart"/>
            <w:r w:rsidRPr="00214254">
              <w:rPr>
                <w:rFonts w:eastAsia="標楷體" w:hAnsi="標楷體" w:cs="細明體"/>
                <w:kern w:val="0"/>
              </w:rPr>
              <w:t>稽</w:t>
            </w:r>
            <w:proofErr w:type="gramEnd"/>
            <w:r w:rsidRPr="00214254">
              <w:rPr>
                <w:rFonts w:eastAsia="標楷體" w:hAnsi="標楷體" w:cs="細明體"/>
                <w:kern w:val="0"/>
              </w:rPr>
              <w:t>徵機關核准提供英文版本者，不在此限。</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3" w:history="1">
              <w:r w:rsidR="009F5D18" w:rsidRPr="00214254">
                <w:rPr>
                  <w:rFonts w:eastAsia="標楷體" w:hAnsi="標楷體" w:cs="新細明體"/>
                  <w:kern w:val="0"/>
                  <w:u w:val="single"/>
                </w:rPr>
                <w:t>第</w:t>
              </w:r>
              <w:r w:rsidR="009F5D18" w:rsidRPr="00214254">
                <w:rPr>
                  <w:rFonts w:eastAsia="標楷體" w:cs="新細明體"/>
                  <w:kern w:val="0"/>
                  <w:u w:val="single"/>
                </w:rPr>
                <w:t> 25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預先訂價協議尚未達成協議前，如發生影響預期交易結果之重大因素，申請人或其代理人應於一個月內書面告知該管</w:t>
            </w:r>
            <w:proofErr w:type="gramStart"/>
            <w:r w:rsidRPr="00214254">
              <w:rPr>
                <w:rFonts w:eastAsia="標楷體" w:hAnsi="標楷體" w:cs="細明體"/>
                <w:kern w:val="0"/>
              </w:rPr>
              <w:t>稽</w:t>
            </w:r>
            <w:proofErr w:type="gramEnd"/>
            <w:r w:rsidRPr="00214254">
              <w:rPr>
                <w:rFonts w:eastAsia="標楷體" w:hAnsi="標楷體" w:cs="細明體"/>
                <w:kern w:val="0"/>
              </w:rPr>
              <w:t>徵機關，並於規定期間內修正前條第一項之文件、報告，送交該管</w:t>
            </w:r>
            <w:proofErr w:type="gramStart"/>
            <w:r w:rsidRPr="00214254">
              <w:rPr>
                <w:rFonts w:eastAsia="標楷體" w:hAnsi="標楷體" w:cs="細明體"/>
                <w:kern w:val="0"/>
              </w:rPr>
              <w:t>稽</w:t>
            </w:r>
            <w:proofErr w:type="gramEnd"/>
            <w:r w:rsidRPr="00214254">
              <w:rPr>
                <w:rFonts w:eastAsia="標楷體" w:hAnsi="標楷體" w:cs="細明體"/>
                <w:kern w:val="0"/>
              </w:rPr>
              <w:t>徵機關辦理；其未依規定告知或送交修正後之文件、報告者，該管</w:t>
            </w:r>
            <w:proofErr w:type="gramStart"/>
            <w:r w:rsidRPr="00214254">
              <w:rPr>
                <w:rFonts w:eastAsia="標楷體" w:hAnsi="標楷體" w:cs="細明體"/>
                <w:kern w:val="0"/>
              </w:rPr>
              <w:t>稽</w:t>
            </w:r>
            <w:proofErr w:type="gramEnd"/>
            <w:r w:rsidRPr="00214254">
              <w:rPr>
                <w:rFonts w:eastAsia="標楷體" w:hAnsi="標楷體" w:cs="細明體"/>
                <w:kern w:val="0"/>
              </w:rPr>
              <w:t>徵機關得終止協議程序之進行。</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4"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26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proofErr w:type="gramStart"/>
            <w:r w:rsidRPr="00214254">
              <w:rPr>
                <w:rFonts w:eastAsia="標楷體" w:hAnsi="標楷體" w:cs="細明體"/>
                <w:kern w:val="0"/>
              </w:rPr>
              <w:t>稽</w:t>
            </w:r>
            <w:proofErr w:type="gramEnd"/>
            <w:r w:rsidRPr="00214254">
              <w:rPr>
                <w:rFonts w:eastAsia="標楷體" w:hAnsi="標楷體" w:cs="細明體"/>
                <w:kern w:val="0"/>
              </w:rPr>
              <w:t>徵機關應於收到申請人或其代理人所提供第二十四條規定文件及報告之日起</w:t>
            </w:r>
            <w:proofErr w:type="gramStart"/>
            <w:r w:rsidRPr="00214254">
              <w:rPr>
                <w:rFonts w:eastAsia="標楷體" w:hAnsi="標楷體" w:cs="細明體"/>
                <w:kern w:val="0"/>
              </w:rPr>
              <w:t>一</w:t>
            </w:r>
            <w:proofErr w:type="gramEnd"/>
            <w:r w:rsidRPr="00214254">
              <w:rPr>
                <w:rFonts w:eastAsia="標楷體" w:hAnsi="標楷體" w:cs="細明體"/>
                <w:kern w:val="0"/>
              </w:rPr>
              <w:t>年內，進行審核評估，並作成結論。審核評估時，如有必要，得向申請人或其代理人提出諮詢，或要求其提供補充資料、文件。</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proofErr w:type="gramStart"/>
            <w:r w:rsidRPr="00214254">
              <w:rPr>
                <w:rFonts w:eastAsia="標楷體" w:hAnsi="標楷體" w:cs="細明體"/>
                <w:kern w:val="0"/>
              </w:rPr>
              <w:t>稽</w:t>
            </w:r>
            <w:proofErr w:type="gramEnd"/>
            <w:r w:rsidRPr="00214254">
              <w:rPr>
                <w:rFonts w:eastAsia="標楷體" w:hAnsi="標楷體" w:cs="細明體"/>
                <w:kern w:val="0"/>
              </w:rPr>
              <w:t>徵機關因特殊情況而需延長審核評估期間者，應於前項規定期間屆滿前通知申請人或其代理人，延長之期間最長不得超過六個月，必要時，得再延長六個月。但涉及租稅協定之雙邊或多邊預先訂價協議者，不在此限。</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5"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27 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proofErr w:type="gramStart"/>
            <w:r w:rsidRPr="00214254">
              <w:rPr>
                <w:rFonts w:eastAsia="標楷體" w:hAnsi="標楷體" w:cs="細明體"/>
                <w:kern w:val="0"/>
              </w:rPr>
              <w:t>稽</w:t>
            </w:r>
            <w:proofErr w:type="gramEnd"/>
            <w:r w:rsidRPr="00214254">
              <w:rPr>
                <w:rFonts w:eastAsia="標楷體" w:hAnsi="標楷體" w:cs="細明體"/>
                <w:kern w:val="0"/>
              </w:rPr>
              <w:t>徵機關應於作成審核評估結論之日起六個月內，與申請人或其代理人就可比較對象及其交易結果、假設條件、訂價原則、計算方法、適用期間及其他主要問題相互討論，並於雙方達成協議後，由申請人或其代理人與該管</w:t>
            </w:r>
            <w:proofErr w:type="gramStart"/>
            <w:r w:rsidRPr="00214254">
              <w:rPr>
                <w:rFonts w:eastAsia="標楷體" w:hAnsi="標楷體" w:cs="細明體"/>
                <w:kern w:val="0"/>
              </w:rPr>
              <w:t>稽</w:t>
            </w:r>
            <w:proofErr w:type="gramEnd"/>
            <w:r w:rsidRPr="00214254">
              <w:rPr>
                <w:rFonts w:eastAsia="標楷體" w:hAnsi="標楷體" w:cs="細明體"/>
                <w:kern w:val="0"/>
              </w:rPr>
              <w:t>徵機關法定代表人或授權簽署人共同簽署預先訂價協議。預先訂價協議一經簽署，雙方互負履行及遵守之義務。</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前項預先訂價協議之適用</w:t>
            </w:r>
            <w:proofErr w:type="gramStart"/>
            <w:r w:rsidRPr="00214254">
              <w:rPr>
                <w:rFonts w:eastAsia="標楷體" w:hAnsi="標楷體" w:cs="細明體"/>
                <w:kern w:val="0"/>
              </w:rPr>
              <w:t>期間，</w:t>
            </w:r>
            <w:proofErr w:type="gramEnd"/>
            <w:r w:rsidRPr="00214254">
              <w:rPr>
                <w:rFonts w:eastAsia="標楷體" w:hAnsi="標楷體" w:cs="細明體"/>
                <w:kern w:val="0"/>
              </w:rPr>
              <w:t>以申請年度起三年至五年為限。但申請交易之存續期間較短者，以該期間為</w:t>
            </w:r>
            <w:proofErr w:type="gramStart"/>
            <w:r w:rsidRPr="00214254">
              <w:rPr>
                <w:rFonts w:eastAsia="標楷體" w:hAnsi="標楷體" w:cs="細明體"/>
                <w:kern w:val="0"/>
              </w:rPr>
              <w:t>準</w:t>
            </w:r>
            <w:proofErr w:type="gramEnd"/>
            <w:r w:rsidRPr="00214254">
              <w:rPr>
                <w:rFonts w:eastAsia="標楷體" w:hAnsi="標楷體" w:cs="細明體"/>
                <w:kern w:val="0"/>
              </w:rPr>
              <w:t>。</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6"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28 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預先訂價協議應載明下列內容：</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協議之相關各方。</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涉及之關係人交易及期間。</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影響訂價之假設條件。</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訂價原則及採用之常規交易方法。</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協議條款、協議適用期間及效力。</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申請人之義務，包括依第二十九條規定提出年度報告及影響報告、保存第二十四條規定之文件及報告、第三十一條規定影響交易結果之因素變動通知。</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申請人違反協議內容及條款之處理方式。</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協議之修訂。</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lastRenderedPageBreak/>
              <w:t>解決爭議之方法與途徑。</w:t>
            </w:r>
          </w:p>
          <w:p w:rsidR="009F5D18" w:rsidRPr="00214254" w:rsidRDefault="009F5D18" w:rsidP="006106D4">
            <w:pPr>
              <w:widowControl/>
              <w:numPr>
                <w:ilvl w:val="0"/>
                <w:numId w:val="30"/>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其他應特別載明之內容。</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7"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29 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申請人應於適用預先訂價協議各該課稅年度之結算申報期間內，向該管</w:t>
            </w:r>
            <w:proofErr w:type="gramStart"/>
            <w:r w:rsidRPr="00214254">
              <w:rPr>
                <w:rFonts w:eastAsia="標楷體" w:hAnsi="標楷體" w:cs="細明體"/>
                <w:kern w:val="0"/>
              </w:rPr>
              <w:t>稽</w:t>
            </w:r>
            <w:proofErr w:type="gramEnd"/>
            <w:r w:rsidRPr="00214254">
              <w:rPr>
                <w:rFonts w:eastAsia="標楷體" w:hAnsi="標楷體" w:cs="細明體"/>
                <w:kern w:val="0"/>
              </w:rPr>
              <w:t>徵機關提出執行預先訂價協議之年度報告，並依規定保存第二十四條規定之文件及報告。</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前項年度報告之內容，應包括實際訂價及各參與人之損益情形、依預先訂價協議辦理之情形、影響交易結果之假設條件及因素之變動情形。</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申請人於簽署預先訂價協議之日前，適用預先訂價協議之課稅年度中，已辦理所得稅結算申報者，應於該管</w:t>
            </w:r>
            <w:proofErr w:type="gramStart"/>
            <w:r w:rsidRPr="00214254">
              <w:rPr>
                <w:rFonts w:eastAsia="標楷體" w:hAnsi="標楷體" w:cs="細明體"/>
                <w:kern w:val="0"/>
              </w:rPr>
              <w:t>稽</w:t>
            </w:r>
            <w:proofErr w:type="gramEnd"/>
            <w:r w:rsidRPr="00214254">
              <w:rPr>
                <w:rFonts w:eastAsia="標楷體" w:hAnsi="標楷體" w:cs="細明體"/>
                <w:kern w:val="0"/>
              </w:rPr>
              <w:t>徵機關規定之期間內，提出預先訂價協議條款對其結算申報內容之影響報告，不適用第一項有關提出年度報告之規定。</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8"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30 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申請人於預先訂價協議適用期間實際進行之交易，符合協議規定並遵守協議條款者，</w:t>
            </w:r>
            <w:proofErr w:type="gramStart"/>
            <w:r w:rsidRPr="00214254">
              <w:rPr>
                <w:rFonts w:eastAsia="標楷體" w:hAnsi="標楷體" w:cs="細明體"/>
                <w:kern w:val="0"/>
              </w:rPr>
              <w:t>稽</w:t>
            </w:r>
            <w:proofErr w:type="gramEnd"/>
            <w:r w:rsidRPr="00214254">
              <w:rPr>
                <w:rFonts w:eastAsia="標楷體" w:hAnsi="標楷體" w:cs="細明體"/>
                <w:kern w:val="0"/>
              </w:rPr>
              <w:t>徵機關應按協議之常規交易方法及計算結果核定其所得額；其有不符合協議規定或遵守協議條款者，</w:t>
            </w:r>
            <w:proofErr w:type="gramStart"/>
            <w:r w:rsidRPr="00214254">
              <w:rPr>
                <w:rFonts w:eastAsia="標楷體" w:hAnsi="標楷體" w:cs="細明體"/>
                <w:kern w:val="0"/>
              </w:rPr>
              <w:t>稽</w:t>
            </w:r>
            <w:proofErr w:type="gramEnd"/>
            <w:r w:rsidRPr="00214254">
              <w:rPr>
                <w:rFonts w:eastAsia="標楷體" w:hAnsi="標楷體" w:cs="細明體"/>
                <w:kern w:val="0"/>
              </w:rPr>
              <w:t>徵機關得不依協議條款辦理，並得依本準則規定進行調查。</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申請人如有隱瞞重大事項、提供錯誤資訊、涉及詐術或不正當行為，該協議自始無效。</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89" w:history="1">
              <w:r w:rsidR="009F5D18" w:rsidRPr="00214254">
                <w:rPr>
                  <w:rFonts w:eastAsia="標楷體" w:hAnsi="標楷體" w:cs="新細明體"/>
                  <w:kern w:val="0"/>
                  <w:u w:val="single"/>
                </w:rPr>
                <w:t>第</w:t>
              </w:r>
              <w:r w:rsidR="009F5D18" w:rsidRPr="00214254">
                <w:rPr>
                  <w:rFonts w:eastAsia="標楷體" w:cs="新細明體"/>
                  <w:kern w:val="0"/>
                  <w:u w:val="single"/>
                </w:rPr>
                <w:t>31 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申請人於預先訂價協議適用</w:t>
            </w:r>
            <w:proofErr w:type="gramStart"/>
            <w:r w:rsidRPr="00214254">
              <w:rPr>
                <w:rFonts w:eastAsia="標楷體" w:hAnsi="標楷體" w:cs="細明體"/>
                <w:kern w:val="0"/>
              </w:rPr>
              <w:t>期間，</w:t>
            </w:r>
            <w:proofErr w:type="gramEnd"/>
            <w:r w:rsidRPr="00214254">
              <w:rPr>
                <w:rFonts w:eastAsia="標楷體" w:hAnsi="標楷體" w:cs="細明體"/>
                <w:kern w:val="0"/>
              </w:rPr>
              <w:t>如影響交易結果之因素發生顯著變化，包括關鍵性假設條件改變、交易雙方已非為關係人或依交易契約規定應重新訂價之情形，應於變化之日起一個月內通知該管</w:t>
            </w:r>
            <w:proofErr w:type="gramStart"/>
            <w:r w:rsidRPr="00214254">
              <w:rPr>
                <w:rFonts w:eastAsia="標楷體" w:hAnsi="標楷體" w:cs="細明體"/>
                <w:kern w:val="0"/>
              </w:rPr>
              <w:t>稽</w:t>
            </w:r>
            <w:proofErr w:type="gramEnd"/>
            <w:r w:rsidRPr="00214254">
              <w:rPr>
                <w:rFonts w:eastAsia="標楷體" w:hAnsi="標楷體" w:cs="細明體"/>
                <w:kern w:val="0"/>
              </w:rPr>
              <w:t>徵機關，該管</w:t>
            </w:r>
            <w:proofErr w:type="gramStart"/>
            <w:r w:rsidRPr="00214254">
              <w:rPr>
                <w:rFonts w:eastAsia="標楷體" w:hAnsi="標楷體" w:cs="細明體"/>
                <w:kern w:val="0"/>
              </w:rPr>
              <w:t>稽</w:t>
            </w:r>
            <w:proofErr w:type="gramEnd"/>
            <w:r w:rsidRPr="00214254">
              <w:rPr>
                <w:rFonts w:eastAsia="標楷體" w:hAnsi="標楷體" w:cs="細明體"/>
                <w:kern w:val="0"/>
              </w:rPr>
              <w:t>徵機關應依其情節採取必要之措施，包括與營利事業協商修改預先訂價協議條款及條件或停止預先訂價協議之適用。</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90" w:history="1">
              <w:r w:rsidR="009F5D18" w:rsidRPr="00214254">
                <w:rPr>
                  <w:rFonts w:eastAsia="標楷體" w:hAnsi="標楷體" w:cs="新細明體"/>
                  <w:kern w:val="0"/>
                  <w:u w:val="single"/>
                </w:rPr>
                <w:t>第</w:t>
              </w:r>
              <w:r w:rsidR="009F5D18" w:rsidRPr="00214254">
                <w:rPr>
                  <w:rFonts w:eastAsia="標楷體" w:cs="新細明體"/>
                  <w:kern w:val="0"/>
                  <w:u w:val="single"/>
                </w:rPr>
                <w:t> 32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申請人已確實遵守預先訂價協議之各項條款者，得於適用期間屆滿前，</w:t>
            </w:r>
            <w:proofErr w:type="gramStart"/>
            <w:r w:rsidRPr="00214254">
              <w:rPr>
                <w:rFonts w:eastAsia="標楷體" w:hAnsi="標楷體" w:cs="細明體"/>
                <w:kern w:val="0"/>
              </w:rPr>
              <w:t>檢附足資</w:t>
            </w:r>
            <w:proofErr w:type="gramEnd"/>
            <w:r w:rsidRPr="00214254">
              <w:rPr>
                <w:rFonts w:eastAsia="標楷體" w:hAnsi="標楷體" w:cs="細明體"/>
                <w:kern w:val="0"/>
              </w:rPr>
              <w:t>證明影響預先訂價協議內容之相關事實與環境未發生實質變化之資料，向該管</w:t>
            </w:r>
            <w:proofErr w:type="gramStart"/>
            <w:r w:rsidRPr="00214254">
              <w:rPr>
                <w:rFonts w:eastAsia="標楷體" w:hAnsi="標楷體" w:cs="細明體"/>
                <w:kern w:val="0"/>
              </w:rPr>
              <w:t>稽</w:t>
            </w:r>
            <w:proofErr w:type="gramEnd"/>
            <w:r w:rsidRPr="00214254">
              <w:rPr>
                <w:rFonts w:eastAsia="標楷體" w:hAnsi="標楷體" w:cs="細明體"/>
                <w:kern w:val="0"/>
              </w:rPr>
              <w:t>徵機關申請延長適用</w:t>
            </w:r>
            <w:proofErr w:type="gramStart"/>
            <w:r w:rsidRPr="00214254">
              <w:rPr>
                <w:rFonts w:eastAsia="標楷體" w:hAnsi="標楷體" w:cs="細明體"/>
                <w:kern w:val="0"/>
              </w:rPr>
              <w:t>期間，</w:t>
            </w:r>
            <w:proofErr w:type="gramEnd"/>
            <w:r w:rsidRPr="00214254">
              <w:rPr>
                <w:rFonts w:eastAsia="標楷體" w:hAnsi="標楷體" w:cs="細明體"/>
                <w:kern w:val="0"/>
              </w:rPr>
              <w:t>經該管</w:t>
            </w:r>
            <w:proofErr w:type="gramStart"/>
            <w:r w:rsidRPr="00214254">
              <w:rPr>
                <w:rFonts w:eastAsia="標楷體" w:hAnsi="標楷體" w:cs="細明體"/>
                <w:kern w:val="0"/>
              </w:rPr>
              <w:t>稽</w:t>
            </w:r>
            <w:proofErr w:type="gramEnd"/>
            <w:r w:rsidRPr="00214254">
              <w:rPr>
                <w:rFonts w:eastAsia="標楷體" w:hAnsi="標楷體" w:cs="細明體"/>
                <w:kern w:val="0"/>
              </w:rPr>
              <w:t>徵機關審核同意者，得再簽署預先訂價協議。但延長之</w:t>
            </w:r>
            <w:proofErr w:type="gramStart"/>
            <w:r w:rsidRPr="00214254">
              <w:rPr>
                <w:rFonts w:eastAsia="標楷體" w:hAnsi="標楷體" w:cs="細明體"/>
                <w:kern w:val="0"/>
              </w:rPr>
              <w:t>期間，</w:t>
            </w:r>
            <w:proofErr w:type="gramEnd"/>
            <w:r w:rsidRPr="00214254">
              <w:rPr>
                <w:rFonts w:eastAsia="標楷體" w:hAnsi="標楷體" w:cs="細明體"/>
                <w:kern w:val="0"/>
              </w:rPr>
              <w:t>不得超過五年。</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t> </w:t>
            </w:r>
            <w:r w:rsidRPr="00214254">
              <w:rPr>
                <w:rFonts w:eastAsia="標楷體" w:cs="新細明體"/>
                <w:kern w:val="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六</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調查核定及相關調整</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91"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33 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proofErr w:type="gramStart"/>
            <w:r w:rsidRPr="00214254">
              <w:rPr>
                <w:rFonts w:eastAsia="標楷體" w:hAnsi="標楷體" w:cs="細明體"/>
                <w:kern w:val="0"/>
              </w:rPr>
              <w:t>稽</w:t>
            </w:r>
            <w:proofErr w:type="gramEnd"/>
            <w:r w:rsidRPr="00214254">
              <w:rPr>
                <w:rFonts w:eastAsia="標楷體" w:hAnsi="標楷體" w:cs="細明體"/>
                <w:kern w:val="0"/>
              </w:rPr>
              <w:t>徵機關進行營利事業移轉訂價調查時，依下列規定辦理：</w:t>
            </w:r>
          </w:p>
          <w:p w:rsidR="009F5D18" w:rsidRPr="00214254" w:rsidRDefault="009F5D18" w:rsidP="006106D4">
            <w:pPr>
              <w:widowControl/>
              <w:numPr>
                <w:ilvl w:val="0"/>
                <w:numId w:val="3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營利事業已依第二十二條規定提示文</w:t>
            </w:r>
            <w:proofErr w:type="gramStart"/>
            <w:r w:rsidRPr="00214254">
              <w:rPr>
                <w:rFonts w:eastAsia="標楷體" w:hAnsi="標楷體" w:cs="細明體"/>
                <w:kern w:val="0"/>
              </w:rPr>
              <w:t>據者，稽</w:t>
            </w:r>
            <w:proofErr w:type="gramEnd"/>
            <w:r w:rsidRPr="00214254">
              <w:rPr>
                <w:rFonts w:eastAsia="標楷體" w:hAnsi="標楷體" w:cs="細明體"/>
                <w:kern w:val="0"/>
              </w:rPr>
              <w:t>徵機關應依本準則規定核定受控交易之常規交易結果，並據以核定相關納稅義務人之所得額。</w:t>
            </w:r>
          </w:p>
          <w:p w:rsidR="009F5D18" w:rsidRPr="00214254" w:rsidRDefault="009F5D18" w:rsidP="006106D4">
            <w:pPr>
              <w:widowControl/>
              <w:numPr>
                <w:ilvl w:val="0"/>
                <w:numId w:val="31"/>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營利事業未依第二十二條規定提示文據或未能提示者，</w:t>
            </w:r>
            <w:proofErr w:type="gramStart"/>
            <w:r w:rsidRPr="00214254">
              <w:rPr>
                <w:rFonts w:eastAsia="標楷體" w:hAnsi="標楷體" w:cs="細明體"/>
                <w:kern w:val="0"/>
              </w:rPr>
              <w:t>稽</w:t>
            </w:r>
            <w:proofErr w:type="gramEnd"/>
            <w:r w:rsidRPr="00214254">
              <w:rPr>
                <w:rFonts w:eastAsia="標楷體" w:hAnsi="標楷體" w:cs="細明體"/>
                <w:kern w:val="0"/>
              </w:rPr>
              <w:t>徵機</w:t>
            </w:r>
            <w:r w:rsidRPr="00214254">
              <w:rPr>
                <w:rFonts w:eastAsia="標楷體" w:hAnsi="標楷體" w:cs="細明體"/>
                <w:kern w:val="0"/>
              </w:rPr>
              <w:lastRenderedPageBreak/>
              <w:t>關得依查得之資料，依前款規定核定之。其無查得之資料且營利事業未提示之</w:t>
            </w:r>
            <w:proofErr w:type="gramStart"/>
            <w:r w:rsidRPr="00214254">
              <w:rPr>
                <w:rFonts w:eastAsia="標楷體" w:hAnsi="標楷體" w:cs="細明體"/>
                <w:kern w:val="0"/>
              </w:rPr>
              <w:t>文據係關係</w:t>
            </w:r>
            <w:proofErr w:type="gramEnd"/>
            <w:r w:rsidRPr="00214254">
              <w:rPr>
                <w:rFonts w:eastAsia="標楷體" w:hAnsi="標楷體" w:cs="細明體"/>
                <w:kern w:val="0"/>
              </w:rPr>
              <w:t>其所得額計算之</w:t>
            </w:r>
            <w:r w:rsidRPr="00214254">
              <w:rPr>
                <w:rFonts w:eastAsia="標楷體" w:hAnsi="標楷體" w:cs="細明體" w:hint="eastAsia"/>
                <w:kern w:val="0"/>
              </w:rPr>
              <w:t>收入、</w:t>
            </w:r>
            <w:r w:rsidRPr="00214254">
              <w:rPr>
                <w:rFonts w:eastAsia="標楷體" w:hAnsi="標楷體" w:cs="細明體"/>
                <w:kern w:val="0"/>
              </w:rPr>
              <w:t>成本或費用者，</w:t>
            </w:r>
            <w:proofErr w:type="gramStart"/>
            <w:r w:rsidRPr="00214254">
              <w:rPr>
                <w:rFonts w:eastAsia="標楷體" w:hAnsi="標楷體" w:cs="細明體"/>
                <w:kern w:val="0"/>
              </w:rPr>
              <w:t>稽</w:t>
            </w:r>
            <w:proofErr w:type="gramEnd"/>
            <w:r w:rsidRPr="00214254">
              <w:rPr>
                <w:rFonts w:eastAsia="標楷體" w:hAnsi="標楷體" w:cs="細明體"/>
                <w:kern w:val="0"/>
              </w:rPr>
              <w:t>徵機關得依本法第八十三條及其施行細則第八十一條規定，就該部分相關之營業收入淨額</w:t>
            </w:r>
            <w:r w:rsidRPr="00214254">
              <w:rPr>
                <w:rFonts w:eastAsia="標楷體" w:hAnsi="標楷體" w:cs="細明體" w:hint="eastAsia"/>
                <w:kern w:val="0"/>
              </w:rPr>
              <w:t>、營業成本、營業費用</w:t>
            </w:r>
            <w:r w:rsidRPr="00214254">
              <w:rPr>
                <w:rFonts w:eastAsia="標楷體" w:hAnsi="標楷體" w:cs="細明體"/>
                <w:kern w:val="0"/>
              </w:rPr>
              <w:t>，依同業利潤標準核定其所得額。營利事業拒不提示之文據為關係其所得額之資料、文件者，</w:t>
            </w:r>
            <w:proofErr w:type="gramStart"/>
            <w:r w:rsidRPr="00214254">
              <w:rPr>
                <w:rFonts w:eastAsia="標楷體" w:hAnsi="標楷體" w:cs="細明體"/>
                <w:kern w:val="0"/>
              </w:rPr>
              <w:t>稽</w:t>
            </w:r>
            <w:proofErr w:type="gramEnd"/>
            <w:r w:rsidRPr="00214254">
              <w:rPr>
                <w:rFonts w:eastAsia="標楷體" w:hAnsi="標楷體" w:cs="細明體"/>
                <w:kern w:val="0"/>
              </w:rPr>
              <w:t>徵機關得依稅捐</w:t>
            </w:r>
            <w:proofErr w:type="gramStart"/>
            <w:r w:rsidRPr="00214254">
              <w:rPr>
                <w:rFonts w:eastAsia="標楷體" w:hAnsi="標楷體" w:cs="細明體"/>
                <w:kern w:val="0"/>
              </w:rPr>
              <w:t>稽</w:t>
            </w:r>
            <w:proofErr w:type="gramEnd"/>
            <w:r w:rsidRPr="00214254">
              <w:rPr>
                <w:rFonts w:eastAsia="標楷體" w:hAnsi="標楷體" w:cs="細明體"/>
                <w:kern w:val="0"/>
              </w:rPr>
              <w:t>徵法第四十六條規定辦理。</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92"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34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從事受控交易之營利事業，應依本法及本準則規定決定其常規交易結果，並據以申報所得額。未依規定辦理致減少納稅義務，經</w:t>
            </w:r>
            <w:proofErr w:type="gramStart"/>
            <w:r w:rsidRPr="00214254">
              <w:rPr>
                <w:rFonts w:eastAsia="標楷體" w:hAnsi="標楷體" w:cs="細明體"/>
                <w:kern w:val="0"/>
              </w:rPr>
              <w:t>稽</w:t>
            </w:r>
            <w:proofErr w:type="gramEnd"/>
            <w:r w:rsidRPr="00214254">
              <w:rPr>
                <w:rFonts w:eastAsia="標楷體" w:hAnsi="標楷體" w:cs="細明體"/>
                <w:kern w:val="0"/>
              </w:rPr>
              <w:t>徵機關依本法及本準則規定調整並核定相關納稅義務人之所得額者，如有下列具體短漏報情事之一，應依本法第一百十條規定辦理：</w:t>
            </w:r>
          </w:p>
          <w:p w:rsidR="009F5D18" w:rsidRPr="00214254" w:rsidRDefault="009F5D18" w:rsidP="006106D4">
            <w:pPr>
              <w:widowControl/>
              <w:numPr>
                <w:ilvl w:val="0"/>
                <w:numId w:val="3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受控交易申報之價格，為</w:t>
            </w:r>
            <w:proofErr w:type="gramStart"/>
            <w:r w:rsidRPr="00214254">
              <w:rPr>
                <w:rFonts w:eastAsia="標楷體" w:hAnsi="標楷體" w:cs="細明體"/>
                <w:kern w:val="0"/>
              </w:rPr>
              <w:t>稽</w:t>
            </w:r>
            <w:proofErr w:type="gramEnd"/>
            <w:r w:rsidRPr="00214254">
              <w:rPr>
                <w:rFonts w:eastAsia="標楷體" w:hAnsi="標楷體" w:cs="細明體"/>
                <w:kern w:val="0"/>
              </w:rPr>
              <w:t>徵機關核定之常規交易價格二倍以上，或為核定之常規交易價格百分之五十以下。</w:t>
            </w:r>
          </w:p>
          <w:p w:rsidR="009F5D18" w:rsidRPr="00214254" w:rsidRDefault="009F5D18" w:rsidP="006106D4">
            <w:pPr>
              <w:widowControl/>
              <w:numPr>
                <w:ilvl w:val="0"/>
                <w:numId w:val="3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受控交易經</w:t>
            </w:r>
            <w:proofErr w:type="gramStart"/>
            <w:r w:rsidRPr="00214254">
              <w:rPr>
                <w:rFonts w:eastAsia="標楷體" w:hAnsi="標楷體" w:cs="細明體"/>
                <w:kern w:val="0"/>
              </w:rPr>
              <w:t>稽</w:t>
            </w:r>
            <w:proofErr w:type="gramEnd"/>
            <w:r w:rsidRPr="00214254">
              <w:rPr>
                <w:rFonts w:eastAsia="標楷體" w:hAnsi="標楷體" w:cs="細明體"/>
                <w:kern w:val="0"/>
              </w:rPr>
              <w:t>徵機關調整並核定增加之所得額，達營利事業核定全年所得額百分之十以上，且達其核定全年營業收入淨額百分之三以上。</w:t>
            </w:r>
          </w:p>
          <w:p w:rsidR="009F5D18" w:rsidRPr="00214254" w:rsidRDefault="009F5D18" w:rsidP="006106D4">
            <w:pPr>
              <w:widowControl/>
              <w:numPr>
                <w:ilvl w:val="0"/>
                <w:numId w:val="3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營利事業未提示第二十二條第一項第四款規定之移轉訂價報告，且無法提示其他文據證明其訂價結果符合常規交易結果。</w:t>
            </w:r>
          </w:p>
          <w:p w:rsidR="009F5D18" w:rsidRPr="00214254" w:rsidRDefault="009F5D18" w:rsidP="006106D4">
            <w:pPr>
              <w:widowControl/>
              <w:numPr>
                <w:ilvl w:val="0"/>
                <w:numId w:val="32"/>
              </w:numPr>
              <w:tabs>
                <w:tab w:val="left" w:pos="57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hAnsi="標楷體" w:cs="細明體"/>
                <w:kern w:val="0"/>
              </w:rPr>
            </w:pPr>
            <w:r w:rsidRPr="00214254">
              <w:rPr>
                <w:rFonts w:eastAsia="標楷體" w:hAnsi="標楷體" w:cs="細明體"/>
                <w:kern w:val="0"/>
              </w:rPr>
              <w:t>其他經</w:t>
            </w:r>
            <w:proofErr w:type="gramStart"/>
            <w:r w:rsidRPr="00214254">
              <w:rPr>
                <w:rFonts w:eastAsia="標楷體" w:hAnsi="標楷體" w:cs="細明體"/>
                <w:kern w:val="0"/>
              </w:rPr>
              <w:t>稽</w:t>
            </w:r>
            <w:proofErr w:type="gramEnd"/>
            <w:r w:rsidRPr="00214254">
              <w:rPr>
                <w:rFonts w:eastAsia="標楷體" w:hAnsi="標楷體" w:cs="細明體"/>
                <w:kern w:val="0"/>
              </w:rPr>
              <w:t>徵機關查得有具體短漏報</w:t>
            </w:r>
            <w:proofErr w:type="gramStart"/>
            <w:r w:rsidRPr="00214254">
              <w:rPr>
                <w:rFonts w:eastAsia="標楷體" w:hAnsi="標楷體" w:cs="細明體"/>
                <w:kern w:val="0"/>
              </w:rPr>
              <w:t>事證且短</w:t>
            </w:r>
            <w:proofErr w:type="gramEnd"/>
            <w:r w:rsidRPr="00214254">
              <w:rPr>
                <w:rFonts w:eastAsia="標楷體" w:hAnsi="標楷體" w:cs="細明體"/>
                <w:kern w:val="0"/>
              </w:rPr>
              <w:t>漏報金額</w:t>
            </w:r>
            <w:proofErr w:type="gramStart"/>
            <w:r w:rsidRPr="00214254">
              <w:rPr>
                <w:rFonts w:eastAsia="標楷體" w:hAnsi="標楷體" w:cs="細明體"/>
                <w:kern w:val="0"/>
              </w:rPr>
              <w:t>鉅</w:t>
            </w:r>
            <w:proofErr w:type="gramEnd"/>
            <w:r w:rsidRPr="00214254">
              <w:rPr>
                <w:rFonts w:eastAsia="標楷體" w:hAnsi="標楷體" w:cs="細明體"/>
                <w:kern w:val="0"/>
              </w:rPr>
              <w:t>大。</w:t>
            </w:r>
          </w:p>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前項規定，自九十四年度營利事業所得稅結算申報案件適用之。</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93" w:history="1">
              <w:r w:rsidR="009F5D18" w:rsidRPr="00214254">
                <w:rPr>
                  <w:rFonts w:eastAsia="標楷體" w:hAnsi="標楷體" w:cs="新細明體"/>
                  <w:kern w:val="0"/>
                  <w:u w:val="single"/>
                </w:rPr>
                <w:t>第</w:t>
              </w:r>
              <w:r w:rsidR="009F5D18" w:rsidRPr="00214254">
                <w:rPr>
                  <w:rFonts w:eastAsia="標楷體" w:cs="新細明體"/>
                  <w:kern w:val="0"/>
                  <w:u w:val="single"/>
                </w:rPr>
                <w:t> 35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從事受控交易之營利事業，有關收益、成本、費用或</w:t>
            </w:r>
            <w:proofErr w:type="gramStart"/>
            <w:r w:rsidRPr="00214254">
              <w:rPr>
                <w:rFonts w:eastAsia="標楷體" w:hAnsi="標楷體" w:cs="細明體"/>
                <w:kern w:val="0"/>
              </w:rPr>
              <w:t>損益攤計之</w:t>
            </w:r>
            <w:proofErr w:type="gramEnd"/>
            <w:r w:rsidRPr="00214254">
              <w:rPr>
                <w:rFonts w:eastAsia="標楷體" w:hAnsi="標楷體" w:cs="細明體"/>
                <w:kern w:val="0"/>
              </w:rPr>
              <w:t>交易，經</w:t>
            </w:r>
            <w:proofErr w:type="gramStart"/>
            <w:r w:rsidRPr="00214254">
              <w:rPr>
                <w:rFonts w:eastAsia="標楷體" w:hAnsi="標楷體" w:cs="細明體"/>
                <w:kern w:val="0"/>
              </w:rPr>
              <w:t>稽</w:t>
            </w:r>
            <w:proofErr w:type="gramEnd"/>
            <w:r w:rsidRPr="00214254">
              <w:rPr>
                <w:rFonts w:eastAsia="標楷體" w:hAnsi="標楷體" w:cs="細明體"/>
                <w:kern w:val="0"/>
              </w:rPr>
              <w:t>徵機關依本準則規定進行調查，並報經財政部或金融控股公司法第五十條規定之主管機關核准按營業常規或交易常規調整且經核課確定者，其交易之他方如為依本法規定應繳納中華民國所得稅之納稅義務人，</w:t>
            </w:r>
            <w:proofErr w:type="gramStart"/>
            <w:r w:rsidRPr="00214254">
              <w:rPr>
                <w:rFonts w:eastAsia="標楷體" w:hAnsi="標楷體" w:cs="細明體"/>
                <w:kern w:val="0"/>
              </w:rPr>
              <w:t>稽</w:t>
            </w:r>
            <w:proofErr w:type="gramEnd"/>
            <w:r w:rsidRPr="00214254">
              <w:rPr>
                <w:rFonts w:eastAsia="標楷體" w:hAnsi="標楷體" w:cs="細明體"/>
                <w:kern w:val="0"/>
              </w:rPr>
              <w:t>徵機關應就該納稅義務人有關之交易事項進行相對之調整。</w:t>
            </w:r>
          </w:p>
        </w:tc>
      </w:tr>
      <w:tr w:rsidR="009F5D18" w:rsidRPr="00214254" w:rsidTr="006E47EB">
        <w:trPr>
          <w:tblCellSpacing w:w="15" w:type="dxa"/>
          <w:jc w:val="center"/>
        </w:trPr>
        <w:tc>
          <w:tcPr>
            <w:tcW w:w="4964" w:type="pct"/>
            <w:gridSpan w:val="2"/>
            <w:vAlign w:val="center"/>
          </w:tcPr>
          <w:p w:rsidR="009F5D18" w:rsidRPr="00214254" w:rsidRDefault="009F5D18" w:rsidP="006E47EB">
            <w:pPr>
              <w:widowControl/>
              <w:jc w:val="both"/>
              <w:rPr>
                <w:rFonts w:eastAsia="標楷體" w:cs="新細明體"/>
                <w:kern w:val="0"/>
              </w:rPr>
            </w:pPr>
            <w:r w:rsidRPr="00214254">
              <w:rPr>
                <w:rFonts w:eastAsia="標楷體" w:cs="新細明體"/>
                <w:kern w:val="0"/>
                <w:szCs w:val="20"/>
              </w:rPr>
              <w:t> </w:t>
            </w:r>
            <w:r w:rsidRPr="00214254">
              <w:rPr>
                <w:rFonts w:eastAsia="標楷體" w:cs="新細明體"/>
                <w:kern w:val="0"/>
              </w:rPr>
              <w:t>  </w:t>
            </w:r>
            <w:r w:rsidRPr="00214254">
              <w:rPr>
                <w:rFonts w:eastAsia="標楷體" w:hAnsi="標楷體" w:cs="新細明體"/>
                <w:kern w:val="0"/>
              </w:rPr>
              <w:t>第</w:t>
            </w:r>
            <w:r w:rsidRPr="00214254">
              <w:rPr>
                <w:rFonts w:eastAsia="標楷體" w:cs="新細明體"/>
                <w:kern w:val="0"/>
              </w:rPr>
              <w:t> </w:t>
            </w:r>
            <w:r w:rsidRPr="00214254">
              <w:rPr>
                <w:rFonts w:eastAsia="標楷體" w:hAnsi="標楷體" w:cs="新細明體"/>
                <w:kern w:val="0"/>
              </w:rPr>
              <w:t>七</w:t>
            </w:r>
            <w:r w:rsidRPr="00214254">
              <w:rPr>
                <w:rFonts w:eastAsia="標楷體" w:cs="新細明體"/>
                <w:kern w:val="0"/>
              </w:rPr>
              <w:t> </w:t>
            </w:r>
            <w:r w:rsidRPr="00214254">
              <w:rPr>
                <w:rFonts w:eastAsia="標楷體" w:hAnsi="標楷體" w:cs="新細明體"/>
                <w:kern w:val="0"/>
              </w:rPr>
              <w:t>章</w:t>
            </w:r>
            <w:r w:rsidRPr="00214254">
              <w:rPr>
                <w:rFonts w:eastAsia="標楷體" w:cs="新細明體"/>
                <w:kern w:val="0"/>
              </w:rPr>
              <w:t> </w:t>
            </w:r>
            <w:r w:rsidRPr="00214254">
              <w:rPr>
                <w:rFonts w:eastAsia="標楷體" w:hAnsi="標楷體" w:cs="新細明體"/>
                <w:kern w:val="0"/>
              </w:rPr>
              <w:t>附則</w:t>
            </w:r>
          </w:p>
        </w:tc>
      </w:tr>
      <w:tr w:rsidR="009F5D18" w:rsidRPr="00214254" w:rsidTr="006E47EB">
        <w:trPr>
          <w:tblCellSpacing w:w="15" w:type="dxa"/>
          <w:jc w:val="center"/>
        </w:trPr>
        <w:tc>
          <w:tcPr>
            <w:tcW w:w="740" w:type="pct"/>
          </w:tcPr>
          <w:p w:rsidR="009F5D18" w:rsidRPr="00214254" w:rsidRDefault="00756533" w:rsidP="006E47EB">
            <w:pPr>
              <w:widowControl/>
              <w:jc w:val="center"/>
              <w:rPr>
                <w:rFonts w:eastAsia="標楷體" w:cs="新細明體"/>
                <w:kern w:val="0"/>
              </w:rPr>
            </w:pPr>
            <w:hyperlink r:id="rId94" w:history="1">
              <w:r w:rsidR="009F5D18" w:rsidRPr="00214254">
                <w:rPr>
                  <w:rFonts w:eastAsia="標楷體" w:hAnsi="標楷體" w:cs="新細明體"/>
                  <w:kern w:val="0"/>
                  <w:u w:val="single"/>
                </w:rPr>
                <w:t>第</w:t>
              </w:r>
              <w:r w:rsidR="009F5D18" w:rsidRPr="00214254">
                <w:rPr>
                  <w:rFonts w:eastAsia="標楷體" w:cs="新細明體"/>
                  <w:kern w:val="0"/>
                  <w:u w:val="single"/>
                </w:rPr>
                <w:t xml:space="preserve"> 36 </w:t>
              </w:r>
              <w:r w:rsidR="009F5D18" w:rsidRPr="00214254">
                <w:rPr>
                  <w:rFonts w:eastAsia="標楷體" w:hAnsi="標楷體" w:cs="新細明體"/>
                  <w:kern w:val="0"/>
                  <w:u w:val="single"/>
                </w:rPr>
                <w:t>條</w:t>
              </w:r>
            </w:hyperlink>
          </w:p>
        </w:tc>
        <w:tc>
          <w:tcPr>
            <w:tcW w:w="4206" w:type="pct"/>
            <w:vAlign w:val="center"/>
          </w:tcPr>
          <w:p w:rsidR="009F5D18" w:rsidRPr="00214254" w:rsidRDefault="009F5D18" w:rsidP="006E4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標楷體" w:cs="細明體"/>
                <w:kern w:val="0"/>
              </w:rPr>
            </w:pPr>
            <w:r w:rsidRPr="00214254">
              <w:rPr>
                <w:rFonts w:eastAsia="標楷體" w:hAnsi="標楷體" w:cs="細明體"/>
                <w:kern w:val="0"/>
              </w:rPr>
              <w:t>本準則自發布日施行</w:t>
            </w:r>
            <w:r w:rsidRPr="00214254">
              <w:rPr>
                <w:rFonts w:eastAsia="標楷體" w:hAnsi="標楷體" w:cs="細明體" w:hint="eastAsia"/>
                <w:kern w:val="0"/>
              </w:rPr>
              <w:t>。</w:t>
            </w:r>
          </w:p>
        </w:tc>
      </w:tr>
    </w:tbl>
    <w:p w:rsidR="00CA5702" w:rsidRPr="009F5D18" w:rsidRDefault="00CA5702" w:rsidP="00F406D4">
      <w:pPr>
        <w:rPr>
          <w:rFonts w:eastAsia="標楷體"/>
        </w:rPr>
      </w:pPr>
    </w:p>
    <w:sectPr w:rsidR="00CA5702" w:rsidRPr="009F5D18" w:rsidSect="00E873C6">
      <w:headerReference w:type="default" r:id="rId95"/>
      <w:footerReference w:type="even" r:id="rId96"/>
      <w:footerReference w:type="default" r:id="rId97"/>
      <w:headerReference w:type="first" r:id="rId98"/>
      <w:footerReference w:type="first" r:id="rId99"/>
      <w:type w:val="oddPage"/>
      <w:pgSz w:w="11906" w:h="16838"/>
      <w:pgMar w:top="2160" w:right="1440" w:bottom="1814" w:left="1440" w:header="851" w:footer="567" w:gutter="567"/>
      <w:pgNumType w:start="1"/>
      <w:cols w:space="425"/>
      <w:titlePg/>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533" w:rsidRDefault="00756533">
      <w:r>
        <w:separator/>
      </w:r>
    </w:p>
  </w:endnote>
  <w:endnote w:type="continuationSeparator" w:id="0">
    <w:p w:rsidR="00756533" w:rsidRDefault="0075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rsidP="00CA5702">
    <w:pPr>
      <w:pStyle w:val="a8"/>
      <w:jc w:val="both"/>
    </w:pPr>
  </w:p>
  <w:p w:rsidR="000D4860" w:rsidRDefault="000D4860" w:rsidP="00CA5702">
    <w:pPr>
      <w:pStyle w:val="a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-E-</w:t>
    </w:r>
    <w:r>
      <w:fldChar w:fldCharType="begin"/>
    </w:r>
    <w:r>
      <w:instrText xml:space="preserve"> PAGE   \* MERGEFORMAT </w:instrText>
    </w:r>
    <w:r>
      <w:fldChar w:fldCharType="separate"/>
    </w:r>
    <w:r w:rsidR="003F2103">
      <w:rPr>
        <w:noProof/>
      </w:rPr>
      <w:t>7</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-F-</w:t>
    </w:r>
    <w:r>
      <w:fldChar w:fldCharType="begin"/>
    </w:r>
    <w:r>
      <w:instrText xml:space="preserve"> PAGE   \* MERGEFORMAT </w:instrText>
    </w:r>
    <w:r>
      <w:fldChar w:fldCharType="separate"/>
    </w:r>
    <w:r w:rsidR="003F2103">
      <w:rPr>
        <w:noProof/>
      </w:rPr>
      <w:t>2</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-F-</w:t>
    </w:r>
    <w:r>
      <w:fldChar w:fldCharType="begin"/>
    </w:r>
    <w:r>
      <w:instrText xml:space="preserve"> PAGE   \* MERGEFORMAT </w:instrText>
    </w:r>
    <w:r>
      <w:fldChar w:fldCharType="separate"/>
    </w:r>
    <w:r w:rsidR="003F2103">
      <w:rPr>
        <w:noProof/>
      </w:rPr>
      <w:t>5</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-G-</w:t>
    </w:r>
    <w:r>
      <w:fldChar w:fldCharType="begin"/>
    </w:r>
    <w:r>
      <w:instrText xml:space="preserve"> PAGE   \* MERGEFORMAT </w:instrText>
    </w:r>
    <w:r>
      <w:fldChar w:fldCharType="separate"/>
    </w:r>
    <w:r w:rsidR="003F2103">
      <w:rPr>
        <w:noProof/>
      </w:rPr>
      <w:t>1</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-H-</w:t>
    </w:r>
    <w:r>
      <w:fldChar w:fldCharType="begin"/>
    </w:r>
    <w:r>
      <w:instrText xml:space="preserve"> PAGE   \* MERGEFORMAT </w:instrText>
    </w:r>
    <w:r>
      <w:fldChar w:fldCharType="separate"/>
    </w:r>
    <w:r w:rsidR="003F2103">
      <w:rPr>
        <w:noProof/>
      </w:rPr>
      <w:t>2</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-H-</w:t>
    </w:r>
    <w:r>
      <w:fldChar w:fldCharType="begin"/>
    </w:r>
    <w:r>
      <w:instrText xml:space="preserve"> PAGE   \* MERGEFORMAT </w:instrText>
    </w:r>
    <w:r>
      <w:fldChar w:fldCharType="separate"/>
    </w:r>
    <w:r w:rsidR="003F2103">
      <w:rPr>
        <w:noProof/>
      </w:rPr>
      <w:t>9</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-I-</w:t>
    </w:r>
    <w:r>
      <w:fldChar w:fldCharType="begin"/>
    </w:r>
    <w:r>
      <w:instrText xml:space="preserve"> PAGE   \* MERGEFORMAT </w:instrText>
    </w:r>
    <w:r>
      <w:fldChar w:fldCharType="separate"/>
    </w:r>
    <w:r w:rsidR="003F2103">
      <w:rPr>
        <w:noProof/>
      </w:rPr>
      <w:t>4</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-I-</w:t>
    </w:r>
    <w:r>
      <w:fldChar w:fldCharType="begin"/>
    </w:r>
    <w:r>
      <w:instrText xml:space="preserve"> PAGE   \* MERGEFORMAT </w:instrText>
    </w:r>
    <w:r>
      <w:fldChar w:fldCharType="separate"/>
    </w:r>
    <w:r w:rsidR="003F2103">
      <w:rPr>
        <w:noProof/>
      </w:rPr>
      <w:t>3</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-J-</w:t>
    </w:r>
    <w:r>
      <w:fldChar w:fldCharType="begin"/>
    </w:r>
    <w:r>
      <w:instrText xml:space="preserve"> PAGE   \* MERGEFORMAT </w:instrText>
    </w:r>
    <w:r>
      <w:fldChar w:fldCharType="separate"/>
    </w:r>
    <w:r w:rsidR="003F2103">
      <w:rPr>
        <w:noProof/>
      </w:rPr>
      <w:t>10</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-J-</w:t>
    </w:r>
    <w:r>
      <w:fldChar w:fldCharType="begin"/>
    </w:r>
    <w:r>
      <w:instrText xml:space="preserve"> PAGE   \* MERGEFORMAT </w:instrText>
    </w:r>
    <w:r>
      <w:fldChar w:fldCharType="separate"/>
    </w:r>
    <w:r w:rsidR="003F2103">
      <w:rPr>
        <w:noProof/>
      </w:rPr>
      <w:t>9</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-B-</w:t>
    </w:r>
    <w:r>
      <w:fldChar w:fldCharType="begin"/>
    </w:r>
    <w:r>
      <w:instrText xml:space="preserve"> PAGE   \* MERGEFORMAT </w:instrText>
    </w:r>
    <w:r>
      <w:fldChar w:fldCharType="separate"/>
    </w:r>
    <w:r w:rsidR="003F2103">
      <w:rPr>
        <w:noProof/>
      </w:rPr>
      <w:t>2</w:t>
    </w:r>
    <w:r>
      <w:rPr>
        <w:noProof/>
      </w:rPr>
      <w:fldChar w:fldCharType="end"/>
    </w:r>
    <w:r>
      <w:rPr>
        <w:rFonts w:hint="eastAsia"/>
      </w:rPr>
      <w:t>-</w:t>
    </w:r>
  </w:p>
  <w:p w:rsidR="000D4860" w:rsidRDefault="000D4860" w:rsidP="006B72E6">
    <w:pPr>
      <w:pStyle w:val="a8"/>
      <w:jc w:val="center"/>
    </w:pPr>
    <w:r w:rsidRPr="00241C6A">
      <w:t>©</w:t>
    </w:r>
    <w:r>
      <w:t>201</w:t>
    </w:r>
    <w:r>
      <w:rPr>
        <w:rFonts w:hint="eastAsia"/>
      </w:rPr>
      <w:t>7</w:t>
    </w:r>
    <w:r>
      <w:t xml:space="preserve"> </w:t>
    </w:r>
    <w:r w:rsidRPr="00241C6A">
      <w:t>Grant Thornton Taiwan.  All rights reserved</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-K-</w:t>
    </w:r>
    <w:r>
      <w:fldChar w:fldCharType="begin"/>
    </w:r>
    <w:r>
      <w:instrText xml:space="preserve"> PAGE   \* MERGEFORMAT </w:instrText>
    </w:r>
    <w:r>
      <w:fldChar w:fldCharType="separate"/>
    </w:r>
    <w:r w:rsidR="003F2103">
      <w:rPr>
        <w:noProof/>
      </w:rPr>
      <w:t>2</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-K-</w:t>
    </w:r>
    <w:r>
      <w:fldChar w:fldCharType="begin"/>
    </w:r>
    <w:r>
      <w:instrText xml:space="preserve"> PAGE   \* MERGEFORMAT </w:instrText>
    </w:r>
    <w:r>
      <w:fldChar w:fldCharType="separate"/>
    </w:r>
    <w:r w:rsidR="003F2103">
      <w:rPr>
        <w:noProof/>
      </w:rPr>
      <w:t>15</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rsidP="00290317">
    <w:pPr>
      <w:pStyle w:val="a8"/>
    </w:pPr>
    <w:r>
      <w:rPr>
        <w:rFonts w:hint="eastAsia"/>
      </w:rPr>
      <w:t>-L-</w:t>
    </w:r>
    <w:r>
      <w:fldChar w:fldCharType="begin"/>
    </w:r>
    <w:r>
      <w:instrText xml:space="preserve"> PAGE   \* MERGEFORMAT </w:instrText>
    </w:r>
    <w:r>
      <w:fldChar w:fldCharType="separate"/>
    </w:r>
    <w:r w:rsidR="003F2103">
      <w:rPr>
        <w:noProof/>
      </w:rPr>
      <w:t>10</w:t>
    </w:r>
    <w:r>
      <w:rPr>
        <w:noProof/>
      </w:rPr>
      <w:fldChar w:fldCharType="end"/>
    </w:r>
    <w:r>
      <w:rPr>
        <w:rFonts w:hint="eastAsia"/>
      </w:rPr>
      <w:t>-</w:t>
    </w:r>
  </w:p>
  <w:p w:rsidR="000D4860" w:rsidRPr="00290317" w:rsidRDefault="000D4860" w:rsidP="00290317">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-L-</w:t>
    </w:r>
    <w:r>
      <w:fldChar w:fldCharType="begin"/>
    </w:r>
    <w:r>
      <w:instrText xml:space="preserve"> PAGE   \* MERGEFORMAT </w:instrText>
    </w:r>
    <w:r>
      <w:fldChar w:fldCharType="separate"/>
    </w:r>
    <w:r w:rsidR="003F2103">
      <w:rPr>
        <w:noProof/>
      </w:rPr>
      <w:t>9</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rsidP="00290317">
    <w:pPr>
      <w:pStyle w:val="a8"/>
    </w:pPr>
    <w:r>
      <w:rPr>
        <w:rFonts w:hint="eastAsia"/>
      </w:rPr>
      <w:t>-M-</w:t>
    </w:r>
    <w:r>
      <w:fldChar w:fldCharType="begin"/>
    </w:r>
    <w:r>
      <w:instrText xml:space="preserve"> PAGE   \* MERGEFORMAT </w:instrText>
    </w:r>
    <w:r>
      <w:fldChar w:fldCharType="separate"/>
    </w:r>
    <w:r>
      <w:rPr>
        <w:noProof/>
      </w:rPr>
      <w:t>2</w:t>
    </w:r>
    <w:r>
      <w:rPr>
        <w:noProof/>
      </w:rPr>
      <w:fldChar w:fldCharType="end"/>
    </w:r>
    <w:r>
      <w:rPr>
        <w:rFonts w:hint="eastAsia"/>
      </w:rPr>
      <w:t>-</w:t>
    </w:r>
  </w:p>
  <w:p w:rsidR="000D4860" w:rsidRPr="00290317" w:rsidRDefault="000D4860" w:rsidP="00290317">
    <w:pPr>
      <w:pStyle w:val="a8"/>
      <w:jc w:val="center"/>
    </w:pPr>
    <w:r w:rsidRPr="00241C6A">
      <w:t>©</w:t>
    </w:r>
    <w:r>
      <w:t xml:space="preserve">2016 </w:t>
    </w:r>
    <w:r w:rsidRPr="00241C6A">
      <w:t>Grant Thornton Taiwan.  All rights reserved</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-M-</w:t>
    </w:r>
    <w:r>
      <w:fldChar w:fldCharType="begin"/>
    </w:r>
    <w:r>
      <w:instrText xml:space="preserve"> PAGE   \* MERGEFORMAT </w:instrText>
    </w:r>
    <w:r>
      <w:fldChar w:fldCharType="separate"/>
    </w:r>
    <w:r w:rsidR="003F2103">
      <w:rPr>
        <w:noProof/>
      </w:rPr>
      <w:t>1</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rsidP="00290317">
    <w:pPr>
      <w:pStyle w:val="a8"/>
    </w:pPr>
    <w:r>
      <w:rPr>
        <w:rFonts w:hint="eastAsia"/>
      </w:rPr>
      <w:t>-N-</w:t>
    </w:r>
    <w:r>
      <w:fldChar w:fldCharType="begin"/>
    </w:r>
    <w:r>
      <w:instrText xml:space="preserve"> PAGE   \* MERGEFORMAT </w:instrText>
    </w:r>
    <w:r>
      <w:fldChar w:fldCharType="separate"/>
    </w:r>
    <w:r w:rsidR="003F2103">
      <w:rPr>
        <w:noProof/>
      </w:rPr>
      <w:t>8</w:t>
    </w:r>
    <w:r>
      <w:rPr>
        <w:noProof/>
      </w:rPr>
      <w:fldChar w:fldCharType="end"/>
    </w:r>
    <w:r>
      <w:rPr>
        <w:rFonts w:hint="eastAsia"/>
      </w:rPr>
      <w:t>-</w:t>
    </w:r>
  </w:p>
  <w:p w:rsidR="000D4860" w:rsidRPr="00290317" w:rsidRDefault="000D4860" w:rsidP="00290317">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-N-</w:t>
    </w:r>
    <w:r>
      <w:fldChar w:fldCharType="begin"/>
    </w:r>
    <w:r>
      <w:instrText xml:space="preserve"> PAGE   \* MERGEFORMAT </w:instrText>
    </w:r>
    <w:r>
      <w:fldChar w:fldCharType="separate"/>
    </w:r>
    <w:r w:rsidR="003F2103">
      <w:rPr>
        <w:noProof/>
      </w:rPr>
      <w:t>7</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rsidP="00290317">
    <w:pPr>
      <w:pStyle w:val="a8"/>
      <w:jc w:val="right"/>
    </w:pPr>
    <w:r>
      <w:rPr>
        <w:rFonts w:hint="eastAsia"/>
      </w:rPr>
      <w:t>-N-</w:t>
    </w:r>
    <w:r>
      <w:fldChar w:fldCharType="begin"/>
    </w:r>
    <w:r>
      <w:instrText xml:space="preserve"> PAGE   \* MERGEFORMAT </w:instrText>
    </w:r>
    <w:r>
      <w:fldChar w:fldCharType="separate"/>
    </w:r>
    <w:r w:rsidR="003F2103">
      <w:rPr>
        <w:noProof/>
      </w:rPr>
      <w:t>1</w:t>
    </w:r>
    <w:r>
      <w:rPr>
        <w:noProof/>
      </w:rPr>
      <w:fldChar w:fldCharType="end"/>
    </w:r>
    <w:r>
      <w:rPr>
        <w:rFonts w:hint="eastAsia"/>
      </w:rPr>
      <w:t>-</w:t>
    </w:r>
  </w:p>
  <w:p w:rsidR="000D4860" w:rsidRDefault="000D4860" w:rsidP="00290317">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p w:rsidR="000D4860" w:rsidRPr="00290317" w:rsidRDefault="000D4860" w:rsidP="008F27B7">
    <w:pPr>
      <w:pStyle w:val="a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-A-</w:t>
    </w:r>
    <w:r>
      <w:fldChar w:fldCharType="begin"/>
    </w:r>
    <w:r>
      <w:instrText xml:space="preserve"> PAGE   \* MERGEFORMAT </w:instrText>
    </w:r>
    <w:r>
      <w:fldChar w:fldCharType="separate"/>
    </w:r>
    <w:r w:rsidR="003F2103">
      <w:rPr>
        <w:noProof/>
      </w:rPr>
      <w:t>1</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-B-</w:t>
    </w:r>
    <w:r>
      <w:fldChar w:fldCharType="begin"/>
    </w:r>
    <w:r>
      <w:instrText xml:space="preserve"> PAGE   \* MERGEFORMAT </w:instrText>
    </w:r>
    <w:r>
      <w:fldChar w:fldCharType="separate"/>
    </w:r>
    <w:r w:rsidR="003F2103">
      <w:rPr>
        <w:noProof/>
      </w:rPr>
      <w:t>3</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-C-</w:t>
    </w:r>
    <w:r>
      <w:fldChar w:fldCharType="begin"/>
    </w:r>
    <w:r>
      <w:instrText xml:space="preserve"> PAGE   \* MERGEFORMAT </w:instrText>
    </w:r>
    <w:r>
      <w:fldChar w:fldCharType="separate"/>
    </w:r>
    <w:r w:rsidR="003F2103">
      <w:rPr>
        <w:noProof/>
      </w:rPr>
      <w:t>4</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-C-</w:t>
    </w:r>
    <w:r>
      <w:fldChar w:fldCharType="begin"/>
    </w:r>
    <w:r>
      <w:instrText xml:space="preserve"> PAGE   \* MERGEFORMAT </w:instrText>
    </w:r>
    <w:r>
      <w:fldChar w:fldCharType="separate"/>
    </w:r>
    <w:r w:rsidR="003F2103">
      <w:rPr>
        <w:noProof/>
      </w:rPr>
      <w:t>3</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-D-</w:t>
    </w:r>
    <w:r>
      <w:fldChar w:fldCharType="begin"/>
    </w:r>
    <w:r>
      <w:instrText xml:space="preserve"> PAGE   \* MERGEFORMAT </w:instrText>
    </w:r>
    <w:r>
      <w:fldChar w:fldCharType="separate"/>
    </w:r>
    <w:r>
      <w:rPr>
        <w:noProof/>
      </w:rPr>
      <w:t>2</w:t>
    </w:r>
    <w:r>
      <w:rPr>
        <w:noProof/>
      </w:rPr>
      <w:fldChar w:fldCharType="end"/>
    </w:r>
    <w:r>
      <w:rPr>
        <w:rFonts w:hint="eastAsia"/>
      </w:rPr>
      <w:t>-</w:t>
    </w:r>
  </w:p>
  <w:p w:rsidR="000D4860" w:rsidRDefault="000D4860" w:rsidP="006B72E6">
    <w:pPr>
      <w:pStyle w:val="a8"/>
      <w:jc w:val="center"/>
    </w:pPr>
    <w:r w:rsidRPr="00241C6A">
      <w:t>© 20</w:t>
    </w:r>
    <w:r>
      <w:rPr>
        <w:rFonts w:hint="eastAsia"/>
      </w:rPr>
      <w:t>11</w:t>
    </w:r>
    <w:r w:rsidRPr="00241C6A">
      <w:t xml:space="preserve"> Grant Thornton </w:t>
    </w:r>
    <w:smartTag w:uri="urn:schemas-microsoft-com:office:smarttags" w:element="place">
      <w:smartTag w:uri="urn:schemas-microsoft-com:office:smarttags" w:element="country-region">
        <w:r w:rsidRPr="00241C6A">
          <w:t>Taiwan</w:t>
        </w:r>
      </w:smartTag>
    </w:smartTag>
    <w:r w:rsidRPr="00241C6A">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jc w:val="right"/>
    </w:pPr>
    <w:r>
      <w:rPr>
        <w:rFonts w:hint="eastAsia"/>
      </w:rPr>
      <w:t>-D-</w:t>
    </w:r>
    <w:r>
      <w:fldChar w:fldCharType="begin"/>
    </w:r>
    <w:r>
      <w:instrText xml:space="preserve"> PAGE   \* MERGEFORMAT </w:instrText>
    </w:r>
    <w:r>
      <w:fldChar w:fldCharType="separate"/>
    </w:r>
    <w:r w:rsidR="003F2103">
      <w:rPr>
        <w:noProof/>
      </w:rPr>
      <w:t>1</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8"/>
    </w:pPr>
    <w:r>
      <w:rPr>
        <w:rFonts w:hint="eastAsia"/>
      </w:rPr>
      <w:t>-E-</w:t>
    </w:r>
    <w:r>
      <w:fldChar w:fldCharType="begin"/>
    </w:r>
    <w:r>
      <w:instrText xml:space="preserve"> PAGE   \* MERGEFORMAT </w:instrText>
    </w:r>
    <w:r>
      <w:fldChar w:fldCharType="separate"/>
    </w:r>
    <w:r w:rsidR="003F2103">
      <w:rPr>
        <w:noProof/>
      </w:rPr>
      <w:t>2</w:t>
    </w:r>
    <w:r>
      <w:rPr>
        <w:noProof/>
      </w:rPr>
      <w:fldChar w:fldCharType="end"/>
    </w:r>
    <w:r>
      <w:rPr>
        <w:rFonts w:hint="eastAsia"/>
      </w:rPr>
      <w:t>-</w:t>
    </w:r>
  </w:p>
  <w:p w:rsidR="000D4860" w:rsidRDefault="000D4860" w:rsidP="006B72E6">
    <w:pPr>
      <w:pStyle w:val="a8"/>
      <w:jc w:val="center"/>
    </w:pPr>
    <w:r w:rsidRPr="00241C6A">
      <w:t>©</w:t>
    </w:r>
    <w:r w:rsidR="003F2103">
      <w:rPr>
        <w:rFonts w:hint="eastAsia"/>
      </w:rPr>
      <w:t xml:space="preserve"> </w:t>
    </w:r>
    <w:r>
      <w:t>201</w:t>
    </w:r>
    <w:r>
      <w:rPr>
        <w:rFonts w:hint="eastAsia"/>
      </w:rPr>
      <w:t>7</w:t>
    </w:r>
    <w:r>
      <w:t xml:space="preserve"> </w:t>
    </w:r>
    <w:r w:rsidRPr="00241C6A">
      <w:t>Grant Thornton Taiwan.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533" w:rsidRDefault="00756533">
      <w:r>
        <w:separator/>
      </w:r>
    </w:p>
  </w:footnote>
  <w:footnote w:type="continuationSeparator" w:id="0">
    <w:p w:rsidR="00756533" w:rsidRDefault="00756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sidRPr="00DB721F">
      <w:rPr>
        <w:rFonts w:eastAsia="標楷體"/>
        <w:b/>
        <w:sz w:val="28"/>
        <w:szCs w:val="28"/>
      </w:rPr>
      <w:t>A</w:t>
    </w:r>
  </w:p>
  <w:p w:rsidR="000D4860" w:rsidRPr="00B14BA3" w:rsidRDefault="000D4860" w:rsidP="00BD70B2">
    <w:pPr>
      <w:pStyle w:val="a6"/>
      <w:rPr>
        <w:rFonts w:ascii="標楷體" w:eastAsia="標楷體" w:hAnsi="標楷體"/>
        <w:b/>
        <w:sz w:val="28"/>
        <w:szCs w:val="28"/>
      </w:rPr>
    </w:pPr>
    <w:r w:rsidRPr="00B14BA3">
      <w:rPr>
        <w:rFonts w:ascii="標楷體" w:eastAsia="標楷體" w:hAnsi="標楷體" w:hint="eastAsia"/>
        <w:b/>
        <w:sz w:val="28"/>
        <w:szCs w:val="28"/>
      </w:rPr>
      <w:t>『有形資產之移轉－進貨（購入機台設備）』受控交易可比較對象之篩選過程</w:t>
    </w:r>
  </w:p>
  <w:p w:rsidR="000D4860" w:rsidRPr="00AB627A" w:rsidRDefault="000D4860" w:rsidP="00BD70B2">
    <w:pPr>
      <w:pStyle w:val="a6"/>
      <w:rPr>
        <w:rFonts w:ascii="標楷體" w:eastAsia="標楷體" w:hAnsi="標楷體"/>
        <w:b/>
        <w:sz w:val="28"/>
        <w:szCs w:val="28"/>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Pr>
        <w:rFonts w:eastAsia="標楷體" w:hint="eastAsia"/>
        <w:b/>
        <w:sz w:val="28"/>
        <w:szCs w:val="28"/>
      </w:rPr>
      <w:t>J</w:t>
    </w:r>
  </w:p>
  <w:p w:rsidR="000D4860" w:rsidRPr="00B14BA3" w:rsidRDefault="000D4860" w:rsidP="005B6B38">
    <w:pPr>
      <w:pStyle w:val="a6"/>
      <w:rPr>
        <w:b/>
        <w:sz w:val="28"/>
        <w:szCs w:val="28"/>
      </w:rPr>
    </w:pPr>
    <w:r w:rsidRPr="00B14BA3">
      <w:rPr>
        <w:rFonts w:eastAsia="標楷體" w:hAnsi="標楷體" w:hint="eastAsia"/>
        <w:b/>
        <w:sz w:val="28"/>
        <w:szCs w:val="28"/>
      </w:rPr>
      <w:t>『有形資產之移轉</w:t>
    </w:r>
    <w:r w:rsidRPr="00B14BA3">
      <w:rPr>
        <w:rFonts w:eastAsia="標楷體" w:hAnsi="標楷體" w:hint="eastAsia"/>
        <w:b/>
        <w:sz w:val="28"/>
        <w:szCs w:val="28"/>
      </w:rPr>
      <w:t>-</w:t>
    </w:r>
    <w:r w:rsidRPr="00B14BA3">
      <w:rPr>
        <w:rFonts w:eastAsia="標楷體" w:hAnsi="標楷體" w:hint="eastAsia"/>
        <w:b/>
        <w:sz w:val="28"/>
        <w:szCs w:val="28"/>
      </w:rPr>
      <w:t>進貨</w:t>
    </w:r>
    <w:r w:rsidRPr="00B14BA3">
      <w:rPr>
        <w:rFonts w:eastAsia="標楷體" w:hAnsi="標楷體" w:hint="eastAsia"/>
        <w:b/>
        <w:sz w:val="28"/>
        <w:szCs w:val="28"/>
      </w:rPr>
      <w:t>(</w:t>
    </w:r>
    <w:proofErr w:type="gramStart"/>
    <w:r w:rsidRPr="00B14BA3">
      <w:rPr>
        <w:rFonts w:eastAsia="標楷體" w:hAnsi="標楷體" w:hint="eastAsia"/>
        <w:b/>
        <w:sz w:val="28"/>
        <w:szCs w:val="28"/>
      </w:rPr>
      <w:t>購入機台</w:t>
    </w:r>
    <w:proofErr w:type="gramEnd"/>
    <w:r w:rsidRPr="00B14BA3">
      <w:rPr>
        <w:rFonts w:eastAsia="標楷體" w:hAnsi="標楷體" w:hint="eastAsia"/>
        <w:b/>
        <w:sz w:val="28"/>
        <w:szCs w:val="28"/>
      </w:rPr>
      <w:t>設備</w:t>
    </w:r>
    <w:r w:rsidRPr="00B14BA3">
      <w:rPr>
        <w:rFonts w:eastAsia="標楷體" w:hAnsi="標楷體" w:hint="eastAsia"/>
        <w:b/>
        <w:sz w:val="28"/>
        <w:szCs w:val="28"/>
      </w:rPr>
      <w:t>)</w:t>
    </w:r>
    <w:r w:rsidRPr="00B14BA3">
      <w:rPr>
        <w:rFonts w:eastAsia="標楷體" w:hAnsi="標楷體" w:hint="eastAsia"/>
        <w:b/>
        <w:sz w:val="28"/>
        <w:szCs w:val="28"/>
      </w:rPr>
      <w:t>』受控交易</w:t>
    </w:r>
    <w:r w:rsidRPr="00B14BA3">
      <w:rPr>
        <w:rFonts w:eastAsia="標楷體" w:hAnsi="標楷體"/>
        <w:b/>
        <w:sz w:val="28"/>
        <w:szCs w:val="28"/>
      </w:rPr>
      <w:t>可比較對象</w:t>
    </w:r>
    <w:r w:rsidRPr="00B14BA3">
      <w:rPr>
        <w:rFonts w:eastAsia="標楷體" w:hAnsi="標楷體" w:hint="eastAsia"/>
        <w:b/>
        <w:sz w:val="28"/>
        <w:szCs w:val="28"/>
      </w:rPr>
      <w:t>財務資訊</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Pr>
        <w:rFonts w:eastAsia="標楷體" w:hint="eastAsia"/>
        <w:b/>
        <w:sz w:val="28"/>
        <w:szCs w:val="28"/>
      </w:rPr>
      <w:t>K</w:t>
    </w:r>
  </w:p>
  <w:p w:rsidR="000D4860" w:rsidRPr="00B14BA3" w:rsidRDefault="000D4860" w:rsidP="005B6B38">
    <w:pPr>
      <w:pStyle w:val="a6"/>
      <w:rPr>
        <w:b/>
        <w:sz w:val="28"/>
        <w:szCs w:val="28"/>
      </w:rPr>
    </w:pPr>
    <w:r w:rsidRPr="00B14BA3">
      <w:rPr>
        <w:rFonts w:eastAsia="標楷體" w:hAnsi="標楷體" w:hint="eastAsia"/>
        <w:b/>
        <w:sz w:val="28"/>
        <w:szCs w:val="28"/>
      </w:rPr>
      <w:t>『有形資產之移轉</w:t>
    </w:r>
    <w:r w:rsidRPr="00B14BA3">
      <w:rPr>
        <w:rFonts w:eastAsia="標楷體" w:hAnsi="標楷體" w:hint="eastAsia"/>
        <w:b/>
        <w:sz w:val="28"/>
        <w:szCs w:val="28"/>
      </w:rPr>
      <w:t>-</w:t>
    </w:r>
    <w:r w:rsidRPr="00B14BA3">
      <w:rPr>
        <w:rFonts w:eastAsia="標楷體" w:hAnsi="標楷體" w:hint="eastAsia"/>
        <w:b/>
        <w:sz w:val="28"/>
        <w:szCs w:val="28"/>
      </w:rPr>
      <w:t>銷貨』受控交易</w:t>
    </w:r>
    <w:r w:rsidRPr="00B14BA3">
      <w:rPr>
        <w:rFonts w:eastAsia="標楷體" w:hAnsi="標楷體"/>
        <w:b/>
        <w:sz w:val="28"/>
        <w:szCs w:val="28"/>
      </w:rPr>
      <w:t>可比較對象</w:t>
    </w:r>
    <w:r w:rsidRPr="00B14BA3">
      <w:rPr>
        <w:rFonts w:eastAsia="標楷體" w:hAnsi="標楷體" w:hint="eastAsia"/>
        <w:b/>
        <w:sz w:val="28"/>
        <w:szCs w:val="28"/>
      </w:rPr>
      <w:t>財務資訊</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L</w:t>
    </w:r>
  </w:p>
  <w:p w:rsidR="000D4860" w:rsidRPr="00B14BA3" w:rsidRDefault="000D4860" w:rsidP="0067775E">
    <w:pPr>
      <w:pStyle w:val="a6"/>
    </w:pPr>
    <w:r w:rsidRPr="00B14BA3">
      <w:rPr>
        <w:rFonts w:eastAsia="標楷體" w:hAnsi="標楷體" w:hint="eastAsia"/>
        <w:b/>
        <w:sz w:val="28"/>
        <w:szCs w:val="28"/>
      </w:rPr>
      <w:t>「服務之提供</w:t>
    </w:r>
    <w:r w:rsidRPr="00B14BA3">
      <w:rPr>
        <w:rFonts w:eastAsia="標楷體" w:hAnsi="標楷體" w:hint="eastAsia"/>
        <w:b/>
        <w:sz w:val="28"/>
        <w:szCs w:val="28"/>
      </w:rPr>
      <w:t xml:space="preserve"> - </w:t>
    </w:r>
    <w:r w:rsidRPr="00B14BA3">
      <w:rPr>
        <w:rFonts w:eastAsia="標楷體" w:hAnsi="標楷體" w:hint="eastAsia"/>
        <w:b/>
        <w:sz w:val="28"/>
        <w:szCs w:val="28"/>
      </w:rPr>
      <w:t>提供培訓服務」受控交易</w:t>
    </w:r>
    <w:r w:rsidRPr="00B14BA3">
      <w:rPr>
        <w:rFonts w:eastAsia="標楷體" w:hAnsi="標楷體"/>
        <w:b/>
        <w:sz w:val="28"/>
        <w:szCs w:val="28"/>
      </w:rPr>
      <w:t>可比較對象之</w:t>
    </w:r>
    <w:r w:rsidRPr="00B14BA3">
      <w:rPr>
        <w:rFonts w:eastAsia="標楷體" w:hAnsi="標楷體" w:hint="eastAsia"/>
        <w:b/>
        <w:sz w:val="28"/>
        <w:szCs w:val="28"/>
      </w:rPr>
      <w:t>財務資訊</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Default="000D4860">
    <w:pPr>
      <w:pStyle w:val="a6"/>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M</w:t>
    </w:r>
  </w:p>
  <w:p w:rsidR="000D4860" w:rsidRPr="00B14BA3" w:rsidRDefault="000D4860" w:rsidP="00D07394">
    <w:pPr>
      <w:pStyle w:val="a6"/>
      <w:rPr>
        <w:rFonts w:eastAsia="標楷體" w:hAnsi="標楷體"/>
        <w:b/>
        <w:sz w:val="28"/>
        <w:szCs w:val="28"/>
      </w:rPr>
    </w:pPr>
    <w:r w:rsidRPr="00B14BA3">
      <w:rPr>
        <w:rFonts w:eastAsia="標楷體" w:hAnsi="標楷體" w:hint="eastAsia"/>
        <w:b/>
        <w:sz w:val="28"/>
        <w:szCs w:val="28"/>
      </w:rPr>
      <w:t>中央銀行所發佈之五大銀行（台銀、合庫銀、土銀、華銀及一銀）新承做放款利率資料</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N</w:t>
    </w:r>
  </w:p>
  <w:p w:rsidR="000D4860" w:rsidRPr="00B14BA3" w:rsidRDefault="000D4860" w:rsidP="0067775E">
    <w:pPr>
      <w:pStyle w:val="a6"/>
    </w:pPr>
    <w:r w:rsidRPr="00B14BA3">
      <w:rPr>
        <w:rFonts w:eastAsia="標楷體" w:hint="eastAsia"/>
        <w:b/>
        <w:sz w:val="28"/>
        <w:szCs w:val="28"/>
      </w:rPr>
      <w:t>中華民國營利事業所得稅不合常規移轉訂價查核準則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856741" w:rsidRDefault="000D4860" w:rsidP="00290317">
    <w:pPr>
      <w:pStyle w:val="a6"/>
      <w:rPr>
        <w:rFonts w:eastAsia="標楷體"/>
        <w:b/>
        <w:sz w:val="28"/>
        <w:szCs w:val="28"/>
      </w:rPr>
    </w:pPr>
    <w:r w:rsidRPr="00856741">
      <w:rPr>
        <w:rFonts w:eastAsia="標楷體" w:hAnsi="標楷體"/>
        <w:b/>
        <w:sz w:val="28"/>
        <w:szCs w:val="28"/>
      </w:rPr>
      <w:t>附件</w:t>
    </w:r>
    <w:r>
      <w:rPr>
        <w:rFonts w:eastAsia="標楷體" w:hAnsi="標楷體" w:hint="eastAsia"/>
        <w:b/>
        <w:sz w:val="28"/>
        <w:szCs w:val="28"/>
      </w:rPr>
      <w:t>N</w:t>
    </w:r>
  </w:p>
  <w:p w:rsidR="000D4860" w:rsidRPr="00B14BA3" w:rsidRDefault="000D4860" w:rsidP="00CA5702">
    <w:pPr>
      <w:pStyle w:val="a6"/>
      <w:rPr>
        <w:rFonts w:eastAsia="標楷體"/>
        <w:b/>
        <w:sz w:val="28"/>
        <w:szCs w:val="28"/>
      </w:rPr>
    </w:pPr>
    <w:r w:rsidRPr="00B14BA3">
      <w:rPr>
        <w:rFonts w:eastAsia="標楷體" w:hint="eastAsia"/>
        <w:b/>
        <w:sz w:val="28"/>
        <w:szCs w:val="28"/>
      </w:rPr>
      <w:t>中華民國營利事業所得稅不合常規移轉訂價查核準則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sidRPr="00DB721F">
      <w:rPr>
        <w:rFonts w:eastAsia="標楷體" w:hint="eastAsia"/>
        <w:b/>
        <w:sz w:val="28"/>
        <w:szCs w:val="28"/>
      </w:rPr>
      <w:t>B</w:t>
    </w:r>
  </w:p>
  <w:p w:rsidR="000D4860" w:rsidRPr="00B14BA3" w:rsidRDefault="000D4860" w:rsidP="00BD70B2">
    <w:pPr>
      <w:pStyle w:val="a6"/>
      <w:rPr>
        <w:b/>
        <w:sz w:val="28"/>
        <w:szCs w:val="28"/>
      </w:rPr>
    </w:pPr>
    <w:r w:rsidRPr="00B14BA3">
      <w:rPr>
        <w:rFonts w:eastAsia="標楷體" w:hAnsi="標楷體" w:hint="eastAsia"/>
        <w:b/>
        <w:sz w:val="28"/>
        <w:szCs w:val="28"/>
      </w:rPr>
      <w:t>『有形資產之移轉</w:t>
    </w:r>
    <w:r w:rsidRPr="00B14BA3">
      <w:rPr>
        <w:rFonts w:eastAsia="標楷體" w:hAnsi="標楷體" w:hint="eastAsia"/>
        <w:b/>
        <w:sz w:val="28"/>
        <w:szCs w:val="28"/>
      </w:rPr>
      <w:t>-</w:t>
    </w:r>
    <w:r w:rsidRPr="00B14BA3">
      <w:rPr>
        <w:rFonts w:eastAsia="標楷體" w:hAnsi="標楷體" w:hint="eastAsia"/>
        <w:b/>
        <w:sz w:val="28"/>
        <w:szCs w:val="28"/>
      </w:rPr>
      <w:t>進貨</w:t>
    </w:r>
    <w:r w:rsidRPr="00B14BA3">
      <w:rPr>
        <w:rFonts w:eastAsia="標楷體" w:hAnsi="標楷體" w:hint="eastAsia"/>
        <w:b/>
        <w:sz w:val="28"/>
        <w:szCs w:val="28"/>
      </w:rPr>
      <w:t>(</w:t>
    </w:r>
    <w:proofErr w:type="gramStart"/>
    <w:r w:rsidRPr="00B14BA3">
      <w:rPr>
        <w:rFonts w:eastAsia="標楷體" w:hAnsi="標楷體" w:hint="eastAsia"/>
        <w:b/>
        <w:sz w:val="28"/>
        <w:szCs w:val="28"/>
      </w:rPr>
      <w:t>購入機台</w:t>
    </w:r>
    <w:proofErr w:type="gramEnd"/>
    <w:r w:rsidRPr="00B14BA3">
      <w:rPr>
        <w:rFonts w:eastAsia="標楷體" w:hAnsi="標楷體" w:hint="eastAsia"/>
        <w:b/>
        <w:sz w:val="28"/>
        <w:szCs w:val="28"/>
      </w:rPr>
      <w:t>設備</w:t>
    </w:r>
    <w:r w:rsidRPr="00B14BA3">
      <w:rPr>
        <w:rFonts w:eastAsia="標楷體" w:hAnsi="標楷體" w:hint="eastAsia"/>
        <w:b/>
        <w:sz w:val="28"/>
        <w:szCs w:val="28"/>
      </w:rPr>
      <w:t>)</w:t>
    </w:r>
    <w:r w:rsidRPr="00B14BA3">
      <w:rPr>
        <w:rFonts w:eastAsia="標楷體" w:hAnsi="標楷體" w:hint="eastAsia"/>
        <w:b/>
        <w:sz w:val="28"/>
        <w:szCs w:val="28"/>
      </w:rPr>
      <w:t>』受控交易</w:t>
    </w:r>
    <w:r w:rsidRPr="00B14BA3">
      <w:rPr>
        <w:rFonts w:eastAsia="標楷體" w:hAnsi="標楷體"/>
        <w:b/>
        <w:sz w:val="28"/>
        <w:szCs w:val="28"/>
      </w:rPr>
      <w:t>可比較對象</w:t>
    </w:r>
    <w:r w:rsidRPr="00B14BA3">
      <w:rPr>
        <w:rFonts w:eastAsia="標楷體" w:hAnsi="標楷體" w:hint="eastAsia"/>
        <w:b/>
        <w:sz w:val="28"/>
        <w:szCs w:val="28"/>
      </w:rPr>
      <w:t>拒絕原因列表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sidRPr="00DB721F">
      <w:rPr>
        <w:rFonts w:eastAsia="標楷體" w:hint="eastAsia"/>
        <w:b/>
        <w:sz w:val="28"/>
        <w:szCs w:val="28"/>
      </w:rPr>
      <w:t>C</w:t>
    </w:r>
  </w:p>
  <w:p w:rsidR="000D4860" w:rsidRPr="00B14BA3" w:rsidRDefault="000D4860" w:rsidP="00C9794C">
    <w:pPr>
      <w:pStyle w:val="a6"/>
      <w:rPr>
        <w:b/>
        <w:sz w:val="28"/>
        <w:szCs w:val="28"/>
      </w:rPr>
    </w:pPr>
    <w:r w:rsidRPr="00B14BA3">
      <w:rPr>
        <w:rFonts w:eastAsia="標楷體" w:hAnsi="標楷體" w:hint="eastAsia"/>
        <w:b/>
        <w:sz w:val="28"/>
        <w:szCs w:val="28"/>
      </w:rPr>
      <w:t>『有形資產之移轉</w:t>
    </w:r>
    <w:r w:rsidRPr="00B14BA3">
      <w:rPr>
        <w:rFonts w:eastAsia="標楷體" w:hAnsi="標楷體" w:hint="eastAsia"/>
        <w:b/>
        <w:sz w:val="28"/>
        <w:szCs w:val="28"/>
      </w:rPr>
      <w:t>-</w:t>
    </w:r>
    <w:r w:rsidRPr="00B14BA3">
      <w:rPr>
        <w:rFonts w:eastAsia="標楷體" w:hAnsi="標楷體" w:hint="eastAsia"/>
        <w:b/>
        <w:sz w:val="28"/>
        <w:szCs w:val="28"/>
      </w:rPr>
      <w:t>進貨</w:t>
    </w:r>
    <w:r w:rsidRPr="00B14BA3">
      <w:rPr>
        <w:rFonts w:eastAsia="標楷體" w:hAnsi="標楷體" w:hint="eastAsia"/>
        <w:b/>
        <w:sz w:val="28"/>
        <w:szCs w:val="28"/>
      </w:rPr>
      <w:t>(</w:t>
    </w:r>
    <w:proofErr w:type="gramStart"/>
    <w:r w:rsidRPr="00B14BA3">
      <w:rPr>
        <w:rFonts w:eastAsia="標楷體" w:hAnsi="標楷體" w:hint="eastAsia"/>
        <w:b/>
        <w:sz w:val="28"/>
        <w:szCs w:val="28"/>
      </w:rPr>
      <w:t>購入機台</w:t>
    </w:r>
    <w:proofErr w:type="gramEnd"/>
    <w:r w:rsidRPr="00B14BA3">
      <w:rPr>
        <w:rFonts w:eastAsia="標楷體" w:hAnsi="標楷體" w:hint="eastAsia"/>
        <w:b/>
        <w:sz w:val="28"/>
        <w:szCs w:val="28"/>
      </w:rPr>
      <w:t>設備</w:t>
    </w:r>
    <w:r w:rsidRPr="00B14BA3">
      <w:rPr>
        <w:rFonts w:eastAsia="標楷體" w:hAnsi="標楷體" w:hint="eastAsia"/>
        <w:b/>
        <w:sz w:val="28"/>
        <w:szCs w:val="28"/>
      </w:rPr>
      <w:t>)</w:t>
    </w:r>
    <w:r w:rsidRPr="00B14BA3">
      <w:rPr>
        <w:rFonts w:eastAsia="標楷體" w:hAnsi="標楷體" w:hint="eastAsia"/>
        <w:b/>
        <w:sz w:val="28"/>
        <w:szCs w:val="28"/>
      </w:rPr>
      <w:t>』受控交易</w:t>
    </w:r>
    <w:r w:rsidRPr="00B14BA3">
      <w:rPr>
        <w:rFonts w:eastAsia="標楷體" w:hAnsi="標楷體"/>
        <w:b/>
        <w:sz w:val="28"/>
        <w:szCs w:val="28"/>
      </w:rPr>
      <w:t>可比較對象</w:t>
    </w:r>
    <w:r w:rsidRPr="00B14BA3">
      <w:rPr>
        <w:rFonts w:eastAsia="標楷體" w:hAnsi="標楷體" w:hint="eastAsia"/>
        <w:b/>
        <w:sz w:val="28"/>
        <w:szCs w:val="28"/>
      </w:rPr>
      <w:t>企業敘述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sidRPr="00DB721F">
      <w:rPr>
        <w:rFonts w:eastAsia="標楷體" w:hint="eastAsia"/>
        <w:b/>
        <w:sz w:val="28"/>
        <w:szCs w:val="28"/>
      </w:rPr>
      <w:t>D</w:t>
    </w:r>
  </w:p>
  <w:p w:rsidR="000D4860" w:rsidRPr="00B14BA3" w:rsidRDefault="000D4860" w:rsidP="005B6B38">
    <w:pPr>
      <w:pStyle w:val="a6"/>
      <w:rPr>
        <w:b/>
        <w:sz w:val="28"/>
        <w:szCs w:val="28"/>
      </w:rPr>
    </w:pPr>
    <w:r w:rsidRPr="00B14BA3">
      <w:rPr>
        <w:rFonts w:eastAsia="標楷體" w:hAnsi="標楷體" w:hint="eastAsia"/>
        <w:b/>
        <w:sz w:val="28"/>
        <w:szCs w:val="28"/>
      </w:rPr>
      <w:t>『有形資產之</w:t>
    </w:r>
    <w:proofErr w:type="gramStart"/>
    <w:r w:rsidRPr="00B14BA3">
      <w:rPr>
        <w:rFonts w:eastAsia="標楷體" w:hAnsi="標楷體" w:hint="eastAsia"/>
        <w:b/>
        <w:sz w:val="28"/>
        <w:szCs w:val="28"/>
      </w:rPr>
      <w:t>移轉－銷貨</w:t>
    </w:r>
    <w:proofErr w:type="gramEnd"/>
    <w:r w:rsidRPr="00B14BA3">
      <w:rPr>
        <w:rFonts w:eastAsia="標楷體" w:hAnsi="標楷體" w:hint="eastAsia"/>
        <w:b/>
        <w:sz w:val="28"/>
        <w:szCs w:val="28"/>
      </w:rPr>
      <w:t>』受控交易可比較對象之篩選過程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Pr>
        <w:rFonts w:eastAsia="標楷體" w:hint="eastAsia"/>
        <w:b/>
        <w:sz w:val="28"/>
        <w:szCs w:val="28"/>
      </w:rPr>
      <w:t>E</w:t>
    </w:r>
  </w:p>
  <w:p w:rsidR="000D4860" w:rsidRPr="00B14BA3" w:rsidRDefault="000D4860" w:rsidP="005B6B38">
    <w:pPr>
      <w:pStyle w:val="a6"/>
      <w:rPr>
        <w:b/>
        <w:sz w:val="28"/>
        <w:szCs w:val="28"/>
      </w:rPr>
    </w:pPr>
    <w:r w:rsidRPr="00B14BA3">
      <w:rPr>
        <w:rFonts w:eastAsia="標楷體" w:hAnsi="標楷體" w:hint="eastAsia"/>
        <w:b/>
        <w:sz w:val="28"/>
        <w:szCs w:val="28"/>
      </w:rPr>
      <w:t>『有形資產之</w:t>
    </w:r>
    <w:proofErr w:type="gramStart"/>
    <w:r w:rsidRPr="00B14BA3">
      <w:rPr>
        <w:rFonts w:eastAsia="標楷體" w:hAnsi="標楷體" w:hint="eastAsia"/>
        <w:b/>
        <w:sz w:val="28"/>
        <w:szCs w:val="28"/>
      </w:rPr>
      <w:t>移轉－銷貨</w:t>
    </w:r>
    <w:proofErr w:type="gramEnd"/>
    <w:r w:rsidRPr="00B14BA3">
      <w:rPr>
        <w:rFonts w:eastAsia="標楷體" w:hAnsi="標楷體" w:hint="eastAsia"/>
        <w:b/>
        <w:sz w:val="28"/>
        <w:szCs w:val="28"/>
      </w:rPr>
      <w:t>』受控交易</w:t>
    </w:r>
    <w:r w:rsidRPr="00B14BA3">
      <w:rPr>
        <w:rFonts w:eastAsia="標楷體" w:hAnsi="標楷體"/>
        <w:b/>
        <w:sz w:val="28"/>
        <w:szCs w:val="28"/>
      </w:rPr>
      <w:t>可比較對象</w:t>
    </w:r>
    <w:r w:rsidRPr="00B14BA3">
      <w:rPr>
        <w:rFonts w:eastAsia="標楷體" w:hAnsi="標楷體" w:hint="eastAsia"/>
        <w:b/>
        <w:sz w:val="28"/>
        <w:szCs w:val="28"/>
      </w:rPr>
      <w:t>拒絕原因列表</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DB721F" w:rsidRDefault="000D4860" w:rsidP="00CA5702">
    <w:pPr>
      <w:pStyle w:val="a6"/>
      <w:rPr>
        <w:rFonts w:eastAsia="標楷體"/>
        <w:b/>
        <w:sz w:val="28"/>
        <w:szCs w:val="28"/>
      </w:rPr>
    </w:pPr>
    <w:r w:rsidRPr="00DB721F">
      <w:rPr>
        <w:rFonts w:eastAsia="標楷體" w:hAnsi="標楷體"/>
        <w:b/>
        <w:sz w:val="28"/>
        <w:szCs w:val="28"/>
      </w:rPr>
      <w:t>附件</w:t>
    </w:r>
    <w:r>
      <w:rPr>
        <w:rFonts w:eastAsia="標楷體" w:hint="eastAsia"/>
        <w:b/>
        <w:sz w:val="28"/>
        <w:szCs w:val="28"/>
      </w:rPr>
      <w:t>F</w:t>
    </w:r>
  </w:p>
  <w:p w:rsidR="000D4860" w:rsidRPr="00B14BA3" w:rsidRDefault="000D4860" w:rsidP="00662661">
    <w:pPr>
      <w:pStyle w:val="a6"/>
      <w:rPr>
        <w:rFonts w:eastAsia="標楷體" w:hAnsi="標楷體"/>
        <w:b/>
        <w:sz w:val="28"/>
        <w:szCs w:val="28"/>
      </w:rPr>
    </w:pPr>
    <w:r w:rsidRPr="00B14BA3">
      <w:rPr>
        <w:rFonts w:eastAsia="標楷體" w:hAnsi="標楷體" w:hint="eastAsia"/>
        <w:b/>
        <w:sz w:val="28"/>
        <w:szCs w:val="28"/>
      </w:rPr>
      <w:t>『有形資產之</w:t>
    </w:r>
    <w:proofErr w:type="gramStart"/>
    <w:r w:rsidRPr="00B14BA3">
      <w:rPr>
        <w:rFonts w:eastAsia="標楷體" w:hAnsi="標楷體" w:hint="eastAsia"/>
        <w:b/>
        <w:sz w:val="28"/>
        <w:szCs w:val="28"/>
      </w:rPr>
      <w:t>移轉－銷貨</w:t>
    </w:r>
    <w:proofErr w:type="gramEnd"/>
    <w:r w:rsidRPr="00B14BA3">
      <w:rPr>
        <w:rFonts w:eastAsia="標楷體" w:hAnsi="標楷體" w:hint="eastAsia"/>
        <w:b/>
        <w:sz w:val="28"/>
        <w:szCs w:val="28"/>
      </w:rPr>
      <w:t>』受控交易</w:t>
    </w:r>
    <w:r w:rsidRPr="00B14BA3">
      <w:rPr>
        <w:rFonts w:eastAsia="標楷體" w:hAnsi="標楷體"/>
        <w:b/>
        <w:sz w:val="28"/>
        <w:szCs w:val="28"/>
      </w:rPr>
      <w:t>可比較對象</w:t>
    </w:r>
    <w:r w:rsidRPr="00B14BA3">
      <w:rPr>
        <w:rFonts w:eastAsia="標楷體" w:hAnsi="標楷體" w:hint="eastAsia"/>
        <w:b/>
        <w:sz w:val="28"/>
        <w:szCs w:val="28"/>
      </w:rPr>
      <w:t>企業敘述</w:t>
    </w:r>
  </w:p>
  <w:p w:rsidR="000D4860" w:rsidRPr="005B6B38" w:rsidRDefault="000D4860" w:rsidP="00662661">
    <w:pPr>
      <w:pStyle w:val="a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G</w:t>
    </w:r>
  </w:p>
  <w:p w:rsidR="000D4860" w:rsidRPr="00B14BA3" w:rsidRDefault="000D4860" w:rsidP="00227F88">
    <w:pPr>
      <w:pStyle w:val="a6"/>
      <w:rPr>
        <w:rFonts w:eastAsia="標楷體" w:hAnsi="標楷體"/>
        <w:b/>
        <w:sz w:val="28"/>
        <w:szCs w:val="28"/>
      </w:rPr>
    </w:pPr>
    <w:r w:rsidRPr="00B14BA3">
      <w:rPr>
        <w:rFonts w:eastAsia="標楷體" w:hAnsi="標楷體" w:hint="eastAsia"/>
        <w:b/>
        <w:sz w:val="28"/>
        <w:szCs w:val="28"/>
      </w:rPr>
      <w:t>「服務之提供</w:t>
    </w:r>
    <w:r w:rsidRPr="00B14BA3">
      <w:rPr>
        <w:rFonts w:eastAsia="標楷體" w:hAnsi="標楷體" w:hint="eastAsia"/>
        <w:b/>
        <w:sz w:val="28"/>
        <w:szCs w:val="28"/>
      </w:rPr>
      <w:t xml:space="preserve"> - </w:t>
    </w:r>
    <w:r w:rsidRPr="00B14BA3">
      <w:rPr>
        <w:rFonts w:eastAsia="標楷體" w:hAnsi="標楷體" w:hint="eastAsia"/>
        <w:b/>
        <w:sz w:val="28"/>
        <w:szCs w:val="28"/>
      </w:rPr>
      <w:t>提供支援服務」受控交易</w:t>
    </w:r>
    <w:r w:rsidRPr="00B14BA3">
      <w:rPr>
        <w:rFonts w:eastAsia="標楷體" w:hAnsi="標楷體"/>
        <w:b/>
        <w:sz w:val="28"/>
        <w:szCs w:val="28"/>
      </w:rPr>
      <w:t>可比較對象之篩選過程</w:t>
    </w:r>
  </w:p>
  <w:p w:rsidR="000D4860" w:rsidRPr="00227F88" w:rsidRDefault="000D4860" w:rsidP="00227F88">
    <w:pPr>
      <w:pStyle w:val="a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H</w:t>
    </w:r>
  </w:p>
  <w:p w:rsidR="000D4860" w:rsidRPr="00B14BA3" w:rsidRDefault="000D4860" w:rsidP="00227F88">
    <w:pPr>
      <w:pStyle w:val="a6"/>
      <w:rPr>
        <w:rFonts w:eastAsia="標楷體" w:hAnsi="標楷體"/>
        <w:b/>
        <w:sz w:val="28"/>
        <w:szCs w:val="28"/>
      </w:rPr>
    </w:pPr>
    <w:r w:rsidRPr="00B14BA3">
      <w:rPr>
        <w:rFonts w:eastAsia="標楷體" w:hAnsi="標楷體" w:hint="eastAsia"/>
        <w:b/>
        <w:sz w:val="28"/>
        <w:szCs w:val="28"/>
      </w:rPr>
      <w:t>「服務之提供</w:t>
    </w:r>
    <w:r w:rsidRPr="00B14BA3">
      <w:rPr>
        <w:rFonts w:eastAsia="標楷體" w:hAnsi="標楷體" w:hint="eastAsia"/>
        <w:b/>
        <w:sz w:val="28"/>
        <w:szCs w:val="28"/>
      </w:rPr>
      <w:t xml:space="preserve"> - </w:t>
    </w:r>
    <w:r w:rsidRPr="00B14BA3">
      <w:rPr>
        <w:rFonts w:eastAsia="標楷體" w:hAnsi="標楷體" w:hint="eastAsia"/>
        <w:b/>
        <w:sz w:val="28"/>
        <w:szCs w:val="28"/>
      </w:rPr>
      <w:t>提供支援服務」受控交易</w:t>
    </w:r>
    <w:r w:rsidRPr="00B14BA3">
      <w:rPr>
        <w:rFonts w:eastAsia="標楷體" w:hAnsi="標楷體"/>
        <w:b/>
        <w:sz w:val="28"/>
        <w:szCs w:val="28"/>
      </w:rPr>
      <w:t>可比較對象之</w:t>
    </w:r>
    <w:r w:rsidRPr="00B14BA3">
      <w:rPr>
        <w:rFonts w:eastAsia="標楷體" w:hAnsi="標楷體" w:hint="eastAsia"/>
        <w:b/>
        <w:sz w:val="28"/>
        <w:szCs w:val="28"/>
      </w:rPr>
      <w:t>拒絕原因列表</w:t>
    </w:r>
  </w:p>
  <w:p w:rsidR="000D4860" w:rsidRPr="00227F88" w:rsidRDefault="000D4860" w:rsidP="00227F88">
    <w:pPr>
      <w:pStyle w:val="a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860" w:rsidRPr="00FC22CC" w:rsidRDefault="000D4860" w:rsidP="00CA5702">
    <w:pPr>
      <w:pStyle w:val="a6"/>
      <w:rPr>
        <w:rFonts w:eastAsia="標楷體"/>
        <w:b/>
        <w:sz w:val="28"/>
        <w:szCs w:val="28"/>
      </w:rPr>
    </w:pPr>
    <w:r w:rsidRPr="00FC22CC">
      <w:rPr>
        <w:rFonts w:eastAsia="標楷體" w:hAnsi="標楷體"/>
        <w:b/>
        <w:sz w:val="28"/>
        <w:szCs w:val="28"/>
      </w:rPr>
      <w:t>附件</w:t>
    </w:r>
    <w:r>
      <w:rPr>
        <w:rFonts w:eastAsia="標楷體" w:hint="eastAsia"/>
        <w:b/>
        <w:sz w:val="28"/>
        <w:szCs w:val="28"/>
      </w:rPr>
      <w:t>I</w:t>
    </w:r>
  </w:p>
  <w:p w:rsidR="000D4860" w:rsidRPr="00B14BA3" w:rsidRDefault="000D4860" w:rsidP="0067775E">
    <w:pPr>
      <w:pStyle w:val="a6"/>
      <w:rPr>
        <w:rFonts w:eastAsia="標楷體" w:hAnsi="標楷體"/>
        <w:b/>
        <w:sz w:val="28"/>
        <w:szCs w:val="28"/>
      </w:rPr>
    </w:pPr>
    <w:r w:rsidRPr="00B14BA3">
      <w:rPr>
        <w:rFonts w:eastAsia="標楷體" w:hAnsi="標楷體" w:hint="eastAsia"/>
        <w:b/>
        <w:sz w:val="28"/>
        <w:szCs w:val="28"/>
      </w:rPr>
      <w:t>「服務之提供</w:t>
    </w:r>
    <w:r w:rsidRPr="00B14BA3">
      <w:rPr>
        <w:rFonts w:eastAsia="標楷體" w:hAnsi="標楷體" w:hint="eastAsia"/>
        <w:b/>
        <w:sz w:val="28"/>
        <w:szCs w:val="28"/>
      </w:rPr>
      <w:t xml:space="preserve"> - </w:t>
    </w:r>
    <w:r w:rsidRPr="00B14BA3">
      <w:rPr>
        <w:rFonts w:eastAsia="標楷體" w:hAnsi="標楷體" w:hint="eastAsia"/>
        <w:b/>
        <w:sz w:val="28"/>
        <w:szCs w:val="28"/>
      </w:rPr>
      <w:t>提供支援服務」受控交易</w:t>
    </w:r>
    <w:r w:rsidRPr="00B14BA3">
      <w:rPr>
        <w:rFonts w:eastAsia="標楷體" w:hAnsi="標楷體"/>
        <w:b/>
        <w:sz w:val="28"/>
        <w:szCs w:val="28"/>
      </w:rPr>
      <w:t>可比較對象之</w:t>
    </w:r>
    <w:r w:rsidRPr="00B14BA3">
      <w:rPr>
        <w:rFonts w:eastAsia="標楷體" w:hAnsi="標楷體" w:hint="eastAsia"/>
        <w:b/>
        <w:sz w:val="28"/>
        <w:szCs w:val="28"/>
      </w:rPr>
      <w:t>企業敘述</w:t>
    </w:r>
  </w:p>
  <w:p w:rsidR="000D4860" w:rsidRPr="0067775E" w:rsidRDefault="000D4860" w:rsidP="0067775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956"/>
    <w:multiLevelType w:val="hybridMultilevel"/>
    <w:tmpl w:val="C5CCB616"/>
    <w:lvl w:ilvl="0" w:tplc="5E3CA6C2">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ED7CAC"/>
    <w:multiLevelType w:val="hybridMultilevel"/>
    <w:tmpl w:val="75025E8A"/>
    <w:lvl w:ilvl="0" w:tplc="C826E5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6436684"/>
    <w:multiLevelType w:val="hybridMultilevel"/>
    <w:tmpl w:val="446440B0"/>
    <w:lvl w:ilvl="0" w:tplc="7D720B04">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982CDB"/>
    <w:multiLevelType w:val="hybridMultilevel"/>
    <w:tmpl w:val="16644B22"/>
    <w:lvl w:ilvl="0" w:tplc="0060C410">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6DD6D79"/>
    <w:multiLevelType w:val="hybridMultilevel"/>
    <w:tmpl w:val="32A6909C"/>
    <w:lvl w:ilvl="0" w:tplc="51EE7DA8">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B774A6"/>
    <w:multiLevelType w:val="hybridMultilevel"/>
    <w:tmpl w:val="AD20337E"/>
    <w:lvl w:ilvl="0" w:tplc="ADEEF148">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FF2F6D"/>
    <w:multiLevelType w:val="hybridMultilevel"/>
    <w:tmpl w:val="5A1448F8"/>
    <w:lvl w:ilvl="0" w:tplc="9342B840">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AA4A6A"/>
    <w:multiLevelType w:val="hybridMultilevel"/>
    <w:tmpl w:val="EEF4944A"/>
    <w:lvl w:ilvl="0" w:tplc="C53AB944">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B526ADA"/>
    <w:multiLevelType w:val="hybridMultilevel"/>
    <w:tmpl w:val="EB0CF44C"/>
    <w:lvl w:ilvl="0" w:tplc="EAB6F678">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CF72499"/>
    <w:multiLevelType w:val="hybridMultilevel"/>
    <w:tmpl w:val="87B8391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EF73D96"/>
    <w:multiLevelType w:val="hybridMultilevel"/>
    <w:tmpl w:val="D6AAF098"/>
    <w:lvl w:ilvl="0" w:tplc="9A2E6556">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12F74F3"/>
    <w:multiLevelType w:val="hybridMultilevel"/>
    <w:tmpl w:val="D20CD7F6"/>
    <w:lvl w:ilvl="0" w:tplc="10F6068A">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4BE7604"/>
    <w:multiLevelType w:val="hybridMultilevel"/>
    <w:tmpl w:val="B68A7BD2"/>
    <w:lvl w:ilvl="0" w:tplc="657A86DC">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9766D28"/>
    <w:multiLevelType w:val="hybridMultilevel"/>
    <w:tmpl w:val="D898C30C"/>
    <w:lvl w:ilvl="0" w:tplc="6C44DB2E">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D7F3A4C"/>
    <w:multiLevelType w:val="hybridMultilevel"/>
    <w:tmpl w:val="6DA01DB4"/>
    <w:lvl w:ilvl="0" w:tplc="506EFE58">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444010B"/>
    <w:multiLevelType w:val="hybridMultilevel"/>
    <w:tmpl w:val="4B4E4900"/>
    <w:lvl w:ilvl="0" w:tplc="F6723A26">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54D2FC0"/>
    <w:multiLevelType w:val="hybridMultilevel"/>
    <w:tmpl w:val="3ABA5E58"/>
    <w:lvl w:ilvl="0" w:tplc="EB608846">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84E015C"/>
    <w:multiLevelType w:val="hybridMultilevel"/>
    <w:tmpl w:val="8BFE0BFC"/>
    <w:lvl w:ilvl="0" w:tplc="C37C1D5A">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88079E0"/>
    <w:multiLevelType w:val="hybridMultilevel"/>
    <w:tmpl w:val="D506C066"/>
    <w:lvl w:ilvl="0" w:tplc="59EC1746">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B4129B7"/>
    <w:multiLevelType w:val="hybridMultilevel"/>
    <w:tmpl w:val="36606D80"/>
    <w:lvl w:ilvl="0" w:tplc="C03C370C">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E116B14"/>
    <w:multiLevelType w:val="hybridMultilevel"/>
    <w:tmpl w:val="989AB3CE"/>
    <w:lvl w:ilvl="0" w:tplc="0382F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1927C8C"/>
    <w:multiLevelType w:val="hybridMultilevel"/>
    <w:tmpl w:val="9AC616D0"/>
    <w:lvl w:ilvl="0" w:tplc="F90CFF5E">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96527C1"/>
    <w:multiLevelType w:val="hybridMultilevel"/>
    <w:tmpl w:val="B1A0CB34"/>
    <w:lvl w:ilvl="0" w:tplc="FB4C201E">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99545DF"/>
    <w:multiLevelType w:val="hybridMultilevel"/>
    <w:tmpl w:val="5CBCF332"/>
    <w:lvl w:ilvl="0" w:tplc="17F0BFEC">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9CE562A"/>
    <w:multiLevelType w:val="hybridMultilevel"/>
    <w:tmpl w:val="B9C092A4"/>
    <w:lvl w:ilvl="0" w:tplc="37620642">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A2B45AE"/>
    <w:multiLevelType w:val="hybridMultilevel"/>
    <w:tmpl w:val="DDFEE996"/>
    <w:lvl w:ilvl="0" w:tplc="AB72D2F4">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D080D84"/>
    <w:multiLevelType w:val="hybridMultilevel"/>
    <w:tmpl w:val="4A6223E0"/>
    <w:lvl w:ilvl="0" w:tplc="1ADA6A24">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D715C00"/>
    <w:multiLevelType w:val="hybridMultilevel"/>
    <w:tmpl w:val="70A2948A"/>
    <w:lvl w:ilvl="0" w:tplc="F140B028">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D825862"/>
    <w:multiLevelType w:val="hybridMultilevel"/>
    <w:tmpl w:val="E662C6B6"/>
    <w:lvl w:ilvl="0" w:tplc="642EBEAC">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DFB18E4"/>
    <w:multiLevelType w:val="hybridMultilevel"/>
    <w:tmpl w:val="C44E6A04"/>
    <w:lvl w:ilvl="0" w:tplc="4A3AE55A">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3FA72FCC"/>
    <w:multiLevelType w:val="hybridMultilevel"/>
    <w:tmpl w:val="B2921DAA"/>
    <w:lvl w:ilvl="0" w:tplc="0EC626A2">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7683273"/>
    <w:multiLevelType w:val="hybridMultilevel"/>
    <w:tmpl w:val="6908DE3C"/>
    <w:lvl w:ilvl="0" w:tplc="F5F69F4C">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2292DAF"/>
    <w:multiLevelType w:val="hybridMultilevel"/>
    <w:tmpl w:val="B552809A"/>
    <w:lvl w:ilvl="0" w:tplc="120843F0">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4A05710"/>
    <w:multiLevelType w:val="hybridMultilevel"/>
    <w:tmpl w:val="7F80CEE6"/>
    <w:lvl w:ilvl="0" w:tplc="B61012DA">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70F1303"/>
    <w:multiLevelType w:val="hybridMultilevel"/>
    <w:tmpl w:val="11DEE73E"/>
    <w:lvl w:ilvl="0" w:tplc="4C363CE0">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8130D63"/>
    <w:multiLevelType w:val="hybridMultilevel"/>
    <w:tmpl w:val="FEB63694"/>
    <w:lvl w:ilvl="0" w:tplc="7F704F70">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36">
    <w:nsid w:val="58F338F9"/>
    <w:multiLevelType w:val="hybridMultilevel"/>
    <w:tmpl w:val="C188F3B6"/>
    <w:lvl w:ilvl="0" w:tplc="D708F452">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9555835"/>
    <w:multiLevelType w:val="hybridMultilevel"/>
    <w:tmpl w:val="76DA1236"/>
    <w:lvl w:ilvl="0" w:tplc="C40A2F8E">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DA26452"/>
    <w:multiLevelType w:val="multilevel"/>
    <w:tmpl w:val="CEB21E48"/>
    <w:lvl w:ilvl="0">
      <w:start w:val="2"/>
      <w:numFmt w:val="none"/>
      <w:pStyle w:val="1"/>
      <w:suff w:val="nothing"/>
      <w:lvlText w:val=""/>
      <w:lvlJc w:val="left"/>
      <w:pPr>
        <w:ind w:left="3017" w:hanging="3017"/>
      </w:pPr>
      <w:rPr>
        <w:rFonts w:ascii="Times New Roman" w:eastAsia="標楷體" w:hAnsi="Times New Roman" w:hint="default"/>
        <w:b/>
        <w:i w:val="0"/>
        <w:strike w:val="0"/>
        <w:dstrike w:val="0"/>
        <w:outline w:val="0"/>
        <w:shadow w:val="0"/>
        <w:emboss/>
        <w:imprint w:val="0"/>
        <w:sz w:val="32"/>
        <w:szCs w:val="32"/>
        <w:vertAlign w:val="baseline"/>
      </w:rPr>
    </w:lvl>
    <w:lvl w:ilvl="1">
      <w:start w:val="1"/>
      <w:numFmt w:val="taiwaneseCountingThousand"/>
      <w:pStyle w:val="2"/>
      <w:suff w:val="nothing"/>
      <w:lvlText w:val="%2、"/>
      <w:lvlJc w:val="left"/>
      <w:pPr>
        <w:ind w:left="0" w:firstLine="0"/>
      </w:pPr>
      <w:rPr>
        <w:rFonts w:ascii="標楷體" w:eastAsia="標楷體" w:hAnsi="標楷體" w:hint="eastAsia"/>
        <w:sz w:val="32"/>
        <w:szCs w:val="32"/>
      </w:rPr>
    </w:lvl>
    <w:lvl w:ilvl="2">
      <w:start w:val="1"/>
      <w:numFmt w:val="taiwaneseCountingThousand"/>
      <w:suff w:val="nothing"/>
      <w:lvlText w:val="（%3）"/>
      <w:lvlJc w:val="left"/>
      <w:pPr>
        <w:ind w:left="1418" w:hanging="1418"/>
      </w:pPr>
      <w:rPr>
        <w:rFonts w:ascii="Times New Roman" w:eastAsia="標楷體" w:hAnsi="Times New Roman" w:hint="default"/>
        <w:b/>
        <w:i w:val="0"/>
        <w:sz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9">
    <w:nsid w:val="6017228F"/>
    <w:multiLevelType w:val="hybridMultilevel"/>
    <w:tmpl w:val="63E2346C"/>
    <w:lvl w:ilvl="0" w:tplc="5464F1BE">
      <w:start w:val="1"/>
      <w:numFmt w:val="taiwaneseCountingThousand"/>
      <w:lvlText w:val="(%1)"/>
      <w:lvlJc w:val="left"/>
      <w:pPr>
        <w:tabs>
          <w:tab w:val="num" w:pos="720"/>
        </w:tabs>
        <w:ind w:left="720" w:hanging="600"/>
      </w:pPr>
      <w:rPr>
        <w:rFonts w:hint="default"/>
      </w:rPr>
    </w:lvl>
    <w:lvl w:ilvl="1" w:tplc="8B00E7A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2A5288C"/>
    <w:multiLevelType w:val="hybridMultilevel"/>
    <w:tmpl w:val="8D7E9A90"/>
    <w:lvl w:ilvl="0" w:tplc="6DEC8E2C">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6502565F"/>
    <w:multiLevelType w:val="hybridMultilevel"/>
    <w:tmpl w:val="9080E1B8"/>
    <w:lvl w:ilvl="0" w:tplc="9410BDB8">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DD730B9"/>
    <w:multiLevelType w:val="hybridMultilevel"/>
    <w:tmpl w:val="EDDA423C"/>
    <w:lvl w:ilvl="0" w:tplc="0ACC7048">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032706F"/>
    <w:multiLevelType w:val="hybridMultilevel"/>
    <w:tmpl w:val="51D6FD0C"/>
    <w:lvl w:ilvl="0" w:tplc="9CDE97FA">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0AC3698"/>
    <w:multiLevelType w:val="hybridMultilevel"/>
    <w:tmpl w:val="33443706"/>
    <w:lvl w:ilvl="0" w:tplc="1EC843FE">
      <w:start w:val="1"/>
      <w:numFmt w:val="taiwaneseCountingThousand"/>
      <w:lvlText w:val="%1、"/>
      <w:lvlJc w:val="left"/>
      <w:pPr>
        <w:tabs>
          <w:tab w:val="num" w:pos="284"/>
        </w:tabs>
        <w:ind w:left="567" w:hanging="56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69752B3"/>
    <w:multiLevelType w:val="hybridMultilevel"/>
    <w:tmpl w:val="E4482FF0"/>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nsid w:val="76DD4E8D"/>
    <w:multiLevelType w:val="hybridMultilevel"/>
    <w:tmpl w:val="53ECDF86"/>
    <w:lvl w:ilvl="0" w:tplc="3A461DC2">
      <w:start w:val="1"/>
      <w:numFmt w:val="taiwaneseCountingThousand"/>
      <w:lvlText w:val="(%1)"/>
      <w:lvlJc w:val="left"/>
      <w:pPr>
        <w:tabs>
          <w:tab w:val="num" w:pos="720"/>
        </w:tabs>
        <w:ind w:left="72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A740884"/>
    <w:multiLevelType w:val="hybridMultilevel"/>
    <w:tmpl w:val="0526D956"/>
    <w:lvl w:ilvl="0" w:tplc="04F22D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8"/>
  </w:num>
  <w:num w:numId="2">
    <w:abstractNumId w:val="29"/>
  </w:num>
  <w:num w:numId="3">
    <w:abstractNumId w:val="35"/>
  </w:num>
  <w:num w:numId="4">
    <w:abstractNumId w:val="45"/>
  </w:num>
  <w:num w:numId="5">
    <w:abstractNumId w:val="20"/>
  </w:num>
  <w:num w:numId="6">
    <w:abstractNumId w:val="47"/>
  </w:num>
  <w:num w:numId="7">
    <w:abstractNumId w:val="1"/>
  </w:num>
  <w:num w:numId="8">
    <w:abstractNumId w:val="25"/>
  </w:num>
  <w:num w:numId="9">
    <w:abstractNumId w:val="17"/>
  </w:num>
  <w:num w:numId="10">
    <w:abstractNumId w:val="26"/>
  </w:num>
  <w:num w:numId="11">
    <w:abstractNumId w:val="34"/>
  </w:num>
  <w:num w:numId="12">
    <w:abstractNumId w:val="36"/>
  </w:num>
  <w:num w:numId="13">
    <w:abstractNumId w:val="0"/>
  </w:num>
  <w:num w:numId="14">
    <w:abstractNumId w:val="44"/>
  </w:num>
  <w:num w:numId="15">
    <w:abstractNumId w:val="32"/>
  </w:num>
  <w:num w:numId="16">
    <w:abstractNumId w:val="11"/>
  </w:num>
  <w:num w:numId="17">
    <w:abstractNumId w:val="10"/>
  </w:num>
  <w:num w:numId="18">
    <w:abstractNumId w:val="2"/>
  </w:num>
  <w:num w:numId="19">
    <w:abstractNumId w:val="16"/>
  </w:num>
  <w:num w:numId="20">
    <w:abstractNumId w:val="27"/>
  </w:num>
  <w:num w:numId="21">
    <w:abstractNumId w:val="15"/>
  </w:num>
  <w:num w:numId="22">
    <w:abstractNumId w:val="33"/>
  </w:num>
  <w:num w:numId="23">
    <w:abstractNumId w:val="3"/>
  </w:num>
  <w:num w:numId="24">
    <w:abstractNumId w:val="5"/>
  </w:num>
  <w:num w:numId="25">
    <w:abstractNumId w:val="37"/>
  </w:num>
  <w:num w:numId="26">
    <w:abstractNumId w:val="12"/>
  </w:num>
  <w:num w:numId="27">
    <w:abstractNumId w:val="42"/>
  </w:num>
  <w:num w:numId="28">
    <w:abstractNumId w:val="22"/>
  </w:num>
  <w:num w:numId="29">
    <w:abstractNumId w:val="30"/>
  </w:num>
  <w:num w:numId="30">
    <w:abstractNumId w:val="41"/>
  </w:num>
  <w:num w:numId="31">
    <w:abstractNumId w:val="28"/>
  </w:num>
  <w:num w:numId="32">
    <w:abstractNumId w:val="6"/>
  </w:num>
  <w:num w:numId="33">
    <w:abstractNumId w:val="19"/>
  </w:num>
  <w:num w:numId="34">
    <w:abstractNumId w:val="39"/>
  </w:num>
  <w:num w:numId="35">
    <w:abstractNumId w:val="9"/>
  </w:num>
  <w:num w:numId="36">
    <w:abstractNumId w:val="43"/>
  </w:num>
  <w:num w:numId="37">
    <w:abstractNumId w:val="21"/>
  </w:num>
  <w:num w:numId="38">
    <w:abstractNumId w:val="23"/>
  </w:num>
  <w:num w:numId="39">
    <w:abstractNumId w:val="4"/>
  </w:num>
  <w:num w:numId="40">
    <w:abstractNumId w:val="46"/>
  </w:num>
  <w:num w:numId="41">
    <w:abstractNumId w:val="7"/>
  </w:num>
  <w:num w:numId="42">
    <w:abstractNumId w:val="14"/>
  </w:num>
  <w:num w:numId="43">
    <w:abstractNumId w:val="18"/>
  </w:num>
  <w:num w:numId="44">
    <w:abstractNumId w:val="24"/>
  </w:num>
  <w:num w:numId="45">
    <w:abstractNumId w:val="31"/>
  </w:num>
  <w:num w:numId="46">
    <w:abstractNumId w:val="40"/>
  </w:num>
  <w:num w:numId="47">
    <w:abstractNumId w:val="13"/>
  </w:num>
  <w:num w:numId="48">
    <w:abstractNumId w:val="8"/>
  </w:num>
  <w:num w:numId="49">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5702"/>
    <w:rsid w:val="00002AF1"/>
    <w:rsid w:val="000037EF"/>
    <w:rsid w:val="000100B1"/>
    <w:rsid w:val="00011DF4"/>
    <w:rsid w:val="00026CA3"/>
    <w:rsid w:val="0003649E"/>
    <w:rsid w:val="00037FA6"/>
    <w:rsid w:val="000402F6"/>
    <w:rsid w:val="00040C9F"/>
    <w:rsid w:val="00041EFD"/>
    <w:rsid w:val="00052402"/>
    <w:rsid w:val="000531C8"/>
    <w:rsid w:val="000547C5"/>
    <w:rsid w:val="00056257"/>
    <w:rsid w:val="000573ED"/>
    <w:rsid w:val="000576FB"/>
    <w:rsid w:val="00057FE4"/>
    <w:rsid w:val="000628A2"/>
    <w:rsid w:val="00064784"/>
    <w:rsid w:val="00066986"/>
    <w:rsid w:val="0007179D"/>
    <w:rsid w:val="00074727"/>
    <w:rsid w:val="00075308"/>
    <w:rsid w:val="000773B1"/>
    <w:rsid w:val="000801AE"/>
    <w:rsid w:val="00081541"/>
    <w:rsid w:val="000A1BE2"/>
    <w:rsid w:val="000A4F93"/>
    <w:rsid w:val="000A7A96"/>
    <w:rsid w:val="000B5143"/>
    <w:rsid w:val="000B7051"/>
    <w:rsid w:val="000C467E"/>
    <w:rsid w:val="000C704B"/>
    <w:rsid w:val="000D2A4C"/>
    <w:rsid w:val="000D4860"/>
    <w:rsid w:val="000D7DFC"/>
    <w:rsid w:val="000E35AD"/>
    <w:rsid w:val="000E379D"/>
    <w:rsid w:val="000E4F0F"/>
    <w:rsid w:val="000F6D95"/>
    <w:rsid w:val="00100428"/>
    <w:rsid w:val="001036F4"/>
    <w:rsid w:val="00113C1B"/>
    <w:rsid w:val="00121A87"/>
    <w:rsid w:val="00130625"/>
    <w:rsid w:val="0013170E"/>
    <w:rsid w:val="00135D58"/>
    <w:rsid w:val="00136CB3"/>
    <w:rsid w:val="00141CCF"/>
    <w:rsid w:val="00146082"/>
    <w:rsid w:val="00147352"/>
    <w:rsid w:val="00150F5B"/>
    <w:rsid w:val="0015363C"/>
    <w:rsid w:val="00157CC0"/>
    <w:rsid w:val="00157CEF"/>
    <w:rsid w:val="001633EF"/>
    <w:rsid w:val="001714DF"/>
    <w:rsid w:val="001726ED"/>
    <w:rsid w:val="001745D3"/>
    <w:rsid w:val="001753FE"/>
    <w:rsid w:val="00175E3F"/>
    <w:rsid w:val="0017797A"/>
    <w:rsid w:val="00186D27"/>
    <w:rsid w:val="00192C60"/>
    <w:rsid w:val="001A11B1"/>
    <w:rsid w:val="001A37AF"/>
    <w:rsid w:val="001A6824"/>
    <w:rsid w:val="001B05BE"/>
    <w:rsid w:val="001B29EE"/>
    <w:rsid w:val="001B3984"/>
    <w:rsid w:val="001C6545"/>
    <w:rsid w:val="001E1A5B"/>
    <w:rsid w:val="001E3AF0"/>
    <w:rsid w:val="00204B46"/>
    <w:rsid w:val="0021186C"/>
    <w:rsid w:val="00214293"/>
    <w:rsid w:val="00227F88"/>
    <w:rsid w:val="002322A0"/>
    <w:rsid w:val="00237327"/>
    <w:rsid w:val="002379F5"/>
    <w:rsid w:val="00244952"/>
    <w:rsid w:val="00247E99"/>
    <w:rsid w:val="00255E06"/>
    <w:rsid w:val="002571D0"/>
    <w:rsid w:val="00262360"/>
    <w:rsid w:val="002837FB"/>
    <w:rsid w:val="00290317"/>
    <w:rsid w:val="0029037F"/>
    <w:rsid w:val="002907C8"/>
    <w:rsid w:val="00297497"/>
    <w:rsid w:val="002A4BB8"/>
    <w:rsid w:val="002A7E3F"/>
    <w:rsid w:val="002B241A"/>
    <w:rsid w:val="002C2368"/>
    <w:rsid w:val="002C2D9B"/>
    <w:rsid w:val="002C450E"/>
    <w:rsid w:val="002C5045"/>
    <w:rsid w:val="002C6ED4"/>
    <w:rsid w:val="002D5D9E"/>
    <w:rsid w:val="002D71A3"/>
    <w:rsid w:val="002E1CE8"/>
    <w:rsid w:val="002E3304"/>
    <w:rsid w:val="002E5582"/>
    <w:rsid w:val="003049A5"/>
    <w:rsid w:val="00305009"/>
    <w:rsid w:val="003100F6"/>
    <w:rsid w:val="003118E9"/>
    <w:rsid w:val="0031315D"/>
    <w:rsid w:val="00313DD7"/>
    <w:rsid w:val="00314D3A"/>
    <w:rsid w:val="00331E62"/>
    <w:rsid w:val="00341C99"/>
    <w:rsid w:val="00341DB4"/>
    <w:rsid w:val="003434B1"/>
    <w:rsid w:val="003443AB"/>
    <w:rsid w:val="00344F83"/>
    <w:rsid w:val="00352D61"/>
    <w:rsid w:val="00355663"/>
    <w:rsid w:val="003564C7"/>
    <w:rsid w:val="00357A21"/>
    <w:rsid w:val="003616AC"/>
    <w:rsid w:val="003675AF"/>
    <w:rsid w:val="00372C31"/>
    <w:rsid w:val="00373068"/>
    <w:rsid w:val="00373BEE"/>
    <w:rsid w:val="0038398E"/>
    <w:rsid w:val="00387DB8"/>
    <w:rsid w:val="003904C8"/>
    <w:rsid w:val="00390E1F"/>
    <w:rsid w:val="003946C1"/>
    <w:rsid w:val="003A284C"/>
    <w:rsid w:val="003A3D13"/>
    <w:rsid w:val="003B0400"/>
    <w:rsid w:val="003B28EA"/>
    <w:rsid w:val="003B365B"/>
    <w:rsid w:val="003D2950"/>
    <w:rsid w:val="003D67D9"/>
    <w:rsid w:val="003E0152"/>
    <w:rsid w:val="003E0C24"/>
    <w:rsid w:val="003F2103"/>
    <w:rsid w:val="003F688A"/>
    <w:rsid w:val="004024F5"/>
    <w:rsid w:val="0040358B"/>
    <w:rsid w:val="00414F1C"/>
    <w:rsid w:val="00417E05"/>
    <w:rsid w:val="0042655E"/>
    <w:rsid w:val="00427667"/>
    <w:rsid w:val="00432CA2"/>
    <w:rsid w:val="004356C4"/>
    <w:rsid w:val="00435A77"/>
    <w:rsid w:val="00437BA2"/>
    <w:rsid w:val="004415FA"/>
    <w:rsid w:val="00447CF1"/>
    <w:rsid w:val="00456B40"/>
    <w:rsid w:val="00456FCD"/>
    <w:rsid w:val="00457B15"/>
    <w:rsid w:val="00472744"/>
    <w:rsid w:val="00483D98"/>
    <w:rsid w:val="00487A82"/>
    <w:rsid w:val="00495EC3"/>
    <w:rsid w:val="004971C6"/>
    <w:rsid w:val="004B0487"/>
    <w:rsid w:val="004B59B8"/>
    <w:rsid w:val="004B607C"/>
    <w:rsid w:val="004D305B"/>
    <w:rsid w:val="004D70CE"/>
    <w:rsid w:val="004D7E79"/>
    <w:rsid w:val="004E315D"/>
    <w:rsid w:val="004E56FF"/>
    <w:rsid w:val="004E6025"/>
    <w:rsid w:val="004F44B1"/>
    <w:rsid w:val="004F4AD6"/>
    <w:rsid w:val="004F4DE2"/>
    <w:rsid w:val="004F7500"/>
    <w:rsid w:val="00504404"/>
    <w:rsid w:val="0051251A"/>
    <w:rsid w:val="00515B58"/>
    <w:rsid w:val="00523DA4"/>
    <w:rsid w:val="005245D6"/>
    <w:rsid w:val="00540F9B"/>
    <w:rsid w:val="00541523"/>
    <w:rsid w:val="00541B57"/>
    <w:rsid w:val="00544298"/>
    <w:rsid w:val="00545C38"/>
    <w:rsid w:val="00552C23"/>
    <w:rsid w:val="00564BA6"/>
    <w:rsid w:val="0056613E"/>
    <w:rsid w:val="00571971"/>
    <w:rsid w:val="0057399F"/>
    <w:rsid w:val="00576A69"/>
    <w:rsid w:val="005826AF"/>
    <w:rsid w:val="00582FBC"/>
    <w:rsid w:val="005904B6"/>
    <w:rsid w:val="00593F14"/>
    <w:rsid w:val="005A3C43"/>
    <w:rsid w:val="005B29EB"/>
    <w:rsid w:val="005B6B38"/>
    <w:rsid w:val="005B72D7"/>
    <w:rsid w:val="005C59A4"/>
    <w:rsid w:val="005C755D"/>
    <w:rsid w:val="005C7EDF"/>
    <w:rsid w:val="005D09BE"/>
    <w:rsid w:val="005D0A0B"/>
    <w:rsid w:val="005D6BFD"/>
    <w:rsid w:val="005E533D"/>
    <w:rsid w:val="005F1DAB"/>
    <w:rsid w:val="005F3370"/>
    <w:rsid w:val="0060211E"/>
    <w:rsid w:val="00605025"/>
    <w:rsid w:val="006106D4"/>
    <w:rsid w:val="0061690B"/>
    <w:rsid w:val="00616B26"/>
    <w:rsid w:val="00617BDF"/>
    <w:rsid w:val="00622BD6"/>
    <w:rsid w:val="00631107"/>
    <w:rsid w:val="006317CE"/>
    <w:rsid w:val="00636A6E"/>
    <w:rsid w:val="00636F33"/>
    <w:rsid w:val="006376A1"/>
    <w:rsid w:val="00640516"/>
    <w:rsid w:val="006440A7"/>
    <w:rsid w:val="00647B1B"/>
    <w:rsid w:val="00662661"/>
    <w:rsid w:val="00663515"/>
    <w:rsid w:val="00666FB7"/>
    <w:rsid w:val="006759BB"/>
    <w:rsid w:val="00676D0A"/>
    <w:rsid w:val="0067775E"/>
    <w:rsid w:val="00683AA6"/>
    <w:rsid w:val="00685400"/>
    <w:rsid w:val="00685766"/>
    <w:rsid w:val="00685EEE"/>
    <w:rsid w:val="00695F99"/>
    <w:rsid w:val="006A0C24"/>
    <w:rsid w:val="006A5A67"/>
    <w:rsid w:val="006B0877"/>
    <w:rsid w:val="006B4101"/>
    <w:rsid w:val="006B72E6"/>
    <w:rsid w:val="006C0FEA"/>
    <w:rsid w:val="006C32DE"/>
    <w:rsid w:val="006C340A"/>
    <w:rsid w:val="006C5A20"/>
    <w:rsid w:val="006D055E"/>
    <w:rsid w:val="006D507A"/>
    <w:rsid w:val="006E10D2"/>
    <w:rsid w:val="006E47EB"/>
    <w:rsid w:val="007052F1"/>
    <w:rsid w:val="0071203E"/>
    <w:rsid w:val="00715DBD"/>
    <w:rsid w:val="00720674"/>
    <w:rsid w:val="00724624"/>
    <w:rsid w:val="00726DEF"/>
    <w:rsid w:val="00734AAE"/>
    <w:rsid w:val="007358B0"/>
    <w:rsid w:val="007440F8"/>
    <w:rsid w:val="007445AB"/>
    <w:rsid w:val="00747C78"/>
    <w:rsid w:val="0075001A"/>
    <w:rsid w:val="0075009A"/>
    <w:rsid w:val="007503D9"/>
    <w:rsid w:val="00753556"/>
    <w:rsid w:val="0075646E"/>
    <w:rsid w:val="00756533"/>
    <w:rsid w:val="00760B7A"/>
    <w:rsid w:val="00761EE7"/>
    <w:rsid w:val="007662DD"/>
    <w:rsid w:val="0077395A"/>
    <w:rsid w:val="00780EFC"/>
    <w:rsid w:val="00781DDB"/>
    <w:rsid w:val="0079464E"/>
    <w:rsid w:val="007957CA"/>
    <w:rsid w:val="007A1327"/>
    <w:rsid w:val="007A6381"/>
    <w:rsid w:val="007A780B"/>
    <w:rsid w:val="007B02A4"/>
    <w:rsid w:val="007B20EC"/>
    <w:rsid w:val="007B444D"/>
    <w:rsid w:val="007B68FC"/>
    <w:rsid w:val="007C1B83"/>
    <w:rsid w:val="007C4E67"/>
    <w:rsid w:val="007C74A6"/>
    <w:rsid w:val="007D42C5"/>
    <w:rsid w:val="007D48D2"/>
    <w:rsid w:val="007E29FF"/>
    <w:rsid w:val="007E5E87"/>
    <w:rsid w:val="007E6A1B"/>
    <w:rsid w:val="007E76DD"/>
    <w:rsid w:val="007F26CC"/>
    <w:rsid w:val="007F5D40"/>
    <w:rsid w:val="0080030F"/>
    <w:rsid w:val="00806C3B"/>
    <w:rsid w:val="00807210"/>
    <w:rsid w:val="00811A2D"/>
    <w:rsid w:val="00812C01"/>
    <w:rsid w:val="008149A9"/>
    <w:rsid w:val="00814A84"/>
    <w:rsid w:val="00821012"/>
    <w:rsid w:val="00824EAF"/>
    <w:rsid w:val="00831A75"/>
    <w:rsid w:val="00831B8B"/>
    <w:rsid w:val="00834A11"/>
    <w:rsid w:val="00834E14"/>
    <w:rsid w:val="00836B58"/>
    <w:rsid w:val="00841A0F"/>
    <w:rsid w:val="00843469"/>
    <w:rsid w:val="00843DE2"/>
    <w:rsid w:val="00844BCB"/>
    <w:rsid w:val="00856741"/>
    <w:rsid w:val="00863792"/>
    <w:rsid w:val="00865C8A"/>
    <w:rsid w:val="00872D2E"/>
    <w:rsid w:val="00874CFB"/>
    <w:rsid w:val="0087515C"/>
    <w:rsid w:val="00875755"/>
    <w:rsid w:val="00881ED6"/>
    <w:rsid w:val="00890152"/>
    <w:rsid w:val="00891506"/>
    <w:rsid w:val="008A0E16"/>
    <w:rsid w:val="008A16F3"/>
    <w:rsid w:val="008A4BA5"/>
    <w:rsid w:val="008A77BD"/>
    <w:rsid w:val="008B0C33"/>
    <w:rsid w:val="008B2528"/>
    <w:rsid w:val="008B56B3"/>
    <w:rsid w:val="008B6F10"/>
    <w:rsid w:val="008C1C0D"/>
    <w:rsid w:val="008C4E03"/>
    <w:rsid w:val="008E1C7F"/>
    <w:rsid w:val="008E5E6F"/>
    <w:rsid w:val="008E739F"/>
    <w:rsid w:val="008F27B7"/>
    <w:rsid w:val="009031DA"/>
    <w:rsid w:val="00904EB4"/>
    <w:rsid w:val="00914581"/>
    <w:rsid w:val="00920F47"/>
    <w:rsid w:val="00923F3A"/>
    <w:rsid w:val="00923FBB"/>
    <w:rsid w:val="0092475E"/>
    <w:rsid w:val="00924C1F"/>
    <w:rsid w:val="00927358"/>
    <w:rsid w:val="00940449"/>
    <w:rsid w:val="0094106F"/>
    <w:rsid w:val="00941DF2"/>
    <w:rsid w:val="00947DA3"/>
    <w:rsid w:val="00965AA7"/>
    <w:rsid w:val="009710CC"/>
    <w:rsid w:val="009714C4"/>
    <w:rsid w:val="00977C9D"/>
    <w:rsid w:val="009912D0"/>
    <w:rsid w:val="009A76AA"/>
    <w:rsid w:val="009B0043"/>
    <w:rsid w:val="009B3DE3"/>
    <w:rsid w:val="009C2BAD"/>
    <w:rsid w:val="009D1D93"/>
    <w:rsid w:val="009D2428"/>
    <w:rsid w:val="009D2474"/>
    <w:rsid w:val="009D5AAE"/>
    <w:rsid w:val="009D5EB2"/>
    <w:rsid w:val="009D6E65"/>
    <w:rsid w:val="009E1906"/>
    <w:rsid w:val="009E5AE7"/>
    <w:rsid w:val="009F1BE8"/>
    <w:rsid w:val="009F2941"/>
    <w:rsid w:val="009F5D18"/>
    <w:rsid w:val="00A02678"/>
    <w:rsid w:val="00A03D54"/>
    <w:rsid w:val="00A06FC6"/>
    <w:rsid w:val="00A0775A"/>
    <w:rsid w:val="00A13104"/>
    <w:rsid w:val="00A1332D"/>
    <w:rsid w:val="00A24FDA"/>
    <w:rsid w:val="00A2641F"/>
    <w:rsid w:val="00A26A26"/>
    <w:rsid w:val="00A4100F"/>
    <w:rsid w:val="00A41EDA"/>
    <w:rsid w:val="00A4666B"/>
    <w:rsid w:val="00A47262"/>
    <w:rsid w:val="00A525B1"/>
    <w:rsid w:val="00A66499"/>
    <w:rsid w:val="00A672B5"/>
    <w:rsid w:val="00A6731E"/>
    <w:rsid w:val="00A72729"/>
    <w:rsid w:val="00A7290E"/>
    <w:rsid w:val="00A72B2A"/>
    <w:rsid w:val="00A738D8"/>
    <w:rsid w:val="00A77170"/>
    <w:rsid w:val="00AB33E3"/>
    <w:rsid w:val="00AB4889"/>
    <w:rsid w:val="00AB627A"/>
    <w:rsid w:val="00AB6FF9"/>
    <w:rsid w:val="00AB7148"/>
    <w:rsid w:val="00AC3351"/>
    <w:rsid w:val="00AD2041"/>
    <w:rsid w:val="00AE30A0"/>
    <w:rsid w:val="00B0335F"/>
    <w:rsid w:val="00B14BA3"/>
    <w:rsid w:val="00B21710"/>
    <w:rsid w:val="00B434A5"/>
    <w:rsid w:val="00B439DA"/>
    <w:rsid w:val="00B45C5E"/>
    <w:rsid w:val="00B525A9"/>
    <w:rsid w:val="00B52807"/>
    <w:rsid w:val="00B603BA"/>
    <w:rsid w:val="00B6356E"/>
    <w:rsid w:val="00B63EA4"/>
    <w:rsid w:val="00B650E2"/>
    <w:rsid w:val="00B70A50"/>
    <w:rsid w:val="00B7252F"/>
    <w:rsid w:val="00B76664"/>
    <w:rsid w:val="00B82933"/>
    <w:rsid w:val="00B914FC"/>
    <w:rsid w:val="00B91576"/>
    <w:rsid w:val="00B91D9D"/>
    <w:rsid w:val="00BA2917"/>
    <w:rsid w:val="00BA3D6F"/>
    <w:rsid w:val="00BC5545"/>
    <w:rsid w:val="00BD0731"/>
    <w:rsid w:val="00BD3D31"/>
    <w:rsid w:val="00BD70B2"/>
    <w:rsid w:val="00BE7EB2"/>
    <w:rsid w:val="00BF21DE"/>
    <w:rsid w:val="00BF50C3"/>
    <w:rsid w:val="00BF56AC"/>
    <w:rsid w:val="00BF63F2"/>
    <w:rsid w:val="00C028F8"/>
    <w:rsid w:val="00C02B19"/>
    <w:rsid w:val="00C0571E"/>
    <w:rsid w:val="00C11779"/>
    <w:rsid w:val="00C13975"/>
    <w:rsid w:val="00C13B12"/>
    <w:rsid w:val="00C16AD6"/>
    <w:rsid w:val="00C239C5"/>
    <w:rsid w:val="00C2779C"/>
    <w:rsid w:val="00C351B4"/>
    <w:rsid w:val="00C44AD9"/>
    <w:rsid w:val="00C54033"/>
    <w:rsid w:val="00C57218"/>
    <w:rsid w:val="00C64C59"/>
    <w:rsid w:val="00C67A39"/>
    <w:rsid w:val="00C70DC2"/>
    <w:rsid w:val="00C714DF"/>
    <w:rsid w:val="00C74A60"/>
    <w:rsid w:val="00C8011F"/>
    <w:rsid w:val="00C83264"/>
    <w:rsid w:val="00C92B23"/>
    <w:rsid w:val="00C9794C"/>
    <w:rsid w:val="00CA5702"/>
    <w:rsid w:val="00CA62B8"/>
    <w:rsid w:val="00CA6A39"/>
    <w:rsid w:val="00CB7A90"/>
    <w:rsid w:val="00CC1A07"/>
    <w:rsid w:val="00CD2632"/>
    <w:rsid w:val="00CD7AAE"/>
    <w:rsid w:val="00CE1C92"/>
    <w:rsid w:val="00CE3E4F"/>
    <w:rsid w:val="00CF0DB1"/>
    <w:rsid w:val="00D0551E"/>
    <w:rsid w:val="00D07394"/>
    <w:rsid w:val="00D12E16"/>
    <w:rsid w:val="00D13B77"/>
    <w:rsid w:val="00D14AAC"/>
    <w:rsid w:val="00D23FBA"/>
    <w:rsid w:val="00D259D9"/>
    <w:rsid w:val="00D25F53"/>
    <w:rsid w:val="00D37F63"/>
    <w:rsid w:val="00D41B06"/>
    <w:rsid w:val="00D437D1"/>
    <w:rsid w:val="00D44C3A"/>
    <w:rsid w:val="00D45FEE"/>
    <w:rsid w:val="00D50953"/>
    <w:rsid w:val="00D62BC2"/>
    <w:rsid w:val="00D63F6B"/>
    <w:rsid w:val="00D648A8"/>
    <w:rsid w:val="00D727F1"/>
    <w:rsid w:val="00D74197"/>
    <w:rsid w:val="00D774A1"/>
    <w:rsid w:val="00D9025B"/>
    <w:rsid w:val="00D92413"/>
    <w:rsid w:val="00D9715B"/>
    <w:rsid w:val="00DA36F7"/>
    <w:rsid w:val="00DA3910"/>
    <w:rsid w:val="00DA45CB"/>
    <w:rsid w:val="00DA6F76"/>
    <w:rsid w:val="00DB4EEB"/>
    <w:rsid w:val="00DB721F"/>
    <w:rsid w:val="00DC0D92"/>
    <w:rsid w:val="00DC1192"/>
    <w:rsid w:val="00DC31E1"/>
    <w:rsid w:val="00DD2162"/>
    <w:rsid w:val="00DD6418"/>
    <w:rsid w:val="00DD7CFC"/>
    <w:rsid w:val="00DE3217"/>
    <w:rsid w:val="00DE6C4C"/>
    <w:rsid w:val="00E01A8B"/>
    <w:rsid w:val="00E05D7B"/>
    <w:rsid w:val="00E10942"/>
    <w:rsid w:val="00E168F6"/>
    <w:rsid w:val="00E25A34"/>
    <w:rsid w:val="00E344EE"/>
    <w:rsid w:val="00E35D74"/>
    <w:rsid w:val="00E42160"/>
    <w:rsid w:val="00E426CA"/>
    <w:rsid w:val="00E57610"/>
    <w:rsid w:val="00E60C02"/>
    <w:rsid w:val="00E63BC8"/>
    <w:rsid w:val="00E6424E"/>
    <w:rsid w:val="00E714B0"/>
    <w:rsid w:val="00E819AF"/>
    <w:rsid w:val="00E82604"/>
    <w:rsid w:val="00E8492D"/>
    <w:rsid w:val="00E85500"/>
    <w:rsid w:val="00E873C6"/>
    <w:rsid w:val="00E93BE1"/>
    <w:rsid w:val="00E97969"/>
    <w:rsid w:val="00E97F0A"/>
    <w:rsid w:val="00EA3CAF"/>
    <w:rsid w:val="00EA6153"/>
    <w:rsid w:val="00EB241D"/>
    <w:rsid w:val="00EC23A2"/>
    <w:rsid w:val="00EC4DBF"/>
    <w:rsid w:val="00ED0D6E"/>
    <w:rsid w:val="00EE355B"/>
    <w:rsid w:val="00EF1107"/>
    <w:rsid w:val="00EF20AB"/>
    <w:rsid w:val="00EF277F"/>
    <w:rsid w:val="00EF27D6"/>
    <w:rsid w:val="00EF6E51"/>
    <w:rsid w:val="00F1236D"/>
    <w:rsid w:val="00F14667"/>
    <w:rsid w:val="00F17AF1"/>
    <w:rsid w:val="00F22A42"/>
    <w:rsid w:val="00F23A6C"/>
    <w:rsid w:val="00F334DC"/>
    <w:rsid w:val="00F35508"/>
    <w:rsid w:val="00F36BD6"/>
    <w:rsid w:val="00F406D4"/>
    <w:rsid w:val="00F415F5"/>
    <w:rsid w:val="00F45769"/>
    <w:rsid w:val="00F52652"/>
    <w:rsid w:val="00F60B8D"/>
    <w:rsid w:val="00F7551F"/>
    <w:rsid w:val="00F77835"/>
    <w:rsid w:val="00F81654"/>
    <w:rsid w:val="00F82568"/>
    <w:rsid w:val="00F931DE"/>
    <w:rsid w:val="00F971A0"/>
    <w:rsid w:val="00FA169A"/>
    <w:rsid w:val="00FB2B51"/>
    <w:rsid w:val="00FB32FF"/>
    <w:rsid w:val="00FB7F98"/>
    <w:rsid w:val="00FC22CC"/>
    <w:rsid w:val="00FC3586"/>
    <w:rsid w:val="00FD33BE"/>
    <w:rsid w:val="00FD462C"/>
    <w:rsid w:val="00FD71F8"/>
    <w:rsid w:val="00FE54B0"/>
    <w:rsid w:val="00FF41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6BD6"/>
    <w:pPr>
      <w:widowControl w:val="0"/>
    </w:pPr>
    <w:rPr>
      <w:kern w:val="2"/>
      <w:sz w:val="24"/>
      <w:szCs w:val="24"/>
    </w:rPr>
  </w:style>
  <w:style w:type="paragraph" w:styleId="1">
    <w:name w:val="heading 1"/>
    <w:aliases w:val="051 Char,Heading 1 Char,051,Heading 1.5"/>
    <w:basedOn w:val="a"/>
    <w:next w:val="a"/>
    <w:link w:val="10"/>
    <w:qFormat/>
    <w:rsid w:val="00CA5702"/>
    <w:pPr>
      <w:keepNext/>
      <w:numPr>
        <w:numId w:val="1"/>
      </w:numPr>
      <w:spacing w:before="180" w:after="180" w:line="720" w:lineRule="auto"/>
      <w:outlineLvl w:val="0"/>
    </w:pPr>
    <w:rPr>
      <w:rFonts w:ascii="Arial" w:hAnsi="Arial"/>
      <w:b/>
      <w:bCs/>
      <w:kern w:val="52"/>
      <w:sz w:val="52"/>
      <w:szCs w:val="52"/>
    </w:rPr>
  </w:style>
  <w:style w:type="paragraph" w:styleId="2">
    <w:name w:val="heading 2"/>
    <w:aliases w:val="052,H2"/>
    <w:basedOn w:val="a"/>
    <w:next w:val="a"/>
    <w:link w:val="20"/>
    <w:qFormat/>
    <w:rsid w:val="00CA5702"/>
    <w:pPr>
      <w:keepNext/>
      <w:numPr>
        <w:ilvl w:val="1"/>
        <w:numId w:val="1"/>
      </w:numPr>
      <w:spacing w:line="720" w:lineRule="auto"/>
      <w:outlineLvl w:val="1"/>
    </w:pPr>
    <w:rPr>
      <w:rFonts w:ascii="Arial" w:hAnsi="Arial"/>
      <w:b/>
      <w:bCs/>
      <w:sz w:val="48"/>
      <w:szCs w:val="48"/>
    </w:rPr>
  </w:style>
  <w:style w:type="paragraph" w:styleId="3">
    <w:name w:val="heading 3"/>
    <w:next w:val="a"/>
    <w:link w:val="30"/>
    <w:qFormat/>
    <w:rsid w:val="007358B0"/>
    <w:pPr>
      <w:keepNext/>
      <w:spacing w:before="240" w:after="60"/>
      <w:outlineLvl w:val="2"/>
    </w:pPr>
    <w:rPr>
      <w:rFonts w:ascii="Arial" w:eastAsiaTheme="minorEastAsia" w:hAnsi="Arial" w:cs="Arial"/>
      <w:b/>
      <w:bCs/>
      <w:sz w:val="26"/>
      <w:szCs w:val="26"/>
      <w:lang w:eastAsia="en-US"/>
    </w:rPr>
  </w:style>
  <w:style w:type="paragraph" w:styleId="4">
    <w:name w:val="heading 4"/>
    <w:aliases w:val="054"/>
    <w:basedOn w:val="a"/>
    <w:next w:val="a"/>
    <w:link w:val="40"/>
    <w:qFormat/>
    <w:rsid w:val="00CA5702"/>
    <w:pPr>
      <w:keepNext/>
      <w:numPr>
        <w:ilvl w:val="3"/>
        <w:numId w:val="1"/>
      </w:numPr>
      <w:spacing w:line="720" w:lineRule="auto"/>
      <w:outlineLvl w:val="3"/>
    </w:pPr>
    <w:rPr>
      <w:rFonts w:ascii="Arial" w:hAnsi="Arial"/>
      <w:sz w:val="36"/>
      <w:szCs w:val="36"/>
    </w:rPr>
  </w:style>
  <w:style w:type="paragraph" w:styleId="5">
    <w:name w:val="heading 5"/>
    <w:basedOn w:val="a"/>
    <w:next w:val="a"/>
    <w:qFormat/>
    <w:rsid w:val="00CA5702"/>
    <w:pPr>
      <w:keepNext/>
      <w:numPr>
        <w:ilvl w:val="4"/>
        <w:numId w:val="1"/>
      </w:numPr>
      <w:spacing w:line="720" w:lineRule="auto"/>
      <w:outlineLvl w:val="4"/>
    </w:pPr>
    <w:rPr>
      <w:rFonts w:ascii="Arial" w:hAnsi="Arial"/>
      <w:b/>
      <w:bCs/>
      <w:sz w:val="36"/>
      <w:szCs w:val="36"/>
    </w:rPr>
  </w:style>
  <w:style w:type="paragraph" w:styleId="6">
    <w:name w:val="heading 6"/>
    <w:basedOn w:val="a"/>
    <w:next w:val="a"/>
    <w:qFormat/>
    <w:rsid w:val="00CA5702"/>
    <w:pPr>
      <w:keepNext/>
      <w:numPr>
        <w:ilvl w:val="5"/>
        <w:numId w:val="1"/>
      </w:numPr>
      <w:spacing w:line="720" w:lineRule="auto"/>
      <w:outlineLvl w:val="5"/>
    </w:pPr>
    <w:rPr>
      <w:rFonts w:ascii="Arial" w:hAnsi="Arial"/>
      <w:sz w:val="36"/>
      <w:szCs w:val="36"/>
    </w:rPr>
  </w:style>
  <w:style w:type="paragraph" w:styleId="7">
    <w:name w:val="heading 7"/>
    <w:basedOn w:val="a"/>
    <w:next w:val="a"/>
    <w:qFormat/>
    <w:rsid w:val="00CA5702"/>
    <w:pPr>
      <w:keepNext/>
      <w:numPr>
        <w:ilvl w:val="6"/>
        <w:numId w:val="1"/>
      </w:numPr>
      <w:spacing w:line="720" w:lineRule="auto"/>
      <w:outlineLvl w:val="6"/>
    </w:pPr>
    <w:rPr>
      <w:rFonts w:ascii="Arial" w:hAnsi="Arial"/>
      <w:b/>
      <w:bCs/>
      <w:sz w:val="36"/>
      <w:szCs w:val="36"/>
    </w:rPr>
  </w:style>
  <w:style w:type="paragraph" w:styleId="8">
    <w:name w:val="heading 8"/>
    <w:aliases w:val="Appendix"/>
    <w:basedOn w:val="a"/>
    <w:next w:val="a"/>
    <w:qFormat/>
    <w:rsid w:val="00CA5702"/>
    <w:pPr>
      <w:keepNext/>
      <w:numPr>
        <w:ilvl w:val="7"/>
        <w:numId w:val="1"/>
      </w:numPr>
      <w:spacing w:line="720" w:lineRule="auto"/>
      <w:outlineLvl w:val="7"/>
    </w:pPr>
    <w:rPr>
      <w:rFonts w:ascii="Arial" w:hAnsi="Arial"/>
      <w:sz w:val="36"/>
      <w:szCs w:val="36"/>
    </w:rPr>
  </w:style>
  <w:style w:type="paragraph" w:styleId="9">
    <w:name w:val="heading 9"/>
    <w:aliases w:val="AppendixBodyHead"/>
    <w:basedOn w:val="a"/>
    <w:next w:val="a"/>
    <w:qFormat/>
    <w:rsid w:val="00CA5702"/>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aliases w:val="052 字元,H2 字元"/>
    <w:basedOn w:val="a0"/>
    <w:link w:val="2"/>
    <w:rsid w:val="00CA5702"/>
    <w:rPr>
      <w:rFonts w:ascii="Arial" w:hAnsi="Arial"/>
      <w:b/>
      <w:bCs/>
      <w:kern w:val="2"/>
      <w:sz w:val="48"/>
      <w:szCs w:val="48"/>
    </w:rPr>
  </w:style>
  <w:style w:type="character" w:customStyle="1" w:styleId="40">
    <w:name w:val="標題 4 字元"/>
    <w:aliases w:val="054 字元"/>
    <w:basedOn w:val="a0"/>
    <w:link w:val="4"/>
    <w:rsid w:val="00CA5702"/>
    <w:rPr>
      <w:rFonts w:ascii="Arial" w:hAnsi="Arial"/>
      <w:kern w:val="2"/>
      <w:sz w:val="36"/>
      <w:szCs w:val="36"/>
    </w:rPr>
  </w:style>
  <w:style w:type="paragraph" w:customStyle="1" w:styleId="a3">
    <w:name w:val="大標 字元"/>
    <w:basedOn w:val="a"/>
    <w:next w:val="a"/>
    <w:autoRedefine/>
    <w:rsid w:val="00DA3910"/>
    <w:pPr>
      <w:widowControl/>
      <w:spacing w:after="160" w:line="240" w:lineRule="exact"/>
    </w:pPr>
    <w:rPr>
      <w:rFonts w:ascii="Arial" w:eastAsia="標楷體" w:hAnsi="Arial" w:cs="Arial"/>
      <w:kern w:val="0"/>
      <w:szCs w:val="20"/>
      <w:lang w:eastAsia="en-US"/>
    </w:rPr>
  </w:style>
  <w:style w:type="paragraph" w:styleId="a4">
    <w:name w:val="Body Text Indent"/>
    <w:basedOn w:val="a"/>
    <w:link w:val="a5"/>
    <w:rsid w:val="00CA5702"/>
    <w:pPr>
      <w:spacing w:beforeLines="50" w:afterLines="50" w:line="360" w:lineRule="auto"/>
      <w:ind w:firstLineChars="200" w:firstLine="520"/>
    </w:pPr>
    <w:rPr>
      <w:rFonts w:ascii="標楷體" w:eastAsia="標楷體" w:hAnsi="標楷體"/>
      <w:sz w:val="26"/>
      <w:szCs w:val="26"/>
    </w:rPr>
  </w:style>
  <w:style w:type="character" w:customStyle="1" w:styleId="a5">
    <w:name w:val="本文縮排 字元"/>
    <w:basedOn w:val="a0"/>
    <w:link w:val="a4"/>
    <w:rsid w:val="00CA5702"/>
    <w:rPr>
      <w:rFonts w:ascii="標楷體" w:eastAsia="標楷體" w:hAnsi="標楷體"/>
      <w:kern w:val="2"/>
      <w:sz w:val="26"/>
      <w:szCs w:val="26"/>
      <w:lang w:val="en-US" w:eastAsia="zh-TW" w:bidi="ar-SA"/>
    </w:rPr>
  </w:style>
  <w:style w:type="paragraph" w:styleId="31">
    <w:name w:val="Body Text Indent 3"/>
    <w:basedOn w:val="a"/>
    <w:link w:val="32"/>
    <w:rsid w:val="00CA5702"/>
    <w:pPr>
      <w:ind w:firstLineChars="200" w:firstLine="480"/>
      <w:jc w:val="both"/>
    </w:pPr>
    <w:rPr>
      <w:rFonts w:ascii="標楷體" w:eastAsia="標楷體" w:hAnsi="標楷體"/>
    </w:rPr>
  </w:style>
  <w:style w:type="character" w:customStyle="1" w:styleId="32">
    <w:name w:val="本文縮排 3 字元"/>
    <w:basedOn w:val="a0"/>
    <w:link w:val="31"/>
    <w:rsid w:val="00CA5702"/>
    <w:rPr>
      <w:rFonts w:ascii="標楷體" w:eastAsia="標楷體" w:hAnsi="標楷體"/>
      <w:kern w:val="2"/>
      <w:sz w:val="24"/>
      <w:szCs w:val="24"/>
      <w:lang w:val="en-US" w:eastAsia="zh-TW" w:bidi="ar-SA"/>
    </w:rPr>
  </w:style>
  <w:style w:type="paragraph" w:styleId="21">
    <w:name w:val="Body Text Indent 2"/>
    <w:basedOn w:val="a"/>
    <w:link w:val="22"/>
    <w:rsid w:val="00CA5702"/>
    <w:pPr>
      <w:spacing w:beforeLines="50" w:afterLines="50"/>
      <w:ind w:firstLineChars="216" w:firstLine="562"/>
      <w:jc w:val="both"/>
    </w:pPr>
    <w:rPr>
      <w:rFonts w:ascii="標楷體" w:eastAsia="標楷體" w:hAnsi="標楷體"/>
      <w:sz w:val="26"/>
      <w:szCs w:val="27"/>
    </w:rPr>
  </w:style>
  <w:style w:type="character" w:customStyle="1" w:styleId="22">
    <w:name w:val="本文縮排 2 字元"/>
    <w:basedOn w:val="a0"/>
    <w:link w:val="21"/>
    <w:rsid w:val="00CA5702"/>
    <w:rPr>
      <w:rFonts w:ascii="標楷體" w:eastAsia="標楷體" w:hAnsi="標楷體"/>
      <w:kern w:val="2"/>
      <w:sz w:val="26"/>
      <w:szCs w:val="27"/>
      <w:lang w:val="en-US" w:eastAsia="zh-TW" w:bidi="ar-SA"/>
    </w:rPr>
  </w:style>
  <w:style w:type="paragraph" w:styleId="a6">
    <w:name w:val="header"/>
    <w:basedOn w:val="a"/>
    <w:link w:val="a7"/>
    <w:rsid w:val="00CA5702"/>
    <w:pPr>
      <w:tabs>
        <w:tab w:val="center" w:pos="4153"/>
        <w:tab w:val="right" w:pos="8306"/>
      </w:tabs>
      <w:snapToGrid w:val="0"/>
    </w:pPr>
    <w:rPr>
      <w:sz w:val="20"/>
      <w:szCs w:val="20"/>
    </w:rPr>
  </w:style>
  <w:style w:type="character" w:customStyle="1" w:styleId="a7">
    <w:name w:val="頁首 字元"/>
    <w:basedOn w:val="a0"/>
    <w:link w:val="a6"/>
    <w:rsid w:val="00CA5702"/>
    <w:rPr>
      <w:rFonts w:eastAsia="新細明體"/>
      <w:kern w:val="2"/>
      <w:lang w:val="en-US" w:eastAsia="zh-TW" w:bidi="ar-SA"/>
    </w:rPr>
  </w:style>
  <w:style w:type="paragraph" w:styleId="a8">
    <w:name w:val="footer"/>
    <w:basedOn w:val="a"/>
    <w:link w:val="a9"/>
    <w:rsid w:val="00CA5702"/>
    <w:pPr>
      <w:tabs>
        <w:tab w:val="center" w:pos="4153"/>
        <w:tab w:val="right" w:pos="8306"/>
      </w:tabs>
      <w:snapToGrid w:val="0"/>
    </w:pPr>
    <w:rPr>
      <w:sz w:val="20"/>
      <w:szCs w:val="20"/>
    </w:rPr>
  </w:style>
  <w:style w:type="character" w:customStyle="1" w:styleId="a9">
    <w:name w:val="頁尾 字元"/>
    <w:basedOn w:val="a0"/>
    <w:link w:val="a8"/>
    <w:rsid w:val="00CA5702"/>
    <w:rPr>
      <w:rFonts w:eastAsia="新細明體"/>
      <w:kern w:val="2"/>
      <w:lang w:val="en-US" w:eastAsia="zh-TW" w:bidi="ar-SA"/>
    </w:rPr>
  </w:style>
  <w:style w:type="character" w:styleId="aa">
    <w:name w:val="page number"/>
    <w:basedOn w:val="a0"/>
    <w:rsid w:val="00CA5702"/>
  </w:style>
  <w:style w:type="paragraph" w:styleId="ab">
    <w:name w:val="Document Map"/>
    <w:basedOn w:val="a"/>
    <w:link w:val="ac"/>
    <w:rsid w:val="00CA5702"/>
    <w:rPr>
      <w:rFonts w:ascii="新細明體"/>
      <w:sz w:val="18"/>
      <w:szCs w:val="18"/>
    </w:rPr>
  </w:style>
  <w:style w:type="character" w:customStyle="1" w:styleId="ac">
    <w:name w:val="文件引導模式 字元"/>
    <w:basedOn w:val="a0"/>
    <w:link w:val="ab"/>
    <w:rsid w:val="00CA5702"/>
    <w:rPr>
      <w:rFonts w:ascii="新細明體" w:eastAsia="新細明體"/>
      <w:kern w:val="2"/>
      <w:sz w:val="18"/>
      <w:szCs w:val="18"/>
      <w:lang w:val="en-US" w:eastAsia="zh-TW" w:bidi="ar-SA"/>
    </w:rPr>
  </w:style>
  <w:style w:type="paragraph" w:styleId="ad">
    <w:name w:val="Title"/>
    <w:basedOn w:val="a"/>
    <w:next w:val="a"/>
    <w:link w:val="ae"/>
    <w:qFormat/>
    <w:rsid w:val="00CA5702"/>
    <w:pPr>
      <w:spacing w:before="240" w:after="60"/>
      <w:jc w:val="center"/>
      <w:outlineLvl w:val="0"/>
    </w:pPr>
    <w:rPr>
      <w:rFonts w:ascii="Cambria" w:hAnsi="Cambria"/>
      <w:b/>
      <w:bCs/>
      <w:sz w:val="32"/>
      <w:szCs w:val="32"/>
    </w:rPr>
  </w:style>
  <w:style w:type="character" w:customStyle="1" w:styleId="ae">
    <w:name w:val="標題 字元"/>
    <w:basedOn w:val="a0"/>
    <w:link w:val="ad"/>
    <w:rsid w:val="00CA5702"/>
    <w:rPr>
      <w:rFonts w:ascii="Cambria" w:eastAsia="新細明體" w:hAnsi="Cambria"/>
      <w:b/>
      <w:bCs/>
      <w:kern w:val="2"/>
      <w:sz w:val="32"/>
      <w:szCs w:val="32"/>
      <w:lang w:val="en-US" w:eastAsia="zh-TW" w:bidi="ar-SA"/>
    </w:rPr>
  </w:style>
  <w:style w:type="paragraph" w:styleId="af">
    <w:name w:val="footnote text"/>
    <w:basedOn w:val="a"/>
    <w:link w:val="af0"/>
    <w:rsid w:val="00CA5702"/>
    <w:pPr>
      <w:snapToGrid w:val="0"/>
    </w:pPr>
    <w:rPr>
      <w:sz w:val="20"/>
      <w:szCs w:val="20"/>
    </w:rPr>
  </w:style>
  <w:style w:type="character" w:customStyle="1" w:styleId="af0">
    <w:name w:val="註腳文字 字元"/>
    <w:basedOn w:val="a0"/>
    <w:link w:val="af"/>
    <w:rsid w:val="00CA5702"/>
    <w:rPr>
      <w:rFonts w:eastAsia="新細明體"/>
      <w:kern w:val="2"/>
      <w:lang w:val="en-US" w:eastAsia="zh-TW" w:bidi="ar-SA"/>
    </w:rPr>
  </w:style>
  <w:style w:type="character" w:styleId="af1">
    <w:name w:val="Hyperlink"/>
    <w:basedOn w:val="a0"/>
    <w:uiPriority w:val="99"/>
    <w:rsid w:val="007F26CC"/>
    <w:rPr>
      <w:strike w:val="0"/>
      <w:dstrike w:val="0"/>
      <w:color w:val="0000FF"/>
      <w:u w:val="none"/>
      <w:effect w:val="none"/>
    </w:rPr>
  </w:style>
  <w:style w:type="paragraph" w:styleId="Web">
    <w:name w:val="Normal (Web)"/>
    <w:basedOn w:val="a"/>
    <w:rsid w:val="00724624"/>
    <w:pPr>
      <w:widowControl/>
      <w:spacing w:before="100" w:beforeAutospacing="1" w:after="100" w:afterAutospacing="1"/>
    </w:pPr>
    <w:rPr>
      <w:rFonts w:ascii="新細明體" w:hAnsi="新細明體" w:cs="新細明體"/>
      <w:kern w:val="0"/>
    </w:rPr>
  </w:style>
  <w:style w:type="table" w:styleId="af2">
    <w:name w:val="Table Grid"/>
    <w:basedOn w:val="a1"/>
    <w:rsid w:val="00227F8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字元"/>
    <w:basedOn w:val="a"/>
    <w:rsid w:val="00D74197"/>
    <w:pPr>
      <w:widowControl/>
      <w:spacing w:after="160" w:line="240" w:lineRule="exact"/>
    </w:pPr>
    <w:rPr>
      <w:rFonts w:ascii="Arial" w:eastAsia="Times New Roman" w:hAnsi="Arial" w:cs="Arial"/>
      <w:kern w:val="0"/>
      <w:sz w:val="20"/>
      <w:szCs w:val="20"/>
      <w:lang w:eastAsia="en-US"/>
    </w:rPr>
  </w:style>
  <w:style w:type="character" w:customStyle="1" w:styleId="mediumtext1">
    <w:name w:val="medium_text1"/>
    <w:basedOn w:val="a0"/>
    <w:rsid w:val="000C704B"/>
    <w:rPr>
      <w:sz w:val="24"/>
      <w:szCs w:val="24"/>
    </w:rPr>
  </w:style>
  <w:style w:type="character" w:styleId="af4">
    <w:name w:val="FollowedHyperlink"/>
    <w:basedOn w:val="a0"/>
    <w:uiPriority w:val="99"/>
    <w:rsid w:val="00821012"/>
    <w:rPr>
      <w:color w:val="800080"/>
      <w:u w:val="single"/>
    </w:rPr>
  </w:style>
  <w:style w:type="paragraph" w:customStyle="1" w:styleId="font5">
    <w:name w:val="font5"/>
    <w:basedOn w:val="a"/>
    <w:rsid w:val="00821012"/>
    <w:pPr>
      <w:widowControl/>
      <w:spacing w:before="100" w:beforeAutospacing="1" w:after="100" w:afterAutospacing="1"/>
    </w:pPr>
    <w:rPr>
      <w:rFonts w:ascii="新細明體" w:hAnsi="新細明體" w:cs="新細明體"/>
      <w:kern w:val="0"/>
      <w:sz w:val="18"/>
      <w:szCs w:val="18"/>
    </w:rPr>
  </w:style>
  <w:style w:type="paragraph" w:customStyle="1" w:styleId="xl22">
    <w:name w:val="xl22"/>
    <w:basedOn w:val="a"/>
    <w:rsid w:val="0082101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23">
    <w:name w:val="xl23"/>
    <w:basedOn w:val="a"/>
    <w:rsid w:val="0082101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rPr>
  </w:style>
  <w:style w:type="paragraph" w:customStyle="1" w:styleId="xl24">
    <w:name w:val="xl24"/>
    <w:basedOn w:val="a"/>
    <w:rsid w:val="0082101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25">
    <w:name w:val="xl25"/>
    <w:basedOn w:val="a"/>
    <w:rsid w:val="0082101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26">
    <w:name w:val="xl26"/>
    <w:basedOn w:val="a"/>
    <w:rsid w:val="0082101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s="新細明體"/>
      <w:kern w:val="0"/>
    </w:rPr>
  </w:style>
  <w:style w:type="paragraph" w:styleId="af5">
    <w:name w:val="Balloon Text"/>
    <w:basedOn w:val="a"/>
    <w:link w:val="af6"/>
    <w:rsid w:val="00C028F8"/>
    <w:rPr>
      <w:rFonts w:asciiTheme="majorHAnsi" w:eastAsiaTheme="majorEastAsia" w:hAnsiTheme="majorHAnsi" w:cstheme="majorBidi"/>
      <w:sz w:val="18"/>
      <w:szCs w:val="18"/>
    </w:rPr>
  </w:style>
  <w:style w:type="character" w:customStyle="1" w:styleId="af6">
    <w:name w:val="註解方塊文字 字元"/>
    <w:basedOn w:val="a0"/>
    <w:link w:val="af5"/>
    <w:rsid w:val="00C028F8"/>
    <w:rPr>
      <w:rFonts w:asciiTheme="majorHAnsi" w:eastAsiaTheme="majorEastAsia" w:hAnsiTheme="majorHAnsi" w:cstheme="majorBidi"/>
      <w:kern w:val="2"/>
      <w:sz w:val="18"/>
      <w:szCs w:val="18"/>
    </w:rPr>
  </w:style>
  <w:style w:type="paragraph" w:customStyle="1" w:styleId="Normal8">
    <w:name w:val="Normal 8"/>
    <w:basedOn w:val="a"/>
    <w:rsid w:val="00540F9B"/>
    <w:pPr>
      <w:widowControl/>
      <w:jc w:val="both"/>
    </w:pPr>
    <w:rPr>
      <w:rFonts w:ascii="Arial" w:eastAsiaTheme="minorEastAsia" w:hAnsi="Arial"/>
      <w:noProof/>
      <w:kern w:val="0"/>
      <w:sz w:val="16"/>
      <w:szCs w:val="16"/>
      <w:lang w:eastAsia="en-US"/>
    </w:rPr>
  </w:style>
  <w:style w:type="paragraph" w:customStyle="1" w:styleId="SectionLevel5">
    <w:name w:val="Section_Level5"/>
    <w:rsid w:val="00540F9B"/>
    <w:pPr>
      <w:keepNext/>
      <w:widowControl w:val="0"/>
      <w:autoSpaceDE w:val="0"/>
      <w:autoSpaceDN w:val="0"/>
      <w:adjustRightInd w:val="0"/>
      <w:spacing w:before="120" w:after="120"/>
    </w:pPr>
    <w:rPr>
      <w:rFonts w:ascii="Arial" w:eastAsiaTheme="minorEastAsia" w:hAnsi="Arial" w:cs="Arial"/>
      <w:b/>
      <w:color w:val="000000"/>
      <w:lang w:eastAsia="en-US"/>
    </w:rPr>
  </w:style>
  <w:style w:type="paragraph" w:styleId="af7">
    <w:name w:val="List Paragraph"/>
    <w:basedOn w:val="a"/>
    <w:uiPriority w:val="34"/>
    <w:qFormat/>
    <w:rsid w:val="00540F9B"/>
    <w:pPr>
      <w:ind w:leftChars="200" w:left="480"/>
    </w:pPr>
  </w:style>
  <w:style w:type="paragraph" w:customStyle="1" w:styleId="Text">
    <w:name w:val="Text"/>
    <w:rsid w:val="00540F9B"/>
    <w:pPr>
      <w:jc w:val="both"/>
    </w:pPr>
    <w:rPr>
      <w:rFonts w:ascii="Arial" w:eastAsiaTheme="minorEastAsia" w:hAnsi="Arial"/>
      <w:szCs w:val="24"/>
      <w:lang w:eastAsia="en-US"/>
    </w:rPr>
  </w:style>
  <w:style w:type="paragraph" w:customStyle="1" w:styleId="TableHeading">
    <w:name w:val="Table Heading"/>
    <w:basedOn w:val="SectionLevel5"/>
    <w:rsid w:val="00540F9B"/>
    <w:pPr>
      <w:spacing w:before="0" w:after="0"/>
    </w:pPr>
    <w:rPr>
      <w:sz w:val="16"/>
      <w:szCs w:val="16"/>
    </w:rPr>
  </w:style>
  <w:style w:type="paragraph" w:customStyle="1" w:styleId="TableText8">
    <w:name w:val="Table Text 8"/>
    <w:basedOn w:val="a"/>
    <w:rsid w:val="00540F9B"/>
    <w:pPr>
      <w:autoSpaceDE w:val="0"/>
      <w:autoSpaceDN w:val="0"/>
      <w:adjustRightInd w:val="0"/>
    </w:pPr>
    <w:rPr>
      <w:rFonts w:ascii="Arial" w:eastAsiaTheme="minorEastAsia" w:hAnsi="Arial"/>
      <w:noProof/>
      <w:color w:val="000000"/>
      <w:kern w:val="0"/>
      <w:sz w:val="16"/>
      <w:szCs w:val="16"/>
      <w:lang w:eastAsia="en-US"/>
    </w:rPr>
  </w:style>
  <w:style w:type="paragraph" w:customStyle="1" w:styleId="xl63">
    <w:name w:val="xl63"/>
    <w:basedOn w:val="a"/>
    <w:rsid w:val="00EF1107"/>
    <w:pPr>
      <w:widowControl/>
      <w:spacing w:before="100" w:beforeAutospacing="1" w:after="100" w:afterAutospacing="1"/>
    </w:pPr>
    <w:rPr>
      <w:rFonts w:ascii="新細明體" w:hAnsi="新細明體" w:cs="新細明體"/>
      <w:kern w:val="0"/>
    </w:rPr>
  </w:style>
  <w:style w:type="paragraph" w:customStyle="1" w:styleId="xl64">
    <w:name w:val="xl64"/>
    <w:basedOn w:val="a"/>
    <w:rsid w:val="00EF110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65">
    <w:name w:val="xl65"/>
    <w:basedOn w:val="a"/>
    <w:rsid w:val="00EF1107"/>
    <w:pPr>
      <w:widowControl/>
      <w:spacing w:before="100" w:beforeAutospacing="1" w:after="100" w:afterAutospacing="1"/>
      <w:jc w:val="center"/>
    </w:pPr>
    <w:rPr>
      <w:rFonts w:ascii="新細明體" w:hAnsi="新細明體" w:cs="新細明體"/>
      <w:kern w:val="0"/>
    </w:rPr>
  </w:style>
  <w:style w:type="paragraph" w:customStyle="1" w:styleId="xl66">
    <w:name w:val="xl66"/>
    <w:basedOn w:val="a"/>
    <w:rsid w:val="00EF110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67">
    <w:name w:val="xl67"/>
    <w:basedOn w:val="a"/>
    <w:rsid w:val="00EF110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細明體" w:eastAsia="細明體" w:hAnsi="細明體" w:cs="新細明體"/>
      <w:b/>
      <w:bCs/>
      <w:color w:val="000000"/>
      <w:kern w:val="0"/>
    </w:rPr>
  </w:style>
  <w:style w:type="paragraph" w:customStyle="1" w:styleId="xl68">
    <w:name w:val="xl68"/>
    <w:basedOn w:val="a"/>
    <w:rsid w:val="00EF110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新細明體" w:hAnsi="新細明體" w:cs="新細明體"/>
      <w:b/>
      <w:bCs/>
      <w:color w:val="000000"/>
      <w:kern w:val="0"/>
    </w:rPr>
  </w:style>
  <w:style w:type="paragraph" w:customStyle="1" w:styleId="xl69">
    <w:name w:val="xl69"/>
    <w:basedOn w:val="a"/>
    <w:rsid w:val="00EF110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細明體" w:eastAsia="細明體" w:hAnsi="細明體" w:cs="新細明體"/>
      <w:b/>
      <w:bCs/>
      <w:color w:val="000000"/>
      <w:kern w:val="0"/>
    </w:rPr>
  </w:style>
  <w:style w:type="paragraph" w:customStyle="1" w:styleId="xl70">
    <w:name w:val="xl70"/>
    <w:basedOn w:val="a"/>
    <w:rsid w:val="00EF110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新細明體" w:hAnsi="新細明體" w:cs="新細明體"/>
      <w:color w:val="000000"/>
      <w:kern w:val="0"/>
    </w:rPr>
  </w:style>
  <w:style w:type="paragraph" w:customStyle="1" w:styleId="xl71">
    <w:name w:val="xl71"/>
    <w:basedOn w:val="a"/>
    <w:rsid w:val="00EF110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新細明體" w:hAnsi="新細明體" w:cs="新細明體"/>
      <w:color w:val="000000"/>
      <w:kern w:val="0"/>
    </w:rPr>
  </w:style>
  <w:style w:type="paragraph" w:customStyle="1" w:styleId="xl72">
    <w:name w:val="xl72"/>
    <w:basedOn w:val="a"/>
    <w:rsid w:val="00EF110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73">
    <w:name w:val="xl73"/>
    <w:basedOn w:val="a"/>
    <w:rsid w:val="00EF110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rPr>
  </w:style>
  <w:style w:type="character" w:customStyle="1" w:styleId="30">
    <w:name w:val="標題 3 字元"/>
    <w:basedOn w:val="a0"/>
    <w:link w:val="3"/>
    <w:rsid w:val="007358B0"/>
    <w:rPr>
      <w:rFonts w:ascii="Arial" w:eastAsiaTheme="minorEastAsia" w:hAnsi="Arial" w:cs="Arial"/>
      <w:b/>
      <w:bCs/>
      <w:sz w:val="26"/>
      <w:szCs w:val="26"/>
      <w:lang w:eastAsia="en-US"/>
    </w:rPr>
  </w:style>
  <w:style w:type="character" w:styleId="af8">
    <w:name w:val="annotation reference"/>
    <w:rsid w:val="007358B0"/>
    <w:rPr>
      <w:rFonts w:cs="Times New Roman"/>
      <w:sz w:val="16"/>
      <w:szCs w:val="16"/>
    </w:rPr>
  </w:style>
  <w:style w:type="paragraph" w:styleId="af9">
    <w:name w:val="annotation text"/>
    <w:basedOn w:val="a"/>
    <w:link w:val="afa"/>
    <w:rsid w:val="007358B0"/>
    <w:pPr>
      <w:widowControl/>
      <w:jc w:val="both"/>
    </w:pPr>
    <w:rPr>
      <w:rFonts w:ascii="Arial" w:eastAsiaTheme="minorEastAsia" w:hAnsi="Arial"/>
      <w:kern w:val="0"/>
      <w:sz w:val="20"/>
      <w:szCs w:val="20"/>
      <w:lang w:eastAsia="en-US"/>
    </w:rPr>
  </w:style>
  <w:style w:type="character" w:customStyle="1" w:styleId="afa">
    <w:name w:val="註解文字 字元"/>
    <w:basedOn w:val="a0"/>
    <w:link w:val="af9"/>
    <w:rsid w:val="007358B0"/>
    <w:rPr>
      <w:rFonts w:ascii="Arial" w:eastAsiaTheme="minorEastAsia" w:hAnsi="Arial"/>
      <w:lang w:eastAsia="en-US"/>
    </w:rPr>
  </w:style>
  <w:style w:type="paragraph" w:styleId="afb">
    <w:name w:val="annotation subject"/>
    <w:basedOn w:val="af9"/>
    <w:next w:val="af9"/>
    <w:link w:val="afc"/>
    <w:rsid w:val="007358B0"/>
    <w:rPr>
      <w:b/>
      <w:bCs/>
    </w:rPr>
  </w:style>
  <w:style w:type="character" w:customStyle="1" w:styleId="afc">
    <w:name w:val="註解主旨 字元"/>
    <w:basedOn w:val="afa"/>
    <w:link w:val="afb"/>
    <w:rsid w:val="007358B0"/>
    <w:rPr>
      <w:rFonts w:ascii="Arial" w:eastAsiaTheme="minorEastAsia" w:hAnsi="Arial"/>
      <w:b/>
      <w:bCs/>
      <w:lang w:eastAsia="en-US"/>
    </w:rPr>
  </w:style>
  <w:style w:type="paragraph" w:customStyle="1" w:styleId="Bullet">
    <w:name w:val="Bullet"/>
    <w:basedOn w:val="a"/>
    <w:link w:val="BulletChar"/>
    <w:rsid w:val="007358B0"/>
    <w:pPr>
      <w:widowControl/>
      <w:numPr>
        <w:numId w:val="4"/>
      </w:numPr>
      <w:spacing w:after="240"/>
      <w:jc w:val="both"/>
    </w:pPr>
    <w:rPr>
      <w:rFonts w:ascii="Arial" w:eastAsiaTheme="minorEastAsia" w:hAnsi="Arial"/>
      <w:kern w:val="0"/>
      <w:sz w:val="20"/>
      <w:lang w:eastAsia="en-US"/>
    </w:rPr>
  </w:style>
  <w:style w:type="character" w:customStyle="1" w:styleId="BulletChar">
    <w:name w:val="Bullet Char"/>
    <w:link w:val="Bullet"/>
    <w:rsid w:val="007358B0"/>
    <w:rPr>
      <w:rFonts w:ascii="Arial" w:eastAsiaTheme="minorEastAsia" w:hAnsi="Arial"/>
      <w:szCs w:val="24"/>
      <w:lang w:eastAsia="en-US"/>
    </w:rPr>
  </w:style>
  <w:style w:type="paragraph" w:customStyle="1" w:styleId="CriteriaLevel">
    <w:name w:val="Criteria Level"/>
    <w:rsid w:val="007358B0"/>
    <w:pPr>
      <w:widowControl w:val="0"/>
      <w:tabs>
        <w:tab w:val="right" w:pos="9810"/>
      </w:tabs>
      <w:autoSpaceDE w:val="0"/>
      <w:autoSpaceDN w:val="0"/>
      <w:adjustRightInd w:val="0"/>
      <w:spacing w:after="120"/>
    </w:pPr>
    <w:rPr>
      <w:rFonts w:ascii="Arial" w:eastAsiaTheme="minorEastAsia" w:hAnsi="Arial" w:cs="Arial"/>
      <w:b/>
      <w:color w:val="000000"/>
      <w:sz w:val="24"/>
      <w:szCs w:val="24"/>
      <w:lang w:eastAsia="en-US"/>
    </w:rPr>
  </w:style>
  <w:style w:type="paragraph" w:customStyle="1" w:styleId="CenterTitle">
    <w:name w:val="Center_Title"/>
    <w:rsid w:val="007358B0"/>
    <w:pPr>
      <w:spacing w:after="240"/>
      <w:jc w:val="center"/>
    </w:pPr>
    <w:rPr>
      <w:rFonts w:ascii="Arial" w:eastAsiaTheme="minorEastAsia" w:hAnsi="Arial" w:cs="Arial"/>
      <w:b/>
      <w:sz w:val="32"/>
      <w:szCs w:val="32"/>
      <w:lang w:eastAsia="en-US"/>
    </w:rPr>
  </w:style>
  <w:style w:type="paragraph" w:customStyle="1" w:styleId="NPSecLev2">
    <w:name w:val="NP_Sec_Lev2"/>
    <w:rsid w:val="007358B0"/>
    <w:pPr>
      <w:pageBreakBefore/>
      <w:widowControl w:val="0"/>
      <w:autoSpaceDE w:val="0"/>
      <w:autoSpaceDN w:val="0"/>
      <w:adjustRightInd w:val="0"/>
      <w:spacing w:after="240"/>
    </w:pPr>
    <w:rPr>
      <w:rFonts w:ascii="Arial" w:eastAsiaTheme="minorEastAsia" w:hAnsi="Arial" w:cs="Arial"/>
      <w:b/>
      <w:bCs/>
      <w:color w:val="000000"/>
      <w:sz w:val="28"/>
      <w:szCs w:val="28"/>
      <w:lang w:eastAsia="en-US"/>
    </w:rPr>
  </w:style>
  <w:style w:type="paragraph" w:customStyle="1" w:styleId="SectionLevel1">
    <w:name w:val="Section_Level1"/>
    <w:rsid w:val="007358B0"/>
    <w:pPr>
      <w:widowControl w:val="0"/>
      <w:autoSpaceDE w:val="0"/>
      <w:autoSpaceDN w:val="0"/>
      <w:adjustRightInd w:val="0"/>
      <w:spacing w:after="240"/>
    </w:pPr>
    <w:rPr>
      <w:rFonts w:ascii="Arial" w:eastAsiaTheme="minorEastAsia" w:hAnsi="Arial" w:cs="Arial"/>
      <w:b/>
      <w:bCs/>
      <w:noProof/>
      <w:color w:val="000000"/>
      <w:sz w:val="32"/>
      <w:szCs w:val="32"/>
      <w:lang w:eastAsia="en-US"/>
    </w:rPr>
  </w:style>
  <w:style w:type="paragraph" w:customStyle="1" w:styleId="SectionLevel2">
    <w:name w:val="Section_Level2"/>
    <w:rsid w:val="007358B0"/>
    <w:pPr>
      <w:keepNext/>
      <w:widowControl w:val="0"/>
      <w:autoSpaceDE w:val="0"/>
      <w:autoSpaceDN w:val="0"/>
      <w:adjustRightInd w:val="0"/>
      <w:spacing w:before="240" w:after="240"/>
    </w:pPr>
    <w:rPr>
      <w:rFonts w:ascii="Arial" w:eastAsiaTheme="minorEastAsia" w:hAnsi="Arial" w:cs="Arial"/>
      <w:b/>
      <w:bCs/>
      <w:color w:val="000000"/>
      <w:sz w:val="28"/>
      <w:szCs w:val="28"/>
      <w:lang w:eastAsia="en-US"/>
    </w:rPr>
  </w:style>
  <w:style w:type="paragraph" w:customStyle="1" w:styleId="SectionLevel3">
    <w:name w:val="Section_Level3"/>
    <w:rsid w:val="007358B0"/>
    <w:pPr>
      <w:keepNext/>
      <w:widowControl w:val="0"/>
      <w:autoSpaceDE w:val="0"/>
      <w:autoSpaceDN w:val="0"/>
      <w:adjustRightInd w:val="0"/>
      <w:spacing w:before="240" w:after="240"/>
    </w:pPr>
    <w:rPr>
      <w:rFonts w:ascii="Arial" w:eastAsiaTheme="minorEastAsia" w:hAnsi="Arial" w:cs="Arial"/>
      <w:b/>
      <w:bCs/>
      <w:color w:val="000000"/>
      <w:sz w:val="24"/>
      <w:szCs w:val="24"/>
      <w:lang w:eastAsia="en-US"/>
    </w:rPr>
  </w:style>
  <w:style w:type="paragraph" w:customStyle="1" w:styleId="SectionLevel4">
    <w:name w:val="Section_Level4"/>
    <w:rsid w:val="007358B0"/>
    <w:pPr>
      <w:widowControl w:val="0"/>
      <w:autoSpaceDE w:val="0"/>
      <w:autoSpaceDN w:val="0"/>
      <w:adjustRightInd w:val="0"/>
      <w:spacing w:before="240"/>
    </w:pPr>
    <w:rPr>
      <w:rFonts w:ascii="Arial" w:eastAsiaTheme="minorEastAsia" w:hAnsi="Arial" w:cs="Arial"/>
      <w:b/>
      <w:bCs/>
      <w:color w:val="000000"/>
      <w:sz w:val="22"/>
      <w:szCs w:val="22"/>
      <w:lang w:eastAsia="en-US"/>
    </w:rPr>
  </w:style>
  <w:style w:type="paragraph" w:customStyle="1" w:styleId="SectionLevel4App">
    <w:name w:val="Section_Level4App"/>
    <w:basedOn w:val="SectionLevel4"/>
    <w:rsid w:val="007358B0"/>
    <w:pPr>
      <w:spacing w:before="120" w:after="120"/>
    </w:pPr>
    <w:rPr>
      <w:noProof/>
    </w:rPr>
  </w:style>
  <w:style w:type="paragraph" w:customStyle="1" w:styleId="Style1">
    <w:name w:val="Style1"/>
    <w:basedOn w:val="a"/>
    <w:rsid w:val="007358B0"/>
    <w:pPr>
      <w:tabs>
        <w:tab w:val="left" w:pos="495"/>
      </w:tabs>
      <w:autoSpaceDE w:val="0"/>
      <w:autoSpaceDN w:val="0"/>
      <w:adjustRightInd w:val="0"/>
      <w:spacing w:before="5"/>
      <w:jc w:val="both"/>
    </w:pPr>
    <w:rPr>
      <w:rFonts w:ascii="Arial" w:eastAsiaTheme="minorEastAsia" w:hAnsi="Arial"/>
      <w:i/>
      <w:color w:val="0000FF"/>
      <w:kern w:val="0"/>
      <w:sz w:val="20"/>
      <w:lang w:eastAsia="en-US"/>
    </w:rPr>
  </w:style>
  <w:style w:type="paragraph" w:customStyle="1" w:styleId="TableHeadCenter">
    <w:name w:val="Table Head Center"/>
    <w:basedOn w:val="TableHeading"/>
    <w:rsid w:val="007358B0"/>
    <w:pPr>
      <w:jc w:val="center"/>
    </w:pPr>
  </w:style>
  <w:style w:type="paragraph" w:customStyle="1" w:styleId="TableText">
    <w:name w:val="Table Text"/>
    <w:rsid w:val="007358B0"/>
    <w:pPr>
      <w:widowControl w:val="0"/>
      <w:autoSpaceDE w:val="0"/>
      <w:autoSpaceDN w:val="0"/>
      <w:adjustRightInd w:val="0"/>
      <w:spacing w:before="40" w:after="40"/>
      <w:jc w:val="center"/>
    </w:pPr>
    <w:rPr>
      <w:rFonts w:ascii="Arial" w:eastAsiaTheme="minorEastAsia" w:hAnsi="Arial"/>
      <w:color w:val="000000"/>
      <w:szCs w:val="22"/>
      <w:lang w:eastAsia="en-US"/>
    </w:rPr>
  </w:style>
  <w:style w:type="paragraph" w:customStyle="1" w:styleId="TableText8center">
    <w:name w:val="Table Text 8 center"/>
    <w:basedOn w:val="TableText"/>
    <w:rsid w:val="007358B0"/>
    <w:pPr>
      <w:spacing w:before="0" w:after="0"/>
    </w:pPr>
    <w:rPr>
      <w:sz w:val="16"/>
      <w:szCs w:val="16"/>
    </w:rPr>
  </w:style>
  <w:style w:type="numbering" w:customStyle="1" w:styleId="11">
    <w:name w:val="無清單1"/>
    <w:next w:val="a2"/>
    <w:uiPriority w:val="99"/>
    <w:semiHidden/>
    <w:unhideWhenUsed/>
    <w:rsid w:val="002A7E3F"/>
  </w:style>
  <w:style w:type="character" w:customStyle="1" w:styleId="10">
    <w:name w:val="標題 1 字元"/>
    <w:aliases w:val="051 Char 字元,Heading 1 Char 字元,051 字元,Heading 1.5 字元"/>
    <w:basedOn w:val="a0"/>
    <w:link w:val="1"/>
    <w:rsid w:val="002A7E3F"/>
    <w:rPr>
      <w:rFonts w:ascii="Arial" w:hAnsi="Arial"/>
      <w:b/>
      <w:bCs/>
      <w:kern w:val="52"/>
      <w:sz w:val="52"/>
      <w:szCs w:val="52"/>
    </w:rPr>
  </w:style>
  <w:style w:type="table" w:customStyle="1" w:styleId="12">
    <w:name w:val="表格格線1"/>
    <w:basedOn w:val="a1"/>
    <w:next w:val="af2"/>
    <w:rsid w:val="002A7E3F"/>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0"/>
    <w:qFormat/>
    <w:rsid w:val="002A7E3F"/>
    <w:rPr>
      <w:b/>
      <w:bCs/>
    </w:rPr>
  </w:style>
  <w:style w:type="numbering" w:customStyle="1" w:styleId="23">
    <w:name w:val="無清單2"/>
    <w:next w:val="a2"/>
    <w:uiPriority w:val="99"/>
    <w:semiHidden/>
    <w:unhideWhenUsed/>
    <w:rsid w:val="004E315D"/>
  </w:style>
  <w:style w:type="table" w:customStyle="1" w:styleId="24">
    <w:name w:val="表格格線2"/>
    <w:basedOn w:val="a1"/>
    <w:next w:val="af2"/>
    <w:rsid w:val="004E315D"/>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5046">
      <w:bodyDiv w:val="1"/>
      <w:marLeft w:val="0"/>
      <w:marRight w:val="0"/>
      <w:marTop w:val="0"/>
      <w:marBottom w:val="0"/>
      <w:divBdr>
        <w:top w:val="none" w:sz="0" w:space="0" w:color="auto"/>
        <w:left w:val="none" w:sz="0" w:space="0" w:color="auto"/>
        <w:bottom w:val="none" w:sz="0" w:space="0" w:color="auto"/>
        <w:right w:val="none" w:sz="0" w:space="0" w:color="auto"/>
      </w:divBdr>
    </w:div>
    <w:div w:id="89475144">
      <w:bodyDiv w:val="1"/>
      <w:marLeft w:val="0"/>
      <w:marRight w:val="0"/>
      <w:marTop w:val="0"/>
      <w:marBottom w:val="0"/>
      <w:divBdr>
        <w:top w:val="none" w:sz="0" w:space="0" w:color="auto"/>
        <w:left w:val="none" w:sz="0" w:space="0" w:color="auto"/>
        <w:bottom w:val="none" w:sz="0" w:space="0" w:color="auto"/>
        <w:right w:val="none" w:sz="0" w:space="0" w:color="auto"/>
      </w:divBdr>
    </w:div>
    <w:div w:id="159396650">
      <w:bodyDiv w:val="1"/>
      <w:marLeft w:val="0"/>
      <w:marRight w:val="0"/>
      <w:marTop w:val="0"/>
      <w:marBottom w:val="0"/>
      <w:divBdr>
        <w:top w:val="none" w:sz="0" w:space="0" w:color="auto"/>
        <w:left w:val="none" w:sz="0" w:space="0" w:color="auto"/>
        <w:bottom w:val="none" w:sz="0" w:space="0" w:color="auto"/>
        <w:right w:val="none" w:sz="0" w:space="0" w:color="auto"/>
      </w:divBdr>
    </w:div>
    <w:div w:id="259341045">
      <w:bodyDiv w:val="1"/>
      <w:marLeft w:val="0"/>
      <w:marRight w:val="0"/>
      <w:marTop w:val="0"/>
      <w:marBottom w:val="0"/>
      <w:divBdr>
        <w:top w:val="none" w:sz="0" w:space="0" w:color="auto"/>
        <w:left w:val="none" w:sz="0" w:space="0" w:color="auto"/>
        <w:bottom w:val="none" w:sz="0" w:space="0" w:color="auto"/>
        <w:right w:val="none" w:sz="0" w:space="0" w:color="auto"/>
      </w:divBdr>
    </w:div>
    <w:div w:id="285888963">
      <w:bodyDiv w:val="1"/>
      <w:marLeft w:val="0"/>
      <w:marRight w:val="0"/>
      <w:marTop w:val="0"/>
      <w:marBottom w:val="0"/>
      <w:divBdr>
        <w:top w:val="none" w:sz="0" w:space="0" w:color="auto"/>
        <w:left w:val="none" w:sz="0" w:space="0" w:color="auto"/>
        <w:bottom w:val="none" w:sz="0" w:space="0" w:color="auto"/>
        <w:right w:val="none" w:sz="0" w:space="0" w:color="auto"/>
      </w:divBdr>
    </w:div>
    <w:div w:id="322196483">
      <w:bodyDiv w:val="1"/>
      <w:marLeft w:val="0"/>
      <w:marRight w:val="0"/>
      <w:marTop w:val="0"/>
      <w:marBottom w:val="0"/>
      <w:divBdr>
        <w:top w:val="none" w:sz="0" w:space="0" w:color="auto"/>
        <w:left w:val="none" w:sz="0" w:space="0" w:color="auto"/>
        <w:bottom w:val="none" w:sz="0" w:space="0" w:color="auto"/>
        <w:right w:val="none" w:sz="0" w:space="0" w:color="auto"/>
      </w:divBdr>
    </w:div>
    <w:div w:id="465436761">
      <w:bodyDiv w:val="1"/>
      <w:marLeft w:val="0"/>
      <w:marRight w:val="0"/>
      <w:marTop w:val="0"/>
      <w:marBottom w:val="0"/>
      <w:divBdr>
        <w:top w:val="none" w:sz="0" w:space="0" w:color="auto"/>
        <w:left w:val="none" w:sz="0" w:space="0" w:color="auto"/>
        <w:bottom w:val="none" w:sz="0" w:space="0" w:color="auto"/>
        <w:right w:val="none" w:sz="0" w:space="0" w:color="auto"/>
      </w:divBdr>
    </w:div>
    <w:div w:id="484126681">
      <w:bodyDiv w:val="1"/>
      <w:marLeft w:val="0"/>
      <w:marRight w:val="0"/>
      <w:marTop w:val="0"/>
      <w:marBottom w:val="0"/>
      <w:divBdr>
        <w:top w:val="none" w:sz="0" w:space="0" w:color="auto"/>
        <w:left w:val="none" w:sz="0" w:space="0" w:color="auto"/>
        <w:bottom w:val="none" w:sz="0" w:space="0" w:color="auto"/>
        <w:right w:val="none" w:sz="0" w:space="0" w:color="auto"/>
      </w:divBdr>
    </w:div>
    <w:div w:id="603729547">
      <w:bodyDiv w:val="1"/>
      <w:marLeft w:val="0"/>
      <w:marRight w:val="0"/>
      <w:marTop w:val="0"/>
      <w:marBottom w:val="0"/>
      <w:divBdr>
        <w:top w:val="none" w:sz="0" w:space="0" w:color="auto"/>
        <w:left w:val="none" w:sz="0" w:space="0" w:color="auto"/>
        <w:bottom w:val="none" w:sz="0" w:space="0" w:color="auto"/>
        <w:right w:val="none" w:sz="0" w:space="0" w:color="auto"/>
      </w:divBdr>
    </w:div>
    <w:div w:id="626349708">
      <w:bodyDiv w:val="1"/>
      <w:marLeft w:val="0"/>
      <w:marRight w:val="0"/>
      <w:marTop w:val="0"/>
      <w:marBottom w:val="0"/>
      <w:divBdr>
        <w:top w:val="none" w:sz="0" w:space="0" w:color="auto"/>
        <w:left w:val="none" w:sz="0" w:space="0" w:color="auto"/>
        <w:bottom w:val="none" w:sz="0" w:space="0" w:color="auto"/>
        <w:right w:val="none" w:sz="0" w:space="0" w:color="auto"/>
      </w:divBdr>
    </w:div>
    <w:div w:id="641231395">
      <w:bodyDiv w:val="1"/>
      <w:marLeft w:val="0"/>
      <w:marRight w:val="0"/>
      <w:marTop w:val="0"/>
      <w:marBottom w:val="0"/>
      <w:divBdr>
        <w:top w:val="none" w:sz="0" w:space="0" w:color="auto"/>
        <w:left w:val="none" w:sz="0" w:space="0" w:color="auto"/>
        <w:bottom w:val="none" w:sz="0" w:space="0" w:color="auto"/>
        <w:right w:val="none" w:sz="0" w:space="0" w:color="auto"/>
      </w:divBdr>
    </w:div>
    <w:div w:id="687676277">
      <w:bodyDiv w:val="1"/>
      <w:marLeft w:val="0"/>
      <w:marRight w:val="0"/>
      <w:marTop w:val="0"/>
      <w:marBottom w:val="0"/>
      <w:divBdr>
        <w:top w:val="none" w:sz="0" w:space="0" w:color="auto"/>
        <w:left w:val="none" w:sz="0" w:space="0" w:color="auto"/>
        <w:bottom w:val="none" w:sz="0" w:space="0" w:color="auto"/>
        <w:right w:val="none" w:sz="0" w:space="0" w:color="auto"/>
      </w:divBdr>
    </w:div>
    <w:div w:id="692805181">
      <w:bodyDiv w:val="1"/>
      <w:marLeft w:val="0"/>
      <w:marRight w:val="0"/>
      <w:marTop w:val="0"/>
      <w:marBottom w:val="0"/>
      <w:divBdr>
        <w:top w:val="none" w:sz="0" w:space="0" w:color="auto"/>
        <w:left w:val="none" w:sz="0" w:space="0" w:color="auto"/>
        <w:bottom w:val="none" w:sz="0" w:space="0" w:color="auto"/>
        <w:right w:val="none" w:sz="0" w:space="0" w:color="auto"/>
      </w:divBdr>
    </w:div>
    <w:div w:id="710110317">
      <w:bodyDiv w:val="1"/>
      <w:marLeft w:val="0"/>
      <w:marRight w:val="0"/>
      <w:marTop w:val="0"/>
      <w:marBottom w:val="0"/>
      <w:divBdr>
        <w:top w:val="none" w:sz="0" w:space="0" w:color="auto"/>
        <w:left w:val="none" w:sz="0" w:space="0" w:color="auto"/>
        <w:bottom w:val="none" w:sz="0" w:space="0" w:color="auto"/>
        <w:right w:val="none" w:sz="0" w:space="0" w:color="auto"/>
      </w:divBdr>
    </w:div>
    <w:div w:id="728768826">
      <w:bodyDiv w:val="1"/>
      <w:marLeft w:val="0"/>
      <w:marRight w:val="0"/>
      <w:marTop w:val="0"/>
      <w:marBottom w:val="0"/>
      <w:divBdr>
        <w:top w:val="none" w:sz="0" w:space="0" w:color="auto"/>
        <w:left w:val="none" w:sz="0" w:space="0" w:color="auto"/>
        <w:bottom w:val="none" w:sz="0" w:space="0" w:color="auto"/>
        <w:right w:val="none" w:sz="0" w:space="0" w:color="auto"/>
      </w:divBdr>
    </w:div>
    <w:div w:id="741028768">
      <w:bodyDiv w:val="1"/>
      <w:marLeft w:val="0"/>
      <w:marRight w:val="0"/>
      <w:marTop w:val="0"/>
      <w:marBottom w:val="0"/>
      <w:divBdr>
        <w:top w:val="none" w:sz="0" w:space="0" w:color="auto"/>
        <w:left w:val="none" w:sz="0" w:space="0" w:color="auto"/>
        <w:bottom w:val="none" w:sz="0" w:space="0" w:color="auto"/>
        <w:right w:val="none" w:sz="0" w:space="0" w:color="auto"/>
      </w:divBdr>
    </w:div>
    <w:div w:id="794298557">
      <w:bodyDiv w:val="1"/>
      <w:marLeft w:val="0"/>
      <w:marRight w:val="0"/>
      <w:marTop w:val="0"/>
      <w:marBottom w:val="0"/>
      <w:divBdr>
        <w:top w:val="none" w:sz="0" w:space="0" w:color="auto"/>
        <w:left w:val="none" w:sz="0" w:space="0" w:color="auto"/>
        <w:bottom w:val="none" w:sz="0" w:space="0" w:color="auto"/>
        <w:right w:val="none" w:sz="0" w:space="0" w:color="auto"/>
      </w:divBdr>
    </w:div>
    <w:div w:id="842667540">
      <w:bodyDiv w:val="1"/>
      <w:marLeft w:val="0"/>
      <w:marRight w:val="0"/>
      <w:marTop w:val="0"/>
      <w:marBottom w:val="0"/>
      <w:divBdr>
        <w:top w:val="none" w:sz="0" w:space="0" w:color="auto"/>
        <w:left w:val="none" w:sz="0" w:space="0" w:color="auto"/>
        <w:bottom w:val="none" w:sz="0" w:space="0" w:color="auto"/>
        <w:right w:val="none" w:sz="0" w:space="0" w:color="auto"/>
      </w:divBdr>
    </w:div>
    <w:div w:id="862670294">
      <w:bodyDiv w:val="1"/>
      <w:marLeft w:val="0"/>
      <w:marRight w:val="0"/>
      <w:marTop w:val="0"/>
      <w:marBottom w:val="0"/>
      <w:divBdr>
        <w:top w:val="none" w:sz="0" w:space="0" w:color="auto"/>
        <w:left w:val="none" w:sz="0" w:space="0" w:color="auto"/>
        <w:bottom w:val="none" w:sz="0" w:space="0" w:color="auto"/>
        <w:right w:val="none" w:sz="0" w:space="0" w:color="auto"/>
      </w:divBdr>
    </w:div>
    <w:div w:id="1165320220">
      <w:bodyDiv w:val="1"/>
      <w:marLeft w:val="0"/>
      <w:marRight w:val="0"/>
      <w:marTop w:val="0"/>
      <w:marBottom w:val="0"/>
      <w:divBdr>
        <w:top w:val="none" w:sz="0" w:space="0" w:color="auto"/>
        <w:left w:val="none" w:sz="0" w:space="0" w:color="auto"/>
        <w:bottom w:val="none" w:sz="0" w:space="0" w:color="auto"/>
        <w:right w:val="none" w:sz="0" w:space="0" w:color="auto"/>
      </w:divBdr>
    </w:div>
    <w:div w:id="1233010097">
      <w:bodyDiv w:val="1"/>
      <w:marLeft w:val="0"/>
      <w:marRight w:val="0"/>
      <w:marTop w:val="0"/>
      <w:marBottom w:val="0"/>
      <w:divBdr>
        <w:top w:val="none" w:sz="0" w:space="0" w:color="auto"/>
        <w:left w:val="none" w:sz="0" w:space="0" w:color="auto"/>
        <w:bottom w:val="none" w:sz="0" w:space="0" w:color="auto"/>
        <w:right w:val="none" w:sz="0" w:space="0" w:color="auto"/>
      </w:divBdr>
    </w:div>
    <w:div w:id="1253777759">
      <w:bodyDiv w:val="1"/>
      <w:marLeft w:val="0"/>
      <w:marRight w:val="0"/>
      <w:marTop w:val="0"/>
      <w:marBottom w:val="0"/>
      <w:divBdr>
        <w:top w:val="none" w:sz="0" w:space="0" w:color="auto"/>
        <w:left w:val="none" w:sz="0" w:space="0" w:color="auto"/>
        <w:bottom w:val="none" w:sz="0" w:space="0" w:color="auto"/>
        <w:right w:val="none" w:sz="0" w:space="0" w:color="auto"/>
      </w:divBdr>
    </w:div>
    <w:div w:id="1303578360">
      <w:bodyDiv w:val="1"/>
      <w:marLeft w:val="0"/>
      <w:marRight w:val="0"/>
      <w:marTop w:val="0"/>
      <w:marBottom w:val="0"/>
      <w:divBdr>
        <w:top w:val="none" w:sz="0" w:space="0" w:color="auto"/>
        <w:left w:val="none" w:sz="0" w:space="0" w:color="auto"/>
        <w:bottom w:val="none" w:sz="0" w:space="0" w:color="auto"/>
        <w:right w:val="none" w:sz="0" w:space="0" w:color="auto"/>
      </w:divBdr>
    </w:div>
    <w:div w:id="1471510427">
      <w:bodyDiv w:val="1"/>
      <w:marLeft w:val="0"/>
      <w:marRight w:val="0"/>
      <w:marTop w:val="0"/>
      <w:marBottom w:val="0"/>
      <w:divBdr>
        <w:top w:val="none" w:sz="0" w:space="0" w:color="auto"/>
        <w:left w:val="none" w:sz="0" w:space="0" w:color="auto"/>
        <w:bottom w:val="none" w:sz="0" w:space="0" w:color="auto"/>
        <w:right w:val="none" w:sz="0" w:space="0" w:color="auto"/>
      </w:divBdr>
    </w:div>
    <w:div w:id="1513497374">
      <w:bodyDiv w:val="1"/>
      <w:marLeft w:val="0"/>
      <w:marRight w:val="0"/>
      <w:marTop w:val="0"/>
      <w:marBottom w:val="0"/>
      <w:divBdr>
        <w:top w:val="none" w:sz="0" w:space="0" w:color="auto"/>
        <w:left w:val="none" w:sz="0" w:space="0" w:color="auto"/>
        <w:bottom w:val="none" w:sz="0" w:space="0" w:color="auto"/>
        <w:right w:val="none" w:sz="0" w:space="0" w:color="auto"/>
      </w:divBdr>
    </w:div>
    <w:div w:id="1555389331">
      <w:bodyDiv w:val="1"/>
      <w:marLeft w:val="0"/>
      <w:marRight w:val="0"/>
      <w:marTop w:val="0"/>
      <w:marBottom w:val="0"/>
      <w:divBdr>
        <w:top w:val="none" w:sz="0" w:space="0" w:color="auto"/>
        <w:left w:val="none" w:sz="0" w:space="0" w:color="auto"/>
        <w:bottom w:val="none" w:sz="0" w:space="0" w:color="auto"/>
        <w:right w:val="none" w:sz="0" w:space="0" w:color="auto"/>
      </w:divBdr>
    </w:div>
    <w:div w:id="1631013158">
      <w:bodyDiv w:val="1"/>
      <w:marLeft w:val="0"/>
      <w:marRight w:val="0"/>
      <w:marTop w:val="0"/>
      <w:marBottom w:val="0"/>
      <w:divBdr>
        <w:top w:val="none" w:sz="0" w:space="0" w:color="auto"/>
        <w:left w:val="none" w:sz="0" w:space="0" w:color="auto"/>
        <w:bottom w:val="none" w:sz="0" w:space="0" w:color="auto"/>
        <w:right w:val="none" w:sz="0" w:space="0" w:color="auto"/>
      </w:divBdr>
    </w:div>
    <w:div w:id="1700662581">
      <w:bodyDiv w:val="1"/>
      <w:marLeft w:val="0"/>
      <w:marRight w:val="0"/>
      <w:marTop w:val="0"/>
      <w:marBottom w:val="0"/>
      <w:divBdr>
        <w:top w:val="none" w:sz="0" w:space="0" w:color="auto"/>
        <w:left w:val="none" w:sz="0" w:space="0" w:color="auto"/>
        <w:bottom w:val="none" w:sz="0" w:space="0" w:color="auto"/>
        <w:right w:val="none" w:sz="0" w:space="0" w:color="auto"/>
      </w:divBdr>
    </w:div>
    <w:div w:id="1776440762">
      <w:bodyDiv w:val="1"/>
      <w:marLeft w:val="0"/>
      <w:marRight w:val="0"/>
      <w:marTop w:val="0"/>
      <w:marBottom w:val="0"/>
      <w:divBdr>
        <w:top w:val="none" w:sz="0" w:space="0" w:color="auto"/>
        <w:left w:val="none" w:sz="0" w:space="0" w:color="auto"/>
        <w:bottom w:val="none" w:sz="0" w:space="0" w:color="auto"/>
        <w:right w:val="none" w:sz="0" w:space="0" w:color="auto"/>
      </w:divBdr>
    </w:div>
    <w:div w:id="1878934334">
      <w:bodyDiv w:val="1"/>
      <w:marLeft w:val="0"/>
      <w:marRight w:val="0"/>
      <w:marTop w:val="0"/>
      <w:marBottom w:val="0"/>
      <w:divBdr>
        <w:top w:val="none" w:sz="0" w:space="0" w:color="auto"/>
        <w:left w:val="none" w:sz="0" w:space="0" w:color="auto"/>
        <w:bottom w:val="none" w:sz="0" w:space="0" w:color="auto"/>
        <w:right w:val="none" w:sz="0" w:space="0" w:color="auto"/>
      </w:divBdr>
    </w:div>
    <w:div w:id="1893301766">
      <w:bodyDiv w:val="1"/>
      <w:marLeft w:val="0"/>
      <w:marRight w:val="0"/>
      <w:marTop w:val="0"/>
      <w:marBottom w:val="0"/>
      <w:divBdr>
        <w:top w:val="none" w:sz="0" w:space="0" w:color="auto"/>
        <w:left w:val="none" w:sz="0" w:space="0" w:color="auto"/>
        <w:bottom w:val="none" w:sz="0" w:space="0" w:color="auto"/>
        <w:right w:val="none" w:sz="0" w:space="0" w:color="auto"/>
      </w:divBdr>
    </w:div>
    <w:div w:id="1990093020">
      <w:bodyDiv w:val="1"/>
      <w:marLeft w:val="0"/>
      <w:marRight w:val="0"/>
      <w:marTop w:val="0"/>
      <w:marBottom w:val="0"/>
      <w:divBdr>
        <w:top w:val="none" w:sz="0" w:space="0" w:color="auto"/>
        <w:left w:val="none" w:sz="0" w:space="0" w:color="auto"/>
        <w:bottom w:val="none" w:sz="0" w:space="0" w:color="auto"/>
        <w:right w:val="none" w:sz="0" w:space="0" w:color="auto"/>
      </w:divBdr>
    </w:div>
    <w:div w:id="2065328562">
      <w:bodyDiv w:val="1"/>
      <w:marLeft w:val="0"/>
      <w:marRight w:val="0"/>
      <w:marTop w:val="0"/>
      <w:marBottom w:val="0"/>
      <w:divBdr>
        <w:top w:val="none" w:sz="0" w:space="0" w:color="auto"/>
        <w:left w:val="none" w:sz="0" w:space="0" w:color="auto"/>
        <w:bottom w:val="none" w:sz="0" w:space="0" w:color="auto"/>
        <w:right w:val="none" w:sz="0" w:space="0" w:color="auto"/>
      </w:divBdr>
    </w:div>
    <w:div w:id="2085183237">
      <w:bodyDiv w:val="1"/>
      <w:marLeft w:val="0"/>
      <w:marRight w:val="0"/>
      <w:marTop w:val="0"/>
      <w:marBottom w:val="0"/>
      <w:divBdr>
        <w:top w:val="none" w:sz="0" w:space="0" w:color="auto"/>
        <w:left w:val="none" w:sz="0" w:space="0" w:color="auto"/>
        <w:bottom w:val="none" w:sz="0" w:space="0" w:color="auto"/>
        <w:right w:val="none" w:sz="0" w:space="0" w:color="auto"/>
      </w:divBdr>
    </w:div>
    <w:div w:id="2094235410">
      <w:bodyDiv w:val="1"/>
      <w:marLeft w:val="0"/>
      <w:marRight w:val="0"/>
      <w:marTop w:val="0"/>
      <w:marBottom w:val="0"/>
      <w:divBdr>
        <w:top w:val="none" w:sz="0" w:space="0" w:color="auto"/>
        <w:left w:val="none" w:sz="0" w:space="0" w:color="auto"/>
        <w:bottom w:val="none" w:sz="0" w:space="0" w:color="auto"/>
        <w:right w:val="none" w:sz="0" w:space="0" w:color="auto"/>
      </w:divBdr>
    </w:div>
    <w:div w:id="2121484896">
      <w:bodyDiv w:val="1"/>
      <w:marLeft w:val="0"/>
      <w:marRight w:val="0"/>
      <w:marTop w:val="0"/>
      <w:marBottom w:val="0"/>
      <w:divBdr>
        <w:top w:val="none" w:sz="0" w:space="0" w:color="auto"/>
        <w:left w:val="none" w:sz="0" w:space="0" w:color="auto"/>
        <w:bottom w:val="none" w:sz="0" w:space="0" w:color="auto"/>
        <w:right w:val="none" w:sz="0" w:space="0" w:color="auto"/>
      </w:divBdr>
    </w:div>
    <w:div w:id="21405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footer" Target="footer16.xml"/><Relationship Id="rId47" Type="http://schemas.openxmlformats.org/officeDocument/2006/relationships/header" Target="header11.xml"/><Relationship Id="rId63" Type="http://schemas.openxmlformats.org/officeDocument/2006/relationships/hyperlink" Target="http://law.moj.gov.tw/Scripts/Query1B.asp?no=1G03400196" TargetMode="External"/><Relationship Id="rId68" Type="http://schemas.openxmlformats.org/officeDocument/2006/relationships/hyperlink" Target="http://law.moj.gov.tw/Scripts/Query1B.asp?no=1G034001910" TargetMode="External"/><Relationship Id="rId84" Type="http://schemas.openxmlformats.org/officeDocument/2006/relationships/hyperlink" Target="http://law.moj.gov.tw/Scripts/Query1B.asp?no=1G034001926" TargetMode="External"/><Relationship Id="rId89" Type="http://schemas.openxmlformats.org/officeDocument/2006/relationships/hyperlink" Target="http://law.moj.gov.tw/Scripts/Query1B.asp?no=1G034001931" TargetMode="External"/><Relationship Id="rId16" Type="http://schemas.openxmlformats.org/officeDocument/2006/relationships/header" Target="header2.xml"/><Relationship Id="rId11" Type="http://schemas.openxmlformats.org/officeDocument/2006/relationships/image" Target="media/image2.png"/><Relationship Id="rId32" Type="http://schemas.openxmlformats.org/officeDocument/2006/relationships/footer" Target="footer12.xml"/><Relationship Id="rId37" Type="http://schemas.openxmlformats.org/officeDocument/2006/relationships/image" Target="media/image9.png"/><Relationship Id="rId53" Type="http://schemas.openxmlformats.org/officeDocument/2006/relationships/image" Target="media/image10.png"/><Relationship Id="rId58" Type="http://schemas.openxmlformats.org/officeDocument/2006/relationships/hyperlink" Target="http://law.moj.gov.tw/Scripts/Query1B.asp?no=1G03400191" TargetMode="External"/><Relationship Id="rId74" Type="http://schemas.openxmlformats.org/officeDocument/2006/relationships/hyperlink" Target="http://law.moj.gov.tw/Scripts/Query1B.asp?no=1G034001916" TargetMode="External"/><Relationship Id="rId79" Type="http://schemas.openxmlformats.org/officeDocument/2006/relationships/hyperlink" Target="http://law.moj.gov.tw/Scripts/Query1B.asp?no=1G034001921" TargetMode="External"/><Relationship Id="rId5" Type="http://schemas.openxmlformats.org/officeDocument/2006/relationships/settings" Target="settings.xml"/><Relationship Id="rId90" Type="http://schemas.openxmlformats.org/officeDocument/2006/relationships/hyperlink" Target="http://law.moj.gov.tw/Scripts/Query1B.asp?no=1G034001932" TargetMode="External"/><Relationship Id="rId95" Type="http://schemas.openxmlformats.org/officeDocument/2006/relationships/header" Target="header15.xml"/><Relationship Id="rId22" Type="http://schemas.openxmlformats.org/officeDocument/2006/relationships/image" Target="media/image5.png"/><Relationship Id="rId27" Type="http://schemas.openxmlformats.org/officeDocument/2006/relationships/header" Target="header5.xml"/><Relationship Id="rId43" Type="http://schemas.openxmlformats.org/officeDocument/2006/relationships/footer" Target="footer17.xml"/><Relationship Id="rId48" Type="http://schemas.openxmlformats.org/officeDocument/2006/relationships/footer" Target="footer20.xml"/><Relationship Id="rId64" Type="http://schemas.openxmlformats.org/officeDocument/2006/relationships/hyperlink" Target="http://law.moj.gov.tw/Scripts/Query1B.asp?no=1G03400197" TargetMode="External"/><Relationship Id="rId69" Type="http://schemas.openxmlformats.org/officeDocument/2006/relationships/hyperlink" Target="http://law.moj.gov.tw/Scripts/Query1B.asp?no=1G034001911" TargetMode="External"/><Relationship Id="rId80" Type="http://schemas.openxmlformats.org/officeDocument/2006/relationships/hyperlink" Target="http://law.moj.gov.tw/Scripts/Query1B.asp?no=1G034001922" TargetMode="External"/><Relationship Id="rId85" Type="http://schemas.openxmlformats.org/officeDocument/2006/relationships/hyperlink" Target="http://law.moj.gov.tw/Scripts/Query1B.asp?no=1G034001927" TargetMode="Externa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7.png"/><Relationship Id="rId38" Type="http://schemas.openxmlformats.org/officeDocument/2006/relationships/header" Target="header8.xml"/><Relationship Id="rId46" Type="http://schemas.openxmlformats.org/officeDocument/2006/relationships/footer" Target="footer19.xml"/><Relationship Id="rId59" Type="http://schemas.openxmlformats.org/officeDocument/2006/relationships/hyperlink" Target="http://law.moj.gov.tw/Scripts/Query1B.asp?no=1G03400192" TargetMode="External"/><Relationship Id="rId67" Type="http://schemas.openxmlformats.org/officeDocument/2006/relationships/hyperlink" Target="http://law.moj.gov.tw/LawClass/LawSingle.aspx?Pcode=G0340019&amp;FLNO=9-1" TargetMode="External"/><Relationship Id="rId20" Type="http://schemas.openxmlformats.org/officeDocument/2006/relationships/footer" Target="footer6.xml"/><Relationship Id="rId41" Type="http://schemas.openxmlformats.org/officeDocument/2006/relationships/header" Target="header9.xml"/><Relationship Id="rId54" Type="http://schemas.openxmlformats.org/officeDocument/2006/relationships/header" Target="header13.xml"/><Relationship Id="rId62" Type="http://schemas.openxmlformats.org/officeDocument/2006/relationships/hyperlink" Target="http://law.moj.gov.tw/Scripts/Query1B.asp?no=1G03400195" TargetMode="External"/><Relationship Id="rId70" Type="http://schemas.openxmlformats.org/officeDocument/2006/relationships/hyperlink" Target="http://law.moj.gov.tw/Scripts/Query1B.asp?no=1G034001912" TargetMode="External"/><Relationship Id="rId75" Type="http://schemas.openxmlformats.org/officeDocument/2006/relationships/hyperlink" Target="http://law.moj.gov.tw/Scripts/Query1B.asp?no=1G034001917" TargetMode="External"/><Relationship Id="rId83" Type="http://schemas.openxmlformats.org/officeDocument/2006/relationships/hyperlink" Target="http://law.moj.gov.tw/Scripts/Query1B.asp?no=1G034001925" TargetMode="External"/><Relationship Id="rId88" Type="http://schemas.openxmlformats.org/officeDocument/2006/relationships/hyperlink" Target="http://law.moj.gov.tw/Scripts/Query1B.asp?no=1G034001930" TargetMode="External"/><Relationship Id="rId91" Type="http://schemas.openxmlformats.org/officeDocument/2006/relationships/hyperlink" Target="http://law.moj.gov.tw/Scripts/Query1B.asp?no=1G034001933" TargetMode="External"/><Relationship Id="rId96"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image" Target="media/image1.png"/><Relationship Id="rId31" Type="http://schemas.openxmlformats.org/officeDocument/2006/relationships/footer" Target="footer11.xml"/><Relationship Id="rId44" Type="http://schemas.openxmlformats.org/officeDocument/2006/relationships/header" Target="header10.xml"/><Relationship Id="rId52" Type="http://schemas.openxmlformats.org/officeDocument/2006/relationships/footer" Target="footer23.xml"/><Relationship Id="rId60" Type="http://schemas.openxmlformats.org/officeDocument/2006/relationships/hyperlink" Target="http://law.moj.gov.tw/Scripts/Query1B.asp?no=1G03400193" TargetMode="External"/><Relationship Id="rId65" Type="http://schemas.openxmlformats.org/officeDocument/2006/relationships/hyperlink" Target="http://law.moj.gov.tw/Scripts/Query1B.asp?no=1G03400198" TargetMode="External"/><Relationship Id="rId73" Type="http://schemas.openxmlformats.org/officeDocument/2006/relationships/hyperlink" Target="http://law.moj.gov.tw/Scripts/Query1B.asp?no=1G034001915" TargetMode="External"/><Relationship Id="rId78" Type="http://schemas.openxmlformats.org/officeDocument/2006/relationships/hyperlink" Target="http://law.moj.gov.tw/Scripts/Query1B.asp?no=1G034001920" TargetMode="External"/><Relationship Id="rId81" Type="http://schemas.openxmlformats.org/officeDocument/2006/relationships/hyperlink" Target="http://law.moj.gov.tw/Scripts/Query1B.asp?no=1G034001923" TargetMode="External"/><Relationship Id="rId86" Type="http://schemas.openxmlformats.org/officeDocument/2006/relationships/hyperlink" Target="http://law.moj.gov.tw/Scripts/Query1B.asp?no=1G034001928" TargetMode="External"/><Relationship Id="rId94" Type="http://schemas.openxmlformats.org/officeDocument/2006/relationships/hyperlink" Target="http://law.moj.gov.tw/Scripts/Query1B.asp?no=1G034001936" TargetMode="External"/><Relationship Id="rId99" Type="http://schemas.openxmlformats.org/officeDocument/2006/relationships/footer" Target="footer28.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3.xml"/><Relationship Id="rId39" Type="http://schemas.openxmlformats.org/officeDocument/2006/relationships/footer" Target="footer14.xml"/><Relationship Id="rId34" Type="http://schemas.openxmlformats.org/officeDocument/2006/relationships/image" Target="media/image8.png"/><Relationship Id="rId50" Type="http://schemas.openxmlformats.org/officeDocument/2006/relationships/header" Target="header12.xml"/><Relationship Id="rId55" Type="http://schemas.openxmlformats.org/officeDocument/2006/relationships/header" Target="header14.xml"/><Relationship Id="rId76" Type="http://schemas.openxmlformats.org/officeDocument/2006/relationships/hyperlink" Target="http://law.moj.gov.tw/Scripts/Query1B.asp?no=1G034001918" TargetMode="External"/><Relationship Id="rId97" Type="http://schemas.openxmlformats.org/officeDocument/2006/relationships/footer" Target="footer27.xml"/><Relationship Id="rId7" Type="http://schemas.openxmlformats.org/officeDocument/2006/relationships/footnotes" Target="footnotes.xml"/><Relationship Id="rId71" Type="http://schemas.openxmlformats.org/officeDocument/2006/relationships/hyperlink" Target="http://law.moj.gov.tw/Scripts/Query1B.asp?no=1G034001913" TargetMode="External"/><Relationship Id="rId92" Type="http://schemas.openxmlformats.org/officeDocument/2006/relationships/hyperlink" Target="http://law.moj.gov.tw/Scripts/Query1B.asp?no=1G034001934" TargetMode="Externa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yperlink" Target="http://law.moj.gov.tw/Scripts/Query1B.asp?no=1G03400199" TargetMode="External"/><Relationship Id="rId87" Type="http://schemas.openxmlformats.org/officeDocument/2006/relationships/hyperlink" Target="http://law.moj.gov.tw/Scripts/Query1B.asp?no=1G034001929" TargetMode="External"/><Relationship Id="rId61" Type="http://schemas.openxmlformats.org/officeDocument/2006/relationships/hyperlink" Target="http://law.moj.gov.tw/Scripts/Query1B.asp?no=1G03400194" TargetMode="External"/><Relationship Id="rId82" Type="http://schemas.openxmlformats.org/officeDocument/2006/relationships/hyperlink" Target="http://law.moj.gov.tw/Scripts/Query1B.asp?no=1G034001924" TargetMode="Externa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6.xml"/><Relationship Id="rId35" Type="http://schemas.openxmlformats.org/officeDocument/2006/relationships/header" Target="header7.xml"/><Relationship Id="rId56" Type="http://schemas.openxmlformats.org/officeDocument/2006/relationships/footer" Target="footer24.xml"/><Relationship Id="rId77" Type="http://schemas.openxmlformats.org/officeDocument/2006/relationships/hyperlink" Target="http://law.moj.gov.tw/Scripts/Query1B.asp?no=1G034001919" TargetMode="Externa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22.xml"/><Relationship Id="rId72" Type="http://schemas.openxmlformats.org/officeDocument/2006/relationships/hyperlink" Target="http://law.moj.gov.tw/Scripts/Query1B.asp?no=1G034001914" TargetMode="External"/><Relationship Id="rId93" Type="http://schemas.openxmlformats.org/officeDocument/2006/relationships/hyperlink" Target="http://law.moj.gov.tw/Scripts/Query1B.asp?no=1G034001935" TargetMode="External"/><Relationship Id="rId98" Type="http://schemas.openxmlformats.org/officeDocument/2006/relationships/header" Target="header16.xm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437AD3-BB90-4EF7-9972-602EC8B9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103</Pages>
  <Words>18084</Words>
  <Characters>103084</Characters>
  <Application>Microsoft Office Word</Application>
  <DocSecurity>0</DocSecurity>
  <Lines>859</Lines>
  <Paragraphs>241</Paragraphs>
  <ScaleCrop>false</ScaleCrop>
  <Company>Grant Thorton</Company>
  <LinksUpToDate>false</LinksUpToDate>
  <CharactersWithSpaces>120927</CharactersWithSpaces>
  <SharedDoc>false</SharedDoc>
  <HLinks>
    <vt:vector size="216" baseType="variant">
      <vt:variant>
        <vt:i4>1900568</vt:i4>
      </vt:variant>
      <vt:variant>
        <vt:i4>105</vt:i4>
      </vt:variant>
      <vt:variant>
        <vt:i4>0</vt:i4>
      </vt:variant>
      <vt:variant>
        <vt:i4>5</vt:i4>
      </vt:variant>
      <vt:variant>
        <vt:lpwstr>http://law.moj.gov.tw/Scripts/Query1B.asp?no=1G034001936</vt:lpwstr>
      </vt:variant>
      <vt:variant>
        <vt:lpwstr/>
      </vt:variant>
      <vt:variant>
        <vt:i4>1966104</vt:i4>
      </vt:variant>
      <vt:variant>
        <vt:i4>102</vt:i4>
      </vt:variant>
      <vt:variant>
        <vt:i4>0</vt:i4>
      </vt:variant>
      <vt:variant>
        <vt:i4>5</vt:i4>
      </vt:variant>
      <vt:variant>
        <vt:lpwstr>http://law.moj.gov.tw/Scripts/Query1B.asp?no=1G034001935</vt:lpwstr>
      </vt:variant>
      <vt:variant>
        <vt:lpwstr/>
      </vt:variant>
      <vt:variant>
        <vt:i4>2031640</vt:i4>
      </vt:variant>
      <vt:variant>
        <vt:i4>99</vt:i4>
      </vt:variant>
      <vt:variant>
        <vt:i4>0</vt:i4>
      </vt:variant>
      <vt:variant>
        <vt:i4>5</vt:i4>
      </vt:variant>
      <vt:variant>
        <vt:lpwstr>http://law.moj.gov.tw/Scripts/Query1B.asp?no=1G034001934</vt:lpwstr>
      </vt:variant>
      <vt:variant>
        <vt:lpwstr/>
      </vt:variant>
      <vt:variant>
        <vt:i4>1572888</vt:i4>
      </vt:variant>
      <vt:variant>
        <vt:i4>96</vt:i4>
      </vt:variant>
      <vt:variant>
        <vt:i4>0</vt:i4>
      </vt:variant>
      <vt:variant>
        <vt:i4>5</vt:i4>
      </vt:variant>
      <vt:variant>
        <vt:lpwstr>http://law.moj.gov.tw/Scripts/Query1B.asp?no=1G034001933</vt:lpwstr>
      </vt:variant>
      <vt:variant>
        <vt:lpwstr/>
      </vt:variant>
      <vt:variant>
        <vt:i4>1638424</vt:i4>
      </vt:variant>
      <vt:variant>
        <vt:i4>93</vt:i4>
      </vt:variant>
      <vt:variant>
        <vt:i4>0</vt:i4>
      </vt:variant>
      <vt:variant>
        <vt:i4>5</vt:i4>
      </vt:variant>
      <vt:variant>
        <vt:lpwstr>http://law.moj.gov.tw/Scripts/Query1B.asp?no=1G034001932</vt:lpwstr>
      </vt:variant>
      <vt:variant>
        <vt:lpwstr/>
      </vt:variant>
      <vt:variant>
        <vt:i4>1703960</vt:i4>
      </vt:variant>
      <vt:variant>
        <vt:i4>90</vt:i4>
      </vt:variant>
      <vt:variant>
        <vt:i4>0</vt:i4>
      </vt:variant>
      <vt:variant>
        <vt:i4>5</vt:i4>
      </vt:variant>
      <vt:variant>
        <vt:lpwstr>http://law.moj.gov.tw/Scripts/Query1B.asp?no=1G034001931</vt:lpwstr>
      </vt:variant>
      <vt:variant>
        <vt:lpwstr/>
      </vt:variant>
      <vt:variant>
        <vt:i4>1769496</vt:i4>
      </vt:variant>
      <vt:variant>
        <vt:i4>87</vt:i4>
      </vt:variant>
      <vt:variant>
        <vt:i4>0</vt:i4>
      </vt:variant>
      <vt:variant>
        <vt:i4>5</vt:i4>
      </vt:variant>
      <vt:variant>
        <vt:lpwstr>http://law.moj.gov.tw/Scripts/Query1B.asp?no=1G034001930</vt:lpwstr>
      </vt:variant>
      <vt:variant>
        <vt:lpwstr/>
      </vt:variant>
      <vt:variant>
        <vt:i4>1179673</vt:i4>
      </vt:variant>
      <vt:variant>
        <vt:i4>84</vt:i4>
      </vt:variant>
      <vt:variant>
        <vt:i4>0</vt:i4>
      </vt:variant>
      <vt:variant>
        <vt:i4>5</vt:i4>
      </vt:variant>
      <vt:variant>
        <vt:lpwstr>http://law.moj.gov.tw/Scripts/Query1B.asp?no=1G034001929</vt:lpwstr>
      </vt:variant>
      <vt:variant>
        <vt:lpwstr/>
      </vt:variant>
      <vt:variant>
        <vt:i4>1245209</vt:i4>
      </vt:variant>
      <vt:variant>
        <vt:i4>81</vt:i4>
      </vt:variant>
      <vt:variant>
        <vt:i4>0</vt:i4>
      </vt:variant>
      <vt:variant>
        <vt:i4>5</vt:i4>
      </vt:variant>
      <vt:variant>
        <vt:lpwstr>http://law.moj.gov.tw/Scripts/Query1B.asp?no=1G034001928</vt:lpwstr>
      </vt:variant>
      <vt:variant>
        <vt:lpwstr/>
      </vt:variant>
      <vt:variant>
        <vt:i4>1835033</vt:i4>
      </vt:variant>
      <vt:variant>
        <vt:i4>78</vt:i4>
      </vt:variant>
      <vt:variant>
        <vt:i4>0</vt:i4>
      </vt:variant>
      <vt:variant>
        <vt:i4>5</vt:i4>
      </vt:variant>
      <vt:variant>
        <vt:lpwstr>http://law.moj.gov.tw/Scripts/Query1B.asp?no=1G034001927</vt:lpwstr>
      </vt:variant>
      <vt:variant>
        <vt:lpwstr/>
      </vt:variant>
      <vt:variant>
        <vt:i4>1900569</vt:i4>
      </vt:variant>
      <vt:variant>
        <vt:i4>75</vt:i4>
      </vt:variant>
      <vt:variant>
        <vt:i4>0</vt:i4>
      </vt:variant>
      <vt:variant>
        <vt:i4>5</vt:i4>
      </vt:variant>
      <vt:variant>
        <vt:lpwstr>http://law.moj.gov.tw/Scripts/Query1B.asp?no=1G034001926</vt:lpwstr>
      </vt:variant>
      <vt:variant>
        <vt:lpwstr/>
      </vt:variant>
      <vt:variant>
        <vt:i4>1966105</vt:i4>
      </vt:variant>
      <vt:variant>
        <vt:i4>72</vt:i4>
      </vt:variant>
      <vt:variant>
        <vt:i4>0</vt:i4>
      </vt:variant>
      <vt:variant>
        <vt:i4>5</vt:i4>
      </vt:variant>
      <vt:variant>
        <vt:lpwstr>http://law.moj.gov.tw/Scripts/Query1B.asp?no=1G034001925</vt:lpwstr>
      </vt:variant>
      <vt:variant>
        <vt:lpwstr/>
      </vt:variant>
      <vt:variant>
        <vt:i4>2031641</vt:i4>
      </vt:variant>
      <vt:variant>
        <vt:i4>69</vt:i4>
      </vt:variant>
      <vt:variant>
        <vt:i4>0</vt:i4>
      </vt:variant>
      <vt:variant>
        <vt:i4>5</vt:i4>
      </vt:variant>
      <vt:variant>
        <vt:lpwstr>http://law.moj.gov.tw/Scripts/Query1B.asp?no=1G034001924</vt:lpwstr>
      </vt:variant>
      <vt:variant>
        <vt:lpwstr/>
      </vt:variant>
      <vt:variant>
        <vt:i4>1572889</vt:i4>
      </vt:variant>
      <vt:variant>
        <vt:i4>66</vt:i4>
      </vt:variant>
      <vt:variant>
        <vt:i4>0</vt:i4>
      </vt:variant>
      <vt:variant>
        <vt:i4>5</vt:i4>
      </vt:variant>
      <vt:variant>
        <vt:lpwstr>http://law.moj.gov.tw/Scripts/Query1B.asp?no=1G034001923</vt:lpwstr>
      </vt:variant>
      <vt:variant>
        <vt:lpwstr/>
      </vt:variant>
      <vt:variant>
        <vt:i4>1638425</vt:i4>
      </vt:variant>
      <vt:variant>
        <vt:i4>63</vt:i4>
      </vt:variant>
      <vt:variant>
        <vt:i4>0</vt:i4>
      </vt:variant>
      <vt:variant>
        <vt:i4>5</vt:i4>
      </vt:variant>
      <vt:variant>
        <vt:lpwstr>http://law.moj.gov.tw/Scripts/Query1B.asp?no=1G034001922</vt:lpwstr>
      </vt:variant>
      <vt:variant>
        <vt:lpwstr/>
      </vt:variant>
      <vt:variant>
        <vt:i4>1703961</vt:i4>
      </vt:variant>
      <vt:variant>
        <vt:i4>60</vt:i4>
      </vt:variant>
      <vt:variant>
        <vt:i4>0</vt:i4>
      </vt:variant>
      <vt:variant>
        <vt:i4>5</vt:i4>
      </vt:variant>
      <vt:variant>
        <vt:lpwstr>http://law.moj.gov.tw/Scripts/Query1B.asp?no=1G034001921</vt:lpwstr>
      </vt:variant>
      <vt:variant>
        <vt:lpwstr/>
      </vt:variant>
      <vt:variant>
        <vt:i4>1769497</vt:i4>
      </vt:variant>
      <vt:variant>
        <vt:i4>57</vt:i4>
      </vt:variant>
      <vt:variant>
        <vt:i4>0</vt:i4>
      </vt:variant>
      <vt:variant>
        <vt:i4>5</vt:i4>
      </vt:variant>
      <vt:variant>
        <vt:lpwstr>http://law.moj.gov.tw/Scripts/Query1B.asp?no=1G034001920</vt:lpwstr>
      </vt:variant>
      <vt:variant>
        <vt:lpwstr/>
      </vt:variant>
      <vt:variant>
        <vt:i4>1179674</vt:i4>
      </vt:variant>
      <vt:variant>
        <vt:i4>54</vt:i4>
      </vt:variant>
      <vt:variant>
        <vt:i4>0</vt:i4>
      </vt:variant>
      <vt:variant>
        <vt:i4>5</vt:i4>
      </vt:variant>
      <vt:variant>
        <vt:lpwstr>http://law.moj.gov.tw/Scripts/Query1B.asp?no=1G034001919</vt:lpwstr>
      </vt:variant>
      <vt:variant>
        <vt:lpwstr/>
      </vt:variant>
      <vt:variant>
        <vt:i4>1245210</vt:i4>
      </vt:variant>
      <vt:variant>
        <vt:i4>51</vt:i4>
      </vt:variant>
      <vt:variant>
        <vt:i4>0</vt:i4>
      </vt:variant>
      <vt:variant>
        <vt:i4>5</vt:i4>
      </vt:variant>
      <vt:variant>
        <vt:lpwstr>http://law.moj.gov.tw/Scripts/Query1B.asp?no=1G034001918</vt:lpwstr>
      </vt:variant>
      <vt:variant>
        <vt:lpwstr/>
      </vt:variant>
      <vt:variant>
        <vt:i4>1835034</vt:i4>
      </vt:variant>
      <vt:variant>
        <vt:i4>48</vt:i4>
      </vt:variant>
      <vt:variant>
        <vt:i4>0</vt:i4>
      </vt:variant>
      <vt:variant>
        <vt:i4>5</vt:i4>
      </vt:variant>
      <vt:variant>
        <vt:lpwstr>http://law.moj.gov.tw/Scripts/Query1B.asp?no=1G034001917</vt:lpwstr>
      </vt:variant>
      <vt:variant>
        <vt:lpwstr/>
      </vt:variant>
      <vt:variant>
        <vt:i4>1900570</vt:i4>
      </vt:variant>
      <vt:variant>
        <vt:i4>45</vt:i4>
      </vt:variant>
      <vt:variant>
        <vt:i4>0</vt:i4>
      </vt:variant>
      <vt:variant>
        <vt:i4>5</vt:i4>
      </vt:variant>
      <vt:variant>
        <vt:lpwstr>http://law.moj.gov.tw/Scripts/Query1B.asp?no=1G034001916</vt:lpwstr>
      </vt:variant>
      <vt:variant>
        <vt:lpwstr/>
      </vt:variant>
      <vt:variant>
        <vt:i4>1966106</vt:i4>
      </vt:variant>
      <vt:variant>
        <vt:i4>42</vt:i4>
      </vt:variant>
      <vt:variant>
        <vt:i4>0</vt:i4>
      </vt:variant>
      <vt:variant>
        <vt:i4>5</vt:i4>
      </vt:variant>
      <vt:variant>
        <vt:lpwstr>http://law.moj.gov.tw/Scripts/Query1B.asp?no=1G034001915</vt:lpwstr>
      </vt:variant>
      <vt:variant>
        <vt:lpwstr/>
      </vt:variant>
      <vt:variant>
        <vt:i4>2031642</vt:i4>
      </vt:variant>
      <vt:variant>
        <vt:i4>39</vt:i4>
      </vt:variant>
      <vt:variant>
        <vt:i4>0</vt:i4>
      </vt:variant>
      <vt:variant>
        <vt:i4>5</vt:i4>
      </vt:variant>
      <vt:variant>
        <vt:lpwstr>http://law.moj.gov.tw/Scripts/Query1B.asp?no=1G034001914</vt:lpwstr>
      </vt:variant>
      <vt:variant>
        <vt:lpwstr/>
      </vt:variant>
      <vt:variant>
        <vt:i4>1572890</vt:i4>
      </vt:variant>
      <vt:variant>
        <vt:i4>36</vt:i4>
      </vt:variant>
      <vt:variant>
        <vt:i4>0</vt:i4>
      </vt:variant>
      <vt:variant>
        <vt:i4>5</vt:i4>
      </vt:variant>
      <vt:variant>
        <vt:lpwstr>http://law.moj.gov.tw/Scripts/Query1B.asp?no=1G034001913</vt:lpwstr>
      </vt:variant>
      <vt:variant>
        <vt:lpwstr/>
      </vt:variant>
      <vt:variant>
        <vt:i4>1638426</vt:i4>
      </vt:variant>
      <vt:variant>
        <vt:i4>33</vt:i4>
      </vt:variant>
      <vt:variant>
        <vt:i4>0</vt:i4>
      </vt:variant>
      <vt:variant>
        <vt:i4>5</vt:i4>
      </vt:variant>
      <vt:variant>
        <vt:lpwstr>http://law.moj.gov.tw/Scripts/Query1B.asp?no=1G034001912</vt:lpwstr>
      </vt:variant>
      <vt:variant>
        <vt:lpwstr/>
      </vt:variant>
      <vt:variant>
        <vt:i4>1703962</vt:i4>
      </vt:variant>
      <vt:variant>
        <vt:i4>30</vt:i4>
      </vt:variant>
      <vt:variant>
        <vt:i4>0</vt:i4>
      </vt:variant>
      <vt:variant>
        <vt:i4>5</vt:i4>
      </vt:variant>
      <vt:variant>
        <vt:lpwstr>http://law.moj.gov.tw/Scripts/Query1B.asp?no=1G034001911</vt:lpwstr>
      </vt:variant>
      <vt:variant>
        <vt:lpwstr/>
      </vt:variant>
      <vt:variant>
        <vt:i4>1769498</vt:i4>
      </vt:variant>
      <vt:variant>
        <vt:i4>27</vt:i4>
      </vt:variant>
      <vt:variant>
        <vt:i4>0</vt:i4>
      </vt:variant>
      <vt:variant>
        <vt:i4>5</vt:i4>
      </vt:variant>
      <vt:variant>
        <vt:lpwstr>http://law.moj.gov.tw/Scripts/Query1B.asp?no=1G034001910</vt:lpwstr>
      </vt:variant>
      <vt:variant>
        <vt:lpwstr/>
      </vt:variant>
      <vt:variant>
        <vt:i4>2818091</vt:i4>
      </vt:variant>
      <vt:variant>
        <vt:i4>24</vt:i4>
      </vt:variant>
      <vt:variant>
        <vt:i4>0</vt:i4>
      </vt:variant>
      <vt:variant>
        <vt:i4>5</vt:i4>
      </vt:variant>
      <vt:variant>
        <vt:lpwstr>http://law.moj.gov.tw/Scripts/Query1B.asp?no=1G03400199</vt:lpwstr>
      </vt:variant>
      <vt:variant>
        <vt:lpwstr/>
      </vt:variant>
      <vt:variant>
        <vt:i4>2818091</vt:i4>
      </vt:variant>
      <vt:variant>
        <vt:i4>21</vt:i4>
      </vt:variant>
      <vt:variant>
        <vt:i4>0</vt:i4>
      </vt:variant>
      <vt:variant>
        <vt:i4>5</vt:i4>
      </vt:variant>
      <vt:variant>
        <vt:lpwstr>http://law.moj.gov.tw/Scripts/Query1B.asp?no=1G03400198</vt:lpwstr>
      </vt:variant>
      <vt:variant>
        <vt:lpwstr/>
      </vt:variant>
      <vt:variant>
        <vt:i4>2818091</vt:i4>
      </vt:variant>
      <vt:variant>
        <vt:i4>18</vt:i4>
      </vt:variant>
      <vt:variant>
        <vt:i4>0</vt:i4>
      </vt:variant>
      <vt:variant>
        <vt:i4>5</vt:i4>
      </vt:variant>
      <vt:variant>
        <vt:lpwstr>http://law.moj.gov.tw/Scripts/Query1B.asp?no=1G03400197</vt:lpwstr>
      </vt:variant>
      <vt:variant>
        <vt:lpwstr/>
      </vt:variant>
      <vt:variant>
        <vt:i4>2818091</vt:i4>
      </vt:variant>
      <vt:variant>
        <vt:i4>15</vt:i4>
      </vt:variant>
      <vt:variant>
        <vt:i4>0</vt:i4>
      </vt:variant>
      <vt:variant>
        <vt:i4>5</vt:i4>
      </vt:variant>
      <vt:variant>
        <vt:lpwstr>http://law.moj.gov.tw/Scripts/Query1B.asp?no=1G03400196</vt:lpwstr>
      </vt:variant>
      <vt:variant>
        <vt:lpwstr/>
      </vt:variant>
      <vt:variant>
        <vt:i4>2818091</vt:i4>
      </vt:variant>
      <vt:variant>
        <vt:i4>12</vt:i4>
      </vt:variant>
      <vt:variant>
        <vt:i4>0</vt:i4>
      </vt:variant>
      <vt:variant>
        <vt:i4>5</vt:i4>
      </vt:variant>
      <vt:variant>
        <vt:lpwstr>http://law.moj.gov.tw/Scripts/Query1B.asp?no=1G03400195</vt:lpwstr>
      </vt:variant>
      <vt:variant>
        <vt:lpwstr/>
      </vt:variant>
      <vt:variant>
        <vt:i4>2818091</vt:i4>
      </vt:variant>
      <vt:variant>
        <vt:i4>9</vt:i4>
      </vt:variant>
      <vt:variant>
        <vt:i4>0</vt:i4>
      </vt:variant>
      <vt:variant>
        <vt:i4>5</vt:i4>
      </vt:variant>
      <vt:variant>
        <vt:lpwstr>http://law.moj.gov.tw/Scripts/Query1B.asp?no=1G03400194</vt:lpwstr>
      </vt:variant>
      <vt:variant>
        <vt:lpwstr/>
      </vt:variant>
      <vt:variant>
        <vt:i4>2818091</vt:i4>
      </vt:variant>
      <vt:variant>
        <vt:i4>6</vt:i4>
      </vt:variant>
      <vt:variant>
        <vt:i4>0</vt:i4>
      </vt:variant>
      <vt:variant>
        <vt:i4>5</vt:i4>
      </vt:variant>
      <vt:variant>
        <vt:lpwstr>http://law.moj.gov.tw/Scripts/Query1B.asp?no=1G03400193</vt:lpwstr>
      </vt:variant>
      <vt:variant>
        <vt:lpwstr/>
      </vt:variant>
      <vt:variant>
        <vt:i4>2818091</vt:i4>
      </vt:variant>
      <vt:variant>
        <vt:i4>3</vt:i4>
      </vt:variant>
      <vt:variant>
        <vt:i4>0</vt:i4>
      </vt:variant>
      <vt:variant>
        <vt:i4>5</vt:i4>
      </vt:variant>
      <vt:variant>
        <vt:lpwstr>http://law.moj.gov.tw/Scripts/Query1B.asp?no=1G03400192</vt:lpwstr>
      </vt:variant>
      <vt:variant>
        <vt:lpwstr/>
      </vt:variant>
      <vt:variant>
        <vt:i4>2818091</vt:i4>
      </vt:variant>
      <vt:variant>
        <vt:i4>0</vt:i4>
      </vt:variant>
      <vt:variant>
        <vt:i4>0</vt:i4>
      </vt:variant>
      <vt:variant>
        <vt:i4>5</vt:i4>
      </vt:variant>
      <vt:variant>
        <vt:lpwstr>http://law.moj.gov.tw/Scripts/Query1B.asp?no=1G03400191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   件</dc:title>
  <dc:creator>Bess</dc:creator>
  <cp:lastModifiedBy>User</cp:lastModifiedBy>
  <cp:revision>155</cp:revision>
  <cp:lastPrinted>2016-05-27T08:25:00Z</cp:lastPrinted>
  <dcterms:created xsi:type="dcterms:W3CDTF">2016-05-16T06:05:00Z</dcterms:created>
  <dcterms:modified xsi:type="dcterms:W3CDTF">2017-06-22T01:56:00Z</dcterms:modified>
</cp:coreProperties>
</file>