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307D12">
      <w:pPr>
        <w:spacing w:line="360" w:lineRule="auto"/>
        <w:jc w:val="center"/>
        <w:rPr>
          <w:rFonts w:eastAsia="標楷體"/>
          <w:b/>
          <w:bCs/>
          <w:sz w:val="52"/>
          <w:szCs w:val="52"/>
        </w:rPr>
      </w:pPr>
    </w:p>
    <w:p w:rsidR="00307D12" w:rsidRPr="00EA272E" w:rsidRDefault="00A63CF7">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51584" behindDoc="0" locked="0" layoutInCell="1" allowOverlap="1">
                <wp:simplePos x="0" y="0"/>
                <wp:positionH relativeFrom="column">
                  <wp:posOffset>-207010</wp:posOffset>
                </wp:positionH>
                <wp:positionV relativeFrom="paragraph">
                  <wp:posOffset>607695</wp:posOffset>
                </wp:positionV>
                <wp:extent cx="5354955" cy="1952625"/>
                <wp:effectExtent l="635" t="0" r="0" b="0"/>
                <wp:wrapSquare wrapText="bothSides"/>
                <wp:docPr id="62"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BD8" w:rsidRPr="00D82424" w:rsidRDefault="00630BD8" w:rsidP="00724A1A">
                            <w:pPr>
                              <w:spacing w:line="360" w:lineRule="auto"/>
                              <w:jc w:val="center"/>
                              <w:rPr>
                                <w:rFonts w:eastAsia="標楷體"/>
                                <w:b/>
                                <w:bCs/>
                                <w:sz w:val="36"/>
                                <w:szCs w:val="36"/>
                              </w:rPr>
                            </w:pPr>
                            <w:proofErr w:type="gramStart"/>
                            <w:r w:rsidRPr="00D82424">
                              <w:rPr>
                                <w:rFonts w:eastAsia="標楷體" w:hint="eastAsia"/>
                                <w:b/>
                                <w:bCs/>
                                <w:sz w:val="36"/>
                                <w:szCs w:val="36"/>
                              </w:rPr>
                              <w:t>瀚</w:t>
                            </w:r>
                            <w:proofErr w:type="gramEnd"/>
                            <w:r w:rsidRPr="00D82424">
                              <w:rPr>
                                <w:rFonts w:eastAsia="標楷體" w:hint="eastAsia"/>
                                <w:b/>
                                <w:bCs/>
                                <w:sz w:val="36"/>
                                <w:szCs w:val="36"/>
                              </w:rPr>
                              <w:t>昌股份有限公司</w:t>
                            </w:r>
                          </w:p>
                          <w:p w:rsidR="00630BD8" w:rsidRPr="00D82424" w:rsidRDefault="00630BD8" w:rsidP="00724A1A">
                            <w:pPr>
                              <w:spacing w:line="360" w:lineRule="auto"/>
                              <w:jc w:val="center"/>
                              <w:rPr>
                                <w:rFonts w:eastAsia="標楷體"/>
                                <w:b/>
                                <w:bCs/>
                                <w:sz w:val="36"/>
                                <w:szCs w:val="36"/>
                              </w:rPr>
                            </w:pPr>
                            <w:r>
                              <w:rPr>
                                <w:rFonts w:eastAsia="標楷體" w:hint="eastAsia"/>
                                <w:b/>
                                <w:bCs/>
                                <w:sz w:val="36"/>
                                <w:szCs w:val="36"/>
                              </w:rPr>
                              <w:t>105</w:t>
                            </w:r>
                            <w:r w:rsidRPr="00D82424">
                              <w:rPr>
                                <w:rFonts w:eastAsia="標楷體" w:hint="eastAsia"/>
                                <w:b/>
                                <w:bCs/>
                                <w:sz w:val="36"/>
                                <w:szCs w:val="36"/>
                              </w:rPr>
                              <w:t>會計</w:t>
                            </w:r>
                            <w:r w:rsidRPr="00D82424">
                              <w:rPr>
                                <w:rFonts w:eastAsia="標楷體"/>
                                <w:b/>
                                <w:bCs/>
                                <w:sz w:val="36"/>
                                <w:szCs w:val="36"/>
                              </w:rPr>
                              <w:t>年度移轉訂價報告</w:t>
                            </w:r>
                            <w:r w:rsidRPr="00D82424">
                              <w:rPr>
                                <w:rFonts w:eastAsia="標楷體" w:hint="eastAsia"/>
                                <w:b/>
                                <w:bCs/>
                                <w:sz w:val="36"/>
                                <w:szCs w:val="36"/>
                              </w:rPr>
                              <w:t>替代文據</w:t>
                            </w:r>
                          </w:p>
                          <w:p w:rsidR="00630BD8" w:rsidRPr="00D82424" w:rsidRDefault="00630BD8" w:rsidP="00D82424">
                            <w:pPr>
                              <w:spacing w:beforeLines="100" w:before="240"/>
                              <w:jc w:val="center"/>
                              <w:rPr>
                                <w:rFonts w:eastAsia="標楷體"/>
                              </w:rPr>
                            </w:pPr>
                            <w:r w:rsidRPr="00D82424">
                              <w:rPr>
                                <w:rFonts w:eastAsia="標楷體" w:hint="eastAsia"/>
                              </w:rPr>
                              <w:t>涵蓋期間：民國</w:t>
                            </w:r>
                            <w:r>
                              <w:rPr>
                                <w:rFonts w:eastAsia="標楷體" w:hint="eastAsia"/>
                              </w:rPr>
                              <w:t>105</w:t>
                            </w:r>
                            <w:r w:rsidRPr="00D82424">
                              <w:rPr>
                                <w:rFonts w:eastAsia="標楷體" w:hint="eastAsia"/>
                              </w:rPr>
                              <w:t>年</w:t>
                            </w:r>
                            <w:r w:rsidRPr="00D82424">
                              <w:rPr>
                                <w:rFonts w:eastAsia="標楷體" w:hint="eastAsia"/>
                              </w:rPr>
                              <w:t>1</w:t>
                            </w:r>
                            <w:r w:rsidRPr="00D82424">
                              <w:rPr>
                                <w:rFonts w:eastAsia="標楷體" w:hint="eastAsia"/>
                              </w:rPr>
                              <w:t>月</w:t>
                            </w:r>
                            <w:r w:rsidRPr="00D82424">
                              <w:rPr>
                                <w:rFonts w:eastAsia="標楷體" w:hint="eastAsia"/>
                              </w:rPr>
                              <w:t>1</w:t>
                            </w:r>
                            <w:r w:rsidRPr="00D82424">
                              <w:rPr>
                                <w:rFonts w:eastAsia="標楷體" w:hint="eastAsia"/>
                              </w:rPr>
                              <w:t>日至</w:t>
                            </w:r>
                            <w:r>
                              <w:rPr>
                                <w:rFonts w:eastAsia="標楷體" w:hint="eastAsia"/>
                              </w:rPr>
                              <w:t>105</w:t>
                            </w:r>
                            <w:r w:rsidRPr="00D82424">
                              <w:rPr>
                                <w:rFonts w:eastAsia="標楷體" w:hint="eastAsia"/>
                              </w:rPr>
                              <w:t>年</w:t>
                            </w:r>
                            <w:r w:rsidRPr="00D82424">
                              <w:rPr>
                                <w:rFonts w:eastAsia="標楷體" w:hint="eastAsia"/>
                              </w:rPr>
                              <w:t>12</w:t>
                            </w:r>
                            <w:r w:rsidRPr="00D82424">
                              <w:rPr>
                                <w:rFonts w:eastAsia="標楷體" w:hint="eastAsia"/>
                              </w:rPr>
                              <w:t>月</w:t>
                            </w:r>
                            <w:r w:rsidRPr="00D82424">
                              <w:rPr>
                                <w:rFonts w:eastAsia="標楷體" w:hint="eastAsia"/>
                              </w:rPr>
                              <w:t>31</w:t>
                            </w:r>
                            <w:r w:rsidRPr="00D82424">
                              <w:rPr>
                                <w:rFonts w:eastAsia="標楷體" w:hint="eastAsia"/>
                              </w:rPr>
                              <w:t>日</w:t>
                            </w:r>
                          </w:p>
                          <w:p w:rsidR="00630BD8" w:rsidRPr="00F405FC" w:rsidRDefault="00630BD8" w:rsidP="00F405FC">
                            <w:pPr>
                              <w:spacing w:line="400" w:lineRule="exact"/>
                              <w:rPr>
                                <w:rFonts w:eastAsia="微軟正黑體"/>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6.3pt;margin-top:47.85pt;width:421.65pt;height:15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OMtwIAAL0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" filled="f" stroked="f">
                <v:textbox>
                  <w:txbxContent>
                    <w:p w:rsidR="00630BD8" w:rsidRPr="00D82424" w:rsidRDefault="00630BD8" w:rsidP="00724A1A">
                      <w:pPr>
                        <w:spacing w:line="360" w:lineRule="auto"/>
                        <w:jc w:val="center"/>
                        <w:rPr>
                          <w:rFonts w:eastAsia="標楷體"/>
                          <w:b/>
                          <w:bCs/>
                          <w:sz w:val="36"/>
                          <w:szCs w:val="36"/>
                        </w:rPr>
                      </w:pPr>
                      <w:r w:rsidRPr="00D82424">
                        <w:rPr>
                          <w:rFonts w:eastAsia="標楷體" w:hint="eastAsia"/>
                          <w:b/>
                          <w:bCs/>
                          <w:sz w:val="36"/>
                          <w:szCs w:val="36"/>
                        </w:rPr>
                        <w:t>瀚昌股份有限公司</w:t>
                      </w:r>
                    </w:p>
                    <w:p w:rsidR="00630BD8" w:rsidRPr="00D82424" w:rsidRDefault="00630BD8" w:rsidP="00724A1A">
                      <w:pPr>
                        <w:spacing w:line="360" w:lineRule="auto"/>
                        <w:jc w:val="center"/>
                        <w:rPr>
                          <w:rFonts w:eastAsia="標楷體"/>
                          <w:b/>
                          <w:bCs/>
                          <w:sz w:val="36"/>
                          <w:szCs w:val="36"/>
                        </w:rPr>
                      </w:pPr>
                      <w:r>
                        <w:rPr>
                          <w:rFonts w:eastAsia="標楷體" w:hint="eastAsia"/>
                          <w:b/>
                          <w:bCs/>
                          <w:sz w:val="36"/>
                          <w:szCs w:val="36"/>
                        </w:rPr>
                        <w:t>105</w:t>
                      </w:r>
                      <w:r w:rsidRPr="00D82424">
                        <w:rPr>
                          <w:rFonts w:eastAsia="標楷體" w:hint="eastAsia"/>
                          <w:b/>
                          <w:bCs/>
                          <w:sz w:val="36"/>
                          <w:szCs w:val="36"/>
                        </w:rPr>
                        <w:t>會計</w:t>
                      </w:r>
                      <w:r w:rsidRPr="00D82424">
                        <w:rPr>
                          <w:rFonts w:eastAsia="標楷體"/>
                          <w:b/>
                          <w:bCs/>
                          <w:sz w:val="36"/>
                          <w:szCs w:val="36"/>
                        </w:rPr>
                        <w:t>年度移轉訂價報告</w:t>
                      </w:r>
                      <w:r w:rsidRPr="00D82424">
                        <w:rPr>
                          <w:rFonts w:eastAsia="標楷體" w:hint="eastAsia"/>
                          <w:b/>
                          <w:bCs/>
                          <w:sz w:val="36"/>
                          <w:szCs w:val="36"/>
                        </w:rPr>
                        <w:t>替代文據</w:t>
                      </w:r>
                    </w:p>
                    <w:p w:rsidR="00630BD8" w:rsidRPr="00D82424" w:rsidRDefault="00630BD8" w:rsidP="00D82424">
                      <w:pPr>
                        <w:spacing w:beforeLines="100" w:before="240"/>
                        <w:jc w:val="center"/>
                        <w:rPr>
                          <w:rFonts w:eastAsia="標楷體"/>
                        </w:rPr>
                      </w:pPr>
                      <w:r w:rsidRPr="00D82424">
                        <w:rPr>
                          <w:rFonts w:eastAsia="標楷體" w:hint="eastAsia"/>
                        </w:rPr>
                        <w:t>涵蓋期間：民國</w:t>
                      </w:r>
                      <w:r>
                        <w:rPr>
                          <w:rFonts w:eastAsia="標楷體" w:hint="eastAsia"/>
                        </w:rPr>
                        <w:t>105</w:t>
                      </w:r>
                      <w:r w:rsidRPr="00D82424">
                        <w:rPr>
                          <w:rFonts w:eastAsia="標楷體" w:hint="eastAsia"/>
                        </w:rPr>
                        <w:t>年</w:t>
                      </w:r>
                      <w:r w:rsidRPr="00D82424">
                        <w:rPr>
                          <w:rFonts w:eastAsia="標楷體" w:hint="eastAsia"/>
                        </w:rPr>
                        <w:t>1</w:t>
                      </w:r>
                      <w:r w:rsidRPr="00D82424">
                        <w:rPr>
                          <w:rFonts w:eastAsia="標楷體" w:hint="eastAsia"/>
                        </w:rPr>
                        <w:t>月</w:t>
                      </w:r>
                      <w:r w:rsidRPr="00D82424">
                        <w:rPr>
                          <w:rFonts w:eastAsia="標楷體" w:hint="eastAsia"/>
                        </w:rPr>
                        <w:t>1</w:t>
                      </w:r>
                      <w:r w:rsidRPr="00D82424">
                        <w:rPr>
                          <w:rFonts w:eastAsia="標楷體" w:hint="eastAsia"/>
                        </w:rPr>
                        <w:t>日至</w:t>
                      </w:r>
                      <w:r>
                        <w:rPr>
                          <w:rFonts w:eastAsia="標楷體" w:hint="eastAsia"/>
                        </w:rPr>
                        <w:t>105</w:t>
                      </w:r>
                      <w:r w:rsidRPr="00D82424">
                        <w:rPr>
                          <w:rFonts w:eastAsia="標楷體" w:hint="eastAsia"/>
                        </w:rPr>
                        <w:t>年</w:t>
                      </w:r>
                      <w:r w:rsidRPr="00D82424">
                        <w:rPr>
                          <w:rFonts w:eastAsia="標楷體" w:hint="eastAsia"/>
                        </w:rPr>
                        <w:t>12</w:t>
                      </w:r>
                      <w:r w:rsidRPr="00D82424">
                        <w:rPr>
                          <w:rFonts w:eastAsia="標楷體" w:hint="eastAsia"/>
                        </w:rPr>
                        <w:t>月</w:t>
                      </w:r>
                      <w:r w:rsidRPr="00D82424">
                        <w:rPr>
                          <w:rFonts w:eastAsia="標楷體" w:hint="eastAsia"/>
                        </w:rPr>
                        <w:t>31</w:t>
                      </w:r>
                      <w:r w:rsidRPr="00D82424">
                        <w:rPr>
                          <w:rFonts w:eastAsia="標楷體" w:hint="eastAsia"/>
                        </w:rPr>
                        <w:t>日</w:t>
                      </w:r>
                    </w:p>
                    <w:p w:rsidR="00630BD8" w:rsidRPr="00F405FC" w:rsidRDefault="00630BD8" w:rsidP="00F405FC">
                      <w:pPr>
                        <w:spacing w:line="400" w:lineRule="exact"/>
                        <w:rPr>
                          <w:rFonts w:eastAsia="微軟正黑體"/>
                          <w:sz w:val="36"/>
                          <w:szCs w:val="36"/>
                        </w:rPr>
                      </w:pPr>
                    </w:p>
                  </w:txbxContent>
                </v:textbox>
                <w10:wrap type="square"/>
              </v:shape>
            </w:pict>
          </mc:Fallback>
        </mc:AlternateContent>
      </w: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07D12" w:rsidRPr="00EA272E" w:rsidRDefault="00A63CF7">
      <w:pPr>
        <w:spacing w:line="360" w:lineRule="auto"/>
        <w:jc w:val="center"/>
        <w:rPr>
          <w:rFonts w:eastAsia="標楷體"/>
          <w:b/>
          <w:bCs/>
          <w:sz w:val="32"/>
          <w:szCs w:val="32"/>
        </w:rPr>
        <w:sectPr w:rsidR="00307D12" w:rsidRPr="00EA272E" w:rsidSect="00B30226">
          <w:footerReference w:type="default" r:id="rId9"/>
          <w:type w:val="oddPage"/>
          <w:pgSz w:w="11906" w:h="16838" w:code="9"/>
          <w:pgMar w:top="2160" w:right="1440" w:bottom="1814" w:left="1440" w:header="851" w:footer="567"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61824" behindDoc="0" locked="0" layoutInCell="1" allowOverlap="1">
                <wp:simplePos x="0" y="0"/>
                <wp:positionH relativeFrom="column">
                  <wp:posOffset>914400</wp:posOffset>
                </wp:positionH>
                <wp:positionV relativeFrom="paragraph">
                  <wp:posOffset>1365885</wp:posOffset>
                </wp:positionV>
                <wp:extent cx="3322955" cy="869315"/>
                <wp:effectExtent l="0" t="0" r="3175" b="0"/>
                <wp:wrapNone/>
                <wp:docPr id="61"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BD8" w:rsidRPr="00F405FC" w:rsidRDefault="00630BD8" w:rsidP="00B30226">
                            <w:pPr>
                              <w:jc w:val="center"/>
                              <w:rPr>
                                <w:rFonts w:eastAsia="標楷體"/>
                                <w:b/>
                                <w:sz w:val="28"/>
                              </w:rPr>
                            </w:pPr>
                            <w:r w:rsidRPr="00F405FC">
                              <w:rPr>
                                <w:rFonts w:eastAsia="標楷體" w:hint="eastAsia"/>
                                <w:b/>
                                <w:sz w:val="28"/>
                              </w:rPr>
                              <w:t>出具人：羅裕傑　會計師</w:t>
                            </w:r>
                          </w:p>
                          <w:p w:rsidR="00630BD8" w:rsidRPr="004C0C1C" w:rsidRDefault="00630BD8" w:rsidP="00B30226">
                            <w:pPr>
                              <w:jc w:val="center"/>
                              <w:rPr>
                                <w:rFonts w:eastAsia="標楷體"/>
                                <w:b/>
                                <w:sz w:val="28"/>
                              </w:rPr>
                            </w:pPr>
                          </w:p>
                          <w:p w:rsidR="00630BD8" w:rsidRPr="00F405FC" w:rsidRDefault="00630BD8" w:rsidP="00B30226">
                            <w:pPr>
                              <w:jc w:val="center"/>
                              <w:rPr>
                                <w:rFonts w:eastAsia="標楷體"/>
                                <w:b/>
                                <w:sz w:val="28"/>
                              </w:rPr>
                            </w:pPr>
                            <w:r w:rsidRPr="00F405FC">
                              <w:rPr>
                                <w:rFonts w:eastAsia="標楷體" w:hint="eastAsia"/>
                                <w:b/>
                                <w:sz w:val="28"/>
                              </w:rPr>
                              <w:t>製作日期：民國</w:t>
                            </w:r>
                            <w:r w:rsidRPr="00BD67BA">
                              <w:rPr>
                                <w:rFonts w:eastAsia="標楷體" w:hint="eastAsia"/>
                                <w:b/>
                                <w:sz w:val="28"/>
                              </w:rPr>
                              <w:t>10</w:t>
                            </w:r>
                            <w:r>
                              <w:rPr>
                                <w:rFonts w:eastAsia="標楷體" w:hint="eastAsia"/>
                                <w:b/>
                                <w:sz w:val="28"/>
                              </w:rPr>
                              <w:t>6</w:t>
                            </w:r>
                            <w:r w:rsidRPr="00BD67BA">
                              <w:rPr>
                                <w:rFonts w:eastAsia="標楷體" w:hint="eastAsia"/>
                                <w:b/>
                                <w:sz w:val="28"/>
                              </w:rPr>
                              <w:t>年</w:t>
                            </w:r>
                            <w:r>
                              <w:rPr>
                                <w:rFonts w:eastAsia="標楷體" w:hint="eastAsia"/>
                                <w:b/>
                                <w:sz w:val="28"/>
                              </w:rPr>
                              <w:t>4</w:t>
                            </w:r>
                            <w:r w:rsidRPr="00CE6122">
                              <w:rPr>
                                <w:rFonts w:eastAsia="標楷體" w:hint="eastAsia"/>
                                <w:b/>
                                <w:sz w:val="28"/>
                              </w:rPr>
                              <w:t>月</w:t>
                            </w:r>
                            <w:r>
                              <w:rPr>
                                <w:rFonts w:eastAsia="標楷體" w:hint="eastAsia"/>
                                <w:b/>
                                <w:sz w:val="28"/>
                              </w:rPr>
                              <w:t>17</w:t>
                            </w:r>
                            <w:r w:rsidRPr="00CE6122">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1in;margin-top:107.55pt;width:261.65pt;height:68.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UrugIAAMMFAAAOAAAAZHJzL2Uyb0RvYy54bWysVG1vmzAQ/j5p/8Hyd8pLDA2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" filled="f" stroked="f">
                <v:textbox>
                  <w:txbxContent>
                    <w:p w:rsidR="00630BD8" w:rsidRPr="00F405FC" w:rsidRDefault="00630BD8" w:rsidP="00B30226">
                      <w:pPr>
                        <w:jc w:val="center"/>
                        <w:rPr>
                          <w:rFonts w:eastAsia="標楷體"/>
                          <w:b/>
                          <w:sz w:val="28"/>
                        </w:rPr>
                      </w:pPr>
                      <w:r w:rsidRPr="00F405FC">
                        <w:rPr>
                          <w:rFonts w:eastAsia="標楷體" w:hint="eastAsia"/>
                          <w:b/>
                          <w:sz w:val="28"/>
                        </w:rPr>
                        <w:t>出具人：羅裕傑　會計師</w:t>
                      </w:r>
                    </w:p>
                    <w:p w:rsidR="00630BD8" w:rsidRPr="004C0C1C" w:rsidRDefault="00630BD8" w:rsidP="00B30226">
                      <w:pPr>
                        <w:jc w:val="center"/>
                        <w:rPr>
                          <w:rFonts w:eastAsia="標楷體"/>
                          <w:b/>
                          <w:sz w:val="28"/>
                        </w:rPr>
                      </w:pPr>
                    </w:p>
                    <w:p w:rsidR="00630BD8" w:rsidRPr="00F405FC" w:rsidRDefault="00630BD8" w:rsidP="00B30226">
                      <w:pPr>
                        <w:jc w:val="center"/>
                        <w:rPr>
                          <w:rFonts w:eastAsia="標楷體"/>
                          <w:b/>
                          <w:sz w:val="28"/>
                        </w:rPr>
                      </w:pPr>
                      <w:r w:rsidRPr="00F405FC">
                        <w:rPr>
                          <w:rFonts w:eastAsia="標楷體" w:hint="eastAsia"/>
                          <w:b/>
                          <w:sz w:val="28"/>
                        </w:rPr>
                        <w:t>製作日期：民國</w:t>
                      </w:r>
                      <w:r w:rsidRPr="00BD67BA">
                        <w:rPr>
                          <w:rFonts w:eastAsia="標楷體" w:hint="eastAsia"/>
                          <w:b/>
                          <w:sz w:val="28"/>
                        </w:rPr>
                        <w:t>10</w:t>
                      </w:r>
                      <w:r>
                        <w:rPr>
                          <w:rFonts w:eastAsia="標楷體" w:hint="eastAsia"/>
                          <w:b/>
                          <w:sz w:val="28"/>
                        </w:rPr>
                        <w:t>6</w:t>
                      </w:r>
                      <w:r w:rsidRPr="00BD67BA">
                        <w:rPr>
                          <w:rFonts w:eastAsia="標楷體" w:hint="eastAsia"/>
                          <w:b/>
                          <w:sz w:val="28"/>
                        </w:rPr>
                        <w:t>年</w:t>
                      </w:r>
                      <w:r>
                        <w:rPr>
                          <w:rFonts w:eastAsia="標楷體" w:hint="eastAsia"/>
                          <w:b/>
                          <w:sz w:val="28"/>
                        </w:rPr>
                        <w:t>4</w:t>
                      </w:r>
                      <w:r w:rsidRPr="00CE6122">
                        <w:rPr>
                          <w:rFonts w:eastAsia="標楷體" w:hint="eastAsia"/>
                          <w:b/>
                          <w:sz w:val="28"/>
                        </w:rPr>
                        <w:t>月</w:t>
                      </w:r>
                      <w:r>
                        <w:rPr>
                          <w:rFonts w:eastAsia="標楷體" w:hint="eastAsia"/>
                          <w:b/>
                          <w:sz w:val="28"/>
                        </w:rPr>
                        <w:t>17</w:t>
                      </w:r>
                      <w:r w:rsidRPr="00CE6122">
                        <w:rPr>
                          <w:rFonts w:eastAsia="標楷體" w:hint="eastAsia"/>
                          <w:b/>
                          <w:sz w:val="28"/>
                        </w:rPr>
                        <w:t>日</w:t>
                      </w:r>
                    </w:p>
                  </w:txbxContent>
                </v:textbox>
              </v:shape>
            </w:pict>
          </mc:Fallback>
        </mc:AlternateContent>
      </w:r>
      <w:r w:rsidR="00307D12" w:rsidRPr="00EA272E">
        <w:rPr>
          <w:rFonts w:eastAsia="標楷體"/>
          <w:b/>
          <w:bCs/>
          <w:sz w:val="32"/>
          <w:szCs w:val="32"/>
        </w:rPr>
        <w:br w:type="page"/>
      </w:r>
    </w:p>
    <w:p w:rsidR="006736AD" w:rsidRPr="00EA272E" w:rsidRDefault="004C0C1C" w:rsidP="00D82424">
      <w:pPr>
        <w:spacing w:beforeLines="50" w:before="120" w:afterLines="100" w:after="240" w:line="360" w:lineRule="auto"/>
        <w:jc w:val="center"/>
        <w:rPr>
          <w:rFonts w:eastAsia="標楷體"/>
          <w:b/>
          <w:bCs/>
          <w:sz w:val="52"/>
          <w:szCs w:val="48"/>
        </w:rPr>
      </w:pPr>
      <w:r>
        <w:rPr>
          <w:rFonts w:eastAsia="標楷體"/>
          <w:b/>
          <w:sz w:val="52"/>
          <w:szCs w:val="48"/>
        </w:rPr>
        <w:lastRenderedPageBreak/>
        <w:t>本</w:t>
      </w:r>
      <w:r>
        <w:rPr>
          <w:rFonts w:eastAsia="標楷體" w:hint="eastAsia"/>
          <w:b/>
          <w:sz w:val="52"/>
          <w:szCs w:val="48"/>
        </w:rPr>
        <w:t>文據</w:t>
      </w:r>
      <w:r w:rsidR="006736AD" w:rsidRPr="00EA272E">
        <w:rPr>
          <w:rFonts w:eastAsia="標楷體"/>
          <w:b/>
          <w:sz w:val="52"/>
          <w:szCs w:val="48"/>
        </w:rPr>
        <w:t>之涵蓋範圍及使用方式</w:t>
      </w:r>
    </w:p>
    <w:p w:rsidR="00270528" w:rsidRPr="00EA272E" w:rsidRDefault="00AC1411" w:rsidP="00D82424">
      <w:pPr>
        <w:spacing w:beforeLines="50" w:before="120" w:afterLines="50" w:after="120" w:line="360" w:lineRule="auto"/>
        <w:ind w:firstLineChars="200" w:firstLine="520"/>
        <w:jc w:val="both"/>
        <w:rPr>
          <w:rFonts w:eastAsia="標楷體"/>
          <w:i/>
          <w:color w:val="7F7F7F"/>
          <w:sz w:val="26"/>
          <w:szCs w:val="26"/>
        </w:rPr>
      </w:pPr>
      <w:r w:rsidRPr="00EA272E">
        <w:rPr>
          <w:rFonts w:eastAsia="標楷體"/>
          <w:sz w:val="26"/>
          <w:szCs w:val="26"/>
        </w:rPr>
        <w:t>正大聯合</w:t>
      </w:r>
      <w:r w:rsidRPr="0046646A">
        <w:rPr>
          <w:rFonts w:ascii="標楷體" w:eastAsia="標楷體" w:hAnsi="標楷體"/>
          <w:sz w:val="26"/>
          <w:szCs w:val="26"/>
        </w:rPr>
        <w:t>會</w:t>
      </w:r>
      <w:r w:rsidRPr="00EA272E">
        <w:rPr>
          <w:rFonts w:eastAsia="標楷體"/>
          <w:sz w:val="26"/>
          <w:szCs w:val="26"/>
        </w:rPr>
        <w:t>計師事務所（以下簡稱『本所』</w:t>
      </w:r>
      <w:r w:rsidR="00566722" w:rsidRPr="00EA272E">
        <w:rPr>
          <w:rFonts w:eastAsia="標楷體" w:hint="eastAsia"/>
          <w:sz w:val="26"/>
          <w:szCs w:val="26"/>
        </w:rPr>
        <w:t>）</w:t>
      </w:r>
      <w:r w:rsidRPr="00EA272E">
        <w:rPr>
          <w:rFonts w:eastAsia="標楷體"/>
          <w:sz w:val="26"/>
          <w:szCs w:val="26"/>
        </w:rPr>
        <w:t>受</w:t>
      </w:r>
      <w:r w:rsidR="00694D0C" w:rsidRPr="00434E06">
        <w:rPr>
          <w:rFonts w:eastAsia="標楷體" w:hint="eastAsia"/>
          <w:sz w:val="26"/>
          <w:szCs w:val="26"/>
        </w:rPr>
        <w:t>瀚昌股份有限公司</w:t>
      </w:r>
      <w:r w:rsidR="00566722" w:rsidRPr="00EA272E">
        <w:rPr>
          <w:rFonts w:eastAsia="標楷體" w:hint="eastAsia"/>
          <w:sz w:val="26"/>
          <w:szCs w:val="26"/>
        </w:rPr>
        <w:t>（</w:t>
      </w:r>
      <w:r w:rsidR="006736AD" w:rsidRPr="00EA272E">
        <w:rPr>
          <w:rFonts w:eastAsia="標楷體"/>
          <w:sz w:val="26"/>
          <w:szCs w:val="26"/>
        </w:rPr>
        <w:t>以下簡稱『</w:t>
      </w:r>
      <w:r w:rsidR="00434FAE" w:rsidRPr="00434E06">
        <w:rPr>
          <w:rFonts w:eastAsia="標楷體" w:hint="eastAsia"/>
          <w:sz w:val="26"/>
          <w:szCs w:val="26"/>
        </w:rPr>
        <w:t>瀚昌公司</w:t>
      </w:r>
      <w:r w:rsidR="006736AD" w:rsidRPr="00EA272E">
        <w:rPr>
          <w:rFonts w:eastAsia="標楷體"/>
          <w:sz w:val="26"/>
          <w:szCs w:val="26"/>
        </w:rPr>
        <w:t>』</w:t>
      </w:r>
      <w:r w:rsidR="006736AD" w:rsidRPr="00EA272E">
        <w:rPr>
          <w:rFonts w:eastAsia="標楷體"/>
          <w:sz w:val="26"/>
          <w:szCs w:val="26"/>
        </w:rPr>
        <w:t>)</w:t>
      </w:r>
      <w:r w:rsidR="006736AD" w:rsidRPr="00EA272E">
        <w:rPr>
          <w:rFonts w:eastAsia="標楷體"/>
          <w:sz w:val="26"/>
          <w:szCs w:val="26"/>
        </w:rPr>
        <w:t>委託，對該</w:t>
      </w:r>
      <w:r w:rsidR="006736AD" w:rsidRPr="00356936">
        <w:rPr>
          <w:rFonts w:eastAsia="標楷體"/>
          <w:sz w:val="26"/>
          <w:szCs w:val="26"/>
        </w:rPr>
        <w:t>公司</w:t>
      </w:r>
      <w:r w:rsidR="00211437">
        <w:rPr>
          <w:rFonts w:eastAsia="標楷體" w:hint="eastAsia"/>
          <w:sz w:val="26"/>
          <w:szCs w:val="26"/>
        </w:rPr>
        <w:t>105</w:t>
      </w:r>
      <w:r w:rsidR="008F0678" w:rsidRPr="00EA272E">
        <w:rPr>
          <w:rFonts w:eastAsia="標楷體" w:hint="eastAsia"/>
          <w:sz w:val="26"/>
          <w:szCs w:val="26"/>
        </w:rPr>
        <w:t>會計</w:t>
      </w:r>
      <w:r w:rsidR="006736AD" w:rsidRPr="00EA272E">
        <w:rPr>
          <w:rFonts w:eastAsia="標楷體"/>
          <w:sz w:val="26"/>
          <w:szCs w:val="26"/>
        </w:rPr>
        <w:t>年</w:t>
      </w:r>
      <w:r w:rsidR="008F0678" w:rsidRPr="00EA272E">
        <w:rPr>
          <w:rFonts w:eastAsia="標楷體" w:hint="eastAsia"/>
          <w:sz w:val="26"/>
          <w:szCs w:val="26"/>
        </w:rPr>
        <w:t>度</w:t>
      </w:r>
      <w:r w:rsidR="006736AD" w:rsidRPr="00EA272E">
        <w:rPr>
          <w:rFonts w:eastAsia="標楷體"/>
          <w:sz w:val="26"/>
          <w:szCs w:val="26"/>
        </w:rPr>
        <w:t>與關係企業之往來交易</w:t>
      </w:r>
      <w:r w:rsidR="001E7194" w:rsidRPr="00EA272E">
        <w:rPr>
          <w:rFonts w:eastAsia="標楷體" w:hint="eastAsia"/>
          <w:sz w:val="26"/>
          <w:szCs w:val="26"/>
        </w:rPr>
        <w:t>（以下簡稱</w:t>
      </w:r>
      <w:r w:rsidR="001E7194" w:rsidRPr="00EA272E">
        <w:rPr>
          <w:rFonts w:eastAsia="標楷體"/>
          <w:sz w:val="26"/>
          <w:szCs w:val="26"/>
        </w:rPr>
        <w:t>『</w:t>
      </w:r>
      <w:r w:rsidR="001E7194" w:rsidRPr="00EA272E">
        <w:rPr>
          <w:rFonts w:eastAsia="標楷體" w:hint="eastAsia"/>
          <w:sz w:val="26"/>
          <w:szCs w:val="26"/>
        </w:rPr>
        <w:t>受控交易</w:t>
      </w:r>
      <w:r w:rsidR="001E7194" w:rsidRPr="00EA272E">
        <w:rPr>
          <w:rFonts w:eastAsia="標楷體"/>
          <w:sz w:val="26"/>
          <w:szCs w:val="26"/>
        </w:rPr>
        <w:t>』</w:t>
      </w:r>
      <w:r w:rsidR="001E7194" w:rsidRPr="00EA272E">
        <w:rPr>
          <w:rFonts w:eastAsia="標楷體" w:hint="eastAsia"/>
          <w:sz w:val="26"/>
          <w:szCs w:val="26"/>
        </w:rPr>
        <w:t>）</w:t>
      </w:r>
      <w:r w:rsidR="006736AD" w:rsidRPr="00EA272E">
        <w:rPr>
          <w:rFonts w:eastAsia="標楷體"/>
          <w:sz w:val="26"/>
          <w:szCs w:val="26"/>
        </w:rPr>
        <w:t>進行分析，本</w:t>
      </w:r>
      <w:r w:rsidR="004C0C1C">
        <w:rPr>
          <w:rFonts w:eastAsia="標楷體" w:hint="eastAsia"/>
          <w:sz w:val="26"/>
          <w:szCs w:val="26"/>
        </w:rPr>
        <w:t>文據</w:t>
      </w:r>
      <w:r w:rsidR="006736AD" w:rsidRPr="00EA272E">
        <w:rPr>
          <w:rFonts w:eastAsia="標楷體"/>
          <w:sz w:val="26"/>
          <w:szCs w:val="26"/>
        </w:rPr>
        <w:t>即為</w:t>
      </w:r>
      <w:r w:rsidR="00CB265A" w:rsidRPr="00EA272E">
        <w:rPr>
          <w:rFonts w:eastAsia="標楷體" w:hint="eastAsia"/>
          <w:sz w:val="26"/>
          <w:szCs w:val="26"/>
        </w:rPr>
        <w:t>分析</w:t>
      </w:r>
      <w:r w:rsidR="006736AD" w:rsidRPr="00EA272E">
        <w:rPr>
          <w:rFonts w:eastAsia="標楷體"/>
          <w:sz w:val="26"/>
          <w:szCs w:val="26"/>
        </w:rPr>
        <w:t>結果。</w:t>
      </w:r>
    </w:p>
    <w:p w:rsidR="006736AD" w:rsidRPr="00EA272E" w:rsidRDefault="006736AD"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w:t>
      </w:r>
      <w:r w:rsidR="004C0C1C">
        <w:rPr>
          <w:rFonts w:eastAsia="標楷體" w:hint="eastAsia"/>
          <w:sz w:val="26"/>
          <w:szCs w:val="26"/>
        </w:rPr>
        <w:t>文據</w:t>
      </w:r>
      <w:r w:rsidRPr="00EA272E">
        <w:rPr>
          <w:rFonts w:eastAsia="標楷體"/>
          <w:sz w:val="26"/>
          <w:szCs w:val="26"/>
        </w:rPr>
        <w:t>採用之分析乃遵循所得稅法第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EA272E">
          <w:rPr>
            <w:rFonts w:eastAsia="標楷體"/>
            <w:sz w:val="26"/>
            <w:szCs w:val="26"/>
          </w:rPr>
          <w:t>民國</w:t>
        </w:r>
        <w:r w:rsidRPr="00EA272E">
          <w:rPr>
            <w:rFonts w:eastAsia="標楷體"/>
            <w:sz w:val="26"/>
            <w:szCs w:val="26"/>
          </w:rPr>
          <w:t>93</w:t>
        </w:r>
        <w:r w:rsidRPr="00EA272E">
          <w:rPr>
            <w:rFonts w:eastAsia="標楷體"/>
            <w:sz w:val="26"/>
            <w:szCs w:val="26"/>
          </w:rPr>
          <w:t>年</w:t>
        </w:r>
        <w:r w:rsidRPr="00EA272E">
          <w:rPr>
            <w:rFonts w:eastAsia="標楷體"/>
            <w:sz w:val="26"/>
            <w:szCs w:val="26"/>
          </w:rPr>
          <w:t>12</w:t>
        </w:r>
        <w:r w:rsidRPr="00EA272E">
          <w:rPr>
            <w:rFonts w:eastAsia="標楷體"/>
            <w:sz w:val="26"/>
            <w:szCs w:val="26"/>
          </w:rPr>
          <w:t>月</w:t>
        </w:r>
        <w:r w:rsidRPr="00EA272E">
          <w:rPr>
            <w:rFonts w:eastAsia="標楷體"/>
            <w:sz w:val="26"/>
            <w:szCs w:val="26"/>
          </w:rPr>
          <w:t>28</w:t>
        </w:r>
        <w:r w:rsidRPr="00EA272E">
          <w:rPr>
            <w:rFonts w:eastAsia="標楷體"/>
            <w:sz w:val="26"/>
            <w:szCs w:val="26"/>
          </w:rPr>
          <w:t>日</w:t>
        </w:r>
      </w:smartTag>
      <w:r w:rsidRPr="00EA272E">
        <w:rPr>
          <w:rFonts w:eastAsia="標楷體"/>
          <w:sz w:val="26"/>
          <w:szCs w:val="26"/>
        </w:rPr>
        <w:t>發布之營利事業所得稅不合常規移轉訂價查核準則</w:t>
      </w:r>
      <w:r w:rsidR="00566722" w:rsidRPr="00EA272E">
        <w:rPr>
          <w:rFonts w:eastAsia="標楷體" w:hint="eastAsia"/>
          <w:sz w:val="26"/>
          <w:szCs w:val="26"/>
        </w:rPr>
        <w:t>（</w:t>
      </w:r>
      <w:r w:rsidRPr="00EA272E">
        <w:rPr>
          <w:rFonts w:eastAsia="標楷體"/>
          <w:sz w:val="26"/>
          <w:szCs w:val="26"/>
        </w:rPr>
        <w:t>以下簡稱『移轉訂價查核準則』）規定之方法為之。</w:t>
      </w:r>
    </w:p>
    <w:p w:rsidR="006736AD" w:rsidRPr="00EA272E" w:rsidRDefault="006736AD"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本所於本</w:t>
      </w:r>
      <w:r w:rsidR="004C0C1C">
        <w:rPr>
          <w:rFonts w:eastAsia="標楷體" w:hint="eastAsia"/>
          <w:sz w:val="26"/>
          <w:szCs w:val="26"/>
        </w:rPr>
        <w:t>文據</w:t>
      </w:r>
      <w:r w:rsidRPr="00EA272E">
        <w:rPr>
          <w:rFonts w:eastAsia="標楷體"/>
          <w:sz w:val="26"/>
          <w:szCs w:val="26"/>
        </w:rPr>
        <w:t>中表示之意見完全基於</w:t>
      </w:r>
      <w:r w:rsidR="00434FAE" w:rsidRPr="00434E06">
        <w:rPr>
          <w:rFonts w:eastAsia="標楷體" w:hint="eastAsia"/>
          <w:sz w:val="26"/>
          <w:szCs w:val="26"/>
        </w:rPr>
        <w:t>瀚昌公司</w:t>
      </w:r>
      <w:r w:rsidRPr="00EA272E">
        <w:rPr>
          <w:rFonts w:eastAsia="標楷體"/>
          <w:sz w:val="26"/>
          <w:szCs w:val="26"/>
        </w:rPr>
        <w:t>管理部門提供之資料，本所並未</w:t>
      </w:r>
      <w:r w:rsidR="00270528" w:rsidRPr="00EA272E">
        <w:rPr>
          <w:rFonts w:eastAsia="標楷體" w:hint="eastAsia"/>
          <w:sz w:val="26"/>
          <w:szCs w:val="26"/>
        </w:rPr>
        <w:t>就</w:t>
      </w:r>
      <w:r w:rsidR="00434FAE" w:rsidRPr="00434E06">
        <w:rPr>
          <w:rFonts w:eastAsia="標楷體" w:hint="eastAsia"/>
          <w:sz w:val="26"/>
          <w:szCs w:val="26"/>
        </w:rPr>
        <w:t>瀚昌公司</w:t>
      </w:r>
      <w:r w:rsidR="00270528" w:rsidRPr="00EA272E">
        <w:rPr>
          <w:rFonts w:eastAsia="標楷體" w:hint="eastAsia"/>
          <w:sz w:val="26"/>
          <w:szCs w:val="26"/>
        </w:rPr>
        <w:t>提供之資料執行任何</w:t>
      </w:r>
      <w:r w:rsidRPr="00EA272E">
        <w:rPr>
          <w:rFonts w:eastAsia="標楷體"/>
          <w:sz w:val="26"/>
          <w:szCs w:val="26"/>
        </w:rPr>
        <w:t>查核</w:t>
      </w:r>
      <w:r w:rsidR="00270528" w:rsidRPr="00EA272E">
        <w:rPr>
          <w:rFonts w:eastAsia="標楷體" w:hint="eastAsia"/>
          <w:sz w:val="26"/>
          <w:szCs w:val="26"/>
        </w:rPr>
        <w:t>程序</w:t>
      </w:r>
      <w:r w:rsidRPr="00EA272E">
        <w:rPr>
          <w:rFonts w:eastAsia="標楷體"/>
          <w:sz w:val="26"/>
          <w:szCs w:val="26"/>
        </w:rPr>
        <w:t>。倘若提供給本所之資料有須更正情事，本</w:t>
      </w:r>
      <w:r w:rsidR="004C0C1C">
        <w:rPr>
          <w:rFonts w:eastAsia="標楷體" w:hint="eastAsia"/>
          <w:sz w:val="26"/>
          <w:szCs w:val="26"/>
        </w:rPr>
        <w:t>文據</w:t>
      </w:r>
      <w:r w:rsidRPr="00EA272E">
        <w:rPr>
          <w:rFonts w:eastAsia="標楷體"/>
          <w:sz w:val="26"/>
          <w:szCs w:val="26"/>
        </w:rPr>
        <w:t>之內容及結論亦可能會受影響。</w:t>
      </w:r>
    </w:p>
    <w:p w:rsidR="006736AD" w:rsidRPr="00EA272E" w:rsidRDefault="006736AD"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w:t>
      </w:r>
      <w:r w:rsidR="004C0C1C">
        <w:rPr>
          <w:rFonts w:eastAsia="標楷體" w:hint="eastAsia"/>
          <w:sz w:val="26"/>
          <w:szCs w:val="26"/>
        </w:rPr>
        <w:t>文據</w:t>
      </w:r>
      <w:r w:rsidRPr="00EA272E">
        <w:rPr>
          <w:rFonts w:eastAsia="標楷體"/>
          <w:sz w:val="26"/>
          <w:szCs w:val="26"/>
        </w:rPr>
        <w:t>內容須隨</w:t>
      </w:r>
      <w:r w:rsidR="00434FAE" w:rsidRPr="00434E06">
        <w:rPr>
          <w:rFonts w:eastAsia="標楷體" w:hint="eastAsia"/>
          <w:sz w:val="26"/>
          <w:szCs w:val="26"/>
        </w:rPr>
        <w:t>瀚昌公司</w:t>
      </w:r>
      <w:r w:rsidR="00620C7B" w:rsidRPr="00620C7B">
        <w:rPr>
          <w:rFonts w:eastAsia="標楷體" w:hint="eastAsia"/>
          <w:sz w:val="26"/>
          <w:szCs w:val="26"/>
        </w:rPr>
        <w:t>每年</w:t>
      </w:r>
      <w:r w:rsidRPr="00EA272E">
        <w:rPr>
          <w:rFonts w:eastAsia="標楷體"/>
          <w:sz w:val="26"/>
          <w:szCs w:val="26"/>
        </w:rPr>
        <w:t>營業方式之變動而更新。本所出具</w:t>
      </w:r>
      <w:r w:rsidR="004C0C1C">
        <w:rPr>
          <w:rFonts w:eastAsia="標楷體" w:hint="eastAsia"/>
          <w:sz w:val="26"/>
          <w:szCs w:val="26"/>
        </w:rPr>
        <w:t>文據</w:t>
      </w:r>
      <w:r w:rsidRPr="00EA272E">
        <w:rPr>
          <w:rFonts w:eastAsia="標楷體"/>
          <w:sz w:val="26"/>
          <w:szCs w:val="26"/>
        </w:rPr>
        <w:t>後，對本</w:t>
      </w:r>
      <w:r w:rsidR="004C0C1C">
        <w:rPr>
          <w:rFonts w:eastAsia="標楷體" w:hint="eastAsia"/>
          <w:sz w:val="26"/>
          <w:szCs w:val="26"/>
        </w:rPr>
        <w:t>文據</w:t>
      </w:r>
      <w:r w:rsidRPr="00EA272E">
        <w:rPr>
          <w:rFonts w:eastAsia="標楷體"/>
          <w:sz w:val="26"/>
          <w:szCs w:val="26"/>
        </w:rPr>
        <w:t>交付</w:t>
      </w:r>
      <w:r w:rsidR="00434FAE" w:rsidRPr="00434E06">
        <w:rPr>
          <w:rFonts w:eastAsia="標楷體" w:hint="eastAsia"/>
          <w:sz w:val="26"/>
          <w:szCs w:val="26"/>
        </w:rPr>
        <w:t>瀚昌公司</w:t>
      </w:r>
      <w:r w:rsidRPr="00EA272E">
        <w:rPr>
          <w:rFonts w:eastAsia="標楷體"/>
          <w:sz w:val="26"/>
          <w:szCs w:val="26"/>
        </w:rPr>
        <w:t>後所發生之任何變動、事件或情況，</w:t>
      </w:r>
      <w:r w:rsidR="00CB265A" w:rsidRPr="00EA272E">
        <w:rPr>
          <w:rFonts w:eastAsia="標楷體" w:hint="eastAsia"/>
          <w:sz w:val="26"/>
          <w:szCs w:val="26"/>
        </w:rPr>
        <w:t>均</w:t>
      </w:r>
      <w:r w:rsidRPr="00EA272E">
        <w:rPr>
          <w:rFonts w:eastAsia="標楷體"/>
          <w:sz w:val="26"/>
          <w:szCs w:val="26"/>
        </w:rPr>
        <w:t>不負任何修訂之義務。</w:t>
      </w:r>
    </w:p>
    <w:p w:rsidR="001E7194" w:rsidRPr="00EA272E" w:rsidRDefault="006736AD" w:rsidP="00D82424">
      <w:pPr>
        <w:spacing w:beforeLines="50" w:before="120" w:afterLines="50" w:after="120" w:line="360" w:lineRule="auto"/>
        <w:ind w:firstLineChars="200" w:firstLine="520"/>
        <w:jc w:val="both"/>
        <w:rPr>
          <w:rFonts w:eastAsia="標楷體"/>
          <w:sz w:val="26"/>
          <w:szCs w:val="26"/>
        </w:rPr>
        <w:sectPr w:rsidR="001E7194" w:rsidRPr="00EA272E" w:rsidSect="00B30226">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EA272E">
        <w:rPr>
          <w:rFonts w:eastAsia="標楷體"/>
          <w:sz w:val="26"/>
          <w:szCs w:val="26"/>
        </w:rPr>
        <w:t>本</w:t>
      </w:r>
      <w:r w:rsidR="004C0C1C">
        <w:rPr>
          <w:rFonts w:eastAsia="標楷體" w:hint="eastAsia"/>
          <w:sz w:val="26"/>
          <w:szCs w:val="26"/>
        </w:rPr>
        <w:t>文據</w:t>
      </w:r>
      <w:r w:rsidRPr="00EA272E">
        <w:rPr>
          <w:rFonts w:eastAsia="標楷體"/>
          <w:sz w:val="26"/>
          <w:szCs w:val="26"/>
        </w:rPr>
        <w:t>僅供</w:t>
      </w:r>
      <w:r w:rsidR="00434FAE" w:rsidRPr="00434E06">
        <w:rPr>
          <w:rFonts w:eastAsia="標楷體" w:hint="eastAsia"/>
          <w:sz w:val="26"/>
          <w:szCs w:val="26"/>
        </w:rPr>
        <w:t>瀚昌公司</w:t>
      </w:r>
      <w:r w:rsidRPr="00EA272E">
        <w:rPr>
          <w:rFonts w:eastAsia="標楷體"/>
          <w:sz w:val="26"/>
          <w:szCs w:val="26"/>
        </w:rPr>
        <w:t>分析</w:t>
      </w:r>
      <w:r w:rsidR="001E7194" w:rsidRPr="00EA272E">
        <w:rPr>
          <w:rFonts w:eastAsia="標楷體" w:hint="eastAsia"/>
          <w:sz w:val="26"/>
          <w:szCs w:val="26"/>
        </w:rPr>
        <w:t>受控</w:t>
      </w:r>
      <w:r w:rsidRPr="00EA272E">
        <w:rPr>
          <w:rFonts w:eastAsia="標楷體"/>
          <w:sz w:val="26"/>
          <w:szCs w:val="26"/>
        </w:rPr>
        <w:t>交易</w:t>
      </w:r>
      <w:r w:rsidR="00906F2B" w:rsidRPr="00EA272E">
        <w:rPr>
          <w:rFonts w:eastAsia="標楷體"/>
          <w:sz w:val="26"/>
          <w:szCs w:val="26"/>
        </w:rPr>
        <w:t>是否</w:t>
      </w:r>
      <w:r w:rsidR="00906F2B" w:rsidRPr="00EA272E">
        <w:rPr>
          <w:rFonts w:eastAsia="標楷體" w:hint="eastAsia"/>
          <w:sz w:val="26"/>
          <w:szCs w:val="26"/>
        </w:rPr>
        <w:t>符合營業</w:t>
      </w:r>
      <w:r w:rsidRPr="00EA272E">
        <w:rPr>
          <w:rFonts w:eastAsia="標楷體"/>
          <w:sz w:val="26"/>
          <w:szCs w:val="26"/>
        </w:rPr>
        <w:t>常規使用，不得作為其他用途。本所於本</w:t>
      </w:r>
      <w:r w:rsidR="004C0C1C">
        <w:rPr>
          <w:rFonts w:eastAsia="標楷體" w:hint="eastAsia"/>
          <w:sz w:val="26"/>
          <w:szCs w:val="26"/>
        </w:rPr>
        <w:t>文據</w:t>
      </w:r>
      <w:r w:rsidRPr="00EA272E">
        <w:rPr>
          <w:rFonts w:eastAsia="標楷體"/>
          <w:sz w:val="26"/>
          <w:szCs w:val="26"/>
        </w:rPr>
        <w:t>製作完成並交付</w:t>
      </w:r>
      <w:r w:rsidR="00434FAE" w:rsidRPr="00434E06">
        <w:rPr>
          <w:rFonts w:eastAsia="標楷體" w:hint="eastAsia"/>
          <w:sz w:val="26"/>
          <w:szCs w:val="26"/>
        </w:rPr>
        <w:t>瀚昌公司</w:t>
      </w:r>
      <w:r w:rsidRPr="00EA272E">
        <w:rPr>
          <w:rFonts w:eastAsia="標楷體"/>
          <w:sz w:val="26"/>
          <w:szCs w:val="26"/>
        </w:rPr>
        <w:t>後，即已完成編製移轉訂價報告</w:t>
      </w:r>
      <w:r w:rsidR="004C0C1C">
        <w:rPr>
          <w:rFonts w:eastAsia="標楷體" w:hint="eastAsia"/>
          <w:sz w:val="26"/>
          <w:szCs w:val="26"/>
        </w:rPr>
        <w:t>替代文據</w:t>
      </w:r>
      <w:r w:rsidRPr="00EA272E">
        <w:rPr>
          <w:rFonts w:eastAsia="標楷體"/>
          <w:sz w:val="26"/>
          <w:szCs w:val="26"/>
        </w:rPr>
        <w:t>之義務，倘有必要，本所會盡力協助委託人向國稅局作必要說明，但此部分並非本所之義務，亦非委任契約之一部份。除前開必要情形外，本所或其他與編製本</w:t>
      </w:r>
      <w:r w:rsidR="004C0C1C">
        <w:rPr>
          <w:rFonts w:eastAsia="標楷體" w:hint="eastAsia"/>
          <w:sz w:val="26"/>
          <w:szCs w:val="26"/>
        </w:rPr>
        <w:t>文據</w:t>
      </w:r>
      <w:r w:rsidRPr="00EA272E">
        <w:rPr>
          <w:rFonts w:eastAsia="標楷體"/>
          <w:sz w:val="26"/>
          <w:szCs w:val="26"/>
        </w:rPr>
        <w:t>有關</w:t>
      </w:r>
      <w:r w:rsidR="00CB265A" w:rsidRPr="00EA272E">
        <w:rPr>
          <w:rFonts w:eastAsia="標楷體" w:hint="eastAsia"/>
          <w:sz w:val="26"/>
          <w:szCs w:val="26"/>
        </w:rPr>
        <w:t>之</w:t>
      </w:r>
      <w:r w:rsidRPr="00EA272E">
        <w:rPr>
          <w:rFonts w:eastAsia="標楷體"/>
          <w:sz w:val="26"/>
          <w:szCs w:val="26"/>
        </w:rPr>
        <w:t>人員若有因本</w:t>
      </w:r>
      <w:r w:rsidR="004C0C1C">
        <w:rPr>
          <w:rFonts w:eastAsia="標楷體" w:hint="eastAsia"/>
          <w:sz w:val="26"/>
          <w:szCs w:val="26"/>
        </w:rPr>
        <w:t>文據</w:t>
      </w:r>
      <w:r w:rsidRPr="00EA272E">
        <w:rPr>
          <w:rFonts w:eastAsia="標楷體"/>
          <w:sz w:val="26"/>
          <w:szCs w:val="26"/>
        </w:rPr>
        <w:t>而被要求作證、出庭或出席其他訴訟程序、或有行政救濟之需要，費用需另行計算。</w:t>
      </w:r>
    </w:p>
    <w:p w:rsidR="006736AD" w:rsidRPr="0022102E" w:rsidRDefault="00C06E46" w:rsidP="00D82424">
      <w:pPr>
        <w:spacing w:beforeLines="100" w:before="240" w:afterLines="100" w:after="240" w:line="360" w:lineRule="auto"/>
        <w:jc w:val="center"/>
        <w:rPr>
          <w:rFonts w:eastAsia="標楷體"/>
          <w:b/>
          <w:bCs/>
          <w:sz w:val="52"/>
          <w:szCs w:val="48"/>
        </w:rPr>
      </w:pPr>
      <w:r w:rsidRPr="00EA272E">
        <w:rPr>
          <w:rFonts w:eastAsia="標楷體" w:hint="eastAsia"/>
          <w:b/>
          <w:bCs/>
          <w:sz w:val="52"/>
          <w:szCs w:val="48"/>
        </w:rPr>
        <w:lastRenderedPageBreak/>
        <w:t>章節</w:t>
      </w:r>
      <w:r w:rsidRPr="0022102E">
        <w:rPr>
          <w:rFonts w:eastAsia="標楷體"/>
          <w:b/>
          <w:bCs/>
          <w:sz w:val="52"/>
          <w:szCs w:val="48"/>
        </w:rPr>
        <w:t>目</w:t>
      </w:r>
      <w:r w:rsidR="006736AD" w:rsidRPr="0022102E">
        <w:rPr>
          <w:rFonts w:eastAsia="標楷體"/>
          <w:b/>
          <w:bCs/>
          <w:sz w:val="52"/>
          <w:szCs w:val="48"/>
        </w:rPr>
        <w:t>錄</w:t>
      </w:r>
    </w:p>
    <w:p w:rsidR="00B078E7" w:rsidRPr="00AD525C" w:rsidRDefault="00B65B65"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r w:rsidRPr="00AD525C">
        <w:rPr>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AD525C">
        <w:rPr>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AD525C">
        <w:rPr>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449536294"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第壹章、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以替代文據取代移轉訂價報告之理由</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_Toc449536294 \h </w:instrTex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BF6F6A">
          <w:rPr>
            <w:webHidden/>
            <w:szCs w:val="26"/>
            <w14:shadow w14:blurRad="0" w14:dist="0" w14:dir="0" w14:sx="0" w14:sy="0" w14:kx="0" w14:ky="0" w14:algn="none">
              <w14:srgbClr w14:val="000000"/>
            </w14:shadow>
            <w14:textOutline w14:w="0" w14:cap="rnd" w14:cmpd="sng" w14:algn="ctr">
              <w14:noFill/>
              <w14:prstDash w14:val="solid"/>
              <w14:bevel/>
            </w14:textOutline>
          </w:rPr>
          <w:t>1</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296"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第貳章、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_Toc449536296 \h </w:instrTex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BF6F6A">
          <w:rPr>
            <w:webHidden/>
            <w:szCs w:val="26"/>
            <w14:shadow w14:blurRad="0" w14:dist="0" w14:dir="0" w14:sx="0" w14:sy="0" w14:kx="0" w14:ky="0" w14:algn="none">
              <w14:srgbClr w14:val="000000"/>
            </w14:shadow>
            <w14:textOutline w14:w="0" w14:cap="rnd" w14:cmpd="sng" w14:algn="ctr">
              <w14:noFill/>
              <w14:prstDash w14:val="solid"/>
              <w14:bevel/>
            </w14:textOutline>
          </w:rPr>
          <w:t>3</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298"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第參章、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_Toc449536298 \h </w:instrTex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BF6F6A">
          <w:rPr>
            <w:webHidden/>
            <w:szCs w:val="26"/>
            <w14:shadow w14:blurRad="0" w14:dist="0" w14:dir="0" w14:sx="0" w14:sy="0" w14:kx="0" w14:ky="0" w14:algn="none">
              <w14:srgbClr w14:val="000000"/>
            </w14:shadow>
            <w14:textOutline w14:w="0" w14:cap="rnd" w14:cmpd="sng" w14:algn="ctr">
              <w14:noFill/>
              <w14:prstDash w14:val="solid"/>
              <w14:bevel/>
            </w14:textOutline>
          </w:rPr>
          <w:t>15</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300"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第肆章、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證明訂價結果為符合常規結果之文據</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_Toc449536300 \h </w:instrTex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BF6F6A">
          <w:rPr>
            <w:webHidden/>
            <w:szCs w:val="26"/>
            <w14:shadow w14:blurRad="0" w14:dist="0" w14:dir="0" w14:sx="0" w14:sy="0" w14:kx="0" w14:ky="0" w14:algn="none">
              <w14:srgbClr w14:val="000000"/>
            </w14:shadow>
            <w14:textOutline w14:w="0" w14:cap="rnd" w14:cmpd="sng" w14:algn="ctr">
              <w14:noFill/>
              <w14:prstDash w14:val="solid"/>
              <w14:bevel/>
            </w14:textOutline>
          </w:rPr>
          <w:t>19</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302"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第伍章、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遵循移轉訂價查核準則辦理情形</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F87AE9" w:rsidRPr="00AD525C">
          <w:rPr>
            <w:rFonts w:hint="eastAsia"/>
            <w:webHidden/>
            <w:szCs w:val="26"/>
            <w14:shadow w14:blurRad="0" w14:dist="0" w14:dir="0" w14:sx="0" w14:sy="0" w14:kx="0" w14:ky="0" w14:algn="none">
              <w14:srgbClr w14:val="000000"/>
            </w14:shadow>
            <w14:textOutline w14:w="0" w14:cap="rnd" w14:cmpd="sng" w14:algn="ctr">
              <w14:noFill/>
              <w14:prstDash w14:val="solid"/>
              <w14:bevel/>
            </w14:textOutline>
          </w:rPr>
          <w:t>21</w:t>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304"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第陸章、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F87AE9" w:rsidRPr="00AD525C">
          <w:rPr>
            <w:rFonts w:hint="eastAsia"/>
            <w:webHidden/>
            <w:szCs w:val="26"/>
            <w14:shadow w14:blurRad="0" w14:dist="0" w14:dir="0" w14:sx="0" w14:sy="0" w14:kx="0" w14:ky="0" w14:algn="none">
              <w14:srgbClr w14:val="000000"/>
            </w14:shadow>
            <w14:textOutline w14:w="0" w14:cap="rnd" w14:cmpd="sng" w14:algn="ctr">
              <w14:noFill/>
              <w14:prstDash w14:val="solid"/>
              <w14:bevel/>
            </w14:textOutline>
          </w:rPr>
          <w:t>25</w:t>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306"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第柒章、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_Toc449536306 \h </w:instrTex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BF6F6A">
          <w:rPr>
            <w:webHidden/>
            <w:szCs w:val="26"/>
            <w14:shadow w14:blurRad="0" w14:dist="0" w14:dir="0" w14:sx="0" w14:sy="0" w14:kx="0" w14:ky="0" w14:algn="none">
              <w14:srgbClr w14:val="000000"/>
            </w14:shadow>
            <w14:textOutline w14:w="0" w14:cap="rnd" w14:cmpd="sng" w14:algn="ctr">
              <w14:noFill/>
              <w14:prstDash w14:val="solid"/>
              <w14:bevel/>
            </w14:textOutline>
          </w:rPr>
          <w:t>35</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308"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第捌章、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_Toc449536308 \h </w:instrTex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BF6F6A">
          <w:rPr>
            <w:webHidden/>
            <w:szCs w:val="26"/>
            <w14:shadow w14:blurRad="0" w14:dist="0" w14:dir="0" w14:sx="0" w14:sy="0" w14:kx="0" w14:ky="0" w14:algn="none">
              <w14:srgbClr w14:val="000000"/>
            </w14:shadow>
            <w14:textOutline w14:w="0" w14:cap="rnd" w14:cmpd="sng" w14:algn="ctr">
              <w14:noFill/>
              <w14:prstDash w14:val="solid"/>
              <w14:bevel/>
            </w14:textOutline>
          </w:rPr>
          <w:t>43</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078E7" w:rsidRPr="00AD525C" w:rsidRDefault="005F1937" w:rsidP="00B078E7">
      <w:pPr>
        <w:pStyle w:val="10"/>
        <w:tabs>
          <w:tab w:val="left" w:pos="1440"/>
        </w:tabs>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449536310" w:history="1">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第玖章、</w:t>
        </w:r>
        <w:r w:rsidR="00B078E7" w:rsidRPr="00AD525C">
          <w:rPr>
            <w:szCs w:val="26"/>
            <w14:shadow w14:blurRad="0" w14:dist="0" w14:dir="0" w14:sx="0" w14:sy="0" w14:kx="0" w14:ky="0" w14:algn="none">
              <w14:srgbClr w14:val="000000"/>
            </w14:shadow>
            <w14:textOutline w14:w="0" w14:cap="rnd" w14:cmpd="sng" w14:algn="ctr">
              <w14:noFill/>
              <w14:prstDash w14:val="solid"/>
              <w14:bevel/>
            </w14:textOutline>
          </w:rPr>
          <w:tab/>
        </w:r>
        <w:r w:rsidR="00B078E7" w:rsidRPr="00AD525C">
          <w:rPr>
            <w:rFonts w:hint="eastAsia"/>
            <w:szCs w:val="26"/>
            <w14:shadow w14:blurRad="0" w14:dist="0" w14:dir="0" w14:sx="0" w14:sy="0" w14:kx="0" w14:ky="0" w14:algn="none">
              <w14:srgbClr w14:val="000000"/>
            </w14:shadow>
            <w14:textOutline w14:w="0" w14:cap="rnd" w14:cmpd="sng" w14:algn="ctr">
              <w14:noFill/>
              <w14:prstDash w14:val="solid"/>
              <w14:bevel/>
            </w14:textOutline>
          </w:rPr>
          <w:t>結論</w:t>
        </w:r>
        <w:r w:rsidR="00B078E7" w:rsidRPr="00AD525C">
          <w:rPr>
            <w:webHidden/>
            <w:szCs w:val="26"/>
            <w14:shadow w14:blurRad="0" w14:dist="0" w14:dir="0" w14:sx="0" w14:sy="0" w14:kx="0" w14:ky="0" w14:algn="none">
              <w14:srgbClr w14:val="000000"/>
            </w14:shadow>
            <w14:textOutline w14:w="0" w14:cap="rnd" w14:cmpd="sng" w14:algn="ctr">
              <w14:noFill/>
              <w14:prstDash w14:val="solid"/>
              <w14:bevel/>
            </w14:textOutline>
          </w:rPr>
          <w:tab/>
        </w:r>
        <w:r w:rsidR="00F87AE9" w:rsidRPr="00AD525C">
          <w:rPr>
            <w:rFonts w:hint="eastAsia"/>
            <w:webHidden/>
            <w:szCs w:val="26"/>
            <w14:shadow w14:blurRad="0" w14:dist="0" w14:dir="0" w14:sx="0" w14:sy="0" w14:kx="0" w14:ky="0" w14:algn="none">
              <w14:srgbClr w14:val="000000"/>
            </w14:shadow>
            <w14:textOutline w14:w="0" w14:cap="rnd" w14:cmpd="sng" w14:algn="ctr">
              <w14:noFill/>
              <w14:prstDash w14:val="solid"/>
              <w14:bevel/>
            </w14:textOutline>
          </w:rPr>
          <w:t>51</w:t>
        </w:r>
      </w:hyperlink>
    </w:p>
    <w:p w:rsidR="00ED670D" w:rsidRPr="00EA272E" w:rsidRDefault="00B65B65" w:rsidP="00D82424">
      <w:pPr>
        <w:spacing w:beforeLines="50" w:before="120" w:afterLines="50" w:after="120"/>
        <w:jc w:val="center"/>
        <w:rPr>
          <w:rFonts w:eastAsia="標楷體"/>
          <w:sz w:val="26"/>
          <w:szCs w:val="26"/>
        </w:rPr>
        <w:sectPr w:rsidR="00ED670D" w:rsidRPr="00EA272E" w:rsidSect="00B30226">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AD525C">
        <w:rPr>
          <w:rFonts w:eastAsia="標楷體"/>
          <w:sz w:val="26"/>
          <w:szCs w:val="26"/>
        </w:rPr>
        <w:fldChar w:fldCharType="end"/>
      </w:r>
      <w:r w:rsidR="00ED670D" w:rsidRPr="00EA272E">
        <w:rPr>
          <w:rFonts w:eastAsia="標楷體"/>
          <w:sz w:val="26"/>
          <w:szCs w:val="26"/>
        </w:rPr>
        <w:br w:type="page"/>
      </w:r>
    </w:p>
    <w:p w:rsidR="006736AD" w:rsidRPr="00EA272E" w:rsidRDefault="00C06E46" w:rsidP="00D82424">
      <w:pPr>
        <w:spacing w:beforeLines="100" w:before="240" w:afterLines="100" w:after="240" w:line="360" w:lineRule="auto"/>
        <w:jc w:val="center"/>
        <w:rPr>
          <w:rFonts w:eastAsia="標楷體"/>
          <w:b/>
          <w:bCs/>
          <w:sz w:val="52"/>
          <w:szCs w:val="48"/>
        </w:rPr>
      </w:pPr>
      <w:r w:rsidRPr="00EA272E">
        <w:rPr>
          <w:rFonts w:eastAsia="標楷體"/>
          <w:b/>
          <w:bCs/>
          <w:sz w:val="52"/>
          <w:szCs w:val="48"/>
        </w:rPr>
        <w:lastRenderedPageBreak/>
        <w:t>附</w:t>
      </w:r>
      <w:r w:rsidR="006736AD" w:rsidRPr="00EA272E">
        <w:rPr>
          <w:rFonts w:eastAsia="標楷體"/>
          <w:b/>
          <w:bCs/>
          <w:sz w:val="52"/>
          <w:szCs w:val="48"/>
        </w:rPr>
        <w:t>件</w:t>
      </w:r>
      <w:r w:rsidRPr="00EA272E">
        <w:rPr>
          <w:rFonts w:eastAsia="標楷體" w:hint="eastAsia"/>
          <w:b/>
          <w:bCs/>
          <w:sz w:val="52"/>
          <w:szCs w:val="48"/>
        </w:rPr>
        <w:t>目錄</w:t>
      </w:r>
      <w:bookmarkStart w:id="4" w:name="_GoBack"/>
      <w:bookmarkEnd w:id="4"/>
    </w:p>
    <w:tbl>
      <w:tblPr>
        <w:tblW w:w="8568" w:type="dxa"/>
        <w:jc w:val="center"/>
        <w:tblLayout w:type="fixed"/>
        <w:tblLook w:val="01E0" w:firstRow="1" w:lastRow="1" w:firstColumn="1" w:lastColumn="1" w:noHBand="0" w:noVBand="0"/>
      </w:tblPr>
      <w:tblGrid>
        <w:gridCol w:w="648"/>
        <w:gridCol w:w="7200"/>
        <w:gridCol w:w="720"/>
      </w:tblGrid>
      <w:tr w:rsidR="004C52D9" w:rsidRPr="00FD66E5" w:rsidTr="00A57FAD">
        <w:trPr>
          <w:jc w:val="center"/>
        </w:trPr>
        <w:tc>
          <w:tcPr>
            <w:tcW w:w="648" w:type="dxa"/>
            <w:vAlign w:val="center"/>
          </w:tcPr>
          <w:bookmarkEnd w:id="0"/>
          <w:bookmarkEnd w:id="1"/>
          <w:bookmarkEnd w:id="2"/>
          <w:bookmarkEnd w:id="3"/>
          <w:p w:rsidR="004C52D9" w:rsidRPr="00FD66E5" w:rsidRDefault="004C52D9" w:rsidP="00A57FAD">
            <w:pPr>
              <w:spacing w:line="360" w:lineRule="auto"/>
              <w:jc w:val="center"/>
              <w:rPr>
                <w:rFonts w:eastAsia="標楷體"/>
                <w:b/>
                <w:sz w:val="26"/>
                <w:szCs w:val="26"/>
              </w:rPr>
            </w:pPr>
            <w:r w:rsidRPr="00FD66E5">
              <w:rPr>
                <w:rFonts w:eastAsia="標楷體"/>
                <w:b/>
                <w:sz w:val="26"/>
                <w:szCs w:val="26"/>
              </w:rPr>
              <w:t>A</w:t>
            </w:r>
          </w:p>
        </w:tc>
        <w:tc>
          <w:tcPr>
            <w:tcW w:w="7200" w:type="dxa"/>
            <w:vAlign w:val="center"/>
          </w:tcPr>
          <w:p w:rsidR="004C52D9" w:rsidRPr="00A742BB" w:rsidRDefault="00245BD4" w:rsidP="00A57FAD">
            <w:pPr>
              <w:spacing w:line="360" w:lineRule="auto"/>
              <w:jc w:val="both"/>
              <w:rPr>
                <w:rFonts w:eastAsia="標楷體"/>
                <w:sz w:val="26"/>
                <w:szCs w:val="26"/>
              </w:rPr>
            </w:pPr>
            <w:r>
              <w:rPr>
                <w:rFonts w:eastAsia="標楷體" w:hint="eastAsia"/>
                <w:sz w:val="26"/>
                <w:szCs w:val="26"/>
              </w:rPr>
              <w:t>ONESOURCE</w:t>
            </w:r>
            <w:r>
              <w:rPr>
                <w:rFonts w:eastAsia="標楷體" w:hint="eastAsia"/>
                <w:sz w:val="26"/>
                <w:szCs w:val="26"/>
              </w:rPr>
              <w:t>資料庫</w:t>
            </w:r>
            <w:r w:rsidR="004C52D9">
              <w:rPr>
                <w:rFonts w:eastAsia="標楷體" w:hint="eastAsia"/>
                <w:sz w:val="26"/>
                <w:szCs w:val="26"/>
              </w:rPr>
              <w:t>篩選過程</w:t>
            </w:r>
          </w:p>
        </w:tc>
        <w:tc>
          <w:tcPr>
            <w:tcW w:w="720" w:type="dxa"/>
            <w:vAlign w:val="center"/>
          </w:tcPr>
          <w:p w:rsidR="004C52D9" w:rsidRPr="00A742BB" w:rsidRDefault="004C52D9" w:rsidP="00A57FAD">
            <w:pPr>
              <w:spacing w:line="360" w:lineRule="auto"/>
              <w:jc w:val="both"/>
              <w:rPr>
                <w:rFonts w:eastAsia="標楷體"/>
                <w:sz w:val="26"/>
                <w:szCs w:val="26"/>
              </w:rPr>
            </w:pPr>
            <w:r w:rsidRPr="00A742BB">
              <w:rPr>
                <w:rFonts w:eastAsia="標楷體"/>
                <w:sz w:val="26"/>
                <w:szCs w:val="26"/>
              </w:rPr>
              <w:t>1-</w:t>
            </w:r>
            <w:r>
              <w:rPr>
                <w:rFonts w:eastAsia="標楷體" w:hint="eastAsia"/>
                <w:sz w:val="26"/>
                <w:szCs w:val="26"/>
              </w:rPr>
              <w:t>1</w:t>
            </w:r>
          </w:p>
        </w:tc>
      </w:tr>
      <w:tr w:rsidR="004C52D9" w:rsidRPr="00FD66E5" w:rsidTr="00A57FAD">
        <w:trPr>
          <w:jc w:val="center"/>
        </w:trPr>
        <w:tc>
          <w:tcPr>
            <w:tcW w:w="648" w:type="dxa"/>
            <w:vAlign w:val="center"/>
          </w:tcPr>
          <w:p w:rsidR="004C52D9" w:rsidRPr="00FD66E5" w:rsidRDefault="004C52D9" w:rsidP="00A57FAD">
            <w:pPr>
              <w:spacing w:line="360" w:lineRule="auto"/>
              <w:jc w:val="center"/>
              <w:rPr>
                <w:rFonts w:eastAsia="標楷體"/>
                <w:b/>
                <w:sz w:val="26"/>
                <w:szCs w:val="26"/>
              </w:rPr>
            </w:pPr>
            <w:r w:rsidRPr="00FD66E5">
              <w:rPr>
                <w:rFonts w:eastAsia="標楷體"/>
                <w:b/>
                <w:sz w:val="26"/>
                <w:szCs w:val="26"/>
              </w:rPr>
              <w:t>B</w:t>
            </w:r>
          </w:p>
        </w:tc>
        <w:tc>
          <w:tcPr>
            <w:tcW w:w="7200" w:type="dxa"/>
            <w:vAlign w:val="center"/>
          </w:tcPr>
          <w:p w:rsidR="004C52D9" w:rsidRDefault="004C52D9" w:rsidP="00A57FAD">
            <w:pPr>
              <w:spacing w:line="360" w:lineRule="auto"/>
              <w:jc w:val="both"/>
              <w:rPr>
                <w:rFonts w:eastAsia="標楷體"/>
                <w:sz w:val="26"/>
                <w:szCs w:val="26"/>
              </w:rPr>
            </w:pPr>
            <w:r>
              <w:rPr>
                <w:rFonts w:eastAsia="標楷體" w:hint="eastAsia"/>
                <w:sz w:val="26"/>
                <w:szCs w:val="26"/>
              </w:rPr>
              <w:t>可比較對象拒絕原因列表</w:t>
            </w:r>
          </w:p>
        </w:tc>
        <w:tc>
          <w:tcPr>
            <w:tcW w:w="720" w:type="dxa"/>
            <w:vAlign w:val="center"/>
          </w:tcPr>
          <w:p w:rsidR="004C52D9" w:rsidRPr="00A742BB" w:rsidRDefault="004C52D9" w:rsidP="006B27E3">
            <w:pPr>
              <w:spacing w:line="360" w:lineRule="auto"/>
              <w:jc w:val="both"/>
              <w:rPr>
                <w:rFonts w:eastAsia="標楷體"/>
                <w:sz w:val="26"/>
                <w:szCs w:val="26"/>
              </w:rPr>
            </w:pPr>
            <w:r w:rsidRPr="00A742BB">
              <w:rPr>
                <w:rFonts w:eastAsia="標楷體"/>
                <w:sz w:val="26"/>
                <w:szCs w:val="26"/>
              </w:rPr>
              <w:t>1-</w:t>
            </w:r>
            <w:r w:rsidR="006B27E3">
              <w:rPr>
                <w:rFonts w:eastAsia="標楷體" w:hint="eastAsia"/>
                <w:sz w:val="26"/>
                <w:szCs w:val="26"/>
              </w:rPr>
              <w:t>2</w:t>
            </w:r>
          </w:p>
        </w:tc>
      </w:tr>
      <w:tr w:rsidR="004C52D9" w:rsidRPr="00FD66E5" w:rsidTr="00A57FAD">
        <w:trPr>
          <w:jc w:val="center"/>
        </w:trPr>
        <w:tc>
          <w:tcPr>
            <w:tcW w:w="648" w:type="dxa"/>
            <w:vAlign w:val="center"/>
          </w:tcPr>
          <w:p w:rsidR="004C52D9" w:rsidRPr="00FD66E5" w:rsidRDefault="004C52D9" w:rsidP="00A57FAD">
            <w:pPr>
              <w:spacing w:line="360" w:lineRule="auto"/>
              <w:jc w:val="center"/>
              <w:rPr>
                <w:rFonts w:eastAsia="標楷體"/>
                <w:b/>
                <w:sz w:val="26"/>
                <w:szCs w:val="26"/>
              </w:rPr>
            </w:pPr>
            <w:r w:rsidRPr="00FD66E5">
              <w:rPr>
                <w:rFonts w:eastAsia="標楷體"/>
                <w:b/>
                <w:sz w:val="26"/>
                <w:szCs w:val="26"/>
              </w:rPr>
              <w:t>C</w:t>
            </w:r>
          </w:p>
        </w:tc>
        <w:tc>
          <w:tcPr>
            <w:tcW w:w="7200" w:type="dxa"/>
            <w:vAlign w:val="center"/>
          </w:tcPr>
          <w:p w:rsidR="004C52D9" w:rsidRDefault="004C52D9" w:rsidP="00A57FAD">
            <w:pPr>
              <w:spacing w:line="360" w:lineRule="auto"/>
              <w:jc w:val="both"/>
              <w:rPr>
                <w:rFonts w:eastAsia="標楷體"/>
                <w:sz w:val="26"/>
                <w:szCs w:val="26"/>
              </w:rPr>
            </w:pPr>
            <w:r>
              <w:rPr>
                <w:rFonts w:eastAsia="標楷體" w:hint="eastAsia"/>
                <w:sz w:val="26"/>
                <w:szCs w:val="26"/>
              </w:rPr>
              <w:t>可比較對象之企業敘述</w:t>
            </w:r>
          </w:p>
        </w:tc>
        <w:tc>
          <w:tcPr>
            <w:tcW w:w="720" w:type="dxa"/>
            <w:vAlign w:val="center"/>
          </w:tcPr>
          <w:p w:rsidR="004C52D9" w:rsidRPr="00A742BB" w:rsidRDefault="004C52D9" w:rsidP="00A57FAD">
            <w:pPr>
              <w:spacing w:line="360" w:lineRule="auto"/>
              <w:jc w:val="both"/>
              <w:rPr>
                <w:rFonts w:eastAsia="標楷體"/>
                <w:sz w:val="26"/>
                <w:szCs w:val="26"/>
              </w:rPr>
            </w:pPr>
            <w:r w:rsidRPr="00A742BB">
              <w:rPr>
                <w:rFonts w:eastAsia="標楷體"/>
                <w:sz w:val="26"/>
                <w:szCs w:val="26"/>
              </w:rPr>
              <w:t>1-</w:t>
            </w:r>
            <w:r w:rsidR="00AC5973">
              <w:rPr>
                <w:rFonts w:eastAsia="標楷體" w:hint="eastAsia"/>
                <w:sz w:val="26"/>
                <w:szCs w:val="26"/>
              </w:rPr>
              <w:t>3</w:t>
            </w:r>
          </w:p>
        </w:tc>
      </w:tr>
      <w:tr w:rsidR="004C52D9" w:rsidRPr="00FD66E5" w:rsidTr="00A57FAD">
        <w:trPr>
          <w:jc w:val="center"/>
        </w:trPr>
        <w:tc>
          <w:tcPr>
            <w:tcW w:w="648" w:type="dxa"/>
            <w:vAlign w:val="center"/>
          </w:tcPr>
          <w:p w:rsidR="004C52D9" w:rsidRPr="00FD66E5" w:rsidRDefault="004C52D9" w:rsidP="00A57FAD">
            <w:pPr>
              <w:spacing w:line="360" w:lineRule="auto"/>
              <w:jc w:val="center"/>
              <w:rPr>
                <w:rFonts w:eastAsia="標楷體"/>
                <w:b/>
                <w:sz w:val="26"/>
                <w:szCs w:val="26"/>
              </w:rPr>
            </w:pPr>
            <w:r w:rsidRPr="00FD66E5">
              <w:rPr>
                <w:rFonts w:eastAsia="標楷體"/>
                <w:b/>
                <w:sz w:val="26"/>
                <w:szCs w:val="26"/>
              </w:rPr>
              <w:t>D</w:t>
            </w:r>
          </w:p>
        </w:tc>
        <w:tc>
          <w:tcPr>
            <w:tcW w:w="7200" w:type="dxa"/>
            <w:vAlign w:val="center"/>
          </w:tcPr>
          <w:p w:rsidR="004C52D9" w:rsidRDefault="004C52D9" w:rsidP="00F874CB">
            <w:pPr>
              <w:spacing w:line="360" w:lineRule="auto"/>
              <w:jc w:val="both"/>
              <w:rPr>
                <w:rFonts w:eastAsia="標楷體"/>
                <w:sz w:val="26"/>
                <w:szCs w:val="26"/>
              </w:rPr>
            </w:pPr>
            <w:r>
              <w:rPr>
                <w:rFonts w:eastAsia="標楷體" w:hint="eastAsia"/>
                <w:sz w:val="26"/>
                <w:szCs w:val="26"/>
              </w:rPr>
              <w:t>可比較對象</w:t>
            </w:r>
            <w:r w:rsidR="008509EC">
              <w:rPr>
                <w:rFonts w:eastAsia="標楷體" w:hint="eastAsia"/>
                <w:sz w:val="26"/>
                <w:szCs w:val="26"/>
              </w:rPr>
              <w:t>10</w:t>
            </w:r>
            <w:r w:rsidR="000A33D2">
              <w:rPr>
                <w:rFonts w:eastAsia="標楷體" w:hint="eastAsia"/>
                <w:sz w:val="26"/>
                <w:szCs w:val="26"/>
              </w:rPr>
              <w:t>2</w:t>
            </w:r>
            <w:r>
              <w:rPr>
                <w:rFonts w:eastAsia="標楷體" w:hint="eastAsia"/>
                <w:sz w:val="26"/>
                <w:szCs w:val="26"/>
              </w:rPr>
              <w:t>~</w:t>
            </w:r>
            <w:r w:rsidR="008509EC">
              <w:rPr>
                <w:rFonts w:eastAsia="標楷體" w:hint="eastAsia"/>
                <w:sz w:val="26"/>
                <w:szCs w:val="26"/>
              </w:rPr>
              <w:t>10</w:t>
            </w:r>
            <w:r w:rsidR="000A33D2">
              <w:rPr>
                <w:rFonts w:eastAsia="標楷體" w:hint="eastAsia"/>
                <w:sz w:val="26"/>
                <w:szCs w:val="26"/>
              </w:rPr>
              <w:t>4</w:t>
            </w:r>
            <w:r>
              <w:rPr>
                <w:rFonts w:eastAsia="標楷體" w:hint="eastAsia"/>
                <w:sz w:val="26"/>
                <w:szCs w:val="26"/>
              </w:rPr>
              <w:t>度損益表</w:t>
            </w:r>
          </w:p>
        </w:tc>
        <w:tc>
          <w:tcPr>
            <w:tcW w:w="720" w:type="dxa"/>
            <w:vAlign w:val="center"/>
          </w:tcPr>
          <w:p w:rsidR="004C52D9" w:rsidRPr="00A742BB" w:rsidRDefault="004C52D9" w:rsidP="00A57FAD">
            <w:pPr>
              <w:spacing w:line="360" w:lineRule="auto"/>
              <w:jc w:val="both"/>
              <w:rPr>
                <w:rFonts w:eastAsia="標楷體"/>
                <w:sz w:val="26"/>
                <w:szCs w:val="26"/>
              </w:rPr>
            </w:pPr>
            <w:r w:rsidRPr="00A742BB">
              <w:rPr>
                <w:rFonts w:eastAsia="標楷體"/>
                <w:sz w:val="26"/>
                <w:szCs w:val="26"/>
              </w:rPr>
              <w:t>1-</w:t>
            </w:r>
            <w:r>
              <w:rPr>
                <w:rFonts w:eastAsia="標楷體" w:hint="eastAsia"/>
                <w:sz w:val="26"/>
                <w:szCs w:val="26"/>
              </w:rPr>
              <w:t>9</w:t>
            </w:r>
          </w:p>
        </w:tc>
      </w:tr>
      <w:tr w:rsidR="004C52D9" w:rsidRPr="00FD66E5" w:rsidTr="00A57FAD">
        <w:trPr>
          <w:jc w:val="center"/>
        </w:trPr>
        <w:tc>
          <w:tcPr>
            <w:tcW w:w="648" w:type="dxa"/>
            <w:vAlign w:val="center"/>
          </w:tcPr>
          <w:p w:rsidR="004C52D9" w:rsidRPr="00FD66E5" w:rsidRDefault="004C52D9" w:rsidP="00A57FAD">
            <w:pPr>
              <w:spacing w:line="360" w:lineRule="auto"/>
              <w:jc w:val="center"/>
              <w:rPr>
                <w:rFonts w:eastAsia="標楷體"/>
                <w:b/>
                <w:sz w:val="26"/>
                <w:szCs w:val="26"/>
              </w:rPr>
            </w:pPr>
            <w:r>
              <w:rPr>
                <w:rFonts w:eastAsia="標楷體" w:hint="eastAsia"/>
                <w:b/>
                <w:sz w:val="26"/>
                <w:szCs w:val="26"/>
              </w:rPr>
              <w:t>E</w:t>
            </w:r>
          </w:p>
        </w:tc>
        <w:tc>
          <w:tcPr>
            <w:tcW w:w="7200" w:type="dxa"/>
            <w:vAlign w:val="center"/>
          </w:tcPr>
          <w:p w:rsidR="004C52D9" w:rsidRDefault="004C52D9" w:rsidP="00A57FAD">
            <w:pPr>
              <w:spacing w:line="360" w:lineRule="auto"/>
              <w:jc w:val="both"/>
              <w:rPr>
                <w:rFonts w:eastAsia="標楷體"/>
                <w:sz w:val="26"/>
                <w:szCs w:val="26"/>
              </w:rPr>
            </w:pPr>
            <w:r>
              <w:rPr>
                <w:rFonts w:eastAsia="標楷體" w:hint="eastAsia"/>
                <w:sz w:val="26"/>
                <w:szCs w:val="26"/>
              </w:rPr>
              <w:t>中華民國台灣地區主要行業財務比率刊冊</w:t>
            </w:r>
          </w:p>
        </w:tc>
        <w:tc>
          <w:tcPr>
            <w:tcW w:w="720" w:type="dxa"/>
            <w:vAlign w:val="center"/>
          </w:tcPr>
          <w:p w:rsidR="004C52D9" w:rsidRPr="00A742BB" w:rsidRDefault="004C52D9" w:rsidP="006B27E3">
            <w:pPr>
              <w:spacing w:line="360" w:lineRule="auto"/>
              <w:jc w:val="both"/>
              <w:rPr>
                <w:rFonts w:eastAsia="標楷體"/>
                <w:sz w:val="26"/>
                <w:szCs w:val="26"/>
              </w:rPr>
            </w:pPr>
            <w:r w:rsidRPr="00A742BB">
              <w:rPr>
                <w:rFonts w:eastAsia="標楷體"/>
                <w:sz w:val="26"/>
                <w:szCs w:val="26"/>
              </w:rPr>
              <w:t>1-</w:t>
            </w:r>
            <w:r w:rsidR="006B27E3">
              <w:rPr>
                <w:rFonts w:eastAsia="標楷體" w:hint="eastAsia"/>
                <w:sz w:val="26"/>
                <w:szCs w:val="26"/>
              </w:rPr>
              <w:t>3</w:t>
            </w:r>
          </w:p>
        </w:tc>
      </w:tr>
      <w:tr w:rsidR="004C52D9" w:rsidRPr="00FD66E5" w:rsidTr="00A57FAD">
        <w:trPr>
          <w:jc w:val="center"/>
        </w:trPr>
        <w:tc>
          <w:tcPr>
            <w:tcW w:w="648" w:type="dxa"/>
            <w:vAlign w:val="center"/>
          </w:tcPr>
          <w:p w:rsidR="004C52D9" w:rsidRPr="00FD66E5" w:rsidRDefault="004C52D9" w:rsidP="00A57FAD">
            <w:pPr>
              <w:spacing w:line="360" w:lineRule="auto"/>
              <w:jc w:val="center"/>
              <w:rPr>
                <w:rFonts w:eastAsia="標楷體"/>
                <w:b/>
                <w:sz w:val="26"/>
                <w:szCs w:val="26"/>
              </w:rPr>
            </w:pPr>
            <w:r>
              <w:rPr>
                <w:rFonts w:eastAsia="標楷體" w:hint="eastAsia"/>
                <w:b/>
                <w:sz w:val="26"/>
                <w:szCs w:val="26"/>
              </w:rPr>
              <w:t>F</w:t>
            </w:r>
          </w:p>
        </w:tc>
        <w:tc>
          <w:tcPr>
            <w:tcW w:w="7200" w:type="dxa"/>
            <w:vAlign w:val="center"/>
          </w:tcPr>
          <w:p w:rsidR="004C52D9" w:rsidRPr="00A742BB" w:rsidRDefault="004C52D9" w:rsidP="00A57FAD">
            <w:pPr>
              <w:spacing w:line="360" w:lineRule="auto"/>
              <w:jc w:val="both"/>
              <w:rPr>
                <w:rFonts w:eastAsia="標楷體"/>
                <w:sz w:val="26"/>
                <w:szCs w:val="26"/>
              </w:rPr>
            </w:pPr>
            <w:r w:rsidRPr="00A742BB">
              <w:rPr>
                <w:rFonts w:eastAsia="標楷體"/>
                <w:sz w:val="26"/>
                <w:szCs w:val="26"/>
              </w:rPr>
              <w:t>中華民國營利事業所得稅不合常規移轉訂價查核準則</w:t>
            </w:r>
          </w:p>
        </w:tc>
        <w:tc>
          <w:tcPr>
            <w:tcW w:w="720" w:type="dxa"/>
            <w:vAlign w:val="center"/>
          </w:tcPr>
          <w:p w:rsidR="004C52D9" w:rsidRPr="00A742BB" w:rsidRDefault="004C52D9" w:rsidP="00A57FAD">
            <w:pPr>
              <w:spacing w:line="360" w:lineRule="auto"/>
              <w:jc w:val="both"/>
              <w:rPr>
                <w:rFonts w:eastAsia="標楷體"/>
                <w:sz w:val="26"/>
                <w:szCs w:val="26"/>
              </w:rPr>
            </w:pPr>
            <w:r>
              <w:rPr>
                <w:rFonts w:eastAsia="標楷體"/>
                <w:sz w:val="26"/>
                <w:szCs w:val="26"/>
              </w:rPr>
              <w:t>1-</w:t>
            </w:r>
            <w:r>
              <w:rPr>
                <w:rFonts w:eastAsia="標楷體" w:hint="eastAsia"/>
                <w:sz w:val="26"/>
                <w:szCs w:val="26"/>
              </w:rPr>
              <w:t>2</w:t>
            </w:r>
            <w:r w:rsidR="00DC3359">
              <w:rPr>
                <w:rFonts w:eastAsia="標楷體" w:hint="eastAsia"/>
                <w:sz w:val="26"/>
                <w:szCs w:val="26"/>
              </w:rPr>
              <w:t>1</w:t>
            </w:r>
          </w:p>
        </w:tc>
      </w:tr>
    </w:tbl>
    <w:p w:rsidR="00307D12" w:rsidRPr="00EA272E" w:rsidRDefault="00ED670D" w:rsidP="00307D12">
      <w:pPr>
        <w:spacing w:line="0" w:lineRule="atLeast"/>
        <w:jc w:val="center"/>
        <w:rPr>
          <w:rFonts w:eastAsia="標楷體"/>
          <w:sz w:val="26"/>
          <w:szCs w:val="26"/>
        </w:rPr>
      </w:pPr>
      <w:r w:rsidRPr="00EA272E">
        <w:rPr>
          <w:rFonts w:eastAsia="標楷體"/>
          <w:sz w:val="26"/>
          <w:szCs w:val="26"/>
        </w:rPr>
        <w:br w:type="page"/>
      </w:r>
    </w:p>
    <w:p w:rsidR="00307D12" w:rsidRPr="00EA272E" w:rsidRDefault="00307D12">
      <w:pPr>
        <w:pStyle w:val="1"/>
        <w:spacing w:before="0" w:after="0" w:line="360" w:lineRule="auto"/>
        <w:ind w:left="0" w:firstLine="0"/>
        <w:jc w:val="center"/>
        <w:rPr>
          <w:rFonts w:ascii="Times New Roman" w:eastAsia="標楷體" w:hAnsi="Times New Roman"/>
          <w:sz w:val="36"/>
          <w:szCs w:val="36"/>
        </w:rPr>
        <w:sectPr w:rsidR="00307D12" w:rsidRPr="00EA272E" w:rsidSect="00B30226">
          <w:type w:val="oddPage"/>
          <w:pgSz w:w="11906" w:h="16838" w:code="9"/>
          <w:pgMar w:top="2160" w:right="1440" w:bottom="1814" w:left="1440" w:header="851" w:footer="567" w:gutter="567"/>
          <w:pgNumType w:start="1"/>
          <w:cols w:space="425"/>
          <w:docGrid w:linePitch="360"/>
        </w:sectPr>
      </w:pPr>
    </w:p>
    <w:bookmarkStart w:id="5" w:name="_Toc253154505"/>
    <w:bookmarkStart w:id="6" w:name="_Toc253154573"/>
    <w:bookmarkStart w:id="7" w:name="_Toc272326004"/>
    <w:bookmarkStart w:id="8" w:name="_Toc272326632"/>
    <w:bookmarkStart w:id="9" w:name="_Toc272326811"/>
    <w:bookmarkStart w:id="10" w:name="_Toc275960644"/>
    <w:bookmarkStart w:id="11" w:name="_Toc449536293"/>
    <w:p w:rsidR="007F3EF4" w:rsidRPr="00EA272E" w:rsidRDefault="00A63CF7"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608" behindDoc="0" locked="0" layoutInCell="1" allowOverlap="1">
                <wp:simplePos x="0" y="0"/>
                <wp:positionH relativeFrom="column">
                  <wp:posOffset>4667250</wp:posOffset>
                </wp:positionH>
                <wp:positionV relativeFrom="paragraph">
                  <wp:posOffset>0</wp:posOffset>
                </wp:positionV>
                <wp:extent cx="720090" cy="720090"/>
                <wp:effectExtent l="7620" t="9525" r="5715" b="13335"/>
                <wp:wrapNone/>
                <wp:docPr id="6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7B7597" w:rsidRDefault="00630BD8"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nWzcXygCAABZBAAADgAAAAAAAAAAAAAAAAAuAgAAZHJzL2Uy&#10;b0RvYy54bWxQSwECLQAUAAYACAAAACEAuJDBP98AAAAIAQAADwAAAAAAAAAAAAAAAACCBAAAZHJz&#10;L2Rvd25yZXYueG1sUEsFBgAAAAAEAAQA8wAAAI4FAAAAAA==&#10;">
                <v:textbox>
                  <w:txbxContent>
                    <w:p w:rsidR="00630BD8" w:rsidRPr="007B7597" w:rsidRDefault="00630BD8"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5"/>
      <w:bookmarkEnd w:id="6"/>
      <w:bookmarkEnd w:id="7"/>
      <w:bookmarkEnd w:id="8"/>
      <w:bookmarkEnd w:id="9"/>
      <w:bookmarkEnd w:id="10"/>
      <w:bookmarkEnd w:id="11"/>
    </w:p>
    <w:p w:rsidR="007F3EF4" w:rsidRPr="00EA272E" w:rsidRDefault="007F3EF4" w:rsidP="00F9092E">
      <w:pPr>
        <w:pStyle w:val="1"/>
        <w:numPr>
          <w:ilvl w:val="0"/>
          <w:numId w:val="0"/>
        </w:numPr>
        <w:spacing w:before="0" w:after="0" w:line="240" w:lineRule="auto"/>
        <w:rPr>
          <w:rFonts w:ascii="Times New Roman" w:eastAsia="標楷體" w:hAnsi="Times New Roman"/>
          <w:sz w:val="48"/>
          <w:szCs w:val="48"/>
        </w:rPr>
      </w:pPr>
    </w:p>
    <w:p w:rsidR="00567251" w:rsidRPr="00157005" w:rsidRDefault="00F9092E"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12" w:name="_Toc449536294"/>
      <w:r>
        <w:rPr>
          <w:rFonts w:ascii="Times New Roman" w:eastAsia="標楷體" w:hAnsi="Times New Roman" w:hint="eastAsia"/>
          <w:sz w:val="44"/>
          <w:szCs w:val="46"/>
        </w:rPr>
        <w:t>以</w:t>
      </w:r>
      <w:r w:rsidRPr="00157005">
        <w:rPr>
          <w:rFonts w:ascii="Times New Roman" w:eastAsia="標楷體" w:hAnsi="Times New Roman" w:hint="eastAsia"/>
          <w:sz w:val="44"/>
          <w:szCs w:val="46"/>
        </w:rPr>
        <w:t>替代文據取代移轉訂價報告之理由</w:t>
      </w:r>
      <w:bookmarkEnd w:id="12"/>
    </w:p>
    <w:p w:rsidR="004C5A82" w:rsidRDefault="00142BD9" w:rsidP="00D82424">
      <w:pPr>
        <w:spacing w:beforeLines="50" w:before="120" w:afterLines="50" w:after="120" w:line="360" w:lineRule="auto"/>
        <w:ind w:firstLineChars="200" w:firstLine="520"/>
        <w:jc w:val="both"/>
        <w:rPr>
          <w:rFonts w:eastAsia="標楷體"/>
          <w:sz w:val="26"/>
          <w:szCs w:val="26"/>
        </w:rPr>
      </w:pPr>
      <w:r w:rsidRPr="00434E06">
        <w:rPr>
          <w:rFonts w:eastAsia="標楷體" w:hint="eastAsia"/>
          <w:sz w:val="26"/>
          <w:szCs w:val="26"/>
        </w:rPr>
        <w:t>瀚昌公司</w:t>
      </w:r>
      <w:r w:rsidR="00211437">
        <w:rPr>
          <w:rFonts w:eastAsia="標楷體" w:hint="eastAsia"/>
          <w:sz w:val="26"/>
          <w:szCs w:val="26"/>
        </w:rPr>
        <w:t>105</w:t>
      </w:r>
      <w:r w:rsidR="00FD3239" w:rsidRPr="00EA272E">
        <w:rPr>
          <w:rFonts w:eastAsia="標楷體" w:hint="eastAsia"/>
          <w:sz w:val="26"/>
          <w:szCs w:val="26"/>
        </w:rPr>
        <w:t>會計年度</w:t>
      </w:r>
      <w:r w:rsidR="00BD67BA" w:rsidRPr="00434E06">
        <w:rPr>
          <w:rFonts w:eastAsia="標楷體"/>
          <w:sz w:val="26"/>
          <w:szCs w:val="26"/>
        </w:rPr>
        <w:t>全年收入</w:t>
      </w:r>
      <w:r w:rsidR="00BD67BA" w:rsidRPr="00434E06">
        <w:rPr>
          <w:rFonts w:eastAsia="標楷體" w:hint="eastAsia"/>
          <w:sz w:val="26"/>
          <w:szCs w:val="26"/>
        </w:rPr>
        <w:t>總額</w:t>
      </w:r>
      <w:r w:rsidR="00BD67BA" w:rsidRPr="00434E06">
        <w:rPr>
          <w:rFonts w:eastAsia="標楷體"/>
          <w:sz w:val="26"/>
          <w:szCs w:val="26"/>
        </w:rPr>
        <w:t>為</w:t>
      </w:r>
      <w:r w:rsidR="00562465">
        <w:rPr>
          <w:rFonts w:eastAsia="標楷體" w:hint="eastAsia"/>
          <w:sz w:val="26"/>
          <w:szCs w:val="26"/>
        </w:rPr>
        <w:t>236,881,944</w:t>
      </w:r>
      <w:r w:rsidR="00BD67BA" w:rsidRPr="00AE6CEC">
        <w:rPr>
          <w:rFonts w:eastAsia="標楷體"/>
          <w:sz w:val="26"/>
          <w:szCs w:val="26"/>
        </w:rPr>
        <w:t>元</w:t>
      </w:r>
      <w:r w:rsidR="00BD67BA" w:rsidRPr="00AE6CEC">
        <w:rPr>
          <w:rFonts w:eastAsia="標楷體" w:hint="eastAsia"/>
          <w:sz w:val="26"/>
          <w:szCs w:val="26"/>
        </w:rPr>
        <w:t>（</w:t>
      </w:r>
      <w:r w:rsidR="00BD67BA" w:rsidRPr="00AE6CEC">
        <w:rPr>
          <w:rFonts w:eastAsia="標楷體"/>
          <w:sz w:val="26"/>
          <w:szCs w:val="26"/>
        </w:rPr>
        <w:t>包括營業收入淨額</w:t>
      </w:r>
      <w:r w:rsidR="00562465">
        <w:rPr>
          <w:rFonts w:eastAsia="標楷體" w:hint="eastAsia"/>
          <w:sz w:val="26"/>
          <w:szCs w:val="26"/>
        </w:rPr>
        <w:t>233,485,250</w:t>
      </w:r>
      <w:r w:rsidR="00BD67BA" w:rsidRPr="00AE6CEC">
        <w:rPr>
          <w:rFonts w:eastAsia="標楷體"/>
          <w:sz w:val="26"/>
          <w:szCs w:val="26"/>
        </w:rPr>
        <w:t>元及非營業收入</w:t>
      </w:r>
      <w:r w:rsidR="00562465">
        <w:rPr>
          <w:rFonts w:eastAsia="標楷體" w:hint="eastAsia"/>
          <w:sz w:val="26"/>
          <w:szCs w:val="26"/>
        </w:rPr>
        <w:t>3,396,694</w:t>
      </w:r>
      <w:r w:rsidR="00BD67BA" w:rsidRPr="00AE6CEC">
        <w:rPr>
          <w:rFonts w:eastAsia="標楷體"/>
          <w:sz w:val="26"/>
          <w:szCs w:val="26"/>
        </w:rPr>
        <w:t>元</w:t>
      </w:r>
      <w:r w:rsidR="00BD67BA" w:rsidRPr="00AE6CEC">
        <w:rPr>
          <w:rFonts w:eastAsia="標楷體" w:hint="eastAsia"/>
          <w:sz w:val="26"/>
          <w:szCs w:val="26"/>
        </w:rPr>
        <w:t>），因未</w:t>
      </w:r>
      <w:r w:rsidR="00BD67BA" w:rsidRPr="00AE6CEC">
        <w:rPr>
          <w:rFonts w:eastAsia="標楷體"/>
          <w:sz w:val="26"/>
          <w:szCs w:val="26"/>
        </w:rPr>
        <w:t>達營利事業</w:t>
      </w:r>
      <w:r w:rsidR="00BD67BA" w:rsidRPr="00AE6CEC">
        <w:rPr>
          <w:rFonts w:eastAsia="標楷體" w:hint="eastAsia"/>
          <w:sz w:val="26"/>
          <w:szCs w:val="26"/>
        </w:rPr>
        <w:t>須</w:t>
      </w:r>
      <w:r w:rsidR="00BD67BA" w:rsidRPr="00AE6CEC">
        <w:rPr>
          <w:rFonts w:eastAsia="標楷體"/>
          <w:sz w:val="26"/>
          <w:szCs w:val="26"/>
        </w:rPr>
        <w:t>備妥移轉訂價報告之最低門檻新台幣</w:t>
      </w:r>
      <w:r w:rsidR="00BD67BA" w:rsidRPr="00AE6CEC">
        <w:rPr>
          <w:rFonts w:eastAsia="標楷體" w:hint="eastAsia"/>
          <w:sz w:val="26"/>
          <w:szCs w:val="26"/>
        </w:rPr>
        <w:t>3</w:t>
      </w:r>
      <w:r w:rsidR="00BD67BA" w:rsidRPr="00AE6CEC">
        <w:rPr>
          <w:rFonts w:eastAsia="標楷體"/>
          <w:sz w:val="26"/>
          <w:szCs w:val="26"/>
        </w:rPr>
        <w:t>億元，</w:t>
      </w:r>
      <w:r w:rsidR="00FD3239" w:rsidRPr="00AE6CEC">
        <w:rPr>
          <w:rFonts w:eastAsia="標楷體"/>
          <w:sz w:val="26"/>
          <w:szCs w:val="26"/>
        </w:rPr>
        <w:t>符合財政部</w:t>
      </w:r>
      <w:smartTag w:uri="urn:schemas-microsoft-com:office:smarttags" w:element="chsdate">
        <w:smartTagPr>
          <w:attr w:name="Year" w:val="1997"/>
          <w:attr w:name="Month" w:val="11"/>
          <w:attr w:name="Day" w:val="06"/>
          <w:attr w:name="IsLunarDate" w:val="False"/>
          <w:attr w:name="IsROCDate" w:val="False"/>
        </w:smartTagPr>
        <w:r w:rsidR="00FD3239" w:rsidRPr="00AE6CEC">
          <w:rPr>
            <w:rFonts w:eastAsia="標楷體"/>
            <w:sz w:val="26"/>
            <w:szCs w:val="26"/>
          </w:rPr>
          <w:t>9</w:t>
        </w:r>
        <w:r w:rsidR="00FD3239" w:rsidRPr="00AE6CEC">
          <w:rPr>
            <w:rFonts w:eastAsia="標楷體" w:hint="eastAsia"/>
            <w:sz w:val="26"/>
            <w:szCs w:val="26"/>
          </w:rPr>
          <w:t>7</w:t>
        </w:r>
        <w:r w:rsidR="00FD3239" w:rsidRPr="00AE6CEC">
          <w:rPr>
            <w:rFonts w:eastAsia="標楷體"/>
            <w:sz w:val="26"/>
            <w:szCs w:val="26"/>
          </w:rPr>
          <w:t>年</w:t>
        </w:r>
        <w:r w:rsidR="00FD3239" w:rsidRPr="00AE6CEC">
          <w:rPr>
            <w:rFonts w:eastAsia="標楷體" w:hint="eastAsia"/>
            <w:sz w:val="26"/>
            <w:szCs w:val="26"/>
          </w:rPr>
          <w:t>11</w:t>
        </w:r>
        <w:r w:rsidR="00FD3239" w:rsidRPr="00AE6CEC">
          <w:rPr>
            <w:rFonts w:eastAsia="標楷體"/>
            <w:sz w:val="26"/>
            <w:szCs w:val="26"/>
          </w:rPr>
          <w:t>月</w:t>
        </w:r>
        <w:r w:rsidR="00FD3239" w:rsidRPr="00AE6CEC">
          <w:rPr>
            <w:rFonts w:eastAsia="標楷體" w:hint="eastAsia"/>
            <w:sz w:val="26"/>
            <w:szCs w:val="26"/>
          </w:rPr>
          <w:t>06</w:t>
        </w:r>
        <w:r w:rsidR="00FD3239" w:rsidRPr="00AE6CEC">
          <w:rPr>
            <w:rFonts w:eastAsia="標楷體"/>
            <w:sz w:val="26"/>
            <w:szCs w:val="26"/>
          </w:rPr>
          <w:t>日</w:t>
        </w:r>
      </w:smartTag>
      <w:r w:rsidR="00FD3239" w:rsidRPr="00AE6CEC">
        <w:rPr>
          <w:rFonts w:eastAsia="標楷體"/>
          <w:sz w:val="26"/>
          <w:szCs w:val="26"/>
        </w:rPr>
        <w:t>台財稅字第</w:t>
      </w:r>
      <w:r w:rsidR="00FD3239" w:rsidRPr="00AE6CEC">
        <w:rPr>
          <w:rFonts w:eastAsia="標楷體"/>
          <w:sz w:val="26"/>
          <w:szCs w:val="26"/>
        </w:rPr>
        <w:t>09</w:t>
      </w:r>
      <w:r w:rsidR="00FD3239" w:rsidRPr="00AE6CEC">
        <w:rPr>
          <w:rFonts w:eastAsia="標楷體" w:hint="eastAsia"/>
          <w:sz w:val="26"/>
          <w:szCs w:val="26"/>
        </w:rPr>
        <w:t>704555160</w:t>
      </w:r>
      <w:r w:rsidR="00FD3239" w:rsidRPr="00AE6CEC">
        <w:rPr>
          <w:rFonts w:eastAsia="標楷體"/>
          <w:sz w:val="26"/>
          <w:szCs w:val="26"/>
        </w:rPr>
        <w:t>號</w:t>
      </w:r>
      <w:r w:rsidR="004574AF" w:rsidRPr="00AE6CEC">
        <w:rPr>
          <w:rFonts w:eastAsia="標楷體" w:hint="eastAsia"/>
          <w:sz w:val="26"/>
          <w:szCs w:val="26"/>
        </w:rPr>
        <w:t>令中，</w:t>
      </w:r>
      <w:r w:rsidR="00FD3239" w:rsidRPr="00AE6CEC">
        <w:rPr>
          <w:rFonts w:eastAsia="標楷體"/>
          <w:sz w:val="26"/>
          <w:szCs w:val="26"/>
        </w:rPr>
        <w:t>有關『營</w:t>
      </w:r>
      <w:r w:rsidR="00FD3239" w:rsidRPr="008F4F5B">
        <w:rPr>
          <w:rFonts w:eastAsia="標楷體"/>
          <w:sz w:val="26"/>
          <w:szCs w:val="26"/>
        </w:rPr>
        <w:t>利事</w:t>
      </w:r>
      <w:r w:rsidR="00FD3239" w:rsidRPr="008F4F5B">
        <w:rPr>
          <w:rFonts w:eastAsia="標楷體" w:hint="eastAsia"/>
          <w:sz w:val="26"/>
          <w:szCs w:val="26"/>
        </w:rPr>
        <w:t>業</w:t>
      </w:r>
      <w:r w:rsidR="00FD3239" w:rsidRPr="008F4F5B">
        <w:rPr>
          <w:rFonts w:eastAsia="標楷體"/>
          <w:sz w:val="26"/>
          <w:szCs w:val="26"/>
        </w:rPr>
        <w:t>得以其他文據取代移轉訂價報告之受控交易金額標準』之揭示標準，故得以替代文據取代移轉訂價報告。</w:t>
      </w:r>
    </w:p>
    <w:p w:rsidR="004C5A82" w:rsidRDefault="00FD3239" w:rsidP="00D82424">
      <w:pPr>
        <w:tabs>
          <w:tab w:val="left" w:pos="0"/>
        </w:tabs>
        <w:spacing w:beforeLines="50" w:before="120" w:afterLines="50" w:after="120" w:line="360" w:lineRule="auto"/>
        <w:jc w:val="both"/>
        <w:rPr>
          <w:rFonts w:eastAsia="標楷體"/>
          <w:b/>
          <w:sz w:val="32"/>
          <w:szCs w:val="32"/>
        </w:rPr>
      </w:pPr>
      <w:r w:rsidRPr="008F4F5B">
        <w:rPr>
          <w:rFonts w:eastAsia="標楷體"/>
          <w:b/>
          <w:sz w:val="32"/>
          <w:szCs w:val="32"/>
        </w:rPr>
        <w:t>台財稅字第</w:t>
      </w:r>
      <w:r w:rsidRPr="008F4F5B">
        <w:rPr>
          <w:rFonts w:eastAsia="標楷體"/>
          <w:b/>
          <w:sz w:val="32"/>
          <w:szCs w:val="32"/>
        </w:rPr>
        <w:t>09</w:t>
      </w:r>
      <w:r w:rsidRPr="008F4F5B">
        <w:rPr>
          <w:rFonts w:eastAsia="標楷體" w:hint="eastAsia"/>
          <w:b/>
          <w:sz w:val="32"/>
          <w:szCs w:val="32"/>
        </w:rPr>
        <w:t>704555160</w:t>
      </w:r>
      <w:r w:rsidRPr="008F4F5B">
        <w:rPr>
          <w:rFonts w:eastAsia="標楷體"/>
          <w:b/>
          <w:sz w:val="32"/>
          <w:szCs w:val="32"/>
        </w:rPr>
        <w:t>號解釋令</w:t>
      </w:r>
    </w:p>
    <w:p w:rsidR="004C5A82" w:rsidRDefault="00FD3239" w:rsidP="00D82424">
      <w:pPr>
        <w:tabs>
          <w:tab w:val="left" w:pos="0"/>
        </w:tabs>
        <w:spacing w:beforeLines="50" w:before="120" w:afterLines="50" w:after="120" w:line="360" w:lineRule="auto"/>
        <w:ind w:firstLineChars="200" w:firstLine="520"/>
        <w:jc w:val="both"/>
        <w:rPr>
          <w:rFonts w:eastAsia="標楷體"/>
          <w:sz w:val="26"/>
          <w:szCs w:val="26"/>
        </w:rPr>
      </w:pPr>
      <w:r>
        <w:rPr>
          <w:rFonts w:eastAsia="標楷體"/>
          <w:sz w:val="26"/>
          <w:szCs w:val="26"/>
        </w:rPr>
        <w:t>移轉訂價查核準則</w:t>
      </w:r>
      <w:r w:rsidRPr="008F4F5B">
        <w:rPr>
          <w:rFonts w:eastAsia="標楷體"/>
          <w:sz w:val="26"/>
          <w:szCs w:val="26"/>
        </w:rPr>
        <w:t>第</w:t>
      </w:r>
      <w:r w:rsidRPr="008F4F5B">
        <w:rPr>
          <w:rFonts w:eastAsia="標楷體"/>
          <w:sz w:val="26"/>
          <w:szCs w:val="26"/>
        </w:rPr>
        <w:t>22</w:t>
      </w:r>
      <w:r w:rsidRPr="008F4F5B">
        <w:rPr>
          <w:rFonts w:eastAsia="標楷體"/>
          <w:sz w:val="26"/>
          <w:szCs w:val="26"/>
        </w:rPr>
        <w:t>條第</w:t>
      </w:r>
      <w:r w:rsidRPr="008F4F5B">
        <w:rPr>
          <w:rFonts w:eastAsia="標楷體"/>
          <w:sz w:val="26"/>
          <w:szCs w:val="26"/>
        </w:rPr>
        <w:t>3</w:t>
      </w:r>
      <w:r w:rsidRPr="008F4F5B">
        <w:rPr>
          <w:rFonts w:eastAsia="標楷體"/>
          <w:sz w:val="26"/>
          <w:szCs w:val="26"/>
        </w:rPr>
        <w:t>項規定「得以其他文據取代移轉訂價報告之受控交易金額標準」如下：</w:t>
      </w:r>
    </w:p>
    <w:p w:rsidR="004C5A82" w:rsidRDefault="00FD3239" w:rsidP="00D82424">
      <w:pPr>
        <w:tabs>
          <w:tab w:val="left" w:pos="0"/>
        </w:tabs>
        <w:spacing w:beforeLines="50" w:before="120" w:afterLines="50" w:after="120" w:line="360" w:lineRule="auto"/>
        <w:jc w:val="both"/>
        <w:rPr>
          <w:rFonts w:eastAsia="標楷體"/>
          <w:sz w:val="26"/>
          <w:szCs w:val="26"/>
        </w:rPr>
      </w:pPr>
      <w:r w:rsidRPr="008F4F5B">
        <w:rPr>
          <w:rFonts w:eastAsia="標楷體"/>
          <w:sz w:val="26"/>
          <w:szCs w:val="26"/>
        </w:rPr>
        <w:t>第一點規定：</w:t>
      </w:r>
    </w:p>
    <w:p w:rsidR="004C5A82" w:rsidRDefault="00FD3239" w:rsidP="00D82424">
      <w:pPr>
        <w:tabs>
          <w:tab w:val="left" w:pos="0"/>
        </w:tabs>
        <w:spacing w:beforeLines="50" w:before="120" w:afterLines="50" w:after="120" w:line="360" w:lineRule="auto"/>
        <w:ind w:firstLineChars="200" w:firstLine="520"/>
        <w:jc w:val="both"/>
        <w:rPr>
          <w:rFonts w:eastAsia="標楷體"/>
          <w:sz w:val="26"/>
          <w:szCs w:val="26"/>
        </w:rPr>
      </w:pPr>
      <w:r w:rsidRPr="008F4F5B">
        <w:rPr>
          <w:rFonts w:eastAsia="標楷體"/>
          <w:sz w:val="26"/>
          <w:szCs w:val="26"/>
        </w:rPr>
        <w:t>從事受控交易之營利事業，有下列情形之一者，得依移轉訂價查核準則第</w:t>
      </w:r>
      <w:r w:rsidRPr="008F4F5B">
        <w:rPr>
          <w:rFonts w:eastAsia="標楷體"/>
          <w:sz w:val="26"/>
          <w:szCs w:val="26"/>
        </w:rPr>
        <w:t>22</w:t>
      </w:r>
      <w:r w:rsidRPr="008F4F5B">
        <w:rPr>
          <w:rFonts w:eastAsia="標楷體"/>
          <w:sz w:val="26"/>
          <w:szCs w:val="26"/>
        </w:rPr>
        <w:t>條第</w:t>
      </w:r>
      <w:r w:rsidRPr="008F4F5B">
        <w:rPr>
          <w:rFonts w:eastAsia="標楷體"/>
          <w:sz w:val="26"/>
          <w:szCs w:val="26"/>
        </w:rPr>
        <w:t>3</w:t>
      </w:r>
      <w:r w:rsidRPr="008F4F5B">
        <w:rPr>
          <w:rFonts w:eastAsia="標楷體"/>
          <w:sz w:val="26"/>
          <w:szCs w:val="26"/>
        </w:rPr>
        <w:t>項規定，以其他足資證明其訂價結果符合常規交易結果之文據取代同條第</w:t>
      </w:r>
      <w:r w:rsidRPr="008F4F5B">
        <w:rPr>
          <w:rFonts w:eastAsia="標楷體"/>
          <w:sz w:val="26"/>
          <w:szCs w:val="26"/>
        </w:rPr>
        <w:t>1</w:t>
      </w:r>
      <w:r w:rsidRPr="008F4F5B">
        <w:rPr>
          <w:rFonts w:eastAsia="標楷體"/>
          <w:sz w:val="26"/>
          <w:szCs w:val="26"/>
        </w:rPr>
        <w:t>項第</w:t>
      </w:r>
      <w:r w:rsidRPr="008F4F5B">
        <w:rPr>
          <w:rFonts w:eastAsia="標楷體"/>
          <w:sz w:val="26"/>
          <w:szCs w:val="26"/>
        </w:rPr>
        <w:t>4</w:t>
      </w:r>
      <w:r w:rsidRPr="008F4F5B">
        <w:rPr>
          <w:rFonts w:eastAsia="標楷體"/>
          <w:sz w:val="26"/>
          <w:szCs w:val="26"/>
        </w:rPr>
        <w:t>款規定之移轉訂價報告：</w:t>
      </w:r>
    </w:p>
    <w:p w:rsidR="004C5A82" w:rsidRDefault="00FD3239" w:rsidP="00D82424">
      <w:pPr>
        <w:numPr>
          <w:ilvl w:val="0"/>
          <w:numId w:val="29"/>
        </w:numPr>
        <w:tabs>
          <w:tab w:val="left" w:pos="0"/>
        </w:tabs>
        <w:spacing w:beforeLines="50" w:before="120" w:afterLines="50" w:after="120" w:line="360" w:lineRule="auto"/>
        <w:jc w:val="both"/>
        <w:rPr>
          <w:rFonts w:eastAsia="標楷體"/>
          <w:sz w:val="26"/>
          <w:szCs w:val="26"/>
        </w:rPr>
      </w:pPr>
      <w:r w:rsidRPr="008F4F5B">
        <w:rPr>
          <w:rFonts w:eastAsia="標楷體"/>
          <w:sz w:val="26"/>
          <w:szCs w:val="26"/>
        </w:rPr>
        <w:t>全年營業收入淨額及非營業收入合計數（以下簡稱『收入總額』）未達新臺幣</w:t>
      </w:r>
      <w:r w:rsidRPr="008F4F5B">
        <w:rPr>
          <w:rFonts w:eastAsia="標楷體" w:hint="eastAsia"/>
          <w:sz w:val="26"/>
          <w:szCs w:val="26"/>
        </w:rPr>
        <w:t>3</w:t>
      </w:r>
      <w:r w:rsidRPr="008F4F5B">
        <w:rPr>
          <w:rFonts w:eastAsia="標楷體"/>
          <w:sz w:val="26"/>
          <w:szCs w:val="26"/>
        </w:rPr>
        <w:t>億元。</w:t>
      </w:r>
    </w:p>
    <w:p w:rsidR="004C5A82" w:rsidRDefault="00FD3239" w:rsidP="00D82424">
      <w:pPr>
        <w:numPr>
          <w:ilvl w:val="0"/>
          <w:numId w:val="29"/>
        </w:numPr>
        <w:tabs>
          <w:tab w:val="left" w:pos="0"/>
        </w:tabs>
        <w:spacing w:beforeLines="50" w:before="120" w:afterLines="50" w:after="120" w:line="360" w:lineRule="auto"/>
        <w:jc w:val="both"/>
        <w:rPr>
          <w:rFonts w:eastAsia="標楷體"/>
          <w:sz w:val="26"/>
          <w:szCs w:val="26"/>
        </w:rPr>
      </w:pPr>
      <w:r w:rsidRPr="008F4F5B">
        <w:rPr>
          <w:rFonts w:eastAsia="標楷體"/>
          <w:sz w:val="26"/>
          <w:szCs w:val="26"/>
        </w:rPr>
        <w:t>全年收入總額在新臺幣</w:t>
      </w:r>
      <w:r w:rsidRPr="008F4F5B">
        <w:rPr>
          <w:rFonts w:eastAsia="標楷體" w:hint="eastAsia"/>
          <w:sz w:val="26"/>
          <w:szCs w:val="26"/>
        </w:rPr>
        <w:t>3</w:t>
      </w:r>
      <w:r w:rsidRPr="008F4F5B">
        <w:rPr>
          <w:rFonts w:eastAsia="標楷體"/>
          <w:sz w:val="26"/>
          <w:szCs w:val="26"/>
        </w:rPr>
        <w:t>億元以上，但未達新臺幣</w:t>
      </w:r>
      <w:r w:rsidRPr="008F4F5B">
        <w:rPr>
          <w:rFonts w:eastAsia="標楷體" w:hint="eastAsia"/>
          <w:sz w:val="26"/>
          <w:szCs w:val="26"/>
        </w:rPr>
        <w:t>5</w:t>
      </w:r>
      <w:r w:rsidRPr="008F4F5B">
        <w:rPr>
          <w:rFonts w:eastAsia="標楷體"/>
          <w:sz w:val="26"/>
          <w:szCs w:val="26"/>
        </w:rPr>
        <w:t>億元，且同時符合下列規定者：</w:t>
      </w:r>
    </w:p>
    <w:p w:rsidR="00FD3239" w:rsidRPr="008F4F5B" w:rsidRDefault="00FD3239" w:rsidP="00957B5E">
      <w:pPr>
        <w:numPr>
          <w:ilvl w:val="0"/>
          <w:numId w:val="30"/>
        </w:numPr>
        <w:tabs>
          <w:tab w:val="left" w:pos="1134"/>
        </w:tabs>
        <w:spacing w:before="100" w:beforeAutospacing="1" w:after="100" w:afterAutospacing="1" w:line="360" w:lineRule="auto"/>
        <w:ind w:left="1134" w:hanging="338"/>
        <w:jc w:val="both"/>
        <w:rPr>
          <w:rFonts w:eastAsia="標楷體"/>
          <w:sz w:val="26"/>
          <w:szCs w:val="26"/>
        </w:rPr>
      </w:pPr>
      <w:r w:rsidRPr="008F4F5B">
        <w:rPr>
          <w:rFonts w:eastAsia="標楷體" w:hint="eastAsia"/>
          <w:sz w:val="26"/>
          <w:szCs w:val="26"/>
        </w:rPr>
        <w:t>未享有租稅減免優惠，且未依法申報扣除前</w:t>
      </w:r>
      <w:r w:rsidRPr="008F4F5B">
        <w:rPr>
          <w:rFonts w:eastAsia="標楷體" w:hint="eastAsia"/>
          <w:sz w:val="26"/>
          <w:szCs w:val="26"/>
        </w:rPr>
        <w:t>5</w:t>
      </w:r>
      <w:r w:rsidRPr="008F4F5B">
        <w:rPr>
          <w:rFonts w:eastAsia="標楷體" w:hint="eastAsia"/>
          <w:sz w:val="26"/>
          <w:szCs w:val="26"/>
        </w:rPr>
        <w:t>年虧損。但營利事業依法申報實際抵減當年度營利事業所得稅結算申報應納稅額及</w:t>
      </w:r>
      <w:r w:rsidRPr="008F4F5B">
        <w:rPr>
          <w:rFonts w:eastAsia="標楷體" w:hint="eastAsia"/>
          <w:sz w:val="26"/>
          <w:szCs w:val="26"/>
        </w:rPr>
        <w:lastRenderedPageBreak/>
        <w:t>前</w:t>
      </w:r>
      <w:r w:rsidRPr="008F4F5B">
        <w:rPr>
          <w:rFonts w:eastAsia="標楷體" w:hint="eastAsia"/>
          <w:sz w:val="26"/>
          <w:szCs w:val="26"/>
        </w:rPr>
        <w:t>1</w:t>
      </w:r>
      <w:r w:rsidRPr="008F4F5B">
        <w:rPr>
          <w:rFonts w:eastAsia="標楷體" w:hint="eastAsia"/>
          <w:sz w:val="26"/>
          <w:szCs w:val="26"/>
        </w:rPr>
        <w:t>年度未分配盈餘申報應加徵稅額之金額合計在新臺幣</w:t>
      </w:r>
      <w:r w:rsidRPr="008F4F5B">
        <w:rPr>
          <w:rFonts w:eastAsia="標楷體" w:hint="eastAsia"/>
          <w:sz w:val="26"/>
          <w:szCs w:val="26"/>
        </w:rPr>
        <w:t>2</w:t>
      </w:r>
      <w:r w:rsidRPr="008F4F5B">
        <w:rPr>
          <w:rFonts w:eastAsia="標楷體" w:hint="eastAsia"/>
          <w:sz w:val="26"/>
          <w:szCs w:val="26"/>
        </w:rPr>
        <w:t>百萬元以下，或依法實際申報扣除之前</w:t>
      </w:r>
      <w:r w:rsidRPr="008F4F5B">
        <w:rPr>
          <w:rFonts w:eastAsia="標楷體" w:hint="eastAsia"/>
          <w:sz w:val="26"/>
          <w:szCs w:val="26"/>
        </w:rPr>
        <w:t>5</w:t>
      </w:r>
      <w:r w:rsidRPr="008F4F5B">
        <w:rPr>
          <w:rFonts w:eastAsia="標楷體" w:hint="eastAsia"/>
          <w:sz w:val="26"/>
          <w:szCs w:val="26"/>
        </w:rPr>
        <w:t>年虧損金額在新臺幣</w:t>
      </w:r>
      <w:r w:rsidRPr="008F4F5B">
        <w:rPr>
          <w:rFonts w:eastAsia="標楷體" w:hint="eastAsia"/>
          <w:sz w:val="26"/>
          <w:szCs w:val="26"/>
        </w:rPr>
        <w:t>8</w:t>
      </w:r>
      <w:r w:rsidRPr="008F4F5B">
        <w:rPr>
          <w:rFonts w:eastAsia="標楷體" w:hint="eastAsia"/>
          <w:sz w:val="26"/>
          <w:szCs w:val="26"/>
        </w:rPr>
        <w:t>百萬元以下者，不在此限。</w:t>
      </w:r>
    </w:p>
    <w:p w:rsidR="00FD3239" w:rsidRPr="008F4F5B" w:rsidRDefault="00FD3239" w:rsidP="00957B5E">
      <w:pPr>
        <w:numPr>
          <w:ilvl w:val="0"/>
          <w:numId w:val="30"/>
        </w:numPr>
        <w:tabs>
          <w:tab w:val="left" w:pos="1134"/>
        </w:tabs>
        <w:spacing w:before="100" w:beforeAutospacing="1" w:after="100" w:afterAutospacing="1" w:line="360" w:lineRule="auto"/>
        <w:ind w:left="1134" w:hanging="338"/>
        <w:jc w:val="both"/>
        <w:rPr>
          <w:rFonts w:eastAsia="標楷體"/>
          <w:sz w:val="26"/>
          <w:szCs w:val="26"/>
        </w:rPr>
      </w:pPr>
      <w:r w:rsidRPr="008F4F5B">
        <w:rPr>
          <w:rFonts w:eastAsia="標楷體" w:hint="eastAsia"/>
          <w:sz w:val="26"/>
          <w:szCs w:val="26"/>
        </w:rPr>
        <w:t>金融控股公司或企業併購法規定之公司或其子公司，未</w:t>
      </w:r>
      <w:r w:rsidR="00075B4D">
        <w:rPr>
          <w:rFonts w:eastAsia="標楷體" w:hint="eastAsia"/>
          <w:sz w:val="26"/>
          <w:szCs w:val="26"/>
        </w:rPr>
        <w:t>與</w:t>
      </w:r>
      <w:r w:rsidRPr="008F4F5B">
        <w:rPr>
          <w:rFonts w:eastAsia="標楷體" w:hint="eastAsia"/>
          <w:sz w:val="26"/>
          <w:szCs w:val="26"/>
        </w:rPr>
        <w:t>中華民國境外之關係人（包括總機構及分支機構）</w:t>
      </w:r>
      <w:r w:rsidR="00075B4D">
        <w:rPr>
          <w:rFonts w:eastAsia="標楷體" w:hint="eastAsia"/>
          <w:sz w:val="26"/>
          <w:szCs w:val="26"/>
        </w:rPr>
        <w:t>交易者</w:t>
      </w:r>
      <w:r w:rsidRPr="008F4F5B">
        <w:rPr>
          <w:rFonts w:eastAsia="標楷體" w:hint="eastAsia"/>
          <w:sz w:val="26"/>
          <w:szCs w:val="26"/>
        </w:rPr>
        <w:t>；其他營利事業，未</w:t>
      </w:r>
      <w:r w:rsidR="00075B4D">
        <w:rPr>
          <w:rFonts w:eastAsia="標楷體" w:hint="eastAsia"/>
          <w:sz w:val="26"/>
          <w:szCs w:val="26"/>
        </w:rPr>
        <w:t>與</w:t>
      </w:r>
      <w:r w:rsidRPr="008F4F5B">
        <w:rPr>
          <w:rFonts w:eastAsia="標楷體" w:hint="eastAsia"/>
          <w:sz w:val="26"/>
          <w:szCs w:val="26"/>
        </w:rPr>
        <w:t>中華民國境外之關係企業（包括總機構及分支機構）</w:t>
      </w:r>
      <w:r w:rsidR="00075B4D">
        <w:rPr>
          <w:rFonts w:eastAsia="標楷體" w:hint="eastAsia"/>
          <w:sz w:val="26"/>
          <w:szCs w:val="26"/>
        </w:rPr>
        <w:t>交易者</w:t>
      </w:r>
      <w:r w:rsidRPr="008F4F5B">
        <w:rPr>
          <w:rFonts w:eastAsia="標楷體" w:hint="eastAsia"/>
          <w:sz w:val="26"/>
          <w:szCs w:val="26"/>
        </w:rPr>
        <w:t>。</w:t>
      </w:r>
    </w:p>
    <w:p w:rsidR="004C5A82" w:rsidRDefault="00FD3239" w:rsidP="00D82424">
      <w:pPr>
        <w:numPr>
          <w:ilvl w:val="0"/>
          <w:numId w:val="29"/>
        </w:numPr>
        <w:tabs>
          <w:tab w:val="left" w:pos="0"/>
        </w:tabs>
        <w:spacing w:beforeLines="50" w:before="120" w:afterLines="50" w:after="120" w:line="360" w:lineRule="auto"/>
        <w:jc w:val="both"/>
        <w:rPr>
          <w:rFonts w:eastAsia="標楷體"/>
          <w:sz w:val="26"/>
          <w:szCs w:val="26"/>
        </w:rPr>
      </w:pPr>
      <w:r w:rsidRPr="008F4F5B">
        <w:rPr>
          <w:rFonts w:eastAsia="標楷體"/>
          <w:sz w:val="26"/>
          <w:szCs w:val="26"/>
        </w:rPr>
        <w:t>不符（一）、（二）規定，但全年受控交易總額未達新臺幣</w:t>
      </w:r>
      <w:r w:rsidRPr="008F4F5B">
        <w:rPr>
          <w:rFonts w:eastAsia="標楷體" w:hint="eastAsia"/>
          <w:sz w:val="26"/>
          <w:szCs w:val="26"/>
        </w:rPr>
        <w:t>2</w:t>
      </w:r>
      <w:r w:rsidRPr="008F4F5B">
        <w:rPr>
          <w:rFonts w:eastAsia="標楷體"/>
          <w:sz w:val="26"/>
          <w:szCs w:val="26"/>
        </w:rPr>
        <w:t>億元。</w:t>
      </w:r>
    </w:p>
    <w:p w:rsidR="004C5A82" w:rsidRDefault="00142BD9" w:rsidP="00D82424">
      <w:pPr>
        <w:spacing w:beforeLines="50" w:before="120" w:afterLines="50" w:after="120" w:line="360" w:lineRule="auto"/>
        <w:ind w:firstLineChars="200" w:firstLine="520"/>
        <w:rPr>
          <w:rFonts w:eastAsia="標楷體"/>
        </w:rPr>
      </w:pPr>
      <w:r w:rsidRPr="00434E06">
        <w:rPr>
          <w:rFonts w:eastAsia="標楷體" w:hint="eastAsia"/>
          <w:sz w:val="26"/>
          <w:szCs w:val="26"/>
        </w:rPr>
        <w:t>瀚昌公司</w:t>
      </w:r>
      <w:r w:rsidR="00FD3239" w:rsidRPr="008F4F5B">
        <w:rPr>
          <w:rFonts w:eastAsia="標楷體"/>
          <w:sz w:val="26"/>
          <w:szCs w:val="26"/>
        </w:rPr>
        <w:t>符合本解釋令</w:t>
      </w:r>
      <w:r w:rsidR="002E3500">
        <w:rPr>
          <w:rFonts w:eastAsia="標楷體" w:hint="eastAsia"/>
          <w:sz w:val="26"/>
          <w:szCs w:val="26"/>
        </w:rPr>
        <w:t>第一點</w:t>
      </w:r>
      <w:r w:rsidR="002E3500" w:rsidRPr="008F4F5B">
        <w:rPr>
          <w:rFonts w:eastAsia="標楷體"/>
          <w:sz w:val="26"/>
          <w:szCs w:val="26"/>
        </w:rPr>
        <w:t>（一</w:t>
      </w:r>
      <w:r w:rsidR="002E3500" w:rsidRPr="00032392">
        <w:rPr>
          <w:rFonts w:ascii="標楷體" w:eastAsia="標楷體" w:hAnsi="標楷體"/>
          <w:sz w:val="26"/>
          <w:szCs w:val="26"/>
        </w:rPr>
        <w:t>）</w:t>
      </w:r>
      <w:r w:rsidR="00FD3239" w:rsidRPr="002E3500">
        <w:rPr>
          <w:rFonts w:eastAsia="標楷體"/>
          <w:sz w:val="26"/>
          <w:szCs w:val="26"/>
        </w:rPr>
        <w:t>規</w:t>
      </w:r>
      <w:r w:rsidR="00FD3239" w:rsidRPr="008F4F5B">
        <w:rPr>
          <w:rFonts w:eastAsia="標楷體"/>
          <w:sz w:val="26"/>
          <w:szCs w:val="26"/>
        </w:rPr>
        <w:t>定，故可以替代文據取代移轉訂價報告</w:t>
      </w:r>
      <w:r w:rsidR="004B2DB4">
        <w:rPr>
          <w:rFonts w:eastAsia="標楷體" w:hint="eastAsia"/>
          <w:sz w:val="26"/>
          <w:szCs w:val="26"/>
        </w:rPr>
        <w:t>。</w:t>
      </w:r>
      <w:bookmarkStart w:id="13" w:name="_Toc221678472"/>
      <w:bookmarkStart w:id="14" w:name="_Toc221678473"/>
      <w:bookmarkStart w:id="15" w:name="_Toc221678474"/>
      <w:bookmarkStart w:id="16" w:name="_Toc221678475"/>
      <w:bookmarkStart w:id="17" w:name="_Toc221678476"/>
      <w:bookmarkStart w:id="18" w:name="_Toc221678477"/>
      <w:bookmarkStart w:id="19" w:name="_Toc221678478"/>
      <w:bookmarkStart w:id="20" w:name="_Toc221678479"/>
      <w:bookmarkStart w:id="21" w:name="_Toc221678480"/>
      <w:bookmarkStart w:id="22" w:name="_Toc221678481"/>
      <w:bookmarkEnd w:id="13"/>
      <w:bookmarkEnd w:id="14"/>
      <w:bookmarkEnd w:id="15"/>
      <w:bookmarkEnd w:id="16"/>
      <w:bookmarkEnd w:id="17"/>
      <w:bookmarkEnd w:id="18"/>
      <w:bookmarkEnd w:id="19"/>
      <w:bookmarkEnd w:id="20"/>
      <w:bookmarkEnd w:id="21"/>
      <w:bookmarkEnd w:id="22"/>
    </w:p>
    <w:p w:rsidR="00B8406A" w:rsidRPr="00EA272E" w:rsidRDefault="00B8406A" w:rsidP="005C6620">
      <w:pPr>
        <w:rPr>
          <w:rFonts w:eastAsia="標楷體"/>
        </w:rPr>
      </w:pPr>
    </w:p>
    <w:p w:rsidR="00B8406A" w:rsidRPr="00EA272E" w:rsidRDefault="00B8406A" w:rsidP="005C6620">
      <w:pPr>
        <w:rPr>
          <w:rFonts w:eastAsia="標楷體"/>
        </w:rPr>
        <w:sectPr w:rsidR="00B8406A" w:rsidRPr="00EA272E"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3" w:name="_Toc253154507"/>
    <w:bookmarkStart w:id="24" w:name="_Toc253154575"/>
    <w:bookmarkStart w:id="25" w:name="_Toc272326006"/>
    <w:bookmarkStart w:id="26" w:name="_Toc272326634"/>
    <w:bookmarkStart w:id="27" w:name="_Toc272326813"/>
    <w:bookmarkStart w:id="28" w:name="_Toc275960646"/>
    <w:bookmarkStart w:id="29" w:name="_Toc449536295"/>
    <w:p w:rsidR="007821E9" w:rsidRPr="00EA272E" w:rsidRDefault="00A63CF7"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3632" behindDoc="0" locked="0" layoutInCell="1" allowOverlap="1">
                <wp:simplePos x="0" y="0"/>
                <wp:positionH relativeFrom="column">
                  <wp:posOffset>4667250</wp:posOffset>
                </wp:positionH>
                <wp:positionV relativeFrom="paragraph">
                  <wp:posOffset>0</wp:posOffset>
                </wp:positionV>
                <wp:extent cx="720090" cy="720090"/>
                <wp:effectExtent l="7620" t="9525" r="5715" b="13335"/>
                <wp:wrapNone/>
                <wp:docPr id="59"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DD5AB2" w:rsidRDefault="00630BD8"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">
                <v:textbox>
                  <w:txbxContent>
                    <w:p w:rsidR="00630BD8" w:rsidRPr="00DD5AB2" w:rsidRDefault="00630BD8"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3"/>
      <w:bookmarkEnd w:id="24"/>
      <w:bookmarkEnd w:id="25"/>
      <w:bookmarkEnd w:id="26"/>
      <w:bookmarkEnd w:id="27"/>
      <w:bookmarkEnd w:id="28"/>
      <w:bookmarkEnd w:id="29"/>
    </w:p>
    <w:p w:rsidR="007F3EF4" w:rsidRPr="00EA272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0E26E4" w:rsidRDefault="00A439EA"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30" w:name="_Toc449536296"/>
      <w:r w:rsidRPr="000E26E4">
        <w:rPr>
          <w:rFonts w:ascii="Times New Roman" w:eastAsia="標楷體" w:hAnsi="Times New Roman" w:hint="eastAsia"/>
          <w:sz w:val="44"/>
          <w:szCs w:val="46"/>
        </w:rPr>
        <w:t>背景資訊</w:t>
      </w:r>
      <w:r w:rsidR="008E0EB4" w:rsidRPr="000E26E4">
        <w:rPr>
          <w:rFonts w:ascii="Times New Roman" w:eastAsia="標楷體" w:hAnsi="Times New Roman" w:hint="eastAsia"/>
          <w:sz w:val="44"/>
          <w:szCs w:val="46"/>
        </w:rPr>
        <w:t>及產業</w:t>
      </w:r>
      <w:r w:rsidR="00EB094D" w:rsidRPr="000E26E4">
        <w:rPr>
          <w:rFonts w:ascii="Times New Roman" w:eastAsia="標楷體" w:hAnsi="Times New Roman" w:hint="eastAsia"/>
          <w:sz w:val="44"/>
          <w:szCs w:val="46"/>
        </w:rPr>
        <w:t>經濟現</w:t>
      </w:r>
      <w:r w:rsidR="008E0EB4" w:rsidRPr="000E26E4">
        <w:rPr>
          <w:rFonts w:ascii="Times New Roman" w:eastAsia="標楷體" w:hAnsi="Times New Roman" w:hint="eastAsia"/>
          <w:sz w:val="44"/>
          <w:szCs w:val="46"/>
        </w:rPr>
        <w:t>況</w:t>
      </w:r>
      <w:bookmarkEnd w:id="30"/>
    </w:p>
    <w:p w:rsidR="004C5A82" w:rsidRDefault="00E13CED" w:rsidP="00D82424">
      <w:pPr>
        <w:pStyle w:val="2"/>
        <w:numPr>
          <w:ilvl w:val="1"/>
          <w:numId w:val="3"/>
        </w:numPr>
        <w:tabs>
          <w:tab w:val="left" w:pos="756"/>
        </w:tabs>
        <w:spacing w:beforeLines="100" w:before="240" w:afterLines="100" w:after="240" w:line="360" w:lineRule="auto"/>
        <w:ind w:left="0" w:firstLine="0"/>
        <w:rPr>
          <w:rFonts w:ascii="Times New Roman" w:eastAsia="標楷體" w:hAnsi="Times New Roman"/>
          <w:sz w:val="36"/>
          <w:szCs w:val="40"/>
        </w:rPr>
      </w:pPr>
      <w:bookmarkStart w:id="31" w:name="_Toc158135133"/>
      <w:bookmarkStart w:id="32" w:name="_Toc166242646"/>
      <w:r>
        <w:rPr>
          <w:rFonts w:ascii="Times New Roman" w:eastAsia="標楷體" w:hAnsi="Times New Roman" w:hint="eastAsia"/>
          <w:sz w:val="36"/>
          <w:szCs w:val="40"/>
        </w:rPr>
        <w:t>背景資訊</w:t>
      </w:r>
    </w:p>
    <w:bookmarkEnd w:id="31"/>
    <w:bookmarkEnd w:id="32"/>
    <w:p w:rsidR="004C5A82" w:rsidRDefault="00E13CED" w:rsidP="00D82424">
      <w:pPr>
        <w:pStyle w:val="3"/>
        <w:numPr>
          <w:ilvl w:val="0"/>
          <w:numId w:val="4"/>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公司綜覽</w:t>
      </w:r>
    </w:p>
    <w:p w:rsidR="004C5A82" w:rsidRDefault="00ED4FC0" w:rsidP="00D82424">
      <w:pPr>
        <w:numPr>
          <w:ilvl w:val="0"/>
          <w:numId w:val="10"/>
        </w:numPr>
        <w:tabs>
          <w:tab w:val="left" w:pos="1134"/>
        </w:tabs>
        <w:spacing w:beforeLines="50" w:before="120" w:afterLines="50" w:after="120" w:line="360" w:lineRule="auto"/>
        <w:ind w:leftChars="250" w:left="1080"/>
        <w:jc w:val="both"/>
        <w:rPr>
          <w:rFonts w:eastAsia="標楷體"/>
          <w:b/>
          <w:sz w:val="28"/>
          <w:szCs w:val="28"/>
        </w:rPr>
      </w:pPr>
      <w:r w:rsidRPr="00E13CED">
        <w:rPr>
          <w:rFonts w:eastAsia="標楷體" w:hint="eastAsia"/>
          <w:b/>
          <w:sz w:val="28"/>
          <w:szCs w:val="28"/>
        </w:rPr>
        <w:t>營運歷史及背景</w:t>
      </w:r>
    </w:p>
    <w:p w:rsidR="004C5A82" w:rsidRDefault="0000725C" w:rsidP="00D82424">
      <w:pPr>
        <w:spacing w:beforeLines="50" w:before="120" w:afterLines="50" w:after="120" w:line="360" w:lineRule="auto"/>
        <w:ind w:leftChars="200" w:left="480" w:firstLineChars="200" w:firstLine="520"/>
        <w:jc w:val="both"/>
        <w:rPr>
          <w:rFonts w:eastAsia="標楷體"/>
          <w:sz w:val="26"/>
          <w:szCs w:val="26"/>
        </w:rPr>
      </w:pPr>
      <w:r w:rsidRPr="00434E06">
        <w:rPr>
          <w:rFonts w:eastAsia="標楷體" w:hint="eastAsia"/>
          <w:sz w:val="26"/>
          <w:szCs w:val="26"/>
        </w:rPr>
        <w:t>瀚昌公司</w:t>
      </w:r>
      <w:r w:rsidR="00D71381" w:rsidRPr="00EA272E">
        <w:rPr>
          <w:rFonts w:eastAsia="標楷體" w:hint="eastAsia"/>
          <w:sz w:val="26"/>
          <w:szCs w:val="26"/>
        </w:rPr>
        <w:t>於民國</w:t>
      </w:r>
      <w:r w:rsidRPr="00356936">
        <w:rPr>
          <w:rFonts w:eastAsia="標楷體" w:hint="eastAsia"/>
          <w:sz w:val="26"/>
          <w:szCs w:val="26"/>
        </w:rPr>
        <w:t>77</w:t>
      </w:r>
      <w:r w:rsidR="00D71381" w:rsidRPr="00EA272E">
        <w:rPr>
          <w:rFonts w:eastAsia="標楷體" w:hint="eastAsia"/>
          <w:sz w:val="26"/>
          <w:szCs w:val="26"/>
        </w:rPr>
        <w:t>年</w:t>
      </w:r>
      <w:r w:rsidR="009D5C97">
        <w:rPr>
          <w:rFonts w:eastAsia="標楷體" w:hint="eastAsia"/>
          <w:sz w:val="26"/>
          <w:szCs w:val="26"/>
        </w:rPr>
        <w:t>8</w:t>
      </w:r>
      <w:r w:rsidR="009D5C97">
        <w:rPr>
          <w:rFonts w:eastAsia="標楷體" w:hint="eastAsia"/>
          <w:sz w:val="26"/>
          <w:szCs w:val="26"/>
        </w:rPr>
        <w:t>月</w:t>
      </w:r>
      <w:r w:rsidR="009D5C97">
        <w:rPr>
          <w:rFonts w:eastAsia="標楷體" w:hint="eastAsia"/>
          <w:sz w:val="26"/>
          <w:szCs w:val="26"/>
        </w:rPr>
        <w:t>20</w:t>
      </w:r>
      <w:r w:rsidR="009D5C97">
        <w:rPr>
          <w:rFonts w:eastAsia="標楷體" w:hint="eastAsia"/>
          <w:sz w:val="26"/>
          <w:szCs w:val="26"/>
        </w:rPr>
        <w:t>日</w:t>
      </w:r>
      <w:r w:rsidR="00D71381" w:rsidRPr="00EA272E">
        <w:rPr>
          <w:rFonts w:eastAsia="標楷體" w:hint="eastAsia"/>
          <w:sz w:val="26"/>
          <w:szCs w:val="26"/>
        </w:rPr>
        <w:t>成立</w:t>
      </w:r>
      <w:r w:rsidR="00A439EA" w:rsidRPr="00EA272E">
        <w:rPr>
          <w:rFonts w:eastAsia="標楷體" w:hint="eastAsia"/>
          <w:sz w:val="26"/>
          <w:szCs w:val="26"/>
        </w:rPr>
        <w:t>。</w:t>
      </w:r>
      <w:r w:rsidR="00ED4FC0" w:rsidRPr="00EA272E">
        <w:rPr>
          <w:rFonts w:eastAsia="標楷體" w:hint="eastAsia"/>
          <w:sz w:val="26"/>
          <w:szCs w:val="26"/>
        </w:rPr>
        <w:t>截至</w:t>
      </w:r>
      <w:r w:rsidR="00211437">
        <w:rPr>
          <w:rFonts w:eastAsia="標楷體" w:hint="eastAsia"/>
          <w:sz w:val="26"/>
          <w:szCs w:val="26"/>
        </w:rPr>
        <w:t>105</w:t>
      </w:r>
      <w:r w:rsidRPr="00356936">
        <w:rPr>
          <w:rFonts w:eastAsia="標楷體" w:hint="eastAsia"/>
          <w:sz w:val="26"/>
          <w:szCs w:val="26"/>
        </w:rPr>
        <w:t>年</w:t>
      </w:r>
      <w:r w:rsidR="00BD67BA">
        <w:rPr>
          <w:rFonts w:eastAsia="標楷體" w:hint="eastAsia"/>
          <w:sz w:val="26"/>
          <w:szCs w:val="26"/>
        </w:rPr>
        <w:t>底</w:t>
      </w:r>
      <w:r w:rsidR="00ED4FC0" w:rsidRPr="00356936">
        <w:rPr>
          <w:rFonts w:eastAsia="標楷體" w:hint="eastAsia"/>
          <w:sz w:val="26"/>
          <w:szCs w:val="26"/>
        </w:rPr>
        <w:t>止</w:t>
      </w:r>
      <w:r w:rsidR="00ED4FC0" w:rsidRPr="00EA272E">
        <w:rPr>
          <w:rFonts w:eastAsia="標楷體" w:hint="eastAsia"/>
          <w:sz w:val="26"/>
          <w:szCs w:val="26"/>
        </w:rPr>
        <w:t>實收資本額為新台幣</w:t>
      </w:r>
      <w:r w:rsidRPr="00434E06">
        <w:rPr>
          <w:rFonts w:eastAsia="標楷體"/>
          <w:sz w:val="26"/>
          <w:szCs w:val="26"/>
        </w:rPr>
        <w:t>6</w:t>
      </w:r>
      <w:r w:rsidRPr="00434E06">
        <w:rPr>
          <w:rFonts w:eastAsia="標楷體" w:hint="eastAsia"/>
          <w:sz w:val="26"/>
          <w:szCs w:val="26"/>
        </w:rPr>
        <w:t>0</w:t>
      </w:r>
      <w:r w:rsidRPr="00434E06">
        <w:rPr>
          <w:rFonts w:eastAsia="標楷體"/>
          <w:sz w:val="26"/>
          <w:szCs w:val="26"/>
        </w:rPr>
        <w:t>,000</w:t>
      </w:r>
      <w:r w:rsidRPr="00434E06">
        <w:rPr>
          <w:rFonts w:eastAsia="標楷體" w:hint="eastAsia"/>
          <w:sz w:val="26"/>
          <w:szCs w:val="26"/>
        </w:rPr>
        <w:t>,000</w:t>
      </w:r>
      <w:r w:rsidR="00ED4FC0" w:rsidRPr="00EA272E">
        <w:rPr>
          <w:rFonts w:eastAsia="標楷體" w:hint="eastAsia"/>
          <w:sz w:val="26"/>
          <w:szCs w:val="26"/>
        </w:rPr>
        <w:t>元，員工人</w:t>
      </w:r>
      <w:r w:rsidR="00ED4FC0" w:rsidRPr="00DC0491">
        <w:rPr>
          <w:rFonts w:eastAsia="標楷體" w:hint="eastAsia"/>
          <w:sz w:val="26"/>
          <w:szCs w:val="26"/>
        </w:rPr>
        <w:t>數</w:t>
      </w:r>
      <w:r w:rsidR="007B09DC" w:rsidRPr="00DC0491">
        <w:rPr>
          <w:rFonts w:eastAsia="標楷體" w:hint="eastAsia"/>
          <w:sz w:val="26"/>
          <w:szCs w:val="26"/>
        </w:rPr>
        <w:t>26</w:t>
      </w:r>
      <w:r w:rsidR="00ED4FC0" w:rsidRPr="00DC0491">
        <w:rPr>
          <w:rFonts w:eastAsia="標楷體" w:hint="eastAsia"/>
          <w:sz w:val="26"/>
          <w:szCs w:val="26"/>
        </w:rPr>
        <w:t>人</w:t>
      </w:r>
      <w:r w:rsidR="00ED4FC0" w:rsidRPr="00EA272E">
        <w:rPr>
          <w:rFonts w:eastAsia="標楷體" w:hint="eastAsia"/>
          <w:sz w:val="26"/>
          <w:szCs w:val="26"/>
        </w:rPr>
        <w:t>。</w:t>
      </w:r>
    </w:p>
    <w:p w:rsidR="004C5A82" w:rsidRDefault="00DA1929" w:rsidP="00D82424">
      <w:pPr>
        <w:spacing w:beforeLines="50" w:before="120" w:afterLines="50" w:after="120" w:line="360" w:lineRule="auto"/>
        <w:ind w:leftChars="200" w:left="480" w:firstLineChars="200" w:firstLine="520"/>
        <w:jc w:val="both"/>
        <w:rPr>
          <w:rFonts w:eastAsia="標楷體"/>
          <w:sz w:val="26"/>
          <w:szCs w:val="26"/>
        </w:rPr>
      </w:pPr>
      <w:r w:rsidRPr="00434E06">
        <w:rPr>
          <w:rFonts w:eastAsia="標楷體"/>
          <w:sz w:val="26"/>
          <w:szCs w:val="26"/>
        </w:rPr>
        <w:t>瀚昌公司為布料貿易商，</w:t>
      </w:r>
      <w:r w:rsidRPr="00434E06">
        <w:rPr>
          <w:rFonts w:eastAsia="標楷體" w:hint="eastAsia"/>
          <w:sz w:val="26"/>
          <w:szCs w:val="26"/>
        </w:rPr>
        <w:t>將</w:t>
      </w:r>
      <w:r w:rsidRPr="00434E06">
        <w:rPr>
          <w:rFonts w:eastAsia="標楷體"/>
          <w:sz w:val="26"/>
          <w:szCs w:val="26"/>
        </w:rPr>
        <w:t>布料及副料（鈕釦、拉鍊）</w:t>
      </w:r>
      <w:r w:rsidRPr="00434E06">
        <w:rPr>
          <w:rFonts w:eastAsia="標楷體" w:hint="eastAsia"/>
          <w:sz w:val="26"/>
          <w:szCs w:val="26"/>
        </w:rPr>
        <w:t>售予</w:t>
      </w:r>
      <w:r w:rsidRPr="00434E06">
        <w:rPr>
          <w:rFonts w:eastAsia="標楷體"/>
          <w:sz w:val="26"/>
          <w:szCs w:val="26"/>
        </w:rPr>
        <w:t>印尼外銷成衣製造廠</w:t>
      </w:r>
      <w:proofErr w:type="spellStart"/>
      <w:r w:rsidRPr="00434E06">
        <w:rPr>
          <w:rFonts w:eastAsia="標楷體"/>
          <w:sz w:val="26"/>
          <w:szCs w:val="26"/>
        </w:rPr>
        <w:t>P.T.Handsum</w:t>
      </w:r>
      <w:proofErr w:type="spellEnd"/>
      <w:r w:rsidRPr="00434E06">
        <w:rPr>
          <w:rFonts w:eastAsia="標楷體"/>
          <w:sz w:val="26"/>
          <w:szCs w:val="26"/>
        </w:rPr>
        <w:t>（『</w:t>
      </w:r>
      <w:r w:rsidRPr="00434E06">
        <w:rPr>
          <w:rFonts w:eastAsia="標楷體"/>
          <w:sz w:val="26"/>
          <w:szCs w:val="26"/>
        </w:rPr>
        <w:t>PT</w:t>
      </w:r>
      <w:r w:rsidRPr="00434E06">
        <w:rPr>
          <w:rFonts w:eastAsia="標楷體"/>
          <w:sz w:val="26"/>
          <w:szCs w:val="26"/>
        </w:rPr>
        <w:t>』）</w:t>
      </w:r>
      <w:r w:rsidRPr="00434E06">
        <w:rPr>
          <w:rFonts w:eastAsia="標楷體" w:hint="eastAsia"/>
          <w:sz w:val="26"/>
          <w:szCs w:val="26"/>
        </w:rPr>
        <w:t>。瀚昌公司因布料供應商多位於中南部，故於</w:t>
      </w:r>
      <w:r w:rsidRPr="00434E06">
        <w:rPr>
          <w:rFonts w:eastAsia="標楷體"/>
          <w:sz w:val="26"/>
          <w:szCs w:val="26"/>
        </w:rPr>
        <w:t>台南設有據點</w:t>
      </w:r>
      <w:r w:rsidRPr="00434E06">
        <w:rPr>
          <w:rFonts w:eastAsia="標楷體" w:hint="eastAsia"/>
          <w:sz w:val="26"/>
          <w:szCs w:val="26"/>
        </w:rPr>
        <w:t>及倉庫，置放</w:t>
      </w:r>
      <w:r w:rsidRPr="00434E06">
        <w:rPr>
          <w:rFonts w:eastAsia="標楷體"/>
          <w:sz w:val="26"/>
          <w:szCs w:val="26"/>
        </w:rPr>
        <w:t>供應商來貨</w:t>
      </w:r>
      <w:r w:rsidRPr="00434E06">
        <w:rPr>
          <w:rFonts w:eastAsia="標楷體" w:hint="eastAsia"/>
          <w:sz w:val="26"/>
          <w:szCs w:val="26"/>
        </w:rPr>
        <w:t>，所有貨物均需經其</w:t>
      </w:r>
      <w:r w:rsidRPr="00434E06">
        <w:rPr>
          <w:rFonts w:eastAsia="標楷體"/>
          <w:sz w:val="26"/>
          <w:szCs w:val="26"/>
        </w:rPr>
        <w:t>檢驗合格</w:t>
      </w:r>
      <w:r w:rsidRPr="00434E06">
        <w:rPr>
          <w:rFonts w:eastAsia="標楷體" w:hint="eastAsia"/>
          <w:sz w:val="26"/>
          <w:szCs w:val="26"/>
        </w:rPr>
        <w:t>才</w:t>
      </w:r>
      <w:r w:rsidRPr="00434E06">
        <w:rPr>
          <w:rFonts w:eastAsia="標楷體"/>
          <w:sz w:val="26"/>
          <w:szCs w:val="26"/>
        </w:rPr>
        <w:t>出口</w:t>
      </w:r>
      <w:r w:rsidRPr="00434E06">
        <w:rPr>
          <w:rFonts w:eastAsia="標楷體" w:hint="eastAsia"/>
          <w:sz w:val="26"/>
          <w:szCs w:val="26"/>
        </w:rPr>
        <w:t>予</w:t>
      </w:r>
      <w:r w:rsidRPr="00434E06">
        <w:rPr>
          <w:rFonts w:eastAsia="標楷體" w:hint="eastAsia"/>
          <w:sz w:val="26"/>
          <w:szCs w:val="26"/>
        </w:rPr>
        <w:t>PT</w:t>
      </w:r>
      <w:r w:rsidRPr="00434E06">
        <w:rPr>
          <w:rFonts w:eastAsia="標楷體"/>
          <w:sz w:val="26"/>
          <w:szCs w:val="26"/>
        </w:rPr>
        <w:t>。</w:t>
      </w:r>
    </w:p>
    <w:p w:rsidR="004C5A82" w:rsidRDefault="00DA1929" w:rsidP="00D82424">
      <w:pPr>
        <w:numPr>
          <w:ilvl w:val="0"/>
          <w:numId w:val="10"/>
        </w:numPr>
        <w:tabs>
          <w:tab w:val="left" w:pos="1134"/>
        </w:tabs>
        <w:spacing w:beforeLines="50" w:before="120" w:afterLines="50" w:after="120" w:line="360" w:lineRule="auto"/>
        <w:ind w:leftChars="250" w:left="1080"/>
        <w:jc w:val="both"/>
        <w:rPr>
          <w:rFonts w:eastAsia="標楷體"/>
          <w:b/>
          <w:sz w:val="28"/>
          <w:szCs w:val="28"/>
        </w:rPr>
      </w:pPr>
      <w:r w:rsidRPr="00E13CED">
        <w:rPr>
          <w:rFonts w:eastAsia="標楷體"/>
          <w:b/>
          <w:sz w:val="28"/>
          <w:szCs w:val="28"/>
        </w:rPr>
        <w:t>主要</w:t>
      </w:r>
      <w:r w:rsidRPr="00E13CED">
        <w:rPr>
          <w:rFonts w:eastAsia="標楷體" w:hint="eastAsia"/>
          <w:b/>
          <w:sz w:val="28"/>
          <w:szCs w:val="28"/>
        </w:rPr>
        <w:t>商業活動說明</w:t>
      </w:r>
    </w:p>
    <w:p w:rsidR="004C5A82" w:rsidRDefault="00DA1929" w:rsidP="00D82424">
      <w:pPr>
        <w:spacing w:beforeLines="50" w:before="120" w:afterLines="50" w:after="120" w:line="360" w:lineRule="auto"/>
        <w:ind w:leftChars="200" w:left="480" w:firstLineChars="200" w:firstLine="520"/>
        <w:jc w:val="both"/>
        <w:rPr>
          <w:rFonts w:eastAsia="標楷體"/>
          <w:sz w:val="26"/>
          <w:szCs w:val="26"/>
        </w:rPr>
      </w:pPr>
      <w:r w:rsidRPr="00A742BB">
        <w:rPr>
          <w:rFonts w:eastAsia="標楷體"/>
          <w:sz w:val="26"/>
          <w:szCs w:val="26"/>
        </w:rPr>
        <w:t>PT</w:t>
      </w:r>
      <w:r w:rsidRPr="00A742BB">
        <w:rPr>
          <w:rFonts w:eastAsia="標楷體"/>
          <w:sz w:val="26"/>
          <w:szCs w:val="26"/>
        </w:rPr>
        <w:t>為瀚昌公司唯一客戶，兩公司</w:t>
      </w:r>
      <w:r w:rsidRPr="00A742BB">
        <w:rPr>
          <w:rFonts w:eastAsia="標楷體" w:hint="eastAsia"/>
          <w:sz w:val="26"/>
          <w:szCs w:val="26"/>
        </w:rPr>
        <w:t>經</w:t>
      </w:r>
      <w:r w:rsidRPr="00A742BB">
        <w:rPr>
          <w:rFonts w:eastAsia="標楷體"/>
          <w:sz w:val="26"/>
          <w:szCs w:val="26"/>
        </w:rPr>
        <w:t>多年</w:t>
      </w:r>
      <w:r w:rsidRPr="00A742BB">
        <w:rPr>
          <w:rFonts w:eastAsia="標楷體" w:hint="eastAsia"/>
          <w:sz w:val="26"/>
          <w:szCs w:val="26"/>
        </w:rPr>
        <w:t>合作</w:t>
      </w:r>
      <w:r w:rsidRPr="00A742BB">
        <w:rPr>
          <w:rFonts w:eastAsia="標楷體"/>
          <w:sz w:val="26"/>
          <w:szCs w:val="26"/>
        </w:rPr>
        <w:t>，關係良好</w:t>
      </w:r>
      <w:r w:rsidRPr="00A742BB">
        <w:rPr>
          <w:rFonts w:eastAsia="標楷體" w:hint="eastAsia"/>
          <w:sz w:val="26"/>
          <w:szCs w:val="26"/>
        </w:rPr>
        <w:t>。</w:t>
      </w:r>
      <w:r w:rsidRPr="00A742BB">
        <w:rPr>
          <w:rFonts w:eastAsia="標楷體"/>
          <w:sz w:val="26"/>
          <w:szCs w:val="26"/>
        </w:rPr>
        <w:t>鑑於布料貿易商</w:t>
      </w:r>
      <w:r w:rsidRPr="00A742BB">
        <w:rPr>
          <w:rFonts w:eastAsia="標楷體" w:hint="eastAsia"/>
          <w:sz w:val="26"/>
          <w:szCs w:val="26"/>
        </w:rPr>
        <w:t>近年</w:t>
      </w:r>
      <w:r w:rsidRPr="00A742BB">
        <w:rPr>
          <w:rFonts w:eastAsia="標楷體"/>
          <w:sz w:val="26"/>
          <w:szCs w:val="26"/>
        </w:rPr>
        <w:t>因競爭</w:t>
      </w:r>
      <w:r w:rsidRPr="00A742BB">
        <w:rPr>
          <w:rFonts w:eastAsia="標楷體" w:hint="eastAsia"/>
          <w:sz w:val="26"/>
          <w:szCs w:val="26"/>
        </w:rPr>
        <w:t>激烈，利潤</w:t>
      </w:r>
      <w:r w:rsidRPr="00A742BB">
        <w:rPr>
          <w:rFonts w:eastAsia="標楷體"/>
          <w:sz w:val="26"/>
          <w:szCs w:val="26"/>
        </w:rPr>
        <w:t>被壓縮，</w:t>
      </w:r>
      <w:r w:rsidRPr="00A742BB">
        <w:rPr>
          <w:rFonts w:eastAsia="標楷體" w:hint="eastAsia"/>
          <w:sz w:val="26"/>
          <w:szCs w:val="26"/>
        </w:rPr>
        <w:t>瀚昌公司認為</w:t>
      </w:r>
      <w:r w:rsidRPr="00A742BB">
        <w:rPr>
          <w:rFonts w:eastAsia="標楷體"/>
          <w:sz w:val="26"/>
          <w:szCs w:val="26"/>
        </w:rPr>
        <w:t>與其花費</w:t>
      </w:r>
      <w:r w:rsidRPr="00A742BB">
        <w:rPr>
          <w:rFonts w:eastAsia="標楷體" w:hint="eastAsia"/>
          <w:sz w:val="26"/>
          <w:szCs w:val="26"/>
        </w:rPr>
        <w:t>龐大</w:t>
      </w:r>
      <w:r w:rsidRPr="00A742BB">
        <w:rPr>
          <w:rFonts w:eastAsia="標楷體"/>
          <w:sz w:val="26"/>
          <w:szCs w:val="26"/>
        </w:rPr>
        <w:t>行銷費用開拓客源，不如服務</w:t>
      </w:r>
      <w:r w:rsidRPr="00A742BB">
        <w:rPr>
          <w:rFonts w:eastAsia="標楷體"/>
          <w:sz w:val="26"/>
          <w:szCs w:val="26"/>
        </w:rPr>
        <w:t>PT</w:t>
      </w:r>
      <w:r w:rsidRPr="00A742BB">
        <w:rPr>
          <w:rFonts w:eastAsia="標楷體"/>
          <w:sz w:val="26"/>
          <w:szCs w:val="26"/>
        </w:rPr>
        <w:t>一家客戶，反能賺得尚可之利潤，故成為</w:t>
      </w:r>
      <w:r w:rsidRPr="00A742BB">
        <w:rPr>
          <w:rFonts w:eastAsia="標楷體"/>
          <w:sz w:val="26"/>
          <w:szCs w:val="26"/>
        </w:rPr>
        <w:t>PT</w:t>
      </w:r>
      <w:r>
        <w:rPr>
          <w:rFonts w:eastAsia="標楷體"/>
          <w:sz w:val="26"/>
          <w:szCs w:val="26"/>
        </w:rPr>
        <w:t>生產</w:t>
      </w:r>
      <w:r>
        <w:rPr>
          <w:rFonts w:eastAsia="標楷體" w:hint="eastAsia"/>
          <w:sz w:val="26"/>
          <w:szCs w:val="26"/>
        </w:rPr>
        <w:t>鏈</w:t>
      </w:r>
      <w:r w:rsidRPr="00A742BB">
        <w:rPr>
          <w:rFonts w:eastAsia="標楷體"/>
          <w:sz w:val="26"/>
          <w:szCs w:val="26"/>
        </w:rPr>
        <w:t>一環，</w:t>
      </w:r>
      <w:r w:rsidRPr="00A742BB">
        <w:rPr>
          <w:rFonts w:eastAsia="標楷體" w:hint="eastAsia"/>
          <w:sz w:val="26"/>
          <w:szCs w:val="26"/>
        </w:rPr>
        <w:t>專</w:t>
      </w:r>
      <w:r w:rsidRPr="00A742BB">
        <w:rPr>
          <w:rFonts w:eastAsia="標楷體"/>
          <w:sz w:val="26"/>
          <w:szCs w:val="26"/>
        </w:rPr>
        <w:t>為其採購布料。</w:t>
      </w:r>
    </w:p>
    <w:p w:rsidR="004C5A82" w:rsidRDefault="00DA1929" w:rsidP="00D82424">
      <w:pPr>
        <w:spacing w:beforeLines="50" w:before="120" w:afterLines="50" w:after="120" w:line="360" w:lineRule="auto"/>
        <w:ind w:leftChars="200" w:left="480" w:firstLineChars="200" w:firstLine="520"/>
        <w:jc w:val="both"/>
        <w:rPr>
          <w:rFonts w:eastAsia="標楷體"/>
          <w:sz w:val="26"/>
          <w:szCs w:val="26"/>
        </w:rPr>
      </w:pPr>
      <w:r w:rsidRPr="00A742BB">
        <w:rPr>
          <w:rFonts w:eastAsia="標楷體" w:hint="eastAsia"/>
          <w:sz w:val="26"/>
          <w:szCs w:val="26"/>
        </w:rPr>
        <w:t>PT</w:t>
      </w:r>
      <w:r w:rsidRPr="00A742BB">
        <w:rPr>
          <w:rFonts w:eastAsia="標楷體" w:hint="eastAsia"/>
          <w:sz w:val="26"/>
          <w:szCs w:val="26"/>
        </w:rPr>
        <w:t>所以選擇</w:t>
      </w:r>
      <w:r w:rsidRPr="00A742BB">
        <w:rPr>
          <w:rFonts w:eastAsia="標楷體"/>
          <w:sz w:val="26"/>
          <w:szCs w:val="26"/>
        </w:rPr>
        <w:t>瀚昌公司</w:t>
      </w:r>
      <w:r w:rsidRPr="00A742BB">
        <w:rPr>
          <w:rFonts w:eastAsia="標楷體" w:hint="eastAsia"/>
          <w:sz w:val="26"/>
          <w:szCs w:val="26"/>
        </w:rPr>
        <w:t>為供應商，</w:t>
      </w:r>
      <w:r w:rsidRPr="00A742BB">
        <w:rPr>
          <w:rFonts w:eastAsia="標楷體"/>
          <w:sz w:val="26"/>
          <w:szCs w:val="26"/>
        </w:rPr>
        <w:t>在於台灣紡織廠技術優良，所產布匹設計新穎精美，交件又快。</w:t>
      </w:r>
      <w:r w:rsidRPr="00A742BB">
        <w:rPr>
          <w:rFonts w:eastAsia="標楷體" w:hint="eastAsia"/>
          <w:sz w:val="26"/>
          <w:szCs w:val="26"/>
        </w:rPr>
        <w:t>由於</w:t>
      </w:r>
      <w:r w:rsidRPr="00A742BB">
        <w:rPr>
          <w:rFonts w:eastAsia="標楷體"/>
          <w:sz w:val="26"/>
          <w:szCs w:val="26"/>
        </w:rPr>
        <w:t>布匹</w:t>
      </w:r>
      <w:r w:rsidRPr="00A742BB">
        <w:rPr>
          <w:rFonts w:eastAsia="標楷體" w:hint="eastAsia"/>
          <w:sz w:val="26"/>
          <w:szCs w:val="26"/>
        </w:rPr>
        <w:t>之</w:t>
      </w:r>
      <w:r w:rsidRPr="00A742BB">
        <w:rPr>
          <w:rFonts w:eastAsia="標楷體"/>
          <w:sz w:val="26"/>
          <w:szCs w:val="26"/>
        </w:rPr>
        <w:t>設計及材質日新月異，瀚昌</w:t>
      </w:r>
      <w:r>
        <w:rPr>
          <w:rFonts w:eastAsia="標楷體" w:hint="eastAsia"/>
          <w:sz w:val="26"/>
          <w:szCs w:val="26"/>
        </w:rPr>
        <w:t>公司</w:t>
      </w:r>
      <w:r w:rsidRPr="00A742BB">
        <w:rPr>
          <w:rFonts w:eastAsia="標楷體"/>
          <w:sz w:val="26"/>
          <w:szCs w:val="26"/>
        </w:rPr>
        <w:t>為增加銷售量，</w:t>
      </w:r>
      <w:r w:rsidRPr="00A742BB">
        <w:rPr>
          <w:rFonts w:eastAsia="標楷體" w:hint="eastAsia"/>
          <w:sz w:val="26"/>
          <w:szCs w:val="26"/>
        </w:rPr>
        <w:t>會</w:t>
      </w:r>
      <w:r w:rsidRPr="00A742BB">
        <w:rPr>
          <w:rFonts w:eastAsia="標楷體"/>
          <w:sz w:val="26"/>
          <w:szCs w:val="26"/>
        </w:rPr>
        <w:t>經常知會</w:t>
      </w:r>
      <w:r w:rsidRPr="00A742BB">
        <w:rPr>
          <w:rFonts w:eastAsia="標楷體"/>
          <w:sz w:val="26"/>
          <w:szCs w:val="26"/>
        </w:rPr>
        <w:t>PT</w:t>
      </w:r>
      <w:r w:rsidRPr="00A742BB">
        <w:rPr>
          <w:rFonts w:eastAsia="標楷體"/>
          <w:sz w:val="26"/>
          <w:szCs w:val="26"/>
        </w:rPr>
        <w:t>新出布料之形態款式，並</w:t>
      </w:r>
      <w:r w:rsidRPr="00A742BB">
        <w:rPr>
          <w:rFonts w:eastAsia="標楷體" w:hint="eastAsia"/>
          <w:sz w:val="26"/>
          <w:szCs w:val="26"/>
        </w:rPr>
        <w:t>於</w:t>
      </w:r>
      <w:r w:rsidRPr="00A742BB">
        <w:rPr>
          <w:rFonts w:eastAsia="標楷體"/>
          <w:sz w:val="26"/>
          <w:szCs w:val="26"/>
        </w:rPr>
        <w:t>PT</w:t>
      </w:r>
      <w:r w:rsidRPr="00A742BB">
        <w:rPr>
          <w:rFonts w:eastAsia="標楷體"/>
          <w:sz w:val="26"/>
          <w:szCs w:val="26"/>
        </w:rPr>
        <w:t>下單後，緊盯供應商</w:t>
      </w:r>
      <w:r w:rsidRPr="00A742BB">
        <w:rPr>
          <w:rFonts w:eastAsia="標楷體" w:hint="eastAsia"/>
          <w:sz w:val="26"/>
          <w:szCs w:val="26"/>
        </w:rPr>
        <w:t>之</w:t>
      </w:r>
      <w:r w:rsidRPr="00A742BB">
        <w:rPr>
          <w:rFonts w:eastAsia="標楷體"/>
          <w:sz w:val="26"/>
          <w:szCs w:val="26"/>
        </w:rPr>
        <w:t>出貨品質及交付日期。</w:t>
      </w:r>
    </w:p>
    <w:p w:rsidR="004C5A82" w:rsidRDefault="00DA1929" w:rsidP="00D82424">
      <w:pPr>
        <w:spacing w:beforeLines="50" w:before="120" w:afterLines="50" w:after="120" w:line="360" w:lineRule="auto"/>
        <w:ind w:leftChars="200" w:left="480" w:firstLineChars="200" w:firstLine="520"/>
        <w:jc w:val="both"/>
        <w:rPr>
          <w:rFonts w:eastAsia="標楷體"/>
          <w:sz w:val="26"/>
          <w:szCs w:val="26"/>
        </w:rPr>
      </w:pPr>
      <w:r w:rsidRPr="00A742BB">
        <w:rPr>
          <w:rFonts w:eastAsia="標楷體"/>
          <w:sz w:val="26"/>
          <w:szCs w:val="26"/>
        </w:rPr>
        <w:lastRenderedPageBreak/>
        <w:t>瀚昌公司</w:t>
      </w:r>
      <w:r>
        <w:rPr>
          <w:rFonts w:eastAsia="標楷體" w:hint="eastAsia"/>
          <w:sz w:val="26"/>
          <w:szCs w:val="26"/>
        </w:rPr>
        <w:t>主要產品為</w:t>
      </w:r>
      <w:r w:rsidRPr="00A742BB">
        <w:rPr>
          <w:rFonts w:eastAsia="標楷體"/>
          <w:sz w:val="26"/>
          <w:szCs w:val="26"/>
        </w:rPr>
        <w:t>外銷布料及鈕釦、拉鏈等製衣副料</w:t>
      </w:r>
      <w:r w:rsidR="009D5C97" w:rsidRPr="00A742BB">
        <w:rPr>
          <w:rFonts w:eastAsia="標楷體"/>
          <w:sz w:val="26"/>
          <w:szCs w:val="26"/>
        </w:rPr>
        <w:t>，</w:t>
      </w:r>
      <w:r w:rsidR="009D5C97">
        <w:rPr>
          <w:rFonts w:eastAsia="標楷體" w:hint="eastAsia"/>
          <w:sz w:val="26"/>
          <w:szCs w:val="26"/>
        </w:rPr>
        <w:t>進行各種</w:t>
      </w:r>
      <w:r w:rsidR="00986CAA">
        <w:rPr>
          <w:rFonts w:eastAsia="標楷體" w:hint="eastAsia"/>
          <w:sz w:val="26"/>
          <w:szCs w:val="26"/>
        </w:rPr>
        <w:t>成</w:t>
      </w:r>
      <w:r w:rsidR="009D5C97">
        <w:rPr>
          <w:rFonts w:eastAsia="標楷體" w:hint="eastAsia"/>
          <w:sz w:val="26"/>
          <w:szCs w:val="26"/>
        </w:rPr>
        <w:t>衣類之裁剪、縫整及加工業務</w:t>
      </w:r>
      <w:r>
        <w:rPr>
          <w:rFonts w:eastAsia="標楷體" w:hint="eastAsia"/>
          <w:sz w:val="26"/>
          <w:szCs w:val="26"/>
        </w:rPr>
        <w:t>。</w:t>
      </w:r>
    </w:p>
    <w:p w:rsidR="004C5A82" w:rsidRDefault="00DE04C5" w:rsidP="00D82424">
      <w:pPr>
        <w:numPr>
          <w:ilvl w:val="0"/>
          <w:numId w:val="10"/>
        </w:numPr>
        <w:tabs>
          <w:tab w:val="left" w:pos="1134"/>
        </w:tabs>
        <w:spacing w:beforeLines="50" w:before="120" w:afterLines="50" w:after="120" w:line="360" w:lineRule="auto"/>
        <w:ind w:leftChars="250" w:left="1080"/>
        <w:jc w:val="both"/>
        <w:rPr>
          <w:rFonts w:eastAsia="標楷體"/>
          <w:b/>
          <w:sz w:val="28"/>
          <w:szCs w:val="28"/>
        </w:rPr>
      </w:pPr>
      <w:bookmarkStart w:id="33" w:name="_Toc158135135"/>
      <w:bookmarkStart w:id="34" w:name="_Toc166242648"/>
      <w:r w:rsidRPr="00E13CED">
        <w:rPr>
          <w:rFonts w:eastAsia="標楷體" w:hint="eastAsia"/>
          <w:b/>
          <w:sz w:val="28"/>
          <w:szCs w:val="28"/>
        </w:rPr>
        <w:t>事業部門介紹</w:t>
      </w:r>
      <w:bookmarkEnd w:id="33"/>
      <w:bookmarkEnd w:id="34"/>
    </w:p>
    <w:p w:rsidR="004C5A82" w:rsidRDefault="0096034D" w:rsidP="00D82424">
      <w:pPr>
        <w:numPr>
          <w:ilvl w:val="0"/>
          <w:numId w:val="27"/>
        </w:numPr>
        <w:tabs>
          <w:tab w:val="left" w:pos="1134"/>
        </w:tabs>
        <w:spacing w:beforeLines="50" w:before="120" w:afterLines="50" w:after="120" w:line="360" w:lineRule="auto"/>
        <w:ind w:hanging="1320"/>
        <w:jc w:val="both"/>
        <w:rPr>
          <w:rFonts w:eastAsia="標楷體"/>
          <w:b/>
          <w:sz w:val="26"/>
          <w:szCs w:val="26"/>
        </w:rPr>
      </w:pPr>
      <w:r w:rsidRPr="00DC1554">
        <w:rPr>
          <w:rFonts w:eastAsia="標楷體" w:hint="eastAsia"/>
          <w:b/>
          <w:sz w:val="26"/>
          <w:szCs w:val="26"/>
        </w:rPr>
        <w:t>部門</w:t>
      </w:r>
      <w:r w:rsidR="00567251" w:rsidRPr="00DC1554">
        <w:rPr>
          <w:rFonts w:eastAsia="標楷體"/>
          <w:b/>
          <w:sz w:val="26"/>
          <w:szCs w:val="26"/>
        </w:rPr>
        <w:t>組織圖</w:t>
      </w:r>
    </w:p>
    <w:bookmarkStart w:id="35" w:name="_MON_1335265547"/>
    <w:bookmarkStart w:id="36" w:name="_MON_1335265552"/>
    <w:bookmarkStart w:id="37" w:name="_MON_1349618820"/>
    <w:bookmarkStart w:id="38" w:name="_MON_1357733511"/>
    <w:bookmarkStart w:id="39" w:name="_MON_1357733706"/>
    <w:bookmarkStart w:id="40" w:name="_MON_1357740843"/>
    <w:bookmarkStart w:id="41" w:name="_MON_1396101109"/>
    <w:bookmarkStart w:id="42" w:name="_MON_1396101113"/>
    <w:bookmarkStart w:id="43" w:name="_MON_1427609490"/>
    <w:bookmarkStart w:id="44" w:name="_MON_1254122278"/>
    <w:bookmarkStart w:id="45" w:name="_MON_1254296451"/>
    <w:bookmarkStart w:id="46" w:name="_MON_1254727867"/>
    <w:bookmarkStart w:id="47" w:name="_MON_1254754946"/>
    <w:bookmarkStart w:id="48" w:name="_MON_1254830833"/>
    <w:bookmarkStart w:id="49" w:name="_MON_1272906592"/>
    <w:bookmarkStart w:id="50" w:name="_MON_1305641459"/>
    <w:bookmarkStart w:id="51" w:name="_MON_1306157992"/>
    <w:bookmarkStart w:id="52" w:name="_MON_1306158313"/>
    <w:bookmarkStart w:id="53" w:name="_MON_1306158323"/>
    <w:bookmarkStart w:id="54" w:name="_MON_1306158382"/>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Start w:id="55" w:name="_MON_1335265507"/>
    <w:bookmarkEnd w:id="55"/>
    <w:p w:rsidR="004C5A82" w:rsidRDefault="00D809C8" w:rsidP="00D82424">
      <w:pPr>
        <w:spacing w:beforeLines="50" w:before="120" w:afterLines="50" w:after="120" w:line="360" w:lineRule="auto"/>
        <w:ind w:leftChars="200" w:left="480" w:firstLineChars="200" w:firstLine="480"/>
        <w:jc w:val="both"/>
        <w:rPr>
          <w:rFonts w:eastAsia="標楷體"/>
          <w:color w:val="0070C0"/>
          <w:sz w:val="26"/>
          <w:szCs w:val="26"/>
        </w:rPr>
      </w:pPr>
      <w:r w:rsidRPr="00EA272E">
        <w:rPr>
          <w:rFonts w:eastAsia="標楷體"/>
          <w:b/>
          <w:bCs/>
          <w:color w:val="0000FF"/>
        </w:rPr>
        <w:object w:dxaOrig="8820" w:dyaOrig="3806">
          <v:shape id="_x0000_i1025" type="#_x0000_t75" style="width:419.4pt;height:141.75pt" o:ole="">
            <v:imagedata r:id="rId22" o:title="" croptop="-17f" cropbottom="12921f" cropleft="1379f"/>
          </v:shape>
          <o:OLEObject Type="Embed" ProgID="Word.Picture.8" ShapeID="_x0000_i1025" DrawAspect="Content" ObjectID="_1558159030" r:id="rId23"/>
        </w:object>
      </w:r>
    </w:p>
    <w:p w:rsidR="004C5A82" w:rsidRDefault="00ED4FC0" w:rsidP="00D82424">
      <w:pPr>
        <w:numPr>
          <w:ilvl w:val="0"/>
          <w:numId w:val="27"/>
        </w:numPr>
        <w:tabs>
          <w:tab w:val="clear" w:pos="1920"/>
          <w:tab w:val="left" w:pos="1134"/>
          <w:tab w:val="num" w:pos="1200"/>
        </w:tabs>
        <w:spacing w:beforeLines="50" w:before="120" w:afterLines="50" w:after="120" w:line="360" w:lineRule="auto"/>
        <w:ind w:hanging="1320"/>
        <w:jc w:val="both"/>
        <w:rPr>
          <w:rFonts w:eastAsia="標楷體"/>
          <w:b/>
          <w:sz w:val="26"/>
          <w:szCs w:val="26"/>
        </w:rPr>
      </w:pPr>
      <w:r w:rsidRPr="00DC1554">
        <w:rPr>
          <w:rFonts w:eastAsia="標楷體"/>
          <w:b/>
          <w:sz w:val="26"/>
          <w:szCs w:val="26"/>
        </w:rPr>
        <w:t>各</w:t>
      </w:r>
      <w:r w:rsidR="00567251" w:rsidRPr="00DC1554">
        <w:rPr>
          <w:rFonts w:eastAsia="標楷體"/>
          <w:b/>
          <w:sz w:val="26"/>
          <w:szCs w:val="26"/>
        </w:rPr>
        <w:t>部門業務職掌</w:t>
      </w:r>
    </w:p>
    <w:tbl>
      <w:tblPr>
        <w:tblW w:w="7867" w:type="dxa"/>
        <w:jc w:val="right"/>
        <w:tblInd w:w="9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498"/>
        <w:gridCol w:w="6369"/>
      </w:tblGrid>
      <w:tr w:rsidR="00A14326" w:rsidRPr="00EA272E">
        <w:trPr>
          <w:trHeight w:val="530"/>
          <w:tblHeader/>
          <w:jc w:val="right"/>
        </w:trPr>
        <w:tc>
          <w:tcPr>
            <w:tcW w:w="1498" w:type="dxa"/>
            <w:shd w:val="clear" w:color="auto" w:fill="4F81BD"/>
            <w:vAlign w:val="center"/>
          </w:tcPr>
          <w:p w:rsidR="00A14326" w:rsidRPr="00EA272E" w:rsidRDefault="00A14326" w:rsidP="00D809C8">
            <w:pPr>
              <w:widowControl/>
              <w:jc w:val="center"/>
              <w:rPr>
                <w:rFonts w:eastAsia="標楷體"/>
                <w:bCs/>
                <w:color w:val="FFFFFF"/>
                <w:kern w:val="0"/>
                <w:sz w:val="26"/>
                <w:szCs w:val="26"/>
              </w:rPr>
            </w:pPr>
            <w:r w:rsidRPr="00EA272E">
              <w:rPr>
                <w:rFonts w:eastAsia="標楷體" w:hint="eastAsia"/>
                <w:bCs/>
                <w:color w:val="FFFFFF"/>
                <w:kern w:val="0"/>
                <w:sz w:val="26"/>
                <w:szCs w:val="26"/>
              </w:rPr>
              <w:t>部門別</w:t>
            </w:r>
          </w:p>
        </w:tc>
        <w:tc>
          <w:tcPr>
            <w:tcW w:w="6369" w:type="dxa"/>
            <w:shd w:val="clear" w:color="auto" w:fill="4F81BD"/>
            <w:vAlign w:val="center"/>
          </w:tcPr>
          <w:p w:rsidR="00A14326" w:rsidRPr="00EA272E" w:rsidRDefault="00A14326" w:rsidP="00D809C8">
            <w:pPr>
              <w:widowControl/>
              <w:jc w:val="center"/>
              <w:rPr>
                <w:rFonts w:eastAsia="標楷體"/>
                <w:bCs/>
                <w:color w:val="FFFFFF"/>
                <w:kern w:val="0"/>
                <w:sz w:val="26"/>
                <w:szCs w:val="26"/>
              </w:rPr>
            </w:pPr>
            <w:r w:rsidRPr="00EA272E">
              <w:rPr>
                <w:rFonts w:eastAsia="標楷體" w:hint="eastAsia"/>
                <w:bCs/>
                <w:color w:val="FFFFFF"/>
                <w:kern w:val="0"/>
                <w:sz w:val="26"/>
                <w:szCs w:val="26"/>
              </w:rPr>
              <w:t>業務職掌</w:t>
            </w:r>
          </w:p>
        </w:tc>
      </w:tr>
      <w:tr w:rsidR="00271EE3" w:rsidRPr="00EA272E" w:rsidTr="001B01F1">
        <w:trPr>
          <w:trHeight w:val="510"/>
          <w:jc w:val="right"/>
        </w:trPr>
        <w:tc>
          <w:tcPr>
            <w:tcW w:w="1498" w:type="dxa"/>
            <w:vAlign w:val="center"/>
          </w:tcPr>
          <w:p w:rsidR="00271EE3" w:rsidRPr="00A742BB" w:rsidRDefault="00271EE3" w:rsidP="00D809C8">
            <w:pPr>
              <w:spacing w:before="100" w:beforeAutospacing="1" w:after="100" w:afterAutospacing="1"/>
              <w:jc w:val="center"/>
              <w:rPr>
                <w:rFonts w:eastAsia="標楷體"/>
                <w:bCs/>
                <w:sz w:val="26"/>
              </w:rPr>
            </w:pPr>
            <w:r w:rsidRPr="00A742BB">
              <w:rPr>
                <w:rFonts w:eastAsia="標楷體"/>
                <w:bCs/>
                <w:sz w:val="26"/>
              </w:rPr>
              <w:t>業務部</w:t>
            </w:r>
          </w:p>
        </w:tc>
        <w:tc>
          <w:tcPr>
            <w:tcW w:w="6369" w:type="dxa"/>
            <w:vAlign w:val="center"/>
          </w:tcPr>
          <w:p w:rsidR="00271EE3" w:rsidRPr="00A742BB" w:rsidRDefault="00271EE3" w:rsidP="00D809C8">
            <w:pPr>
              <w:autoSpaceDE w:val="0"/>
              <w:autoSpaceDN w:val="0"/>
              <w:adjustRightInd w:val="0"/>
              <w:spacing w:before="100" w:beforeAutospacing="1" w:after="100" w:afterAutospacing="1"/>
              <w:jc w:val="both"/>
              <w:rPr>
                <w:rFonts w:eastAsia="標楷體"/>
                <w:sz w:val="26"/>
              </w:rPr>
            </w:pPr>
            <w:r w:rsidRPr="00A742BB">
              <w:rPr>
                <w:rFonts w:eastAsia="標楷體"/>
                <w:sz w:val="26"/>
              </w:rPr>
              <w:t>產品報價及市場調查，售後服務。</w:t>
            </w:r>
          </w:p>
        </w:tc>
      </w:tr>
      <w:tr w:rsidR="00271EE3" w:rsidRPr="00EA272E" w:rsidTr="001B01F1">
        <w:trPr>
          <w:trHeight w:val="510"/>
          <w:jc w:val="right"/>
        </w:trPr>
        <w:tc>
          <w:tcPr>
            <w:tcW w:w="1498" w:type="dxa"/>
            <w:vAlign w:val="center"/>
          </w:tcPr>
          <w:p w:rsidR="00271EE3" w:rsidRPr="00D809C8" w:rsidRDefault="00271EE3" w:rsidP="00D809C8">
            <w:pPr>
              <w:spacing w:before="100" w:beforeAutospacing="1" w:after="100" w:afterAutospacing="1"/>
              <w:jc w:val="center"/>
              <w:rPr>
                <w:rFonts w:eastAsia="標楷體"/>
                <w:bCs/>
                <w:sz w:val="26"/>
              </w:rPr>
            </w:pPr>
            <w:r w:rsidRPr="00D809C8">
              <w:rPr>
                <w:rFonts w:eastAsia="標楷體"/>
                <w:bCs/>
                <w:sz w:val="26"/>
              </w:rPr>
              <w:t>財務部</w:t>
            </w:r>
          </w:p>
        </w:tc>
        <w:tc>
          <w:tcPr>
            <w:tcW w:w="6369" w:type="dxa"/>
            <w:vAlign w:val="center"/>
          </w:tcPr>
          <w:p w:rsidR="00271EE3" w:rsidRPr="00A742BB" w:rsidRDefault="00271EE3" w:rsidP="00E91C20">
            <w:pPr>
              <w:autoSpaceDE w:val="0"/>
              <w:autoSpaceDN w:val="0"/>
              <w:adjustRightInd w:val="0"/>
              <w:spacing w:before="100" w:beforeAutospacing="1" w:after="100" w:afterAutospacing="1"/>
              <w:jc w:val="both"/>
              <w:rPr>
                <w:rFonts w:eastAsia="標楷體"/>
                <w:sz w:val="26"/>
              </w:rPr>
            </w:pPr>
            <w:r w:rsidRPr="00A742BB">
              <w:rPr>
                <w:rFonts w:eastAsia="標楷體"/>
                <w:sz w:val="26"/>
              </w:rPr>
              <w:t>資金規劃、調度、出納，各項帳務、稅務之處理，成本計算分析、預算編製等。</w:t>
            </w:r>
          </w:p>
        </w:tc>
      </w:tr>
      <w:tr w:rsidR="00271EE3" w:rsidRPr="00EA272E" w:rsidTr="001B01F1">
        <w:trPr>
          <w:trHeight w:val="510"/>
          <w:jc w:val="right"/>
        </w:trPr>
        <w:tc>
          <w:tcPr>
            <w:tcW w:w="1498" w:type="dxa"/>
            <w:vAlign w:val="center"/>
          </w:tcPr>
          <w:p w:rsidR="00271EE3" w:rsidRPr="00D809C8" w:rsidRDefault="00271EE3" w:rsidP="00D809C8">
            <w:pPr>
              <w:spacing w:before="100" w:beforeAutospacing="1" w:after="100" w:afterAutospacing="1"/>
              <w:jc w:val="center"/>
              <w:rPr>
                <w:rFonts w:eastAsia="標楷體"/>
                <w:bCs/>
                <w:sz w:val="26"/>
              </w:rPr>
            </w:pPr>
            <w:r w:rsidRPr="00D809C8">
              <w:rPr>
                <w:rFonts w:eastAsia="標楷體"/>
                <w:bCs/>
                <w:sz w:val="26"/>
              </w:rPr>
              <w:t>船務部</w:t>
            </w:r>
          </w:p>
        </w:tc>
        <w:tc>
          <w:tcPr>
            <w:tcW w:w="6369" w:type="dxa"/>
            <w:vAlign w:val="center"/>
          </w:tcPr>
          <w:p w:rsidR="00271EE3" w:rsidRPr="00A742BB" w:rsidRDefault="00271EE3" w:rsidP="00D809C8">
            <w:pPr>
              <w:autoSpaceDE w:val="0"/>
              <w:autoSpaceDN w:val="0"/>
              <w:adjustRightInd w:val="0"/>
              <w:spacing w:before="100" w:beforeAutospacing="1" w:after="100" w:afterAutospacing="1"/>
              <w:jc w:val="both"/>
              <w:rPr>
                <w:rFonts w:eastAsia="標楷體"/>
                <w:sz w:val="26"/>
              </w:rPr>
            </w:pPr>
            <w:r w:rsidRPr="00A742BB">
              <w:rPr>
                <w:rFonts w:eastAsia="標楷體"/>
                <w:sz w:val="26"/>
              </w:rPr>
              <w:t>負責出口事宜。</w:t>
            </w:r>
          </w:p>
        </w:tc>
      </w:tr>
    </w:tbl>
    <w:p w:rsidR="004C5A82" w:rsidRDefault="00DE04C5" w:rsidP="00D82424">
      <w:pPr>
        <w:pStyle w:val="3"/>
        <w:numPr>
          <w:ilvl w:val="0"/>
          <w:numId w:val="4"/>
        </w:numPr>
        <w:spacing w:beforeLines="50" w:before="120" w:afterLines="50" w:after="120" w:line="360" w:lineRule="auto"/>
        <w:ind w:leftChars="100" w:left="720"/>
        <w:jc w:val="both"/>
        <w:rPr>
          <w:rFonts w:ascii="Times New Roman" w:eastAsia="標楷體" w:hAnsi="Times New Roman"/>
          <w:sz w:val="32"/>
          <w:szCs w:val="32"/>
        </w:rPr>
      </w:pPr>
      <w:r w:rsidRPr="00DC1554">
        <w:rPr>
          <w:rFonts w:ascii="Times New Roman" w:eastAsia="標楷體" w:hAnsi="Times New Roman" w:hint="eastAsia"/>
          <w:sz w:val="32"/>
          <w:szCs w:val="32"/>
        </w:rPr>
        <w:t>集團綜覽</w:t>
      </w:r>
    </w:p>
    <w:p w:rsidR="004C5A82" w:rsidRDefault="00731177" w:rsidP="00D82424">
      <w:pPr>
        <w:numPr>
          <w:ilvl w:val="0"/>
          <w:numId w:val="28"/>
        </w:numPr>
        <w:tabs>
          <w:tab w:val="left" w:pos="1134"/>
        </w:tabs>
        <w:spacing w:beforeLines="50" w:before="120" w:afterLines="50" w:after="120" w:line="360" w:lineRule="auto"/>
        <w:ind w:hanging="1320"/>
        <w:jc w:val="both"/>
        <w:rPr>
          <w:rFonts w:eastAsia="標楷體"/>
          <w:b/>
          <w:sz w:val="28"/>
          <w:szCs w:val="28"/>
        </w:rPr>
      </w:pPr>
      <w:r w:rsidRPr="00DC1554">
        <w:rPr>
          <w:rFonts w:eastAsia="標楷體" w:hint="eastAsia"/>
          <w:b/>
          <w:sz w:val="28"/>
          <w:szCs w:val="28"/>
        </w:rPr>
        <w:t>背景資訊</w:t>
      </w:r>
    </w:p>
    <w:p w:rsidR="004C5A82" w:rsidRDefault="00FE5881" w:rsidP="00D82424">
      <w:pPr>
        <w:spacing w:beforeLines="50" w:before="120" w:afterLines="50" w:after="120" w:line="360" w:lineRule="auto"/>
        <w:ind w:leftChars="200" w:left="480" w:firstLineChars="200" w:firstLine="520"/>
        <w:jc w:val="both"/>
        <w:rPr>
          <w:rFonts w:eastAsia="標楷體"/>
          <w:sz w:val="26"/>
          <w:szCs w:val="26"/>
        </w:rPr>
      </w:pPr>
      <w:r w:rsidRPr="008716C2">
        <w:rPr>
          <w:rFonts w:eastAsia="標楷體"/>
          <w:sz w:val="26"/>
          <w:szCs w:val="26"/>
        </w:rPr>
        <w:t>PT</w:t>
      </w:r>
      <w:r w:rsidRPr="008716C2">
        <w:rPr>
          <w:rFonts w:eastAsia="標楷體"/>
          <w:sz w:val="26"/>
          <w:szCs w:val="26"/>
        </w:rPr>
        <w:t>成立於</w:t>
      </w:r>
      <w:r w:rsidR="008F667B">
        <w:rPr>
          <w:rFonts w:eastAsia="標楷體" w:hint="eastAsia"/>
          <w:sz w:val="26"/>
          <w:szCs w:val="26"/>
        </w:rPr>
        <w:t>1987</w:t>
      </w:r>
      <w:r w:rsidRPr="008716C2">
        <w:rPr>
          <w:rFonts w:eastAsia="標楷體"/>
          <w:sz w:val="26"/>
          <w:szCs w:val="26"/>
        </w:rPr>
        <w:t>年，</w:t>
      </w:r>
      <w:r w:rsidRPr="008716C2">
        <w:rPr>
          <w:rFonts w:eastAsia="標楷體"/>
          <w:sz w:val="26"/>
          <w:szCs w:val="26"/>
        </w:rPr>
        <w:t xml:space="preserve"> PT</w:t>
      </w:r>
      <w:r w:rsidRPr="008716C2">
        <w:rPr>
          <w:rFonts w:eastAsia="標楷體"/>
          <w:sz w:val="26"/>
          <w:szCs w:val="26"/>
        </w:rPr>
        <w:t>與瀚昌公司並無從屬關係，兩者所以為關係企業是因瀚昌公司所有銷貨均對其</w:t>
      </w:r>
      <w:r w:rsidRPr="008716C2">
        <w:rPr>
          <w:rFonts w:eastAsia="標楷體" w:hint="eastAsia"/>
          <w:sz w:val="26"/>
          <w:szCs w:val="26"/>
        </w:rPr>
        <w:t>銷</w:t>
      </w:r>
      <w:r w:rsidRPr="008716C2">
        <w:rPr>
          <w:rFonts w:eastAsia="標楷體"/>
          <w:sz w:val="26"/>
          <w:szCs w:val="26"/>
        </w:rPr>
        <w:t>之，兩者為『視同關係人』。</w:t>
      </w:r>
    </w:p>
    <w:p w:rsidR="004C5A82" w:rsidRDefault="00731177" w:rsidP="00D82424">
      <w:pPr>
        <w:numPr>
          <w:ilvl w:val="0"/>
          <w:numId w:val="28"/>
        </w:numPr>
        <w:tabs>
          <w:tab w:val="left" w:pos="1134"/>
        </w:tabs>
        <w:spacing w:beforeLines="50" w:before="120" w:afterLines="50" w:after="120" w:line="360" w:lineRule="auto"/>
        <w:ind w:leftChars="250" w:left="1080"/>
        <w:jc w:val="both"/>
        <w:rPr>
          <w:rFonts w:eastAsia="標楷體"/>
          <w:b/>
          <w:sz w:val="28"/>
          <w:szCs w:val="28"/>
        </w:rPr>
      </w:pPr>
      <w:r w:rsidRPr="00DC1554">
        <w:rPr>
          <w:rFonts w:eastAsia="標楷體" w:hint="eastAsia"/>
          <w:b/>
          <w:sz w:val="28"/>
          <w:szCs w:val="28"/>
        </w:rPr>
        <w:t>主要業務範圍</w:t>
      </w:r>
    </w:p>
    <w:p w:rsidR="004C5A82" w:rsidRDefault="00FE5881" w:rsidP="00D82424">
      <w:pPr>
        <w:spacing w:beforeLines="50" w:before="120" w:afterLines="50" w:after="120" w:line="360" w:lineRule="auto"/>
        <w:ind w:leftChars="200" w:left="480" w:firstLineChars="200" w:firstLine="520"/>
        <w:jc w:val="both"/>
        <w:rPr>
          <w:rFonts w:eastAsia="標楷體"/>
          <w:sz w:val="26"/>
          <w:szCs w:val="26"/>
        </w:rPr>
      </w:pPr>
      <w:r w:rsidRPr="008716C2">
        <w:rPr>
          <w:rFonts w:eastAsia="標楷體"/>
          <w:sz w:val="26"/>
          <w:szCs w:val="26"/>
        </w:rPr>
        <w:t>為印尼外銷成衣製造廠。主要業務可分為二：一為接受客戶委託製</w:t>
      </w:r>
      <w:r w:rsidRPr="008716C2">
        <w:rPr>
          <w:rFonts w:eastAsia="標楷體"/>
          <w:sz w:val="26"/>
          <w:szCs w:val="26"/>
        </w:rPr>
        <w:lastRenderedPageBreak/>
        <w:t>造成衣；二為自行設計製造，產品主要外銷至歐美地區。</w:t>
      </w:r>
    </w:p>
    <w:p w:rsidR="004C5A82" w:rsidRDefault="00487FDC" w:rsidP="00D82424">
      <w:pPr>
        <w:numPr>
          <w:ilvl w:val="0"/>
          <w:numId w:val="28"/>
        </w:numPr>
        <w:tabs>
          <w:tab w:val="left" w:pos="1134"/>
        </w:tabs>
        <w:spacing w:beforeLines="50" w:before="120" w:afterLines="50" w:after="120"/>
        <w:ind w:leftChars="250" w:left="1082" w:hanging="482"/>
        <w:jc w:val="both"/>
        <w:rPr>
          <w:rFonts w:eastAsia="標楷體"/>
          <w:b/>
          <w:sz w:val="28"/>
          <w:szCs w:val="28"/>
        </w:rPr>
      </w:pPr>
      <w:r w:rsidRPr="00DC1554">
        <w:rPr>
          <w:rFonts w:eastAsia="標楷體" w:hint="eastAsia"/>
          <w:b/>
          <w:sz w:val="28"/>
          <w:szCs w:val="28"/>
        </w:rPr>
        <w:t>關係企業簡介</w:t>
      </w:r>
    </w:p>
    <w:tbl>
      <w:tblPr>
        <w:tblpPr w:leftFromText="180" w:rightFromText="180" w:vertAnchor="text" w:horzAnchor="margin" w:tblpXSpec="center" w:tblpY="83"/>
        <w:tblW w:w="3777" w:type="pc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851"/>
        <w:gridCol w:w="2043"/>
        <w:gridCol w:w="1368"/>
        <w:gridCol w:w="2291"/>
      </w:tblGrid>
      <w:tr w:rsidR="002B2F68" w:rsidRPr="00D92058">
        <w:trPr>
          <w:trHeight w:val="510"/>
        </w:trPr>
        <w:tc>
          <w:tcPr>
            <w:tcW w:w="649" w:type="pct"/>
            <w:shd w:val="clear" w:color="auto" w:fill="4F81BD"/>
          </w:tcPr>
          <w:p w:rsidR="004C5A82" w:rsidRDefault="002B2F68" w:rsidP="00D82424">
            <w:pPr>
              <w:spacing w:beforeLines="50" w:before="120" w:afterLines="50" w:after="120"/>
              <w:jc w:val="center"/>
              <w:rPr>
                <w:rFonts w:eastAsia="標楷體"/>
                <w:bCs/>
                <w:color w:val="FFFFFF"/>
                <w:sz w:val="26"/>
                <w:szCs w:val="26"/>
              </w:rPr>
            </w:pPr>
            <w:r w:rsidRPr="00D92058">
              <w:rPr>
                <w:rFonts w:eastAsia="標楷體"/>
                <w:bCs/>
                <w:color w:val="FFFFFF"/>
                <w:sz w:val="26"/>
                <w:szCs w:val="26"/>
              </w:rPr>
              <w:t>編號</w:t>
            </w:r>
          </w:p>
        </w:tc>
        <w:tc>
          <w:tcPr>
            <w:tcW w:w="1559" w:type="pct"/>
            <w:shd w:val="clear" w:color="auto" w:fill="4F81BD"/>
          </w:tcPr>
          <w:p w:rsidR="004C5A82" w:rsidRDefault="002B2F68" w:rsidP="00D82424">
            <w:pPr>
              <w:spacing w:beforeLines="50" w:before="120" w:afterLines="50" w:after="120"/>
              <w:jc w:val="center"/>
              <w:rPr>
                <w:rFonts w:eastAsia="標楷體"/>
                <w:bCs/>
                <w:color w:val="FFFFFF"/>
                <w:sz w:val="26"/>
                <w:szCs w:val="26"/>
              </w:rPr>
            </w:pPr>
            <w:r w:rsidRPr="00D92058">
              <w:rPr>
                <w:rFonts w:eastAsia="標楷體"/>
                <w:bCs/>
                <w:color w:val="FFFFFF"/>
                <w:sz w:val="26"/>
                <w:szCs w:val="26"/>
              </w:rPr>
              <w:t>公司名稱</w:t>
            </w:r>
          </w:p>
        </w:tc>
        <w:tc>
          <w:tcPr>
            <w:tcW w:w="1044" w:type="pct"/>
            <w:shd w:val="clear" w:color="auto" w:fill="4F81BD"/>
          </w:tcPr>
          <w:p w:rsidR="004C5A82" w:rsidRDefault="002B2F68" w:rsidP="00D82424">
            <w:pPr>
              <w:spacing w:beforeLines="50" w:before="120" w:afterLines="50" w:after="120"/>
              <w:jc w:val="center"/>
              <w:rPr>
                <w:rFonts w:eastAsia="標楷體"/>
                <w:bCs/>
                <w:color w:val="FFFFFF"/>
                <w:sz w:val="26"/>
                <w:szCs w:val="26"/>
              </w:rPr>
            </w:pPr>
            <w:r w:rsidRPr="00D92058">
              <w:rPr>
                <w:rFonts w:eastAsia="標楷體" w:hint="eastAsia"/>
                <w:bCs/>
                <w:color w:val="FFFFFF"/>
                <w:sz w:val="26"/>
                <w:szCs w:val="26"/>
              </w:rPr>
              <w:t>所在地</w:t>
            </w:r>
          </w:p>
        </w:tc>
        <w:tc>
          <w:tcPr>
            <w:tcW w:w="1748" w:type="pct"/>
            <w:shd w:val="clear" w:color="auto" w:fill="4F81BD"/>
          </w:tcPr>
          <w:p w:rsidR="004C5A82" w:rsidRDefault="002B2F68" w:rsidP="00D82424">
            <w:pPr>
              <w:spacing w:beforeLines="50" w:before="120" w:afterLines="50" w:after="120"/>
              <w:jc w:val="center"/>
              <w:rPr>
                <w:rFonts w:eastAsia="標楷體"/>
                <w:bCs/>
                <w:color w:val="FFFFFF"/>
                <w:sz w:val="26"/>
                <w:szCs w:val="26"/>
              </w:rPr>
            </w:pPr>
            <w:r w:rsidRPr="00D92058">
              <w:rPr>
                <w:rFonts w:eastAsia="標楷體"/>
                <w:bCs/>
                <w:color w:val="FFFFFF"/>
                <w:sz w:val="26"/>
                <w:szCs w:val="26"/>
              </w:rPr>
              <w:t>主要營業項目</w:t>
            </w:r>
          </w:p>
        </w:tc>
      </w:tr>
      <w:tr w:rsidR="002B2F68" w:rsidRPr="00D92058">
        <w:trPr>
          <w:trHeight w:val="50"/>
        </w:trPr>
        <w:tc>
          <w:tcPr>
            <w:tcW w:w="649" w:type="pct"/>
          </w:tcPr>
          <w:p w:rsidR="004C5A82" w:rsidRDefault="002B2F68" w:rsidP="00D82424">
            <w:pPr>
              <w:spacing w:beforeLines="50" w:before="120" w:afterLines="50" w:after="120"/>
              <w:jc w:val="center"/>
              <w:rPr>
                <w:rFonts w:eastAsia="標楷體"/>
                <w:bCs/>
                <w:sz w:val="26"/>
                <w:szCs w:val="26"/>
              </w:rPr>
            </w:pPr>
            <w:r w:rsidRPr="00D92058">
              <w:rPr>
                <w:rFonts w:eastAsia="標楷體"/>
                <w:bCs/>
                <w:sz w:val="26"/>
                <w:szCs w:val="26"/>
              </w:rPr>
              <w:t>1</w:t>
            </w:r>
          </w:p>
        </w:tc>
        <w:tc>
          <w:tcPr>
            <w:tcW w:w="1559" w:type="pct"/>
          </w:tcPr>
          <w:p w:rsidR="004C5A82" w:rsidRDefault="002B2F68" w:rsidP="00D82424">
            <w:pPr>
              <w:spacing w:beforeLines="50" w:before="120" w:afterLines="50" w:after="120"/>
              <w:jc w:val="center"/>
              <w:rPr>
                <w:rFonts w:eastAsia="標楷體"/>
                <w:sz w:val="26"/>
                <w:szCs w:val="26"/>
              </w:rPr>
            </w:pPr>
            <w:proofErr w:type="spellStart"/>
            <w:r w:rsidRPr="00434E06">
              <w:rPr>
                <w:rFonts w:eastAsia="標楷體"/>
                <w:sz w:val="26"/>
                <w:szCs w:val="26"/>
              </w:rPr>
              <w:t>P.T.Handsum</w:t>
            </w:r>
            <w:proofErr w:type="spellEnd"/>
          </w:p>
        </w:tc>
        <w:tc>
          <w:tcPr>
            <w:tcW w:w="1044" w:type="pct"/>
          </w:tcPr>
          <w:p w:rsidR="004C5A82" w:rsidRDefault="002B2F68" w:rsidP="00D82424">
            <w:pPr>
              <w:spacing w:beforeLines="50" w:before="120" w:afterLines="50" w:after="120"/>
              <w:jc w:val="center"/>
              <w:rPr>
                <w:rFonts w:eastAsia="標楷體"/>
                <w:sz w:val="26"/>
                <w:szCs w:val="26"/>
              </w:rPr>
            </w:pPr>
            <w:r w:rsidRPr="00480E3D">
              <w:rPr>
                <w:rFonts w:eastAsia="標楷體"/>
                <w:sz w:val="26"/>
                <w:szCs w:val="26"/>
              </w:rPr>
              <w:t>印尼</w:t>
            </w:r>
          </w:p>
        </w:tc>
        <w:tc>
          <w:tcPr>
            <w:tcW w:w="1748" w:type="pct"/>
          </w:tcPr>
          <w:p w:rsidR="004C5A82" w:rsidRDefault="002B2F68" w:rsidP="00D82424">
            <w:pPr>
              <w:spacing w:beforeLines="50" w:before="120" w:afterLines="50" w:after="120"/>
              <w:jc w:val="center"/>
              <w:rPr>
                <w:rFonts w:eastAsia="標楷體"/>
                <w:sz w:val="26"/>
                <w:szCs w:val="26"/>
              </w:rPr>
            </w:pPr>
            <w:r w:rsidRPr="00480E3D">
              <w:rPr>
                <w:rFonts w:eastAsia="標楷體"/>
                <w:sz w:val="26"/>
                <w:szCs w:val="26"/>
              </w:rPr>
              <w:t>成衣製造廠</w:t>
            </w:r>
          </w:p>
        </w:tc>
      </w:tr>
    </w:tbl>
    <w:p w:rsidR="004C5A82" w:rsidRDefault="00A439EA" w:rsidP="00D82424">
      <w:pPr>
        <w:pStyle w:val="2"/>
        <w:numPr>
          <w:ilvl w:val="1"/>
          <w:numId w:val="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產業</w:t>
      </w:r>
      <w:r w:rsidR="001746D8">
        <w:rPr>
          <w:rFonts w:ascii="Times New Roman" w:eastAsia="標楷體" w:hAnsi="Times New Roman" w:hint="eastAsia"/>
          <w:sz w:val="36"/>
          <w:szCs w:val="40"/>
        </w:rPr>
        <w:t>及</w:t>
      </w:r>
      <w:r w:rsidRPr="00EA272E">
        <w:rPr>
          <w:rFonts w:ascii="Times New Roman" w:eastAsia="標楷體" w:hAnsi="Times New Roman" w:hint="eastAsia"/>
          <w:sz w:val="36"/>
          <w:szCs w:val="40"/>
        </w:rPr>
        <w:t>經濟</w:t>
      </w:r>
      <w:r w:rsidR="001746D8">
        <w:rPr>
          <w:rFonts w:ascii="Times New Roman" w:eastAsia="標楷體" w:hAnsi="Times New Roman" w:hint="eastAsia"/>
          <w:sz w:val="36"/>
          <w:szCs w:val="40"/>
        </w:rPr>
        <w:t>情況分析</w:t>
      </w:r>
    </w:p>
    <w:p w:rsidR="004C5A82" w:rsidRDefault="00596949" w:rsidP="00D82424">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產業總覽</w:t>
      </w:r>
    </w:p>
    <w:p w:rsidR="004C5A82" w:rsidRDefault="00596949" w:rsidP="00D82424">
      <w:pPr>
        <w:numPr>
          <w:ilvl w:val="0"/>
          <w:numId w:val="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產業</w:t>
      </w:r>
      <w:r w:rsidRPr="00EA272E">
        <w:rPr>
          <w:rFonts w:eastAsia="標楷體" w:hint="eastAsia"/>
          <w:b/>
          <w:sz w:val="28"/>
          <w:szCs w:val="26"/>
        </w:rPr>
        <w:t>概要</w:t>
      </w:r>
      <w:r>
        <w:rPr>
          <w:rStyle w:val="af2"/>
          <w:rFonts w:eastAsia="標楷體"/>
          <w:b/>
          <w:sz w:val="28"/>
          <w:szCs w:val="26"/>
        </w:rPr>
        <w:footnoteReference w:id="1"/>
      </w:r>
    </w:p>
    <w:p w:rsidR="004C5A82" w:rsidRDefault="001C47E9" w:rsidP="00D82424">
      <w:pPr>
        <w:spacing w:beforeLines="50" w:before="120" w:afterLines="50" w:after="120" w:line="360" w:lineRule="auto"/>
        <w:ind w:leftChars="300" w:left="720" w:firstLineChars="200" w:firstLine="520"/>
        <w:jc w:val="both"/>
        <w:rPr>
          <w:rFonts w:eastAsia="標楷體"/>
          <w:sz w:val="26"/>
          <w:szCs w:val="26"/>
        </w:rPr>
      </w:pPr>
      <w:r w:rsidRPr="001B01F1">
        <w:rPr>
          <w:rFonts w:eastAsia="標楷體" w:hint="eastAsia"/>
          <w:sz w:val="26"/>
          <w:szCs w:val="26"/>
        </w:rPr>
        <w:t>紡織產業屬於民生工業，也是輕工業之一。紡織品，一般是指紡織纖維、紗線、織物和由前述材料為主所製得的終製品</w:t>
      </w:r>
      <w:r w:rsidRPr="001B01F1">
        <w:rPr>
          <w:rFonts w:eastAsia="標楷體" w:hint="eastAsia"/>
          <w:sz w:val="26"/>
          <w:szCs w:val="26"/>
        </w:rPr>
        <w:t>(</w:t>
      </w:r>
      <w:r w:rsidRPr="001B01F1">
        <w:rPr>
          <w:rFonts w:eastAsia="標楷體" w:hint="eastAsia"/>
          <w:sz w:val="26"/>
          <w:szCs w:val="26"/>
        </w:rPr>
        <w:t>如服裝、地毯、帳篷等</w:t>
      </w:r>
      <w:r w:rsidRPr="001B01F1">
        <w:rPr>
          <w:rFonts w:eastAsia="標楷體" w:hint="eastAsia"/>
          <w:sz w:val="26"/>
          <w:szCs w:val="26"/>
        </w:rPr>
        <w:t>)</w:t>
      </w:r>
      <w:r w:rsidRPr="001B01F1">
        <w:rPr>
          <w:rFonts w:eastAsia="標楷體" w:hint="eastAsia"/>
          <w:sz w:val="26"/>
          <w:szCs w:val="26"/>
        </w:rPr>
        <w:t>的統稱，它不但是生活必需品，也是其他行業多少需要應用的基礎材料或配件，更是歷史文化的表現物品之一。紡織產業的範圍相當廣泛，完整紡織領域的對應產業可分為六大類：</w:t>
      </w:r>
      <w:r w:rsidRPr="001B01F1">
        <w:rPr>
          <w:rFonts w:eastAsia="標楷體"/>
          <w:sz w:val="26"/>
          <w:szCs w:val="26"/>
        </w:rPr>
        <w:t>(1)</w:t>
      </w:r>
      <w:r w:rsidRPr="001B01F1">
        <w:rPr>
          <w:rFonts w:eastAsia="標楷體" w:hint="eastAsia"/>
          <w:sz w:val="26"/>
          <w:szCs w:val="26"/>
        </w:rPr>
        <w:t>紡織原料業、</w:t>
      </w:r>
      <w:r w:rsidRPr="001B01F1">
        <w:rPr>
          <w:rFonts w:eastAsia="標楷體"/>
          <w:sz w:val="26"/>
          <w:szCs w:val="26"/>
        </w:rPr>
        <w:t>(2)</w:t>
      </w:r>
      <w:r w:rsidRPr="001B01F1">
        <w:rPr>
          <w:rFonts w:eastAsia="標楷體" w:hint="eastAsia"/>
          <w:sz w:val="26"/>
          <w:szCs w:val="26"/>
        </w:rPr>
        <w:t>紡紗業、</w:t>
      </w:r>
      <w:r w:rsidRPr="001B01F1">
        <w:rPr>
          <w:rFonts w:eastAsia="標楷體"/>
          <w:sz w:val="26"/>
          <w:szCs w:val="26"/>
        </w:rPr>
        <w:t>(3)</w:t>
      </w:r>
      <w:r w:rsidRPr="001B01F1">
        <w:rPr>
          <w:rFonts w:eastAsia="標楷體" w:hint="eastAsia"/>
          <w:sz w:val="26"/>
          <w:szCs w:val="26"/>
        </w:rPr>
        <w:t>織布業、</w:t>
      </w:r>
      <w:r w:rsidRPr="001B01F1">
        <w:rPr>
          <w:rFonts w:eastAsia="標楷體"/>
          <w:sz w:val="26"/>
          <w:szCs w:val="26"/>
        </w:rPr>
        <w:t>(4)</w:t>
      </w:r>
      <w:r w:rsidRPr="001B01F1">
        <w:rPr>
          <w:rFonts w:eastAsia="標楷體" w:hint="eastAsia"/>
          <w:sz w:val="26"/>
          <w:szCs w:val="26"/>
        </w:rPr>
        <w:t>染整業、</w:t>
      </w:r>
      <w:r w:rsidRPr="001B01F1">
        <w:rPr>
          <w:rFonts w:eastAsia="標楷體"/>
          <w:sz w:val="26"/>
          <w:szCs w:val="26"/>
        </w:rPr>
        <w:t>(5)</w:t>
      </w:r>
      <w:r w:rsidRPr="001B01F1">
        <w:rPr>
          <w:rFonts w:eastAsia="標楷體" w:hint="eastAsia"/>
          <w:sz w:val="26"/>
          <w:szCs w:val="26"/>
        </w:rPr>
        <w:t>終製品製造業及相關機電、</w:t>
      </w:r>
      <w:r w:rsidRPr="001B01F1">
        <w:rPr>
          <w:rFonts w:eastAsia="標楷體"/>
          <w:sz w:val="26"/>
          <w:szCs w:val="26"/>
        </w:rPr>
        <w:t>(6)</w:t>
      </w:r>
      <w:r w:rsidRPr="001B01F1">
        <w:rPr>
          <w:rFonts w:eastAsia="標楷體" w:hint="eastAsia"/>
          <w:sz w:val="26"/>
          <w:szCs w:val="26"/>
        </w:rPr>
        <w:t>化工與儀具業。隨著科技文明之進步，除衣著與室內裝潢用紡織品，多項產業用紡織品亦快速應用在各種不同之工業、農業、建築、過濾、醫療、軍事國防、安全防護、紡織結構複合材料、交通運輸、運動娛樂與其他等用途，顯然已經成為未來發展之重要指標。</w:t>
      </w:r>
    </w:p>
    <w:p w:rsidR="00F73C82" w:rsidRDefault="00596949" w:rsidP="00D82424">
      <w:pPr>
        <w:spacing w:beforeLines="50" w:before="120" w:afterLines="50" w:after="120" w:line="360" w:lineRule="auto"/>
        <w:ind w:leftChars="300" w:left="720" w:firstLineChars="200" w:firstLine="520"/>
        <w:jc w:val="both"/>
        <w:rPr>
          <w:rFonts w:eastAsia="標楷體"/>
          <w:sz w:val="26"/>
          <w:szCs w:val="26"/>
        </w:rPr>
      </w:pPr>
      <w:r w:rsidRPr="001B01F1">
        <w:rPr>
          <w:rFonts w:eastAsia="標楷體" w:hint="eastAsia"/>
          <w:sz w:val="26"/>
          <w:szCs w:val="26"/>
        </w:rPr>
        <w:t>由於台灣的紡織廠商</w:t>
      </w:r>
      <w:r w:rsidRPr="001B01F1">
        <w:rPr>
          <w:rFonts w:eastAsia="標楷體" w:hint="eastAsia"/>
          <w:sz w:val="26"/>
          <w:szCs w:val="26"/>
        </w:rPr>
        <w:t xml:space="preserve"> 90 </w:t>
      </w:r>
      <w:r w:rsidRPr="001B01F1">
        <w:rPr>
          <w:rFonts w:eastAsia="標楷體" w:hint="eastAsia"/>
          <w:sz w:val="26"/>
          <w:szCs w:val="26"/>
        </w:rPr>
        <w:t>％以上是中小企業，因</w:t>
      </w:r>
      <w:r w:rsidRPr="00DE1A53">
        <w:rPr>
          <w:rFonts w:eastAsia="標楷體" w:hint="eastAsia"/>
          <w:sz w:val="26"/>
          <w:szCs w:val="26"/>
        </w:rPr>
        <w:t>此政府補助的相關法人單位，如紡織產業綜合研究所（成立於</w:t>
      </w:r>
      <w:r w:rsidRPr="00DE1A53">
        <w:rPr>
          <w:rFonts w:eastAsia="標楷體" w:hint="eastAsia"/>
          <w:sz w:val="26"/>
          <w:szCs w:val="26"/>
        </w:rPr>
        <w:t xml:space="preserve"> 1959 </w:t>
      </w:r>
      <w:r w:rsidRPr="00DE1A53">
        <w:rPr>
          <w:rFonts w:eastAsia="標楷體" w:hint="eastAsia"/>
          <w:sz w:val="26"/>
          <w:szCs w:val="26"/>
        </w:rPr>
        <w:t>年</w:t>
      </w:r>
      <w:r w:rsidRPr="00DE1A53">
        <w:rPr>
          <w:rFonts w:eastAsia="標楷體" w:hint="eastAsia"/>
          <w:sz w:val="26"/>
          <w:szCs w:val="26"/>
        </w:rPr>
        <w:t xml:space="preserve"> 12 </w:t>
      </w:r>
      <w:r w:rsidRPr="00DE1A53">
        <w:rPr>
          <w:rFonts w:eastAsia="標楷體" w:hint="eastAsia"/>
          <w:sz w:val="26"/>
          <w:szCs w:val="26"/>
        </w:rPr>
        <w:t>月，以紡織科技綜合研究、技術服務、出版及人員培訓為重點）、工業技術研</w:t>
      </w:r>
      <w:r w:rsidRPr="00DE1A53">
        <w:rPr>
          <w:rFonts w:eastAsia="標楷體" w:hint="eastAsia"/>
          <w:sz w:val="26"/>
          <w:szCs w:val="26"/>
        </w:rPr>
        <w:lastRenderedPageBreak/>
        <w:t>究院材料及化學工業研究所纖維組（成立於</w:t>
      </w:r>
      <w:r w:rsidRPr="00DE1A53">
        <w:rPr>
          <w:rFonts w:eastAsia="標楷體" w:hint="eastAsia"/>
          <w:sz w:val="26"/>
          <w:szCs w:val="26"/>
        </w:rPr>
        <w:t xml:space="preserve"> 1973 </w:t>
      </w:r>
      <w:r w:rsidRPr="00DE1A53">
        <w:rPr>
          <w:rFonts w:eastAsia="標楷體" w:hint="eastAsia"/>
          <w:sz w:val="26"/>
          <w:szCs w:val="26"/>
        </w:rPr>
        <w:t>年，以化學纖維合成、製作及加</w:t>
      </w:r>
      <w:r w:rsidRPr="001B01F1">
        <w:rPr>
          <w:rFonts w:eastAsia="標楷體" w:hint="eastAsia"/>
          <w:sz w:val="26"/>
          <w:szCs w:val="26"/>
        </w:rPr>
        <w:t>工為研究服務重點）和中華民國紡織業拓展會（成立於</w:t>
      </w:r>
      <w:r w:rsidRPr="001B01F1">
        <w:rPr>
          <w:rFonts w:eastAsia="標楷體" w:hint="eastAsia"/>
          <w:sz w:val="26"/>
          <w:szCs w:val="26"/>
        </w:rPr>
        <w:t xml:space="preserve"> 1975 </w:t>
      </w:r>
      <w:r w:rsidRPr="001B01F1">
        <w:rPr>
          <w:rFonts w:eastAsia="標楷體" w:hint="eastAsia"/>
          <w:sz w:val="26"/>
          <w:szCs w:val="26"/>
        </w:rPr>
        <w:t>年</w:t>
      </w:r>
      <w:r w:rsidRPr="001B01F1">
        <w:rPr>
          <w:rFonts w:eastAsia="標楷體" w:hint="eastAsia"/>
          <w:sz w:val="26"/>
          <w:szCs w:val="26"/>
        </w:rPr>
        <w:t xml:space="preserve"> 11 </w:t>
      </w:r>
      <w:r w:rsidRPr="001B01F1">
        <w:rPr>
          <w:rFonts w:eastAsia="標楷體" w:hint="eastAsia"/>
          <w:sz w:val="26"/>
          <w:szCs w:val="26"/>
        </w:rPr>
        <w:t>月，以拓展紡織品行銷為重點，另設有設計中心），都與業界合作密切。</w:t>
      </w:r>
    </w:p>
    <w:p w:rsidR="00F73C82" w:rsidRDefault="001C47E9" w:rsidP="00D82424">
      <w:pPr>
        <w:spacing w:beforeLines="50" w:before="120" w:afterLines="50" w:after="120" w:line="360" w:lineRule="auto"/>
        <w:ind w:leftChars="300" w:left="720" w:firstLineChars="200" w:firstLine="520"/>
        <w:jc w:val="both"/>
        <w:rPr>
          <w:rFonts w:eastAsia="標楷體"/>
          <w:sz w:val="26"/>
          <w:szCs w:val="26"/>
        </w:rPr>
      </w:pPr>
      <w:r w:rsidRPr="001B01F1">
        <w:rPr>
          <w:rFonts w:eastAsia="標楷體" w:hint="eastAsia"/>
          <w:sz w:val="26"/>
          <w:szCs w:val="26"/>
        </w:rPr>
        <w:t>受惠於</w:t>
      </w:r>
      <w:hyperlink r:id="rId24" w:history="1">
        <w:r w:rsidRPr="001B01F1">
          <w:rPr>
            <w:rFonts w:eastAsia="標楷體" w:hint="eastAsia"/>
            <w:sz w:val="26"/>
            <w:szCs w:val="26"/>
          </w:rPr>
          <w:t>跨太平洋夥伴關係協定（</w:t>
        </w:r>
        <w:r w:rsidRPr="001B01F1">
          <w:rPr>
            <w:rFonts w:eastAsia="標楷體" w:hint="eastAsia"/>
            <w:sz w:val="26"/>
            <w:szCs w:val="26"/>
          </w:rPr>
          <w:t>TPP</w:t>
        </w:r>
        <w:r w:rsidRPr="001B01F1">
          <w:rPr>
            <w:rFonts w:eastAsia="標楷體" w:hint="eastAsia"/>
            <w:sz w:val="26"/>
            <w:szCs w:val="26"/>
          </w:rPr>
          <w:t>）</w:t>
        </w:r>
      </w:hyperlink>
      <w:r w:rsidRPr="001B01F1">
        <w:rPr>
          <w:rFonts w:eastAsia="標楷體" w:hint="eastAsia"/>
          <w:sz w:val="26"/>
          <w:szCs w:val="26"/>
        </w:rPr>
        <w:t>，越南紡織成了大贏家，但反觀台灣</w:t>
      </w:r>
      <w:r w:rsidRPr="00372F8E">
        <w:rPr>
          <w:rFonts w:eastAsia="標楷體"/>
          <w:sz w:val="26"/>
          <w:szCs w:val="26"/>
        </w:rPr>
        <w:t>中小企業將因無法至海外擴廠，而成為最大的衝擊者</w:t>
      </w:r>
      <w:r w:rsidRPr="001B01F1">
        <w:rPr>
          <w:rFonts w:eastAsia="標楷體" w:hint="eastAsia"/>
          <w:sz w:val="26"/>
          <w:szCs w:val="26"/>
        </w:rPr>
        <w:t>，因此加入</w:t>
      </w:r>
      <w:r w:rsidRPr="001B01F1">
        <w:rPr>
          <w:rFonts w:eastAsia="標楷體" w:hint="eastAsia"/>
          <w:sz w:val="26"/>
          <w:szCs w:val="26"/>
        </w:rPr>
        <w:t>TPP</w:t>
      </w:r>
      <w:r w:rsidRPr="001B01F1">
        <w:rPr>
          <w:rFonts w:eastAsia="標楷體" w:hint="eastAsia"/>
          <w:sz w:val="26"/>
          <w:szCs w:val="26"/>
        </w:rPr>
        <w:t>對維持國內紡織業出口競爭力及鞏固市場相當重要。</w:t>
      </w:r>
    </w:p>
    <w:p w:rsidR="004C5A82" w:rsidRDefault="00596949" w:rsidP="00D82424">
      <w:pPr>
        <w:numPr>
          <w:ilvl w:val="0"/>
          <w:numId w:val="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產業結構</w:t>
      </w:r>
    </w:p>
    <w:p w:rsidR="00F73C82" w:rsidRDefault="00596949" w:rsidP="00D82424">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紡織產業鏈上游為石化原料；</w:t>
      </w:r>
      <w:r w:rsidRPr="00181826">
        <w:rPr>
          <w:rFonts w:eastAsia="標楷體" w:hint="eastAsia"/>
          <w:sz w:val="26"/>
          <w:szCs w:val="26"/>
        </w:rPr>
        <w:t>中游有人造纖維產品、天然纖維產品、化學助劑，以及經由以上材料紡織而成的紗與布料</w:t>
      </w:r>
      <w:r>
        <w:rPr>
          <w:rFonts w:eastAsia="標楷體" w:hint="eastAsia"/>
          <w:sz w:val="26"/>
          <w:szCs w:val="26"/>
        </w:rPr>
        <w:t>及</w:t>
      </w:r>
      <w:r w:rsidRPr="00746563">
        <w:rPr>
          <w:rFonts w:eastAsia="標楷體" w:hint="eastAsia"/>
          <w:sz w:val="26"/>
          <w:szCs w:val="26"/>
        </w:rPr>
        <w:t>染整</w:t>
      </w:r>
      <w:r>
        <w:rPr>
          <w:rFonts w:eastAsia="標楷體" w:hint="eastAsia"/>
          <w:sz w:val="26"/>
          <w:szCs w:val="26"/>
        </w:rPr>
        <w:t>；而</w:t>
      </w:r>
      <w:r w:rsidRPr="00746563">
        <w:rPr>
          <w:rFonts w:eastAsia="標楷體" w:hint="eastAsia"/>
          <w:sz w:val="26"/>
          <w:szCs w:val="26"/>
        </w:rPr>
        <w:t>成衣業與其他居家織品業為紡織業之下游</w:t>
      </w:r>
      <w:r>
        <w:rPr>
          <w:rFonts w:eastAsia="標楷體" w:hint="eastAsia"/>
          <w:sz w:val="26"/>
          <w:szCs w:val="26"/>
        </w:rPr>
        <w:t>。</w:t>
      </w:r>
    </w:p>
    <w:p w:rsidR="004C5A82" w:rsidRDefault="00A63CF7" w:rsidP="00D82424">
      <w:pPr>
        <w:spacing w:beforeLines="50" w:before="120" w:afterLines="50" w:after="120" w:line="360" w:lineRule="auto"/>
        <w:ind w:leftChars="200" w:left="480"/>
        <w:jc w:val="both"/>
        <w:rPr>
          <w:rFonts w:eastAsia="標楷體"/>
          <w:color w:val="0070C0"/>
          <w:sz w:val="26"/>
          <w:szCs w:val="26"/>
        </w:rPr>
      </w:pPr>
      <w:r>
        <w:rPr>
          <w:rFonts w:eastAsia="標楷體"/>
          <w:noProof/>
          <w:color w:val="0070C0"/>
          <w:sz w:val="26"/>
          <w:szCs w:val="26"/>
        </w:rPr>
        <mc:AlternateContent>
          <mc:Choice Requires="wpg">
            <w:drawing>
              <wp:anchor distT="0" distB="0" distL="114300" distR="114300" simplePos="0" relativeHeight="251662848" behindDoc="0" locked="0" layoutInCell="1" allowOverlap="1">
                <wp:simplePos x="0" y="0"/>
                <wp:positionH relativeFrom="column">
                  <wp:posOffset>80645</wp:posOffset>
                </wp:positionH>
                <wp:positionV relativeFrom="paragraph">
                  <wp:posOffset>34925</wp:posOffset>
                </wp:positionV>
                <wp:extent cx="5209540" cy="3615055"/>
                <wp:effectExtent l="42545" t="21590" r="5715" b="11430"/>
                <wp:wrapNone/>
                <wp:docPr id="25"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9540" cy="3615055"/>
                          <a:chOff x="2569" y="3086"/>
                          <a:chExt cx="8204" cy="5693"/>
                        </a:xfrm>
                      </wpg:grpSpPr>
                      <wps:wsp>
                        <wps:cNvPr id="26" name="Text Box 303"/>
                        <wps:cNvSpPr txBox="1">
                          <a:spLocks noChangeArrowheads="1"/>
                        </wps:cNvSpPr>
                        <wps:spPr bwMode="auto">
                          <a:xfrm>
                            <a:off x="4531" y="4283"/>
                            <a:ext cx="969" cy="758"/>
                          </a:xfrm>
                          <a:prstGeom prst="rect">
                            <a:avLst/>
                          </a:prstGeom>
                          <a:solidFill>
                            <a:srgbClr val="FFFFFF"/>
                          </a:solidFill>
                          <a:ln w="9525">
                            <a:solidFill>
                              <a:schemeClr val="accent1">
                                <a:lumMod val="100000"/>
                                <a:lumOff val="0"/>
                              </a:schemeClr>
                            </a:solidFill>
                            <a:prstDash val="dash"/>
                            <a:miter lim="800000"/>
                            <a:headEnd/>
                            <a:tailEnd/>
                          </a:ln>
                        </wps:spPr>
                        <wps:txb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紡紗</w:t>
                              </w:r>
                            </w:p>
                          </w:txbxContent>
                        </wps:txbx>
                        <wps:bodyPr rot="0" vert="horz" wrap="square" lIns="91440" tIns="45720" rIns="91440" bIns="45720" anchor="t" anchorCtr="0" upright="1">
                          <a:noAutofit/>
                        </wps:bodyPr>
                      </wps:wsp>
                      <wps:wsp>
                        <wps:cNvPr id="27" name="AutoShape 304"/>
                        <wps:cNvCnPr>
                          <a:cxnSpLocks noChangeShapeType="1"/>
                        </wps:cNvCnPr>
                        <wps:spPr bwMode="auto">
                          <a:xfrm>
                            <a:off x="2937" y="4065"/>
                            <a:ext cx="68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305"/>
                        <wps:cNvSpPr txBox="1">
                          <a:spLocks noChangeArrowheads="1"/>
                        </wps:cNvSpPr>
                        <wps:spPr bwMode="auto">
                          <a:xfrm>
                            <a:off x="4580" y="3086"/>
                            <a:ext cx="3492" cy="724"/>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rsidR="00630BD8" w:rsidRPr="00873D36" w:rsidRDefault="00630BD8" w:rsidP="00333E13">
                              <w:pPr>
                                <w:jc w:val="distribute"/>
                                <w:rPr>
                                  <w:rFonts w:ascii="標楷體" w:eastAsia="標楷體" w:hAnsi="標楷體"/>
                                  <w:color w:val="FFFFFF"/>
                                  <w:sz w:val="40"/>
                                  <w:szCs w:val="40"/>
                                </w:rPr>
                              </w:pPr>
                              <w:r w:rsidRPr="00873D36">
                                <w:rPr>
                                  <w:rFonts w:ascii="標楷體" w:eastAsia="標楷體" w:hAnsi="標楷體" w:hint="eastAsia"/>
                                  <w:color w:val="FFFFFF"/>
                                  <w:sz w:val="40"/>
                                  <w:szCs w:val="40"/>
                                </w:rPr>
                                <w:t>紡織產業鏈簡介</w:t>
                              </w:r>
                            </w:p>
                          </w:txbxContent>
                        </wps:txbx>
                        <wps:bodyPr rot="0" vert="horz" wrap="square" lIns="91440" tIns="45720" rIns="91440" bIns="45720" anchor="t" anchorCtr="0" upright="1">
                          <a:spAutoFit/>
                        </wps:bodyPr>
                      </wps:wsp>
                      <wps:wsp>
                        <wps:cNvPr id="29" name="Text Box 306"/>
                        <wps:cNvSpPr txBox="1">
                          <a:spLocks noChangeArrowheads="1"/>
                        </wps:cNvSpPr>
                        <wps:spPr bwMode="auto">
                          <a:xfrm>
                            <a:off x="2569" y="4256"/>
                            <a:ext cx="1452" cy="916"/>
                          </a:xfrm>
                          <a:prstGeom prst="rect">
                            <a:avLst/>
                          </a:prstGeom>
                          <a:noFill/>
                          <a:ln w="9525">
                            <a:solidFill>
                              <a:schemeClr val="accent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天然纖維</w:t>
                              </w:r>
                            </w:p>
                          </w:txbxContent>
                        </wps:txbx>
                        <wps:bodyPr rot="0" vert="horz" wrap="square" lIns="91440" tIns="45720" rIns="91440" bIns="45720" anchor="t" anchorCtr="0" upright="1">
                          <a:noAutofit/>
                        </wps:bodyPr>
                      </wps:wsp>
                      <wps:wsp>
                        <wps:cNvPr id="30" name="Text Box 307"/>
                        <wps:cNvSpPr txBox="1">
                          <a:spLocks noChangeArrowheads="1"/>
                        </wps:cNvSpPr>
                        <wps:spPr bwMode="auto">
                          <a:xfrm>
                            <a:off x="5950" y="4252"/>
                            <a:ext cx="959" cy="785"/>
                          </a:xfrm>
                          <a:prstGeom prst="rect">
                            <a:avLst/>
                          </a:prstGeom>
                          <a:solidFill>
                            <a:srgbClr val="FFFFFF"/>
                          </a:solidFill>
                          <a:ln w="9525">
                            <a:solidFill>
                              <a:schemeClr val="accent1">
                                <a:lumMod val="100000"/>
                                <a:lumOff val="0"/>
                              </a:schemeClr>
                            </a:solidFill>
                            <a:prstDash val="dash"/>
                            <a:miter lim="800000"/>
                            <a:headEnd/>
                            <a:tailEnd/>
                          </a:ln>
                        </wps:spPr>
                        <wps:txbx>
                          <w:txbxContent>
                            <w:p w:rsidR="00630BD8" w:rsidRPr="00873D36" w:rsidRDefault="00630BD8" w:rsidP="00333E13">
                              <w:pPr>
                                <w:rPr>
                                  <w:rFonts w:ascii="標楷體" w:eastAsia="標楷體" w:hAnsi="標楷體"/>
                                  <w:sz w:val="28"/>
                                  <w:szCs w:val="28"/>
                                </w:rPr>
                              </w:pPr>
                              <w:proofErr w:type="gramStart"/>
                              <w:r w:rsidRPr="00873D36">
                                <w:rPr>
                                  <w:rFonts w:ascii="標楷體" w:eastAsia="標楷體" w:hAnsi="標楷體" w:hint="eastAsia"/>
                                  <w:sz w:val="28"/>
                                  <w:szCs w:val="28"/>
                                </w:rPr>
                                <w:t>纖</w:t>
                              </w:r>
                              <w:proofErr w:type="gramEnd"/>
                              <w:r w:rsidRPr="00873D36">
                                <w:rPr>
                                  <w:rFonts w:ascii="標楷體" w:eastAsia="標楷體" w:hAnsi="標楷體" w:hint="eastAsia"/>
                                  <w:sz w:val="28"/>
                                  <w:szCs w:val="28"/>
                                </w:rPr>
                                <w:t>布</w:t>
                              </w:r>
                            </w:p>
                          </w:txbxContent>
                        </wps:txbx>
                        <wps:bodyPr rot="0" vert="horz" wrap="square" lIns="91440" tIns="45720" rIns="91440" bIns="45720" anchor="t" anchorCtr="0" upright="1">
                          <a:noAutofit/>
                        </wps:bodyPr>
                      </wps:wsp>
                      <wps:wsp>
                        <wps:cNvPr id="31" name="Text Box 308"/>
                        <wps:cNvSpPr txBox="1">
                          <a:spLocks noChangeArrowheads="1"/>
                        </wps:cNvSpPr>
                        <wps:spPr bwMode="auto">
                          <a:xfrm>
                            <a:off x="7446" y="4256"/>
                            <a:ext cx="955" cy="785"/>
                          </a:xfrm>
                          <a:prstGeom prst="rect">
                            <a:avLst/>
                          </a:prstGeom>
                          <a:solidFill>
                            <a:srgbClr val="FFFFFF"/>
                          </a:solidFill>
                          <a:ln w="9525">
                            <a:solidFill>
                              <a:schemeClr val="accent1">
                                <a:lumMod val="100000"/>
                                <a:lumOff val="0"/>
                              </a:schemeClr>
                            </a:solidFill>
                            <a:prstDash val="dash"/>
                            <a:miter lim="800000"/>
                            <a:headEnd/>
                            <a:tailEnd/>
                          </a:ln>
                        </wps:spPr>
                        <wps:txb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染整</w:t>
                              </w:r>
                            </w:p>
                          </w:txbxContent>
                        </wps:txbx>
                        <wps:bodyPr rot="0" vert="horz" wrap="square" lIns="91440" tIns="45720" rIns="91440" bIns="45720" anchor="t" anchorCtr="0" upright="1">
                          <a:noAutofit/>
                        </wps:bodyPr>
                      </wps:wsp>
                      <wps:wsp>
                        <wps:cNvPr id="32" name="Text Box 309"/>
                        <wps:cNvSpPr txBox="1">
                          <a:spLocks noChangeArrowheads="1"/>
                        </wps:cNvSpPr>
                        <wps:spPr bwMode="auto">
                          <a:xfrm>
                            <a:off x="8940" y="4265"/>
                            <a:ext cx="1833" cy="785"/>
                          </a:xfrm>
                          <a:prstGeom prst="rect">
                            <a:avLst/>
                          </a:prstGeom>
                          <a:solidFill>
                            <a:srgbClr val="FFFFFF"/>
                          </a:solidFill>
                          <a:ln w="9525">
                            <a:solidFill>
                              <a:schemeClr val="accent1">
                                <a:lumMod val="100000"/>
                                <a:lumOff val="0"/>
                              </a:schemeClr>
                            </a:solidFill>
                            <a:prstDash val="dash"/>
                            <a:miter lim="800000"/>
                            <a:headEnd/>
                            <a:tailEnd/>
                          </a:ln>
                        </wps:spPr>
                        <wps:txb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成衣（服裝）</w:t>
                              </w:r>
                            </w:p>
                          </w:txbxContent>
                        </wps:txbx>
                        <wps:bodyPr rot="0" vert="horz" wrap="square" lIns="91440" tIns="45720" rIns="91440" bIns="45720" anchor="t" anchorCtr="0" upright="1">
                          <a:noAutofit/>
                        </wps:bodyPr>
                      </wps:wsp>
                      <wps:wsp>
                        <wps:cNvPr id="33" name="Text Box 310"/>
                        <wps:cNvSpPr txBox="1">
                          <a:spLocks noChangeArrowheads="1"/>
                        </wps:cNvSpPr>
                        <wps:spPr bwMode="auto">
                          <a:xfrm>
                            <a:off x="2569" y="5615"/>
                            <a:ext cx="1452" cy="866"/>
                          </a:xfrm>
                          <a:prstGeom prst="rect">
                            <a:avLst/>
                          </a:prstGeom>
                          <a:noFill/>
                          <a:ln w="9525">
                            <a:solidFill>
                              <a:schemeClr val="accent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人造纖維</w:t>
                              </w:r>
                            </w:p>
                          </w:txbxContent>
                        </wps:txbx>
                        <wps:bodyPr rot="0" vert="horz" wrap="square" lIns="91440" tIns="45720" rIns="91440" bIns="45720" anchor="t" anchorCtr="0" upright="1">
                          <a:noAutofit/>
                        </wps:bodyPr>
                      </wps:wsp>
                      <wps:wsp>
                        <wps:cNvPr id="34" name="Line 311"/>
                        <wps:cNvCnPr/>
                        <wps:spPr bwMode="auto">
                          <a:xfrm>
                            <a:off x="4106" y="469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312"/>
                        <wps:cNvCnPr/>
                        <wps:spPr bwMode="auto">
                          <a:xfrm>
                            <a:off x="8520" y="465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13"/>
                        <wps:cNvCnPr/>
                        <wps:spPr bwMode="auto">
                          <a:xfrm>
                            <a:off x="7016" y="4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14"/>
                        <wps:cNvCnPr/>
                        <wps:spPr bwMode="auto">
                          <a:xfrm>
                            <a:off x="5554" y="4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15"/>
                        <wps:cNvCnPr>
                          <a:cxnSpLocks noChangeShapeType="1"/>
                        </wps:cNvCnPr>
                        <wps:spPr bwMode="auto">
                          <a:xfrm>
                            <a:off x="3324" y="5209"/>
                            <a:ext cx="1" cy="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316"/>
                        <wps:cNvCnPr>
                          <a:cxnSpLocks noChangeShapeType="1"/>
                        </wps:cNvCnPr>
                        <wps:spPr bwMode="auto">
                          <a:xfrm>
                            <a:off x="4057" y="6015"/>
                            <a:ext cx="9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317"/>
                        <wps:cNvCnPr>
                          <a:cxnSpLocks noChangeShapeType="1"/>
                        </wps:cNvCnPr>
                        <wps:spPr bwMode="auto">
                          <a:xfrm flipV="1">
                            <a:off x="5013" y="5050"/>
                            <a:ext cx="1" cy="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318"/>
                        <wps:cNvSpPr>
                          <a:spLocks noChangeArrowheads="1"/>
                        </wps:cNvSpPr>
                        <wps:spPr bwMode="auto">
                          <a:xfrm>
                            <a:off x="3062" y="8018"/>
                            <a:ext cx="1044" cy="743"/>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0BD8" w:rsidRPr="00873D36" w:rsidRDefault="00630BD8" w:rsidP="00333E13">
                              <w:pPr>
                                <w:jc w:val="center"/>
                                <w:rPr>
                                  <w:rFonts w:ascii="標楷體" w:eastAsia="標楷體" w:hAnsi="標楷體"/>
                                  <w:sz w:val="28"/>
                                  <w:szCs w:val="28"/>
                                </w:rPr>
                              </w:pPr>
                              <w:r w:rsidRPr="00873D36">
                                <w:rPr>
                                  <w:rFonts w:ascii="標楷體" w:eastAsia="標楷體" w:hAnsi="標楷體" w:hint="eastAsia"/>
                                  <w:sz w:val="28"/>
                                  <w:szCs w:val="28"/>
                                </w:rPr>
                                <w:t>纖維</w:t>
                              </w:r>
                            </w:p>
                          </w:txbxContent>
                        </wps:txbx>
                        <wps:bodyPr rot="0" vert="horz" wrap="square" lIns="91440" tIns="45720" rIns="91440" bIns="45720" anchor="t" anchorCtr="0" upright="1">
                          <a:noAutofit/>
                        </wps:bodyPr>
                      </wps:wsp>
                      <wps:wsp>
                        <wps:cNvPr id="42" name="AutoShape 319"/>
                        <wps:cNvSpPr>
                          <a:spLocks noChangeArrowheads="1"/>
                        </wps:cNvSpPr>
                        <wps:spPr bwMode="auto">
                          <a:xfrm>
                            <a:off x="2629" y="6593"/>
                            <a:ext cx="2247" cy="870"/>
                          </a:xfrm>
                          <a:prstGeom prst="chevron">
                            <a:avLst>
                              <a:gd name="adj" fmla="val 64569"/>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630BD8" w:rsidRPr="00187676" w:rsidRDefault="00630BD8" w:rsidP="00D82424">
                              <w:pPr>
                                <w:spacing w:beforeLines="50" w:before="120"/>
                                <w:jc w:val="center"/>
                                <w:rPr>
                                  <w:sz w:val="32"/>
                                  <w:szCs w:val="32"/>
                                </w:rPr>
                              </w:pPr>
                              <w:r w:rsidRPr="00187676">
                                <w:rPr>
                                  <w:rFonts w:ascii="標楷體" w:eastAsia="標楷體" w:hAnsi="標楷體" w:hint="eastAsia"/>
                                  <w:b/>
                                  <w:color w:val="FFFFFF"/>
                                  <w:sz w:val="32"/>
                                  <w:szCs w:val="32"/>
                                </w:rPr>
                                <w:t>上游</w:t>
                              </w:r>
                            </w:p>
                          </w:txbxContent>
                        </wps:txbx>
                        <wps:bodyPr rot="0" vert="horz" wrap="square" lIns="91440" tIns="45720" rIns="91440" bIns="45720" anchor="t" anchorCtr="0" upright="1">
                          <a:noAutofit/>
                        </wps:bodyPr>
                      </wps:wsp>
                      <wps:wsp>
                        <wps:cNvPr id="43" name="AutoShape 320"/>
                        <wps:cNvCnPr>
                          <a:cxnSpLocks noChangeShapeType="1"/>
                        </wps:cNvCnPr>
                        <wps:spPr bwMode="auto">
                          <a:xfrm>
                            <a:off x="3582" y="7527"/>
                            <a:ext cx="2"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4" name="AutoShape 321"/>
                        <wps:cNvSpPr>
                          <a:spLocks noChangeArrowheads="1"/>
                        </wps:cNvSpPr>
                        <wps:spPr bwMode="auto">
                          <a:xfrm>
                            <a:off x="5013" y="6590"/>
                            <a:ext cx="2817" cy="870"/>
                          </a:xfrm>
                          <a:prstGeom prst="chevron">
                            <a:avLst>
                              <a:gd name="adj" fmla="val 80948"/>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630BD8" w:rsidRPr="00187676" w:rsidRDefault="00630BD8" w:rsidP="00D82424">
                              <w:pPr>
                                <w:spacing w:beforeLines="50" w:before="120"/>
                                <w:jc w:val="center"/>
                                <w:rPr>
                                  <w:rFonts w:ascii="標楷體" w:eastAsia="標楷體" w:hAnsi="標楷體"/>
                                  <w:b/>
                                  <w:color w:val="FFFFFF"/>
                                  <w:sz w:val="32"/>
                                  <w:szCs w:val="32"/>
                                </w:rPr>
                              </w:pPr>
                              <w:r w:rsidRPr="00187676">
                                <w:rPr>
                                  <w:rFonts w:ascii="標楷體" w:eastAsia="標楷體" w:hAnsi="標楷體" w:hint="eastAsia"/>
                                  <w:b/>
                                  <w:color w:val="FFFFFF"/>
                                  <w:sz w:val="32"/>
                                  <w:szCs w:val="32"/>
                                </w:rPr>
                                <w:t>中游</w:t>
                              </w:r>
                            </w:p>
                          </w:txbxContent>
                        </wps:txbx>
                        <wps:bodyPr rot="0" vert="horz" wrap="square" lIns="91440" tIns="45720" rIns="91440" bIns="45720" anchor="t" anchorCtr="0" upright="1">
                          <a:noAutofit/>
                        </wps:bodyPr>
                      </wps:wsp>
                      <wpg:grpSp>
                        <wpg:cNvPr id="45" name="Group 322"/>
                        <wpg:cNvGrpSpPr>
                          <a:grpSpLocks/>
                        </wpg:cNvGrpSpPr>
                        <wpg:grpSpPr bwMode="auto">
                          <a:xfrm>
                            <a:off x="4834" y="7527"/>
                            <a:ext cx="716" cy="1251"/>
                            <a:chOff x="5014" y="7527"/>
                            <a:chExt cx="716" cy="1251"/>
                          </a:xfrm>
                        </wpg:grpSpPr>
                        <wps:wsp>
                          <wps:cNvPr id="46" name="Rectangle 323"/>
                          <wps:cNvSpPr>
                            <a:spLocks noChangeArrowheads="1"/>
                          </wps:cNvSpPr>
                          <wps:spPr bwMode="auto">
                            <a:xfrm>
                              <a:off x="5014" y="8017"/>
                              <a:ext cx="716" cy="761"/>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0BD8" w:rsidRPr="00634904" w:rsidRDefault="00630BD8" w:rsidP="00333E13">
                                <w:pPr>
                                  <w:rPr>
                                    <w:rFonts w:ascii="標楷體" w:eastAsia="標楷體" w:hAnsi="標楷體"/>
                                    <w:sz w:val="28"/>
                                    <w:szCs w:val="28"/>
                                  </w:rPr>
                                </w:pPr>
                                <w:r w:rsidRPr="00634904">
                                  <w:rPr>
                                    <w:rFonts w:ascii="標楷體" w:eastAsia="標楷體" w:hAnsi="標楷體" w:hint="eastAsia"/>
                                    <w:sz w:val="28"/>
                                    <w:szCs w:val="28"/>
                                  </w:rPr>
                                  <w:t>紗</w:t>
                                </w:r>
                              </w:p>
                            </w:txbxContent>
                          </wps:txbx>
                          <wps:bodyPr rot="0" vert="horz" wrap="square" lIns="91440" tIns="45720" rIns="91440" bIns="45720" anchor="t" anchorCtr="0" upright="1">
                            <a:noAutofit/>
                          </wps:bodyPr>
                        </wps:wsp>
                        <wps:wsp>
                          <wps:cNvPr id="47" name="AutoShape 324"/>
                          <wps:cNvCnPr>
                            <a:cxnSpLocks noChangeShapeType="1"/>
                          </wps:cNvCnPr>
                          <wps:spPr bwMode="auto">
                            <a:xfrm>
                              <a:off x="5377" y="7527"/>
                              <a:ext cx="1"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cNvPr id="48" name="Group 325"/>
                        <wpg:cNvGrpSpPr>
                          <a:grpSpLocks/>
                        </wpg:cNvGrpSpPr>
                        <wpg:grpSpPr bwMode="auto">
                          <a:xfrm>
                            <a:off x="5694" y="7527"/>
                            <a:ext cx="916" cy="1252"/>
                            <a:chOff x="5640" y="7527"/>
                            <a:chExt cx="916" cy="1252"/>
                          </a:xfrm>
                        </wpg:grpSpPr>
                        <wps:wsp>
                          <wps:cNvPr id="49" name="AutoShape 326"/>
                          <wps:cNvCnPr>
                            <a:cxnSpLocks noChangeShapeType="1"/>
                          </wps:cNvCnPr>
                          <wps:spPr bwMode="auto">
                            <a:xfrm>
                              <a:off x="6125" y="7527"/>
                              <a:ext cx="1"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0" name="Rectangle 327"/>
                          <wps:cNvSpPr>
                            <a:spLocks noChangeArrowheads="1"/>
                          </wps:cNvSpPr>
                          <wps:spPr bwMode="auto">
                            <a:xfrm>
                              <a:off x="5640" y="8018"/>
                              <a:ext cx="916" cy="761"/>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0BD8" w:rsidRPr="00634904" w:rsidRDefault="00630BD8" w:rsidP="00333E13">
                                <w:pPr>
                                  <w:rPr>
                                    <w:rFonts w:ascii="標楷體" w:eastAsia="標楷體" w:hAnsi="標楷體"/>
                                    <w:sz w:val="28"/>
                                    <w:szCs w:val="28"/>
                                  </w:rPr>
                                </w:pPr>
                                <w:r>
                                  <w:rPr>
                                    <w:rFonts w:ascii="標楷體" w:eastAsia="標楷體" w:hAnsi="標楷體" w:hint="eastAsia"/>
                                    <w:sz w:val="28"/>
                                    <w:szCs w:val="28"/>
                                  </w:rPr>
                                  <w:t>胚布</w:t>
                                </w:r>
                              </w:p>
                            </w:txbxContent>
                          </wps:txbx>
                          <wps:bodyPr rot="0" vert="horz" wrap="square" lIns="91440" tIns="45720" rIns="91440" bIns="45720" anchor="t" anchorCtr="0" upright="1">
                            <a:noAutofit/>
                          </wps:bodyPr>
                        </wps:wsp>
                      </wpg:grpSp>
                      <wpg:grpSp>
                        <wpg:cNvPr id="51" name="Group 328"/>
                        <wpg:cNvGrpSpPr>
                          <a:grpSpLocks/>
                        </wpg:cNvGrpSpPr>
                        <wpg:grpSpPr bwMode="auto">
                          <a:xfrm>
                            <a:off x="6766" y="7528"/>
                            <a:ext cx="716" cy="1251"/>
                            <a:chOff x="5014" y="7527"/>
                            <a:chExt cx="716" cy="1251"/>
                          </a:xfrm>
                        </wpg:grpSpPr>
                        <wps:wsp>
                          <wps:cNvPr id="52" name="Rectangle 329"/>
                          <wps:cNvSpPr>
                            <a:spLocks noChangeArrowheads="1"/>
                          </wps:cNvSpPr>
                          <wps:spPr bwMode="auto">
                            <a:xfrm>
                              <a:off x="5014" y="8017"/>
                              <a:ext cx="716" cy="761"/>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0BD8" w:rsidRPr="00634904" w:rsidRDefault="00630BD8" w:rsidP="00333E13">
                                <w:pPr>
                                  <w:rPr>
                                    <w:rFonts w:ascii="標楷體" w:eastAsia="標楷體" w:hAnsi="標楷體"/>
                                    <w:sz w:val="28"/>
                                    <w:szCs w:val="28"/>
                                  </w:rPr>
                                </w:pPr>
                                <w:r>
                                  <w:rPr>
                                    <w:rFonts w:ascii="標楷體" w:eastAsia="標楷體" w:hAnsi="標楷體" w:hint="eastAsia"/>
                                    <w:sz w:val="28"/>
                                    <w:szCs w:val="28"/>
                                  </w:rPr>
                                  <w:t>布</w:t>
                                </w:r>
                              </w:p>
                            </w:txbxContent>
                          </wps:txbx>
                          <wps:bodyPr rot="0" vert="horz" wrap="square" lIns="91440" tIns="45720" rIns="91440" bIns="45720" anchor="t" anchorCtr="0" upright="1">
                            <a:noAutofit/>
                          </wps:bodyPr>
                        </wps:wsp>
                        <wps:wsp>
                          <wps:cNvPr id="53" name="AutoShape 330"/>
                          <wps:cNvCnPr>
                            <a:cxnSpLocks noChangeShapeType="1"/>
                          </wps:cNvCnPr>
                          <wps:spPr bwMode="auto">
                            <a:xfrm>
                              <a:off x="5377" y="7527"/>
                              <a:ext cx="1"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54" name="Rectangle 331"/>
                        <wps:cNvSpPr>
                          <a:spLocks noChangeArrowheads="1"/>
                        </wps:cNvSpPr>
                        <wps:spPr bwMode="auto">
                          <a:xfrm>
                            <a:off x="8401" y="7999"/>
                            <a:ext cx="1001" cy="78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成衣</w:t>
                              </w:r>
                            </w:p>
                          </w:txbxContent>
                        </wps:txbx>
                        <wps:bodyPr rot="0" vert="horz" wrap="square" lIns="91440" tIns="45720" rIns="91440" bIns="45720" anchor="t" anchorCtr="0" upright="1">
                          <a:noAutofit/>
                        </wps:bodyPr>
                      </wps:wsp>
                      <wps:wsp>
                        <wps:cNvPr id="55" name="AutoShape 332"/>
                        <wps:cNvSpPr>
                          <a:spLocks noChangeArrowheads="1"/>
                        </wps:cNvSpPr>
                        <wps:spPr bwMode="auto">
                          <a:xfrm>
                            <a:off x="7830" y="6574"/>
                            <a:ext cx="2383" cy="870"/>
                          </a:xfrm>
                          <a:prstGeom prst="chevron">
                            <a:avLst>
                              <a:gd name="adj" fmla="val 68477"/>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630BD8" w:rsidRPr="00372F8E" w:rsidRDefault="00630BD8" w:rsidP="00D82424">
                              <w:pPr>
                                <w:spacing w:beforeLines="50" w:before="120"/>
                                <w:jc w:val="center"/>
                                <w:rPr>
                                  <w:rFonts w:ascii="標楷體" w:eastAsia="標楷體" w:hAnsi="標楷體"/>
                                  <w:b/>
                                  <w:color w:val="FFFFFF"/>
                                  <w:sz w:val="32"/>
                                  <w:szCs w:val="32"/>
                                </w:rPr>
                              </w:pPr>
                              <w:r w:rsidRPr="00187676">
                                <w:rPr>
                                  <w:rFonts w:ascii="標楷體" w:eastAsia="標楷體" w:hAnsi="標楷體" w:hint="eastAsia"/>
                                  <w:b/>
                                  <w:color w:val="FFFFFF"/>
                                  <w:sz w:val="32"/>
                                  <w:szCs w:val="32"/>
                                </w:rPr>
                                <w:t>下游</w:t>
                              </w:r>
                            </w:p>
                          </w:txbxContent>
                        </wps:txbx>
                        <wps:bodyPr rot="0" vert="horz" wrap="square" lIns="91440" tIns="45720" rIns="91440" bIns="45720" anchor="t" anchorCtr="0" upright="1">
                          <a:noAutofit/>
                        </wps:bodyPr>
                      </wps:wsp>
                      <wps:wsp>
                        <wps:cNvPr id="56" name="AutoShape 333"/>
                        <wps:cNvCnPr>
                          <a:cxnSpLocks noChangeShapeType="1"/>
                        </wps:cNvCnPr>
                        <wps:spPr bwMode="auto">
                          <a:xfrm>
                            <a:off x="8971" y="7508"/>
                            <a:ext cx="1"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7" name="Rectangle 334"/>
                        <wps:cNvSpPr>
                          <a:spLocks noChangeArrowheads="1"/>
                        </wps:cNvSpPr>
                        <wps:spPr bwMode="auto">
                          <a:xfrm>
                            <a:off x="5919" y="5281"/>
                            <a:ext cx="990" cy="743"/>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0BD8" w:rsidRPr="00873D36" w:rsidRDefault="00630BD8" w:rsidP="00333E13">
                              <w:pPr>
                                <w:jc w:val="center"/>
                                <w:rPr>
                                  <w:rFonts w:ascii="標楷體" w:eastAsia="標楷體" w:hAnsi="標楷體"/>
                                  <w:sz w:val="28"/>
                                  <w:szCs w:val="28"/>
                                </w:rPr>
                              </w:pPr>
                              <w:r>
                                <w:rPr>
                                  <w:rFonts w:ascii="標楷體" w:eastAsia="標楷體" w:hAnsi="標楷體" w:hint="eastAsia"/>
                                  <w:sz w:val="28"/>
                                  <w:szCs w:val="28"/>
                                </w:rPr>
                                <w:t>針織</w:t>
                              </w:r>
                            </w:p>
                          </w:txbxContent>
                        </wps:txbx>
                        <wps:bodyPr rot="0" vert="horz" wrap="square" lIns="91440" tIns="45720" rIns="91440" bIns="45720" anchor="t" anchorCtr="0" upright="1">
                          <a:noAutofit/>
                        </wps:bodyPr>
                      </wps:wsp>
                      <wps:wsp>
                        <wps:cNvPr id="58" name="Rectangle 335"/>
                        <wps:cNvSpPr>
                          <a:spLocks noChangeArrowheads="1"/>
                        </wps:cNvSpPr>
                        <wps:spPr bwMode="auto">
                          <a:xfrm>
                            <a:off x="7411" y="5281"/>
                            <a:ext cx="990" cy="743"/>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0BD8" w:rsidRPr="00873D36" w:rsidRDefault="00630BD8" w:rsidP="00333E13">
                              <w:pPr>
                                <w:jc w:val="center"/>
                                <w:rPr>
                                  <w:rFonts w:ascii="標楷體" w:eastAsia="標楷體" w:hAnsi="標楷體"/>
                                  <w:sz w:val="28"/>
                                  <w:szCs w:val="28"/>
                                </w:rPr>
                              </w:pPr>
                              <w:r>
                                <w:rPr>
                                  <w:rFonts w:ascii="標楷體" w:eastAsia="標楷體" w:hAnsi="標楷體" w:hint="eastAsia"/>
                                  <w:sz w:val="28"/>
                                  <w:szCs w:val="28"/>
                                </w:rPr>
                                <w:t>印花</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2" o:spid="_x0000_s1030" style="position:absolute;left:0;text-align:left;margin-left:6.35pt;margin-top:2.75pt;width:410.2pt;height:284.65pt;z-index:251662848" coordorigin="2569,3086" coordsize="8204,5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">
                <v:shape id="Text Box 303" o:spid="_x0000_s1031" type="#_x0000_t202" style="position:absolute;left:4531;top:4283;width:969;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4MIA&#10;AADbAAAADwAAAGRycy9kb3ducmV2LnhtbESPT4vCMBTE74LfITzBm6Z6KFKNRQqKB8Fd/4DHR/Ns&#10;i81LaWJbv/1mYWGPw8z8htmkg6lFR62rLCtYzCMQxLnVFRcKbtf9bAXCeWSNtWVS8CEH6XY82mCi&#10;bc/f1F18IQKEXYIKSu+bREqXl2TQzW1DHLynbQ36INtC6hb7ADe1XEZRLA1WHBZKbCgrKX9d3kaB&#10;zfq7PBt5+4pX15N5RIdH5w9KTSfDbg3C0+D/w3/to1awjOH3S/g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fgwgAAANsAAAAPAAAAAAAAAAAAAAAAAJgCAABkcnMvZG93&#10;bnJldi54bWxQSwUGAAAAAAQABAD1AAAAhwMAAAAA&#10;" strokecolor="#4f81bd [3204]">
                  <v:stroke dashstyle="dash"/>
                  <v:textbo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紡紗</w:t>
                        </w:r>
                      </w:p>
                    </w:txbxContent>
                  </v:textbox>
                </v:shape>
                <v:shapetype id="_x0000_t32" coordsize="21600,21600" o:spt="32" o:oned="t" path="m,l21600,21600e" filled="f">
                  <v:path arrowok="t" fillok="f" o:connecttype="none"/>
                  <o:lock v:ext="edit" shapetype="t"/>
                </v:shapetype>
                <v:shape id="AutoShape 304" o:spid="_x0000_s1032" type="#_x0000_t32" style="position:absolute;left:2937;top:4065;width:68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Text Box 305" o:spid="_x0000_s1033" type="#_x0000_t202" style="position:absolute;left:4580;top:3086;width:3492;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mb8A&#10;AADbAAAADwAAAGRycy9kb3ducmV2LnhtbERPy4rCMBTdC/MP4Qqz00QXg1SjyICjs/QBurxtrm2d&#10;5iY0UTt+vVkILg/nPVt0thE3akPtWMNoqEAQF87UXGo47FeDCYgQkQ02jknDPwVYzD96M8yMu/OW&#10;brtYihTCIUMNVYw+kzIUFVkMQ+eJE3d2rcWYYFtK0+I9hdtGjpX6khZrTg0VevquqPjbXa0G96CT&#10;x/ySqx+fn44rtW5+r6z1Z79bTkFE6uJb/HJvjIZxGpu+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6ZvwAAANsAAAAPAAAAAAAAAAAAAAAAAJgCAABkcnMvZG93bnJl&#10;di54bWxQSwUGAAAAAAQABAD1AAAAhAMAAAAA&#10;" fillcolor="#c0504d" strokecolor="#f2f2f2" strokeweight="3pt">
                  <v:shadow on="t" color="#622423" opacity=".5" offset="1pt"/>
                  <v:textbox style="mso-fit-shape-to-text:t">
                    <w:txbxContent>
                      <w:p w:rsidR="00630BD8" w:rsidRPr="00873D36" w:rsidRDefault="00630BD8" w:rsidP="00333E13">
                        <w:pPr>
                          <w:jc w:val="distribute"/>
                          <w:rPr>
                            <w:rFonts w:ascii="標楷體" w:eastAsia="標楷體" w:hAnsi="標楷體"/>
                            <w:color w:val="FFFFFF"/>
                            <w:sz w:val="40"/>
                            <w:szCs w:val="40"/>
                          </w:rPr>
                        </w:pPr>
                        <w:r w:rsidRPr="00873D36">
                          <w:rPr>
                            <w:rFonts w:ascii="標楷體" w:eastAsia="標楷體" w:hAnsi="標楷體" w:hint="eastAsia"/>
                            <w:color w:val="FFFFFF"/>
                            <w:sz w:val="40"/>
                            <w:szCs w:val="40"/>
                          </w:rPr>
                          <w:t>紡織產業鏈簡介</w:t>
                        </w:r>
                      </w:p>
                    </w:txbxContent>
                  </v:textbox>
                </v:shape>
                <v:shape id="Text Box 306" o:spid="_x0000_s1034" type="#_x0000_t202" style="position:absolute;left:2569;top:4256;width:1452;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MwcUA&#10;AADbAAAADwAAAGRycy9kb3ducmV2LnhtbESPT2sCMRTE74V+h/CEXopma1nR1SgiLeyt9Q/i8bF5&#10;Jqubl2WT6vbbN4VCj8PM/IZZrHrXiBt1ofas4GWUgSCuvK7ZKDjs34dTECEia2w8k4JvCrBaPj4s&#10;sND+zlu67aIRCcKhQAU2xraQMlSWHIaRb4mTd/adw5hkZ6Tu8J7grpHjLJtIhzWnBYstbSxV192X&#10;U3B5M5vXZnZ9LtdHU+Yfn7k9HXOlngb9eg4iUh//w3/tUisYz+D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tozBxQAAANsAAAAPAAAAAAAAAAAAAAAAAJgCAABkcnMv&#10;ZG93bnJldi54bWxQSwUGAAAAAAQABAD1AAAAigMAAAAA&#10;" filled="f" strokecolor="#4f81bd [3204]">
                  <v:stroke dashstyle="dash"/>
                  <v:textbo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天然纖維</w:t>
                        </w:r>
                      </w:p>
                    </w:txbxContent>
                  </v:textbox>
                </v:shape>
                <v:shape id="Text Box 307" o:spid="_x0000_s1035" type="#_x0000_t202" style="position:absolute;left:5950;top:4252;width:959;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M0rwA&#10;AADbAAAADwAAAGRycy9kb3ducmV2LnhtbERPSwrCMBDdC94hjOBOUxVEqlFEUFwI/sHl0IxtsZmU&#10;Jrb19mYhuHy8/2LVmkLUVLncsoLRMAJBnFidc6rgdt0OZiCcR9ZYWCYFH3KwWnY7C4y1bfhM9cWn&#10;IoSwi1FB5n0ZS+mSjAy6oS2JA/e0lUEfYJVKXWETwk0hx1E0lQZzDg0ZlrTJKHld3kaB3TR3eTTy&#10;dprOrgfziHaP2u+U6vfa9RyEp9b/xT/3XiuYhPX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h4zSvAAAANsAAAAPAAAAAAAAAAAAAAAAAJgCAABkcnMvZG93bnJldi54&#10;bWxQSwUGAAAAAAQABAD1AAAAgQMAAAAA&#10;" strokecolor="#4f81bd [3204]">
                  <v:stroke dashstyle="dash"/>
                  <v:textbo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纖布</w:t>
                        </w:r>
                      </w:p>
                    </w:txbxContent>
                  </v:textbox>
                </v:shape>
                <v:shape id="Text Box 308" o:spid="_x0000_s1036" type="#_x0000_t202" style="position:absolute;left:7446;top:4256;width:955;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spScEA&#10;AADbAAAADwAAAGRycy9kb3ducmV2LnhtbESPQYvCMBSE74L/ITzBm6YqiHSNIoLiQXC1Lnh8NM+2&#10;2LyUJrb1328EweMwM98wy3VnStFQ7QrLCibjCARxanXBmYJrshstQDiPrLG0TApe5GC96veWGGvb&#10;8pmai89EgLCLUUHufRVL6dKcDLqxrYiDd7e1QR9knUldYxvgppTTKJpLgwWHhRwr2uaUPi5Po8Bu&#10;2z95MvL6O18kR3OL9rfG75UaDrrNDwhPnf+GP+2DVjCbwPt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KUnBAAAA2wAAAA8AAAAAAAAAAAAAAAAAmAIAAGRycy9kb3du&#10;cmV2LnhtbFBLBQYAAAAABAAEAPUAAACGAwAAAAA=&#10;" strokecolor="#4f81bd [3204]">
                  <v:stroke dashstyle="dash"/>
                  <v:textbo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染整</w:t>
                        </w:r>
                      </w:p>
                    </w:txbxContent>
                  </v:textbox>
                </v:shape>
                <v:shape id="Text Box 309" o:spid="_x0000_s1037" type="#_x0000_t202" style="position:absolute;left:8940;top:4265;width:1833;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3PsQA&#10;AADbAAAADwAAAGRycy9kb3ducmV2LnhtbESPQWuDQBSE74X+h+UVeqtrUwhis0oJJPRQSKoWcny4&#10;Lypx34q7UfPvs4VCj8PMfMNs8sX0YqLRdZYVvEYxCOLa6o4bBVW5e0lAOI+ssbdMCm7kIM8eHzaY&#10;ajvzN02Fb0SAsEtRQev9kErp6pYMusgOxME729GgD3JspB5xDnDTy1Ucr6XBjsNCiwNtW6ovxdUo&#10;sNv5Rx6MrI7rpPwyp3h/mvxeqeen5eMdhKfF/4f/2p9awdsKfr+EH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Ztz7EAAAA2wAAAA8AAAAAAAAAAAAAAAAAmAIAAGRycy9k&#10;b3ducmV2LnhtbFBLBQYAAAAABAAEAPUAAACJAwAAAAA=&#10;" strokecolor="#4f81bd [3204]">
                  <v:stroke dashstyle="dash"/>
                  <v:textbo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成衣（服裝）</w:t>
                        </w:r>
                      </w:p>
                    </w:txbxContent>
                  </v:textbox>
                </v:shape>
                <v:shape id="Text Box 310" o:spid="_x0000_s1038" type="#_x0000_t202" style="position:absolute;left:2569;top:5615;width:1452;height: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t9sUA&#10;AADbAAAADwAAAGRycy9kb3ducmV2LnhtbESPQWsCMRSE74X+h/AKvRTN1mWLrkYRsbA3W1vE42Pz&#10;TLZuXpZNqtt/bwqFHoeZ+YZZrAbXigv1ofGs4HmcgSCuvW7YKPj8eB1NQYSIrLH1TAp+KMBqeX+3&#10;wFL7K7/TZR+NSBAOJSqwMXallKG25DCMfUecvJPvHcYkeyN1j9cEd62cZNmLdNhwWrDY0cZSfd5/&#10;OwVfW7PJ29n5qVofTFXs3gp7PBRKPT4M6zmISEP8D/+1K60gz+H3S/o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y32xQAAANsAAAAPAAAAAAAAAAAAAAAAAJgCAABkcnMv&#10;ZG93bnJldi54bWxQSwUGAAAAAAQABAD1AAAAigMAAAAA&#10;" filled="f" strokecolor="#4f81bd [3204]">
                  <v:stroke dashstyle="dash"/>
                  <v:textbo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人造纖維</w:t>
                        </w:r>
                      </w:p>
                    </w:txbxContent>
                  </v:textbox>
                </v:shape>
                <v:line id="Line 311" o:spid="_x0000_s1039" style="position:absolute;visibility:visible;mso-wrap-style:square" from="4106,4692" to="4466,4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312" o:spid="_x0000_s1040" style="position:absolute;visibility:visible;mso-wrap-style:square" from="8520,4656" to="8880,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13" o:spid="_x0000_s1041" style="position:absolute;visibility:visible;mso-wrap-style:square" from="7016,4674" to="7376,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314" o:spid="_x0000_s1042" style="position:absolute;visibility:visible;mso-wrap-style:square" from="5554,4674" to="5914,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shape id="AutoShape 315" o:spid="_x0000_s1043" type="#_x0000_t32" style="position:absolute;left:3324;top:5209;width:1;height: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316" o:spid="_x0000_s1044" type="#_x0000_t32" style="position:absolute;left:4057;top:6015;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317" o:spid="_x0000_s1045" type="#_x0000_t32" style="position:absolute;left:5013;top:5050;width:1;height:9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rect id="Rectangle 318" o:spid="_x0000_s1046" style="position:absolute;left:3062;top:8018;width:1044;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0Uk8IA&#10;AADbAAAADwAAAGRycy9kb3ducmV2LnhtbESPQWvCQBSE7wX/w/IEL0U3SikSXUUF0YNUmur9kX0m&#10;wezbkH1q/PduodDjMDPfMPNl52p1pzZUng2MRwko4tzbigsDp5/tcAoqCLLF2jMZeFKA5aL3NsfU&#10;+gd/0z2TQkUIhxQNlCJNqnXIS3IYRr4hjt7Ftw4lyrbQtsVHhLtaT5LkUzusOC6U2NCmpPya3ZyB&#10;87pa3/go2Un27yJ8POiv3dSYQb9bzUAJdfIf/mvvrYGPMfx+iT9AL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3RSTwgAAANsAAAAPAAAAAAAAAAAAAAAAAJgCAABkcnMvZG93&#10;bnJldi54bWxQSwUGAAAAAAQABAD1AAAAhwMAAAAA&#10;" strokecolor="#4f81bd" strokeweight="1pt">
                  <v:stroke dashstyle="dash"/>
                  <v:shadow color="#868686"/>
                  <v:textbox>
                    <w:txbxContent>
                      <w:p w:rsidR="00630BD8" w:rsidRPr="00873D36" w:rsidRDefault="00630BD8" w:rsidP="00333E13">
                        <w:pPr>
                          <w:jc w:val="center"/>
                          <w:rPr>
                            <w:rFonts w:ascii="標楷體" w:eastAsia="標楷體" w:hAnsi="標楷體"/>
                            <w:sz w:val="28"/>
                            <w:szCs w:val="28"/>
                          </w:rPr>
                        </w:pPr>
                        <w:r w:rsidRPr="00873D36">
                          <w:rPr>
                            <w:rFonts w:ascii="標楷體" w:eastAsia="標楷體" w:hAnsi="標楷體" w:hint="eastAsia"/>
                            <w:sz w:val="28"/>
                            <w:szCs w:val="28"/>
                          </w:rPr>
                          <w:t>纖維</w:t>
                        </w: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19" o:spid="_x0000_s1047" type="#_x0000_t55" style="position:absolute;left:2629;top:6593;width:2247;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c+sIA&#10;AADbAAAADwAAAGRycy9kb3ducmV2LnhtbESPQWvCQBSE7wX/w/IEb3WjSKlpNiKCQRAEo+j1Nfua&#10;hGbfhuxG47/vCkKPw8x8wySrwTTiRp2rLSuYTSMQxIXVNZcKzqft+ycI55E1NpZJwYMcrNLRW4Kx&#10;tnc+0i33pQgQdjEqqLxvYyldUZFBN7UtcfB+bGfQB9mVUnd4D3DTyHkUfUiDNYeFClvaVFT85r1R&#10;sL/ohVl+26wlOtpeXw95hgelJuNh/QXC0+D/w6/2TitYzOH5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9z6wgAAANsAAAAPAAAAAAAAAAAAAAAAAJgCAABkcnMvZG93&#10;bnJldi54bWxQSwUGAAAAAAQABAD1AAAAhwMAAAAA&#10;" fillcolor="#4f81bd" strokecolor="#f2f2f2" strokeweight="3pt">
                  <v:shadow on="t" color="#243f60" opacity=".5" offset="1pt"/>
                  <v:textbox>
                    <w:txbxContent>
                      <w:p w:rsidR="00630BD8" w:rsidRPr="00187676" w:rsidRDefault="00630BD8" w:rsidP="00D82424">
                        <w:pPr>
                          <w:spacing w:beforeLines="50" w:before="120"/>
                          <w:jc w:val="center"/>
                          <w:rPr>
                            <w:sz w:val="32"/>
                            <w:szCs w:val="32"/>
                          </w:rPr>
                        </w:pPr>
                        <w:r w:rsidRPr="00187676">
                          <w:rPr>
                            <w:rFonts w:ascii="標楷體" w:eastAsia="標楷體" w:hAnsi="標楷體" w:hint="eastAsia"/>
                            <w:b/>
                            <w:color w:val="FFFFFF"/>
                            <w:sz w:val="32"/>
                            <w:szCs w:val="32"/>
                          </w:rPr>
                          <w:t>上游</w:t>
                        </w:r>
                      </w:p>
                    </w:txbxContent>
                  </v:textbox>
                </v:shape>
                <v:shape id="AutoShape 320" o:spid="_x0000_s1048" type="#_x0000_t32" style="position:absolute;left:3582;top:7527;width:2;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RDQMMAAADbAAAADwAAAGRycy9kb3ducmV2LnhtbESP0YrCMBRE3wX/IdwF3zTddpVtbRRR&#10;BPFJXT/g0lzbYnNTmlTr35uFhX0cZuYMk68H04gHda62rOBzFoEgLqyuuVRw/dlPv0E4j6yxsUwK&#10;XuRgvRqPcsy0ffKZHhdfigBhl6GCyvs2k9IVFRl0M9sSB+9mO4M+yK6UusNngJtGxlG0kAZrDgsV&#10;trStqLhfeqNge1/sjqk9nsp5skvT+EqbOOmVmnwMmyUIT4P/D/+1D1rBVwK/X8IP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kQ0DDAAAA2wAAAA8AAAAAAAAAAAAA&#10;AAAAoQIAAGRycy9kb3ducmV2LnhtbFBLBQYAAAAABAAEAPkAAACRAwAAAAA=&#10;" strokecolor="#4f81bd" strokeweight="1pt">
                  <v:stroke dashstyle="dash"/>
                  <v:shadow color="#868686"/>
                </v:shape>
                <v:shape id="AutoShape 321" o:spid="_x0000_s1049" type="#_x0000_t55" style="position:absolute;left:5013;top:6590;width:2817;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hFcIA&#10;AADbAAAADwAAAGRycy9kb3ducmV2LnhtbESP3WrCQBSE7wu+w3KE3tWNJRRNXUWEhoIgGMXenmZP&#10;k2D2bMhufnz7riB4OczMN8xqM5pa9NS6yrKC+SwCQZxbXXGh4Hz6eluAcB5ZY22ZFNzIwWY9eVlh&#10;ou3AR+ozX4gAYZeggtL7JpHS5SUZdDPbEAfvz7YGfZBtIXWLQ4CbWr5H0Yc0WHFYKLGhXUn5NeuM&#10;gv1Fx2b5a9OG6Gg7/XPIUjwo9Todt58gPI3+GX60v7WCOIb7l/A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uEVwgAAANsAAAAPAAAAAAAAAAAAAAAAAJgCAABkcnMvZG93&#10;bnJldi54bWxQSwUGAAAAAAQABAD1AAAAhwMAAAAA&#10;" fillcolor="#4f81bd" strokecolor="#f2f2f2" strokeweight="3pt">
                  <v:shadow on="t" color="#243f60" opacity=".5" offset="1pt"/>
                  <v:textbox>
                    <w:txbxContent>
                      <w:p w:rsidR="00630BD8" w:rsidRPr="00187676" w:rsidRDefault="00630BD8" w:rsidP="00D82424">
                        <w:pPr>
                          <w:spacing w:beforeLines="50" w:before="120"/>
                          <w:jc w:val="center"/>
                          <w:rPr>
                            <w:rFonts w:ascii="標楷體" w:eastAsia="標楷體" w:hAnsi="標楷體"/>
                            <w:b/>
                            <w:color w:val="FFFFFF"/>
                            <w:sz w:val="32"/>
                            <w:szCs w:val="32"/>
                          </w:rPr>
                        </w:pPr>
                        <w:r w:rsidRPr="00187676">
                          <w:rPr>
                            <w:rFonts w:ascii="標楷體" w:eastAsia="標楷體" w:hAnsi="標楷體" w:hint="eastAsia"/>
                            <w:b/>
                            <w:color w:val="FFFFFF"/>
                            <w:sz w:val="32"/>
                            <w:szCs w:val="32"/>
                          </w:rPr>
                          <w:t>中游</w:t>
                        </w:r>
                      </w:p>
                    </w:txbxContent>
                  </v:textbox>
                </v:shape>
                <v:group id="Group 322" o:spid="_x0000_s1050" style="position:absolute;left:4834;top:7527;width:716;height:1251" coordorigin="5014,7527" coordsize="716,1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23" o:spid="_x0000_s1051" style="position:absolute;left:5014;top:8017;width:716;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M58MA&#10;AADbAAAADwAAAGRycy9kb3ducmV2LnhtbESPQWvCQBSE7wX/w/IEL6VuKiIhzUa0UOpBKk3t/ZF9&#10;TYLZtyH71Pjv3UKhx2FmvmHy9eg6daEhtJ4NPM8TUMSVty3XBo5fb08pqCDIFjvPZOBGAdbF5CHH&#10;zPorf9KllFpFCIcMDTQifaZ1qBpyGOa+J47ejx8cSpRDre2A1wh3nV4kyUo7bDkuNNjTa0PVqTw7&#10;A9/bdnvmg5RH2T2K8GGvP95TY2bTcfMCSmiU//Bfe2cNLFfw+yX+AF3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SM58MAAADbAAAADwAAAAAAAAAAAAAAAACYAgAAZHJzL2Rv&#10;d25yZXYueG1sUEsFBgAAAAAEAAQA9QAAAIgDAAAAAA==&#10;" strokecolor="#4f81bd" strokeweight="1pt">
                    <v:stroke dashstyle="dash"/>
                    <v:shadow color="#868686"/>
                    <v:textbox>
                      <w:txbxContent>
                        <w:p w:rsidR="00630BD8" w:rsidRPr="00634904" w:rsidRDefault="00630BD8" w:rsidP="00333E13">
                          <w:pPr>
                            <w:rPr>
                              <w:rFonts w:ascii="標楷體" w:eastAsia="標楷體" w:hAnsi="標楷體"/>
                              <w:sz w:val="28"/>
                              <w:szCs w:val="28"/>
                            </w:rPr>
                          </w:pPr>
                          <w:r w:rsidRPr="00634904">
                            <w:rPr>
                              <w:rFonts w:ascii="標楷體" w:eastAsia="標楷體" w:hAnsi="標楷體" w:hint="eastAsia"/>
                              <w:sz w:val="28"/>
                              <w:szCs w:val="28"/>
                            </w:rPr>
                            <w:t>紗</w:t>
                          </w:r>
                        </w:p>
                      </w:txbxContent>
                    </v:textbox>
                  </v:rect>
                  <v:shape id="AutoShape 324" o:spid="_x0000_s1052" type="#_x0000_t32" style="position:absolute;left:5377;top:7527;width:1;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9FQ8QAAADbAAAADwAAAGRycy9kb3ducmV2LnhtbESP0WrCQBRE3wv+w3KFvtWNSasmuopE&#10;hOJTq37AJXtNgtm7Ibsm6d+7hUIfh5k5w2x2o2lET52rLSuYzyIQxIXVNZcKrpfj2wqE88gaG8uk&#10;4Icc7LaTlw1m2g78Tf3ZlyJA2GWooPK+zaR0RUUG3cy2xMG72c6gD7Irpe5wCHDTyDiKFtJgzWGh&#10;wpbyior7+WEU5PfF4ZTa01f5kRzSNL7SPk4eSr1Ox/0ahKfR/4f/2p9awfsSfr+EHy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0VDxAAAANsAAAAPAAAAAAAAAAAA&#10;AAAAAKECAABkcnMvZG93bnJldi54bWxQSwUGAAAAAAQABAD5AAAAkgMAAAAA&#10;" strokecolor="#4f81bd" strokeweight="1pt">
                    <v:stroke dashstyle="dash"/>
                    <v:shadow color="#868686"/>
                  </v:shape>
                </v:group>
                <v:group id="Group 325" o:spid="_x0000_s1053" style="position:absolute;left:5694;top:7527;width:916;height:1252" coordorigin="5640,7527" coordsize="916,1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326" o:spid="_x0000_s1054" type="#_x0000_t32" style="position:absolute;left:6125;top:7527;width:1;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0qsIAAADbAAAADwAAAGRycy9kb3ducmV2LnhtbESP3YrCMBSE7wXfIRzBO02tbrHVKKII&#10;i1frzwMcmmNbbE5KE7W+/UYQvBxm5htmue5MLR7Uusqygsk4AkGcW11xoeBy3o/mIJxH1lhbJgUv&#10;crBe9XtLzLR98pEeJ1+IAGGXoYLS+yaT0uUlGXRj2xAH72pbgz7ItpC6xWeAm1rGUZRIgxWHhRIb&#10;2paU3053o2B7S3aH1B7+ip/pLk3jC23i6V2p4aDbLEB46vw3/Gn/agWzFN5fw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x0qsIAAADbAAAADwAAAAAAAAAAAAAA&#10;AAChAgAAZHJzL2Rvd25yZXYueG1sUEsFBgAAAAAEAAQA+QAAAJADAAAAAA==&#10;" strokecolor="#4f81bd" strokeweight="1pt">
                    <v:stroke dashstyle="dash"/>
                    <v:shadow color="#868686"/>
                  </v:shape>
                  <v:rect id="Rectangle 327" o:spid="_x0000_s1055" style="position:absolute;left:5640;top:8018;width:916;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n1b8A&#10;AADbAAAADwAAAGRycy9kb3ducmV2LnhtbERPTYvCMBC9L/gfwgheFk0VVqQaRYVlPSyKVe9DM7bF&#10;ZlKaUbv/fnMQPD7e92LVuVo9qA2VZwPjUQKKOPe24sLA+fQ9nIEKgmyx9kwG/ijAatn7WGBq/ZOP&#10;9MikUDGEQ4oGSpEm1TrkJTkMI98QR+7qW4cSYVto2+IzhrtaT5Jkqh1WHBtKbGhbUn7L7s7AZVNt&#10;7nyQ7Cy7TxE+/Or9z8yYQb9bz0EJdfIWv9w7a+Arro9f4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SCfVvwAAANsAAAAPAAAAAAAAAAAAAAAAAJgCAABkcnMvZG93bnJl&#10;di54bWxQSwUGAAAAAAQABAD1AAAAhAMAAAAA&#10;" strokecolor="#4f81bd" strokeweight="1pt">
                    <v:stroke dashstyle="dash"/>
                    <v:shadow color="#868686"/>
                    <v:textbox>
                      <w:txbxContent>
                        <w:p w:rsidR="00630BD8" w:rsidRPr="00634904" w:rsidRDefault="00630BD8" w:rsidP="00333E13">
                          <w:pPr>
                            <w:rPr>
                              <w:rFonts w:ascii="標楷體" w:eastAsia="標楷體" w:hAnsi="標楷體"/>
                              <w:sz w:val="28"/>
                              <w:szCs w:val="28"/>
                            </w:rPr>
                          </w:pPr>
                          <w:r>
                            <w:rPr>
                              <w:rFonts w:ascii="標楷體" w:eastAsia="標楷體" w:hAnsi="標楷體" w:hint="eastAsia"/>
                              <w:sz w:val="28"/>
                              <w:szCs w:val="28"/>
                            </w:rPr>
                            <w:t>胚布</w:t>
                          </w:r>
                        </w:p>
                      </w:txbxContent>
                    </v:textbox>
                  </v:rect>
                </v:group>
                <v:group id="Group 328" o:spid="_x0000_s1056" style="position:absolute;left:6766;top:7528;width:716;height:1251" coordorigin="5014,7527" coordsize="716,1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329" o:spid="_x0000_s1057" style="position:absolute;left:5014;top:8017;width:716;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cOcMA&#10;AADbAAAADwAAAGRycy9kb3ducmV2LnhtbESPQWvCQBSE70L/w/IKvUjdKFgkzUaqIHooitHeH9nX&#10;JDT7NmSfmv77riD0OMzMN0y2HFyrrtSHxrOB6SQBRVx623Bl4HzavC5ABUG22HomA78UYJk/jTJM&#10;rb/xka6FVCpCOKRooBbpUq1DWZPDMPEdcfS+fe9QouwrbXu8Rbhr9SxJ3rTDhuNCjR2tayp/iosz&#10;8LVqVhc+SHGW3ViED596v10Y8/I8fLyDEhrkP/xo76yB+QzuX+IP0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YcOcMAAADbAAAADwAAAAAAAAAAAAAAAACYAgAAZHJzL2Rv&#10;d25yZXYueG1sUEsFBgAAAAAEAAQA9QAAAIgDAAAAAA==&#10;" strokecolor="#4f81bd" strokeweight="1pt">
                    <v:stroke dashstyle="dash"/>
                    <v:shadow color="#868686"/>
                    <v:textbox>
                      <w:txbxContent>
                        <w:p w:rsidR="00630BD8" w:rsidRPr="00634904" w:rsidRDefault="00630BD8" w:rsidP="00333E13">
                          <w:pPr>
                            <w:rPr>
                              <w:rFonts w:ascii="標楷體" w:eastAsia="標楷體" w:hAnsi="標楷體"/>
                              <w:sz w:val="28"/>
                              <w:szCs w:val="28"/>
                            </w:rPr>
                          </w:pPr>
                          <w:r>
                            <w:rPr>
                              <w:rFonts w:ascii="標楷體" w:eastAsia="標楷體" w:hAnsi="標楷體" w:hint="eastAsia"/>
                              <w:sz w:val="28"/>
                              <w:szCs w:val="28"/>
                            </w:rPr>
                            <w:t>布</w:t>
                          </w:r>
                        </w:p>
                      </w:txbxContent>
                    </v:textbox>
                  </v:rect>
                  <v:shape id="AutoShape 330" o:spid="_x0000_s1058" type="#_x0000_t32" style="position:absolute;left:5377;top:7527;width:1;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VncIAAADbAAAADwAAAGRycy9kb3ducmV2LnhtbESP0YrCMBRE34X9h3AX9k1TW5RtbRRR&#10;FsSn3eoHXJq7bWlzU5qo9e+NIPg4zMwZJt+MphNXGlxjWcF8FoEgLq1uuFJwPv1Mv0E4j6yxs0wK&#10;7uRgs/6Y5Jhpe+M/uha+EgHCLkMFtfd9JqUrazLoZrYnDt6/HQz6IIdK6gFvAW46GUfRUhpsOCzU&#10;2NOuprItLkbBrl3uj6k9/laLZJ+m8Zm2cXJR6utz3K5AeBr9O/xqH7SCRQL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3VncIAAADbAAAADwAAAAAAAAAAAAAA&#10;AAChAgAAZHJzL2Rvd25yZXYueG1sUEsFBgAAAAAEAAQA+QAAAJADAAAAAA==&#10;" strokecolor="#4f81bd" strokeweight="1pt">
                    <v:stroke dashstyle="dash"/>
                    <v:shadow color="#868686"/>
                  </v:shape>
                </v:group>
                <v:rect id="Rectangle 331" o:spid="_x0000_s1059" style="position:absolute;left:8401;top:7999;width:1001;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h1sIA&#10;AADbAAAADwAAAGRycy9kb3ducmV2LnhtbESPQWvCQBSE74L/YXlCL1I3liqSuooKpR5EMdr7I/ua&#10;BLNvQ/ap6b93CwWPw8x8w8yXnavVjdpQeTYwHiWgiHNvKy4MnE+frzNQQZAt1p7JwC8FWC76vTmm&#10;1t/5SLdMChUhHFI0UIo0qdYhL8lhGPmGOHo/vnUoUbaFti3eI9zV+i1JptphxXGhxIY2JeWX7OoM&#10;fK+r9ZUPkp1lOxThw07vv2bGvAy61QcooU6e4f/21hqYvMPfl/gD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cyHWwgAAANsAAAAPAAAAAAAAAAAAAAAAAJgCAABkcnMvZG93&#10;bnJldi54bWxQSwUGAAAAAAQABAD1AAAAhwMAAAAA&#10;" strokecolor="#4f81bd" strokeweight="1pt">
                  <v:stroke dashstyle="dash"/>
                  <v:shadow color="#868686"/>
                  <v:textbox>
                    <w:txbxContent>
                      <w:p w:rsidR="00630BD8" w:rsidRPr="00873D36" w:rsidRDefault="00630BD8" w:rsidP="00333E13">
                        <w:pPr>
                          <w:rPr>
                            <w:rFonts w:ascii="標楷體" w:eastAsia="標楷體" w:hAnsi="標楷體"/>
                            <w:sz w:val="28"/>
                            <w:szCs w:val="28"/>
                          </w:rPr>
                        </w:pPr>
                        <w:r w:rsidRPr="00873D36">
                          <w:rPr>
                            <w:rFonts w:ascii="標楷體" w:eastAsia="標楷體" w:hAnsi="標楷體" w:hint="eastAsia"/>
                            <w:sz w:val="28"/>
                            <w:szCs w:val="28"/>
                          </w:rPr>
                          <w:t>成衣</w:t>
                        </w:r>
                      </w:p>
                    </w:txbxContent>
                  </v:textbox>
                </v:rect>
                <v:shape id="AutoShape 332" o:spid="_x0000_s1060" type="#_x0000_t55" style="position:absolute;left:7830;top:6574;width:2383;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SU8IA&#10;AADbAAAADwAAAGRycy9kb3ducmV2LnhtbESPQYvCMBSE7wv+h/AEb2vqouJ2TUUWFEEQrOJe3zbP&#10;tti8lCbW+u+NIHgcZuYbZr7oTCVaalxpWcFoGIEgzqwuOVdwPKw+ZyCcR9ZYWSYFd3KwSHofc4y1&#10;vfGe2tTnIkDYxaig8L6OpXRZQQbd0NbEwTvbxqAPssmlbvAW4KaSX1E0lQZLDgsF1vRbUHZJr0bB&#10;9qTH5vvfrmuivb3qv126xp1Sg363/AHhqfPv8Ku90QomE3h+CT9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9JTwgAAANsAAAAPAAAAAAAAAAAAAAAAAJgCAABkcnMvZG93&#10;bnJldi54bWxQSwUGAAAAAAQABAD1AAAAhwMAAAAA&#10;" fillcolor="#4f81bd" strokecolor="#f2f2f2" strokeweight="3pt">
                  <v:shadow on="t" color="#243f60" opacity=".5" offset="1pt"/>
                  <v:textbox>
                    <w:txbxContent>
                      <w:p w:rsidR="00630BD8" w:rsidRPr="00372F8E" w:rsidRDefault="00630BD8" w:rsidP="00D82424">
                        <w:pPr>
                          <w:spacing w:beforeLines="50" w:before="120"/>
                          <w:jc w:val="center"/>
                          <w:rPr>
                            <w:rFonts w:ascii="標楷體" w:eastAsia="標楷體" w:hAnsi="標楷體"/>
                            <w:b/>
                            <w:color w:val="FFFFFF"/>
                            <w:sz w:val="32"/>
                            <w:szCs w:val="32"/>
                          </w:rPr>
                        </w:pPr>
                        <w:r w:rsidRPr="00187676">
                          <w:rPr>
                            <w:rFonts w:ascii="標楷體" w:eastAsia="標楷體" w:hAnsi="標楷體" w:hint="eastAsia"/>
                            <w:b/>
                            <w:color w:val="FFFFFF"/>
                            <w:sz w:val="32"/>
                            <w:szCs w:val="32"/>
                          </w:rPr>
                          <w:t>下游</w:t>
                        </w:r>
                      </w:p>
                    </w:txbxContent>
                  </v:textbox>
                </v:shape>
                <v:shape id="AutoShape 333" o:spid="_x0000_s1061" type="#_x0000_t32" style="position:absolute;left:8971;top:7508;width:1;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2BcMAAADbAAAADwAAAGRycy9kb3ducmV2LnhtbESP0WrCQBRE3wv+w3IF3+qmCQkmdRVR&#10;hJKnVv2AS/aaBLN3Q3Y18e/dQqGPw8ycYdbbyXTiQYNrLSv4WEYgiCurW64VXM7H9xUI55E1dpZJ&#10;wZMcbDeztzUW2o78Q4+Tr0WAsCtQQeN9X0jpqoYMuqXtiYN3tYNBH+RQSz3gGOCmk3EUZdJgy2Gh&#10;wZ72DVW3090o2N+yQ5nb8rtOk0OexxfaxcldqcV82n2C8DT5//Bf+0srSDP4/RJ+gN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KdgXDAAAA2wAAAA8AAAAAAAAAAAAA&#10;AAAAoQIAAGRycy9kb3ducmV2LnhtbFBLBQYAAAAABAAEAPkAAACRAwAAAAA=&#10;" strokecolor="#4f81bd" strokeweight="1pt">
                  <v:stroke dashstyle="dash"/>
                  <v:shadow color="#868686"/>
                </v:shape>
                <v:rect id="Rectangle 334" o:spid="_x0000_s1062" style="position:absolute;left:5919;top:5281;width:990;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G/ocIA&#10;AADbAAAADwAAAGRycy9kb3ducmV2LnhtbESPQWvCQBSE74L/YXlCL1I3FqqSuooKpR5EMdr7I/ua&#10;BLNvQ/ap6b93CwWPw8x8w8yXnavVjdpQeTYwHiWgiHNvKy4MnE+frzNQQZAt1p7JwC8FWC76vTmm&#10;1t/5SLdMChUhHFI0UIo0qdYhL8lhGPmGOHo/vnUoUbaFti3eI9zV+i1JJtphxXGhxIY2JeWX7OoM&#10;fK+r9ZUPkp1lOxThw07vv2bGvAy61QcooU6e4f/21hp4n8Lfl/gD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hwgAAANsAAAAPAAAAAAAAAAAAAAAAAJgCAABkcnMvZG93&#10;bnJldi54bWxQSwUGAAAAAAQABAD1AAAAhwMAAAAA&#10;" strokecolor="#4f81bd" strokeweight="1pt">
                  <v:stroke dashstyle="dash"/>
                  <v:shadow color="#868686"/>
                  <v:textbox>
                    <w:txbxContent>
                      <w:p w:rsidR="00630BD8" w:rsidRPr="00873D36" w:rsidRDefault="00630BD8" w:rsidP="00333E13">
                        <w:pPr>
                          <w:jc w:val="center"/>
                          <w:rPr>
                            <w:rFonts w:ascii="標楷體" w:eastAsia="標楷體" w:hAnsi="標楷體"/>
                            <w:sz w:val="28"/>
                            <w:szCs w:val="28"/>
                          </w:rPr>
                        </w:pPr>
                        <w:r>
                          <w:rPr>
                            <w:rFonts w:ascii="標楷體" w:eastAsia="標楷體" w:hAnsi="標楷體" w:hint="eastAsia"/>
                            <w:sz w:val="28"/>
                            <w:szCs w:val="28"/>
                          </w:rPr>
                          <w:t>針織</w:t>
                        </w:r>
                      </w:p>
                    </w:txbxContent>
                  </v:textbox>
                </v:rect>
                <v:rect id="Rectangle 335" o:spid="_x0000_s1063" style="position:absolute;left:7411;top:5281;width:990;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4r078A&#10;AADbAAAADwAAAGRycy9kb3ducmV2LnhtbERPTYvCMBC9L/gfwgheFk0VVqQaRYVlPSyKVe9DM7bF&#10;ZlKaUbv/fnMQPD7e92LVuVo9qA2VZwPjUQKKOPe24sLA+fQ9nIEKgmyx9kwG/ijAatn7WGBq/ZOP&#10;9MikUDGEQ4oGSpEm1TrkJTkMI98QR+7qW4cSYVto2+IzhrtaT5Jkqh1WHBtKbGhbUn7L7s7AZVNt&#10;7nyQ7Cy7TxE+/Or9z8yYQb9bz0EJdfIWv9w7a+Arjo1f4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PivTvwAAANsAAAAPAAAAAAAAAAAAAAAAAJgCAABkcnMvZG93bnJl&#10;di54bWxQSwUGAAAAAAQABAD1AAAAhAMAAAAA&#10;" strokecolor="#4f81bd" strokeweight="1pt">
                  <v:stroke dashstyle="dash"/>
                  <v:shadow color="#868686"/>
                  <v:textbox>
                    <w:txbxContent>
                      <w:p w:rsidR="00630BD8" w:rsidRPr="00873D36" w:rsidRDefault="00630BD8" w:rsidP="00333E13">
                        <w:pPr>
                          <w:jc w:val="center"/>
                          <w:rPr>
                            <w:rFonts w:ascii="標楷體" w:eastAsia="標楷體" w:hAnsi="標楷體"/>
                            <w:sz w:val="28"/>
                            <w:szCs w:val="28"/>
                          </w:rPr>
                        </w:pPr>
                        <w:r>
                          <w:rPr>
                            <w:rFonts w:ascii="標楷體" w:eastAsia="標楷體" w:hAnsi="標楷體" w:hint="eastAsia"/>
                            <w:sz w:val="28"/>
                            <w:szCs w:val="28"/>
                          </w:rPr>
                          <w:t>印花</w:t>
                        </w:r>
                      </w:p>
                    </w:txbxContent>
                  </v:textbox>
                </v:rect>
              </v:group>
            </w:pict>
          </mc:Fallback>
        </mc:AlternateContent>
      </w: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4C5A82" w:rsidRDefault="004C5A82" w:rsidP="00D82424">
      <w:pPr>
        <w:spacing w:beforeLines="50" w:before="120" w:afterLines="50" w:after="120" w:line="360" w:lineRule="auto"/>
        <w:ind w:leftChars="200" w:left="480"/>
        <w:jc w:val="both"/>
        <w:rPr>
          <w:rFonts w:eastAsia="標楷體"/>
          <w:color w:val="0070C0"/>
          <w:sz w:val="26"/>
          <w:szCs w:val="26"/>
        </w:rPr>
      </w:pPr>
    </w:p>
    <w:p w:rsidR="00630BD8" w:rsidRDefault="00630BD8" w:rsidP="00D82424">
      <w:pPr>
        <w:spacing w:beforeLines="50" w:before="120" w:afterLines="50" w:after="120" w:line="360" w:lineRule="auto"/>
        <w:ind w:leftChars="200" w:left="480"/>
        <w:jc w:val="both"/>
        <w:rPr>
          <w:rFonts w:eastAsia="標楷體"/>
          <w:color w:val="0070C0"/>
          <w:sz w:val="26"/>
          <w:szCs w:val="26"/>
        </w:rPr>
      </w:pPr>
    </w:p>
    <w:p w:rsidR="004C5A82" w:rsidRDefault="00972451" w:rsidP="00D82424">
      <w:pPr>
        <w:spacing w:beforeLines="50" w:before="120" w:afterLines="50" w:after="120" w:line="360" w:lineRule="auto"/>
        <w:ind w:leftChars="200" w:left="480" w:firstLineChars="200" w:firstLine="520"/>
        <w:jc w:val="both"/>
        <w:rPr>
          <w:rFonts w:eastAsia="標楷體"/>
          <w:sz w:val="26"/>
          <w:szCs w:val="26"/>
        </w:rPr>
      </w:pPr>
      <w:r w:rsidRPr="00690A87">
        <w:rPr>
          <w:rFonts w:eastAsia="標楷體" w:hint="eastAsia"/>
          <w:sz w:val="26"/>
          <w:szCs w:val="26"/>
        </w:rPr>
        <w:lastRenderedPageBreak/>
        <w:t>(1)</w:t>
      </w:r>
      <w:r w:rsidRPr="00690A87">
        <w:rPr>
          <w:rFonts w:eastAsia="標楷體" w:hint="eastAsia"/>
          <w:sz w:val="26"/>
          <w:szCs w:val="26"/>
        </w:rPr>
        <w:t>上</w:t>
      </w:r>
      <w:r>
        <w:rPr>
          <w:rFonts w:eastAsia="標楷體" w:hint="eastAsia"/>
          <w:sz w:val="26"/>
          <w:szCs w:val="26"/>
        </w:rPr>
        <w:t>游</w:t>
      </w:r>
    </w:p>
    <w:p w:rsidR="004C5A82" w:rsidRDefault="00FB6B09" w:rsidP="00D82424">
      <w:pPr>
        <w:spacing w:beforeLines="50" w:before="120" w:afterLines="50" w:after="120" w:line="360" w:lineRule="auto"/>
        <w:ind w:leftChars="400" w:left="960" w:firstLineChars="200" w:firstLine="520"/>
        <w:jc w:val="both"/>
        <w:rPr>
          <w:rFonts w:eastAsia="標楷體"/>
          <w:sz w:val="26"/>
          <w:szCs w:val="26"/>
        </w:rPr>
      </w:pPr>
      <w:r w:rsidRPr="00FB6B09">
        <w:rPr>
          <w:rFonts w:eastAsia="標楷體" w:hint="eastAsia"/>
          <w:sz w:val="26"/>
          <w:szCs w:val="26"/>
        </w:rPr>
        <w:t>紡織產業的上游原料除了天然的棉花、毛料、絲、麻等，亦包括塑化原料，例如生產聚酯產品用的乙二醇（</w:t>
      </w:r>
      <w:r w:rsidRPr="00FB6B09">
        <w:rPr>
          <w:rFonts w:eastAsia="標楷體"/>
          <w:sz w:val="26"/>
          <w:szCs w:val="26"/>
        </w:rPr>
        <w:t>Ethylene Glycol, EG</w:t>
      </w:r>
      <w:r w:rsidRPr="00FB6B09">
        <w:rPr>
          <w:rFonts w:eastAsia="標楷體" w:hint="eastAsia"/>
          <w:sz w:val="26"/>
          <w:szCs w:val="26"/>
        </w:rPr>
        <w:t>）、純對苯二甲酸（</w:t>
      </w:r>
      <w:r w:rsidRPr="00FB6B09">
        <w:rPr>
          <w:rFonts w:eastAsia="標楷體"/>
          <w:sz w:val="26"/>
          <w:szCs w:val="26"/>
        </w:rPr>
        <w:t xml:space="preserve">Pure </w:t>
      </w:r>
      <w:proofErr w:type="spellStart"/>
      <w:r w:rsidRPr="00FB6B09">
        <w:rPr>
          <w:rFonts w:eastAsia="標楷體"/>
          <w:sz w:val="26"/>
          <w:szCs w:val="26"/>
        </w:rPr>
        <w:t>Terephthalic</w:t>
      </w:r>
      <w:proofErr w:type="spellEnd"/>
      <w:r w:rsidRPr="00FB6B09">
        <w:rPr>
          <w:rFonts w:eastAsia="標楷體"/>
          <w:sz w:val="26"/>
          <w:szCs w:val="26"/>
        </w:rPr>
        <w:t xml:space="preserve"> Acid, PTA</w:t>
      </w:r>
      <w:r w:rsidRPr="00FB6B09">
        <w:rPr>
          <w:rFonts w:eastAsia="標楷體" w:hint="eastAsia"/>
          <w:sz w:val="26"/>
          <w:szCs w:val="26"/>
        </w:rPr>
        <w:t>），生產尼龍產品所需的己內醯胺（</w:t>
      </w:r>
      <w:proofErr w:type="spellStart"/>
      <w:r w:rsidRPr="00FB6B09">
        <w:rPr>
          <w:rFonts w:eastAsia="標楷體"/>
          <w:sz w:val="26"/>
          <w:szCs w:val="26"/>
        </w:rPr>
        <w:t>Caprolactam</w:t>
      </w:r>
      <w:proofErr w:type="spellEnd"/>
      <w:r w:rsidRPr="00FB6B09">
        <w:rPr>
          <w:rFonts w:eastAsia="標楷體"/>
          <w:sz w:val="26"/>
          <w:szCs w:val="26"/>
        </w:rPr>
        <w:t>, CPL</w:t>
      </w:r>
      <w:r w:rsidRPr="00FB6B09">
        <w:rPr>
          <w:rFonts w:eastAsia="標楷體" w:hint="eastAsia"/>
          <w:sz w:val="26"/>
          <w:szCs w:val="26"/>
        </w:rPr>
        <w:t>），以及生產亞克力棉所需的丙烯腈（</w:t>
      </w:r>
      <w:r w:rsidRPr="00FB6B09">
        <w:rPr>
          <w:rFonts w:eastAsia="標楷體"/>
          <w:sz w:val="26"/>
          <w:szCs w:val="26"/>
        </w:rPr>
        <w:t>Acrylonitrile, AN</w:t>
      </w:r>
      <w:r w:rsidRPr="00FB6B09">
        <w:rPr>
          <w:rFonts w:eastAsia="標楷體" w:hint="eastAsia"/>
          <w:sz w:val="26"/>
          <w:szCs w:val="26"/>
        </w:rPr>
        <w:t>）等，目前國內紡織產業原料來源除了台灣廠商以外，亦有部分來自海外進口，尤以天然纖維為主。</w:t>
      </w:r>
    </w:p>
    <w:p w:rsidR="004C5A82" w:rsidRDefault="00972451" w:rsidP="00D82424">
      <w:pPr>
        <w:spacing w:beforeLines="50" w:before="120" w:afterLines="50" w:after="120" w:line="360" w:lineRule="auto"/>
        <w:ind w:leftChars="200" w:left="480" w:firstLineChars="200" w:firstLine="520"/>
        <w:jc w:val="both"/>
        <w:rPr>
          <w:rFonts w:eastAsia="標楷體"/>
          <w:sz w:val="26"/>
          <w:szCs w:val="26"/>
        </w:rPr>
      </w:pPr>
      <w:r w:rsidRPr="00690A87">
        <w:rPr>
          <w:rFonts w:eastAsia="標楷體" w:hint="eastAsia"/>
          <w:sz w:val="26"/>
          <w:szCs w:val="26"/>
        </w:rPr>
        <w:t>(</w:t>
      </w:r>
      <w:r>
        <w:rPr>
          <w:rFonts w:eastAsia="標楷體" w:hint="eastAsia"/>
          <w:sz w:val="26"/>
          <w:szCs w:val="26"/>
        </w:rPr>
        <w:t>2</w:t>
      </w:r>
      <w:r w:rsidRPr="00690A87">
        <w:rPr>
          <w:rFonts w:eastAsia="標楷體" w:hint="eastAsia"/>
          <w:sz w:val="26"/>
          <w:szCs w:val="26"/>
        </w:rPr>
        <w:t>)</w:t>
      </w:r>
      <w:r w:rsidRPr="00690A87">
        <w:rPr>
          <w:rFonts w:eastAsia="標楷體" w:hint="eastAsia"/>
          <w:sz w:val="26"/>
          <w:szCs w:val="26"/>
        </w:rPr>
        <w:t>中游</w:t>
      </w:r>
    </w:p>
    <w:p w:rsidR="004C5A82" w:rsidRDefault="00FB6B09" w:rsidP="00D82424">
      <w:pPr>
        <w:spacing w:beforeLines="50" w:before="120" w:afterLines="50" w:after="120" w:line="360" w:lineRule="auto"/>
        <w:ind w:leftChars="400" w:left="960" w:firstLineChars="200" w:firstLine="520"/>
        <w:jc w:val="both"/>
        <w:rPr>
          <w:rFonts w:eastAsia="標楷體"/>
          <w:color w:val="0070C0"/>
          <w:sz w:val="26"/>
          <w:szCs w:val="26"/>
        </w:rPr>
      </w:pPr>
      <w:r w:rsidRPr="00FB6B09">
        <w:rPr>
          <w:rFonts w:eastAsia="標楷體" w:hint="eastAsia"/>
          <w:sz w:val="26"/>
          <w:szCs w:val="26"/>
        </w:rPr>
        <w:t>紡織產業的中游有人造纖維產品、天然纖維產品、化學助劑，以及經由以上材料紡織而成的紗與布料。天然纖維分為植物纖維與動物纖維，植物纖維有棉、麻、黃麻、苧麻等，動物纖維則有羊毛、兔毛、蠶絲、駱駝毛等。由於台灣天然纖維產量有限，且天然纖維的生產來源不穩定，因此就利用人工的方法來製造來源穩定、價廉且性質又類似天然纖維的物料，如嫘縈、醋酸纖維等。人造纖維與天然纖維混合，再經過一些特別的加工整理，製成的衣料便能發揮不縮水、不皺、易洗、快乾的特點，增加穿著時的舒適度。</w:t>
      </w:r>
    </w:p>
    <w:p w:rsidR="004C5A82" w:rsidRDefault="00972451" w:rsidP="00D82424">
      <w:pPr>
        <w:spacing w:beforeLines="50" w:before="120" w:afterLines="50" w:after="120" w:line="360" w:lineRule="auto"/>
        <w:ind w:leftChars="200" w:left="480" w:firstLineChars="200" w:firstLine="520"/>
        <w:jc w:val="both"/>
        <w:rPr>
          <w:rFonts w:eastAsia="標楷體"/>
          <w:sz w:val="26"/>
          <w:szCs w:val="26"/>
        </w:rPr>
      </w:pPr>
      <w:r w:rsidRPr="00690A87">
        <w:rPr>
          <w:rFonts w:eastAsia="標楷體" w:hint="eastAsia"/>
          <w:sz w:val="26"/>
          <w:szCs w:val="26"/>
        </w:rPr>
        <w:t>(</w:t>
      </w:r>
      <w:r>
        <w:rPr>
          <w:rFonts w:eastAsia="標楷體" w:hint="eastAsia"/>
          <w:sz w:val="26"/>
          <w:szCs w:val="26"/>
        </w:rPr>
        <w:t>3</w:t>
      </w:r>
      <w:r w:rsidRPr="00690A87">
        <w:rPr>
          <w:rFonts w:eastAsia="標楷體" w:hint="eastAsia"/>
          <w:sz w:val="26"/>
          <w:szCs w:val="26"/>
        </w:rPr>
        <w:t>)</w:t>
      </w:r>
      <w:r>
        <w:rPr>
          <w:rFonts w:eastAsia="標楷體" w:hint="eastAsia"/>
          <w:sz w:val="26"/>
          <w:szCs w:val="26"/>
        </w:rPr>
        <w:t>下</w:t>
      </w:r>
      <w:r w:rsidRPr="00690A87">
        <w:rPr>
          <w:rFonts w:eastAsia="標楷體" w:hint="eastAsia"/>
          <w:sz w:val="26"/>
          <w:szCs w:val="26"/>
        </w:rPr>
        <w:t>游</w:t>
      </w:r>
    </w:p>
    <w:p w:rsidR="004C5A82" w:rsidRDefault="00FB6B09" w:rsidP="00D82424">
      <w:pPr>
        <w:spacing w:beforeLines="50" w:before="120" w:afterLines="50" w:after="120" w:line="360" w:lineRule="auto"/>
        <w:ind w:leftChars="400" w:left="960" w:firstLineChars="200" w:firstLine="520"/>
        <w:jc w:val="both"/>
        <w:rPr>
          <w:rFonts w:eastAsia="標楷體"/>
          <w:sz w:val="26"/>
          <w:szCs w:val="26"/>
        </w:rPr>
      </w:pPr>
      <w:r w:rsidRPr="00FB6B09">
        <w:rPr>
          <w:rFonts w:eastAsia="標楷體" w:hint="eastAsia"/>
          <w:sz w:val="26"/>
          <w:szCs w:val="26"/>
        </w:rPr>
        <w:t>染整、成衣業與其他居家織品業為紡織業之下游，染整是紡織產業中最耗能、耗水的一環，但染整也提供織品產品差異化及附加價值的重要環節，為了因應國際間對環保要求，近期來染整業著重於提升染整技術，發展低碳或環保綠色商品，以達到節能減碳，生產符合國際環保法規產品。</w:t>
      </w:r>
    </w:p>
    <w:p w:rsidR="004C5A82" w:rsidRDefault="00596949" w:rsidP="00D82424">
      <w:pPr>
        <w:numPr>
          <w:ilvl w:val="0"/>
          <w:numId w:val="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產業特性</w:t>
      </w:r>
      <w:r>
        <w:rPr>
          <w:rStyle w:val="af2"/>
          <w:rFonts w:eastAsia="標楷體"/>
          <w:b/>
          <w:sz w:val="28"/>
          <w:szCs w:val="26"/>
        </w:rPr>
        <w:footnoteReference w:id="2"/>
      </w:r>
    </w:p>
    <w:p w:rsidR="004C5A82" w:rsidRDefault="00596949" w:rsidP="00D82424">
      <w:pPr>
        <w:spacing w:beforeLines="50" w:before="120" w:afterLines="50" w:after="120" w:line="360" w:lineRule="auto"/>
        <w:ind w:leftChars="300" w:left="720" w:firstLineChars="200" w:firstLine="520"/>
        <w:jc w:val="both"/>
        <w:rPr>
          <w:rFonts w:eastAsia="標楷體"/>
          <w:sz w:val="26"/>
          <w:szCs w:val="26"/>
        </w:rPr>
      </w:pPr>
      <w:r w:rsidRPr="00690A87">
        <w:rPr>
          <w:rFonts w:eastAsia="標楷體" w:hint="eastAsia"/>
          <w:sz w:val="26"/>
          <w:szCs w:val="26"/>
        </w:rPr>
        <w:t>紡織產業大部份人認為愈上游產業，其資本與技術密集度高，但只在下游的產業如果要創造更高的產品價值，反而需要更多更高技術去研究發展。上游的製造產品都是以『量』為生產，而後段製造是以『質』來生產，換言之愈下游的織布、染整、成衣製成階段，更需要新技術、新資訊去創造新產品，創造較高的產品附加價值。</w:t>
      </w:r>
      <w:r w:rsidRPr="00690A87">
        <w:rPr>
          <w:rFonts w:eastAsia="標楷體" w:hint="eastAsia"/>
          <w:sz w:val="26"/>
          <w:szCs w:val="26"/>
        </w:rPr>
        <w:t xml:space="preserve"> </w:t>
      </w:r>
    </w:p>
    <w:p w:rsidR="004C5A82" w:rsidRDefault="00596949" w:rsidP="00D82424">
      <w:pPr>
        <w:spacing w:beforeLines="50" w:before="120" w:afterLines="50" w:after="120" w:line="360" w:lineRule="auto"/>
        <w:ind w:leftChars="200" w:left="480" w:firstLineChars="200" w:firstLine="520"/>
        <w:jc w:val="both"/>
        <w:rPr>
          <w:rFonts w:eastAsia="標楷體"/>
          <w:sz w:val="26"/>
          <w:szCs w:val="26"/>
        </w:rPr>
      </w:pPr>
      <w:r w:rsidRPr="00690A87">
        <w:rPr>
          <w:rFonts w:eastAsia="標楷體" w:hint="eastAsia"/>
          <w:sz w:val="26"/>
          <w:szCs w:val="26"/>
        </w:rPr>
        <w:t>(1)</w:t>
      </w:r>
      <w:r w:rsidRPr="00690A87">
        <w:rPr>
          <w:rFonts w:eastAsia="標楷體" w:hint="eastAsia"/>
          <w:sz w:val="26"/>
          <w:szCs w:val="26"/>
        </w:rPr>
        <w:t>紡織工業上、中、下游關係密切</w:t>
      </w:r>
    </w:p>
    <w:p w:rsidR="004C5A82" w:rsidRDefault="00596949" w:rsidP="00D82424">
      <w:pPr>
        <w:spacing w:beforeLines="50" w:before="120" w:afterLines="50" w:after="120" w:line="360" w:lineRule="auto"/>
        <w:ind w:leftChars="400" w:left="960" w:firstLineChars="200" w:firstLine="520"/>
        <w:jc w:val="both"/>
        <w:rPr>
          <w:rFonts w:eastAsia="標楷體"/>
          <w:sz w:val="26"/>
          <w:szCs w:val="26"/>
        </w:rPr>
      </w:pPr>
      <w:r w:rsidRPr="00690A87">
        <w:rPr>
          <w:rFonts w:eastAsia="標楷體" w:hint="eastAsia"/>
          <w:sz w:val="26"/>
          <w:szCs w:val="26"/>
        </w:rPr>
        <w:t>紡織工業上、中、下游其產業間的原料供需與產品流通密切，產業關聯度高，</w:t>
      </w:r>
      <w:r w:rsidR="00527DA3">
        <w:rPr>
          <w:rFonts w:eastAsia="標楷體" w:hint="eastAsia"/>
          <w:sz w:val="26"/>
          <w:szCs w:val="26"/>
        </w:rPr>
        <w:t>連鎖</w:t>
      </w:r>
      <w:r w:rsidRPr="00690A87">
        <w:rPr>
          <w:rFonts w:eastAsia="標楷體" w:hint="eastAsia"/>
          <w:sz w:val="26"/>
          <w:szCs w:val="26"/>
        </w:rPr>
        <w:t>效果強，且多為經濟發展中關聯性之產業，故上、中、下產業間唯有整合產銷體系，加強專業分工，改善經營體質來提高產品品質及競爭力，才能共享產銷體系整合之經濟效益。</w:t>
      </w:r>
    </w:p>
    <w:p w:rsidR="004C5A82" w:rsidRDefault="00596949" w:rsidP="00D82424">
      <w:pPr>
        <w:spacing w:beforeLines="50" w:before="120" w:afterLines="50" w:after="120" w:line="360" w:lineRule="auto"/>
        <w:ind w:leftChars="200" w:left="480" w:firstLineChars="200" w:firstLine="520"/>
        <w:jc w:val="both"/>
        <w:rPr>
          <w:rFonts w:eastAsia="標楷體"/>
          <w:sz w:val="26"/>
          <w:szCs w:val="26"/>
        </w:rPr>
      </w:pPr>
      <w:r w:rsidRPr="00690A87">
        <w:rPr>
          <w:rFonts w:eastAsia="標楷體" w:hint="eastAsia"/>
          <w:sz w:val="26"/>
          <w:szCs w:val="26"/>
        </w:rPr>
        <w:t xml:space="preserve">(2) </w:t>
      </w:r>
      <w:r w:rsidRPr="00690A87">
        <w:rPr>
          <w:rFonts w:eastAsia="標楷體" w:hint="eastAsia"/>
          <w:sz w:val="26"/>
          <w:szCs w:val="26"/>
        </w:rPr>
        <w:t>使用資本附著技術</w:t>
      </w:r>
      <w:r w:rsidRPr="00690A87">
        <w:rPr>
          <w:rFonts w:eastAsia="標楷體" w:hint="eastAsia"/>
          <w:sz w:val="26"/>
          <w:szCs w:val="26"/>
        </w:rPr>
        <w:t>(Capital embodied technology)</w:t>
      </w:r>
    </w:p>
    <w:p w:rsidR="004C5A82" w:rsidRDefault="00596949" w:rsidP="00D82424">
      <w:pPr>
        <w:spacing w:beforeLines="50" w:before="120" w:afterLines="50" w:after="120" w:line="360" w:lineRule="auto"/>
        <w:ind w:leftChars="400" w:left="960" w:firstLineChars="200" w:firstLine="520"/>
        <w:jc w:val="both"/>
        <w:rPr>
          <w:rFonts w:eastAsia="標楷體"/>
          <w:sz w:val="26"/>
          <w:szCs w:val="26"/>
        </w:rPr>
      </w:pPr>
      <w:r w:rsidRPr="00690A87">
        <w:rPr>
          <w:rFonts w:eastAsia="標楷體" w:hint="eastAsia"/>
          <w:sz w:val="26"/>
          <w:szCs w:val="26"/>
        </w:rPr>
        <w:t>紡織工業就生產技術而言，對專業技術的依賴程度較低，使用的大多資本附著技術</w:t>
      </w:r>
      <w:r>
        <w:rPr>
          <w:rFonts w:eastAsia="標楷體" w:hint="eastAsia"/>
          <w:sz w:val="26"/>
          <w:szCs w:val="26"/>
        </w:rPr>
        <w:t xml:space="preserve"> ( Capital embodied te</w:t>
      </w:r>
      <w:r w:rsidRPr="00690A87">
        <w:rPr>
          <w:rFonts w:eastAsia="標楷體" w:hint="eastAsia"/>
          <w:sz w:val="26"/>
          <w:szCs w:val="26"/>
        </w:rPr>
        <w:t xml:space="preserve">chnology ) </w:t>
      </w:r>
      <w:r w:rsidRPr="00690A87">
        <w:rPr>
          <w:rFonts w:eastAsia="標楷體" w:hint="eastAsia"/>
          <w:sz w:val="26"/>
          <w:szCs w:val="26"/>
        </w:rPr>
        <w:t>，即較倚重紡紗機、織布機及染整設備等機器裝置，亦即生產技術主要來自紡紗機械工業而非紡織業本身。一般來說，使用資本附著技術之輕工業較容易在開發中國家發展，因為開發中國家可由先進國家進口設備，是以在</w:t>
      </w:r>
      <w:r w:rsidR="00527DA3">
        <w:rPr>
          <w:rFonts w:eastAsia="標楷體" w:hint="eastAsia"/>
          <w:sz w:val="26"/>
          <w:szCs w:val="26"/>
        </w:rPr>
        <w:t>低</w:t>
      </w:r>
      <w:r w:rsidRPr="00690A87">
        <w:rPr>
          <w:rFonts w:eastAsia="標楷體" w:hint="eastAsia"/>
          <w:sz w:val="26"/>
          <w:szCs w:val="26"/>
        </w:rPr>
        <w:t>工資成本的競爭優勢下，很容易便可打入先進國家市場，因此在紡織產業發展</w:t>
      </w:r>
      <w:r w:rsidR="00527DA3">
        <w:rPr>
          <w:rFonts w:eastAsia="標楷體" w:hint="eastAsia"/>
          <w:sz w:val="26"/>
          <w:szCs w:val="26"/>
        </w:rPr>
        <w:t>已</w:t>
      </w:r>
      <w:r w:rsidRPr="00690A87">
        <w:rPr>
          <w:rFonts w:eastAsia="標楷體" w:hint="eastAsia"/>
          <w:sz w:val="26"/>
          <w:szCs w:val="26"/>
        </w:rPr>
        <w:t>趨成熟之階段，必須能具備新產品之設計開</w:t>
      </w:r>
      <w:r w:rsidR="00527DA3">
        <w:rPr>
          <w:rFonts w:eastAsia="標楷體" w:hint="eastAsia"/>
          <w:sz w:val="26"/>
          <w:szCs w:val="26"/>
        </w:rPr>
        <w:t>發</w:t>
      </w:r>
      <w:r w:rsidRPr="00690A87">
        <w:rPr>
          <w:rFonts w:eastAsia="標楷體" w:hint="eastAsia"/>
          <w:sz w:val="26"/>
          <w:szCs w:val="26"/>
        </w:rPr>
        <w:t>能力與上下游之整合能力才能掌握住競爭優勢。</w:t>
      </w:r>
    </w:p>
    <w:p w:rsidR="004C5A82" w:rsidRDefault="00596949" w:rsidP="00D82424">
      <w:pPr>
        <w:spacing w:beforeLines="50" w:before="120" w:afterLines="50" w:after="120" w:line="360" w:lineRule="auto"/>
        <w:ind w:leftChars="200" w:left="480" w:firstLineChars="200" w:firstLine="520"/>
        <w:jc w:val="both"/>
        <w:rPr>
          <w:rFonts w:eastAsia="標楷體"/>
          <w:sz w:val="26"/>
          <w:szCs w:val="26"/>
        </w:rPr>
      </w:pPr>
      <w:r w:rsidRPr="00690A87">
        <w:rPr>
          <w:rFonts w:eastAsia="標楷體" w:hint="eastAsia"/>
          <w:sz w:val="26"/>
          <w:szCs w:val="26"/>
        </w:rPr>
        <w:t>(3)</w:t>
      </w:r>
      <w:r w:rsidRPr="00690A87">
        <w:rPr>
          <w:rFonts w:eastAsia="標楷體" w:hint="eastAsia"/>
          <w:sz w:val="26"/>
          <w:szCs w:val="26"/>
        </w:rPr>
        <w:t>產品用途日趨廣泛</w:t>
      </w:r>
    </w:p>
    <w:p w:rsidR="004C5A82" w:rsidRDefault="00596949" w:rsidP="00D82424">
      <w:pPr>
        <w:spacing w:beforeLines="50" w:before="120" w:afterLines="50" w:after="120" w:line="360" w:lineRule="auto"/>
        <w:ind w:leftChars="400" w:left="960" w:firstLineChars="200" w:firstLine="520"/>
        <w:jc w:val="both"/>
        <w:rPr>
          <w:rFonts w:eastAsia="標楷體"/>
          <w:sz w:val="26"/>
          <w:szCs w:val="26"/>
        </w:rPr>
      </w:pPr>
      <w:r w:rsidRPr="00690A87">
        <w:rPr>
          <w:rFonts w:eastAsia="標楷體" w:hint="eastAsia"/>
          <w:sz w:val="26"/>
          <w:szCs w:val="26"/>
        </w:rPr>
        <w:t>紡織業屬於傳統之民生工業，其下游之產品主要為衣著服飾等</w:t>
      </w:r>
      <w:r w:rsidRPr="00690A87">
        <w:rPr>
          <w:rFonts w:eastAsia="標楷體" w:hint="eastAsia"/>
          <w:sz w:val="26"/>
          <w:szCs w:val="26"/>
        </w:rPr>
        <w:lastRenderedPageBreak/>
        <w:t>民生必需品，但由於各類纖維生產技術及織造技術之發展有長足進步，紡織品之應用範圍已不限於衣服用布，在工業用布、傢飾用布等需用量之比重預期將逐步增加。</w:t>
      </w:r>
    </w:p>
    <w:p w:rsidR="004C5A82" w:rsidRDefault="00596949" w:rsidP="00D82424">
      <w:pPr>
        <w:spacing w:beforeLines="50" w:before="120" w:afterLines="50" w:after="120" w:line="360" w:lineRule="auto"/>
        <w:ind w:leftChars="200" w:left="480" w:firstLineChars="138" w:firstLine="359"/>
        <w:jc w:val="both"/>
        <w:rPr>
          <w:rFonts w:eastAsia="標楷體"/>
          <w:sz w:val="26"/>
          <w:szCs w:val="26"/>
        </w:rPr>
      </w:pPr>
      <w:r w:rsidRPr="00690A87">
        <w:rPr>
          <w:rFonts w:eastAsia="標楷體" w:hint="eastAsia"/>
          <w:sz w:val="26"/>
          <w:szCs w:val="26"/>
        </w:rPr>
        <w:t>(4)</w:t>
      </w:r>
      <w:r w:rsidRPr="00690A87">
        <w:rPr>
          <w:rFonts w:eastAsia="標楷體" w:hint="eastAsia"/>
          <w:sz w:val="26"/>
          <w:szCs w:val="26"/>
        </w:rPr>
        <w:t>已由</w:t>
      </w:r>
      <w:r>
        <w:rPr>
          <w:rFonts w:eastAsia="標楷體" w:hint="eastAsia"/>
          <w:sz w:val="26"/>
          <w:szCs w:val="26"/>
        </w:rPr>
        <w:t>「</w:t>
      </w:r>
      <w:r w:rsidRPr="00690A87">
        <w:rPr>
          <w:rFonts w:eastAsia="標楷體" w:hint="eastAsia"/>
          <w:sz w:val="26"/>
          <w:szCs w:val="26"/>
        </w:rPr>
        <w:t>生產導向</w:t>
      </w:r>
      <w:r>
        <w:rPr>
          <w:rFonts w:eastAsia="標楷體" w:hint="eastAsia"/>
          <w:sz w:val="26"/>
          <w:szCs w:val="26"/>
        </w:rPr>
        <w:t>」</w:t>
      </w:r>
      <w:r w:rsidRPr="00690A87">
        <w:rPr>
          <w:rFonts w:eastAsia="標楷體" w:hint="eastAsia"/>
          <w:sz w:val="26"/>
          <w:szCs w:val="26"/>
        </w:rPr>
        <w:t>時代進入</w:t>
      </w:r>
      <w:r>
        <w:rPr>
          <w:rFonts w:eastAsia="標楷體" w:hint="eastAsia"/>
          <w:sz w:val="26"/>
          <w:szCs w:val="26"/>
        </w:rPr>
        <w:t>「</w:t>
      </w:r>
      <w:r w:rsidRPr="00690A87">
        <w:rPr>
          <w:rFonts w:eastAsia="標楷體" w:hint="eastAsia"/>
          <w:sz w:val="26"/>
          <w:szCs w:val="26"/>
        </w:rPr>
        <w:t>行銷導向</w:t>
      </w:r>
      <w:r>
        <w:rPr>
          <w:rFonts w:eastAsia="標楷體" w:hint="eastAsia"/>
          <w:sz w:val="26"/>
          <w:szCs w:val="26"/>
        </w:rPr>
        <w:t>」</w:t>
      </w:r>
      <w:r w:rsidRPr="00690A87">
        <w:rPr>
          <w:rFonts w:eastAsia="標楷體" w:hint="eastAsia"/>
          <w:sz w:val="26"/>
          <w:szCs w:val="26"/>
        </w:rPr>
        <w:t>時代</w:t>
      </w:r>
    </w:p>
    <w:p w:rsidR="004C5A82" w:rsidRDefault="00596949" w:rsidP="00D82424">
      <w:pPr>
        <w:spacing w:beforeLines="50" w:before="120" w:afterLines="50" w:after="120" w:line="360" w:lineRule="auto"/>
        <w:ind w:leftChars="400" w:left="960" w:firstLineChars="200" w:firstLine="520"/>
        <w:jc w:val="both"/>
        <w:rPr>
          <w:rFonts w:eastAsia="標楷體"/>
          <w:color w:val="0070C0"/>
          <w:sz w:val="26"/>
          <w:szCs w:val="26"/>
        </w:rPr>
      </w:pPr>
      <w:r w:rsidRPr="00690A87">
        <w:rPr>
          <w:rFonts w:eastAsia="標楷體" w:hint="eastAsia"/>
          <w:sz w:val="26"/>
          <w:szCs w:val="26"/>
        </w:rPr>
        <w:t>隨著經濟發展與國民生活水準之提高，消費者對於衣著服飾已不侷限於基本功能性要求，更重要的是材質、款式、色澤、舒適性及流行性等特點必須符合消費者的需要，是以對紡織業而言已由「生產導向」時代進入「行銷導向」時代，而由於流行之多變，產品之生命週期愈來愈短，除非產品開發受市場潮流影響外，高級紡織品亦趨向少量、多樣及因應流行轉變而縮短交期等生產方式，強調快速反應之能力。</w:t>
      </w:r>
    </w:p>
    <w:p w:rsidR="004C5A82" w:rsidRDefault="00596949" w:rsidP="00D82424">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市場概況</w:t>
      </w:r>
    </w:p>
    <w:p w:rsidR="004C5A82" w:rsidRDefault="00596949" w:rsidP="00D82424">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台灣</w:t>
      </w:r>
      <w:r w:rsidRPr="00D107BA">
        <w:rPr>
          <w:rFonts w:eastAsia="標楷體" w:hint="eastAsia"/>
          <w:b/>
          <w:sz w:val="28"/>
          <w:szCs w:val="26"/>
        </w:rPr>
        <w:t>紡織業市</w:t>
      </w:r>
      <w:r w:rsidRPr="00EA272E">
        <w:rPr>
          <w:rFonts w:eastAsia="標楷體" w:hint="eastAsia"/>
          <w:b/>
          <w:sz w:val="28"/>
          <w:szCs w:val="26"/>
        </w:rPr>
        <w:t>場現況</w:t>
      </w:r>
      <w:r>
        <w:rPr>
          <w:rStyle w:val="af2"/>
          <w:rFonts w:eastAsia="標楷體"/>
          <w:b/>
          <w:sz w:val="28"/>
          <w:szCs w:val="26"/>
        </w:rPr>
        <w:footnoteReference w:id="3"/>
      </w:r>
    </w:p>
    <w:p w:rsidR="000D5F5F" w:rsidRPr="00C217B6" w:rsidRDefault="000D5F5F" w:rsidP="000D5F5F">
      <w:pPr>
        <w:spacing w:beforeLines="50" w:before="120" w:afterLines="50" w:after="120" w:line="360" w:lineRule="auto"/>
        <w:ind w:leftChars="300" w:left="720" w:firstLineChars="200" w:firstLine="520"/>
        <w:jc w:val="both"/>
        <w:rPr>
          <w:rFonts w:eastAsia="標楷體"/>
          <w:sz w:val="26"/>
          <w:szCs w:val="26"/>
        </w:rPr>
      </w:pPr>
      <w:r w:rsidRPr="00C217B6">
        <w:rPr>
          <w:rFonts w:eastAsia="標楷體" w:hint="eastAsia"/>
          <w:sz w:val="26"/>
          <w:szCs w:val="26"/>
        </w:rPr>
        <w:t>跨太平洋夥伴關係</w:t>
      </w:r>
      <w:r w:rsidRPr="00C217B6">
        <w:rPr>
          <w:rFonts w:eastAsia="標楷體"/>
          <w:sz w:val="26"/>
          <w:szCs w:val="26"/>
        </w:rPr>
        <w:t>(The Trans-Pacific Partnership</w:t>
      </w:r>
      <w:r w:rsidRPr="00C217B6">
        <w:rPr>
          <w:rFonts w:eastAsia="標楷體" w:hint="eastAsia"/>
          <w:sz w:val="26"/>
          <w:szCs w:val="26"/>
        </w:rPr>
        <w:t>，</w:t>
      </w:r>
      <w:r w:rsidRPr="00C217B6">
        <w:rPr>
          <w:rFonts w:eastAsia="標楷體"/>
          <w:sz w:val="26"/>
          <w:szCs w:val="26"/>
        </w:rPr>
        <w:t>TPP)</w:t>
      </w:r>
      <w:r w:rsidRPr="00C217B6">
        <w:rPr>
          <w:rFonts w:eastAsia="標楷體" w:hint="eastAsia"/>
          <w:sz w:val="26"/>
          <w:szCs w:val="26"/>
        </w:rPr>
        <w:t>，由於越南與美國具有免關稅優勢，吸引台商積極前往越南設廠佈局，只要</w:t>
      </w:r>
      <w:r w:rsidRPr="00C217B6">
        <w:rPr>
          <w:rFonts w:eastAsia="標楷體"/>
          <w:sz w:val="26"/>
          <w:szCs w:val="26"/>
        </w:rPr>
        <w:t>TPP</w:t>
      </w:r>
      <w:r w:rsidRPr="00C217B6">
        <w:rPr>
          <w:rFonts w:eastAsia="標楷體" w:hint="eastAsia"/>
          <w:sz w:val="26"/>
          <w:szCs w:val="26"/>
        </w:rPr>
        <w:t>案順利通過，免關稅優勢就可發揮。但川普簽署行政命令，宣示退出</w:t>
      </w:r>
      <w:r w:rsidRPr="00C217B6">
        <w:rPr>
          <w:rFonts w:eastAsia="標楷體"/>
          <w:sz w:val="26"/>
          <w:szCs w:val="26"/>
        </w:rPr>
        <w:t>TPP</w:t>
      </w:r>
      <w:r w:rsidRPr="00C217B6">
        <w:rPr>
          <w:rFonts w:eastAsia="標楷體" w:hint="eastAsia"/>
          <w:sz w:val="26"/>
          <w:szCs w:val="26"/>
        </w:rPr>
        <w:t>後，在越南大舉佈局的紡織業首當其衝。紡織業者指出，即使台灣沒有簽署</w:t>
      </w:r>
      <w:r w:rsidRPr="00C217B6">
        <w:rPr>
          <w:rFonts w:eastAsia="標楷體"/>
          <w:sz w:val="26"/>
          <w:szCs w:val="26"/>
        </w:rPr>
        <w:t>TPP</w:t>
      </w:r>
      <w:r w:rsidRPr="00C217B6">
        <w:rPr>
          <w:rFonts w:eastAsia="標楷體" w:hint="eastAsia"/>
          <w:sz w:val="26"/>
          <w:szCs w:val="26"/>
        </w:rPr>
        <w:t>，加碼計畫仍會進行，主因越南與許多國家簽屬雙邊自由貿易協定，例如越歐盟</w:t>
      </w:r>
      <w:r w:rsidRPr="00C217B6">
        <w:rPr>
          <w:rFonts w:eastAsia="標楷體"/>
          <w:sz w:val="26"/>
          <w:szCs w:val="26"/>
        </w:rPr>
        <w:t>FTA</w:t>
      </w:r>
      <w:r w:rsidRPr="00C217B6">
        <w:rPr>
          <w:rFonts w:eastAsia="標楷體" w:hint="eastAsia"/>
          <w:sz w:val="26"/>
          <w:szCs w:val="26"/>
        </w:rPr>
        <w:t>於</w:t>
      </w:r>
      <w:r w:rsidRPr="00C217B6">
        <w:rPr>
          <w:rFonts w:eastAsia="標楷體"/>
          <w:sz w:val="26"/>
          <w:szCs w:val="26"/>
        </w:rPr>
        <w:t>2018</w:t>
      </w:r>
      <w:r w:rsidRPr="00C217B6">
        <w:rPr>
          <w:rFonts w:eastAsia="標楷體" w:hint="eastAsia"/>
          <w:sz w:val="26"/>
          <w:szCs w:val="26"/>
        </w:rPr>
        <w:t>年生效，歐盟將針對瓶用聚酯粒降稅，這股潛在商機仍不容忽視。</w:t>
      </w:r>
    </w:p>
    <w:p w:rsidR="000D5F5F" w:rsidRPr="00C217B6" w:rsidRDefault="000D5F5F" w:rsidP="000D5F5F">
      <w:pPr>
        <w:spacing w:beforeLines="50" w:before="120" w:afterLines="50" w:after="120" w:line="360" w:lineRule="auto"/>
        <w:ind w:leftChars="300" w:left="720" w:firstLineChars="200" w:firstLine="520"/>
        <w:jc w:val="both"/>
        <w:rPr>
          <w:rFonts w:eastAsia="標楷體"/>
          <w:sz w:val="26"/>
          <w:szCs w:val="26"/>
        </w:rPr>
      </w:pPr>
      <w:r w:rsidRPr="00C217B6">
        <w:rPr>
          <w:rFonts w:eastAsia="標楷體"/>
          <w:sz w:val="26"/>
          <w:szCs w:val="26"/>
        </w:rPr>
        <w:t>TPP</w:t>
      </w:r>
      <w:r w:rsidRPr="00C217B6">
        <w:rPr>
          <w:rFonts w:eastAsia="標楷體" w:hint="eastAsia"/>
          <w:sz w:val="26"/>
          <w:szCs w:val="26"/>
        </w:rPr>
        <w:t>遭廢除的話，對於台灣未必是件壞事。台灣不具有成員國資格，目前很多原料出口越南，屆時越南的成衣業者，為符合「從紗開</w:t>
      </w:r>
      <w:r w:rsidRPr="00C217B6">
        <w:rPr>
          <w:rFonts w:eastAsia="標楷體" w:hint="eastAsia"/>
          <w:sz w:val="26"/>
          <w:szCs w:val="26"/>
        </w:rPr>
        <w:lastRenderedPageBreak/>
        <w:t>始」</w:t>
      </w:r>
      <w:r w:rsidRPr="00C217B6">
        <w:rPr>
          <w:rFonts w:eastAsia="標楷體"/>
          <w:sz w:val="26"/>
          <w:szCs w:val="26"/>
        </w:rPr>
        <w:t>(yarn-</w:t>
      </w:r>
      <w:proofErr w:type="spellStart"/>
      <w:r w:rsidRPr="00C217B6">
        <w:rPr>
          <w:rFonts w:eastAsia="標楷體"/>
          <w:sz w:val="26"/>
          <w:szCs w:val="26"/>
        </w:rPr>
        <w:t>foward</w:t>
      </w:r>
      <w:proofErr w:type="spellEnd"/>
      <w:r w:rsidRPr="00C217B6">
        <w:rPr>
          <w:rFonts w:eastAsia="標楷體"/>
          <w:sz w:val="26"/>
          <w:szCs w:val="26"/>
        </w:rPr>
        <w:t>)</w:t>
      </w:r>
      <w:r w:rsidRPr="00C217B6">
        <w:rPr>
          <w:rFonts w:eastAsia="標楷體" w:hint="eastAsia"/>
          <w:sz w:val="26"/>
          <w:szCs w:val="26"/>
        </w:rPr>
        <w:t>原則，勢必將轉而往他國採購。據紡拓會統計，台灣紡織業高度倚賴出口，又以越南的佔比最高約</w:t>
      </w:r>
      <w:r w:rsidRPr="00C217B6">
        <w:rPr>
          <w:rFonts w:eastAsia="標楷體"/>
          <w:sz w:val="26"/>
          <w:szCs w:val="26"/>
        </w:rPr>
        <w:t>22%</w:t>
      </w:r>
      <w:r w:rsidRPr="00C217B6">
        <w:rPr>
          <w:rFonts w:eastAsia="標楷體" w:hint="eastAsia"/>
          <w:sz w:val="26"/>
          <w:szCs w:val="26"/>
        </w:rPr>
        <w:t>，一但</w:t>
      </w:r>
      <w:r w:rsidRPr="00C217B6">
        <w:rPr>
          <w:rFonts w:eastAsia="標楷體"/>
          <w:sz w:val="26"/>
          <w:szCs w:val="26"/>
        </w:rPr>
        <w:t>TPP</w:t>
      </w:r>
      <w:r w:rsidRPr="00C217B6">
        <w:rPr>
          <w:rFonts w:eastAsia="標楷體" w:hint="eastAsia"/>
          <w:sz w:val="26"/>
          <w:szCs w:val="26"/>
        </w:rPr>
        <w:t>解除，反倒化解台灣紡織產業的尷尬處境。據統計，</w:t>
      </w:r>
      <w:r w:rsidRPr="00C217B6">
        <w:rPr>
          <w:rFonts w:eastAsia="標楷體"/>
          <w:sz w:val="26"/>
          <w:szCs w:val="26"/>
        </w:rPr>
        <w:t>2013~2015</w:t>
      </w:r>
      <w:r w:rsidRPr="00C217B6">
        <w:rPr>
          <w:rFonts w:eastAsia="標楷體" w:hint="eastAsia"/>
          <w:sz w:val="26"/>
          <w:szCs w:val="26"/>
        </w:rPr>
        <w:t>年臺灣紡織品，出口至越南的每年出口均值達</w:t>
      </w:r>
      <w:r w:rsidRPr="00C217B6">
        <w:rPr>
          <w:rFonts w:eastAsia="標楷體"/>
          <w:sz w:val="26"/>
          <w:szCs w:val="26"/>
        </w:rPr>
        <w:t>20.46</w:t>
      </w:r>
      <w:r w:rsidRPr="00C217B6">
        <w:rPr>
          <w:rFonts w:eastAsia="標楷體" w:hint="eastAsia"/>
          <w:sz w:val="26"/>
          <w:szCs w:val="26"/>
        </w:rPr>
        <w:t>億美元，其中</w:t>
      </w:r>
      <w:r w:rsidRPr="00C217B6">
        <w:rPr>
          <w:rFonts w:eastAsia="標楷體"/>
          <w:sz w:val="26"/>
          <w:szCs w:val="26"/>
        </w:rPr>
        <w:t>75%</w:t>
      </w:r>
      <w:r w:rsidRPr="00C217B6">
        <w:rPr>
          <w:rFonts w:eastAsia="標楷體" w:hint="eastAsia"/>
          <w:sz w:val="26"/>
          <w:szCs w:val="26"/>
        </w:rPr>
        <w:t>以上是布料，纖維和紗線佔有比重則是逐年下降；纖維和紗線在</w:t>
      </w:r>
      <w:r w:rsidRPr="00C217B6">
        <w:rPr>
          <w:rFonts w:eastAsia="標楷體"/>
          <w:sz w:val="26"/>
          <w:szCs w:val="26"/>
        </w:rPr>
        <w:t>2013</w:t>
      </w:r>
      <w:r w:rsidR="006D691E">
        <w:rPr>
          <w:rFonts w:eastAsia="標楷體" w:hint="eastAsia"/>
          <w:sz w:val="26"/>
          <w:szCs w:val="26"/>
        </w:rPr>
        <w:t>年佔有比重</w:t>
      </w:r>
      <w:r w:rsidRPr="00C217B6">
        <w:rPr>
          <w:rFonts w:eastAsia="標楷體"/>
          <w:sz w:val="26"/>
          <w:szCs w:val="26"/>
        </w:rPr>
        <w:t>23%</w:t>
      </w:r>
      <w:r w:rsidRPr="00C217B6">
        <w:rPr>
          <w:rFonts w:eastAsia="標楷體" w:hint="eastAsia"/>
          <w:sz w:val="26"/>
          <w:szCs w:val="26"/>
        </w:rPr>
        <w:t>，但</w:t>
      </w:r>
      <w:r w:rsidRPr="00C217B6">
        <w:rPr>
          <w:rFonts w:eastAsia="標楷體"/>
          <w:sz w:val="26"/>
          <w:szCs w:val="26"/>
        </w:rPr>
        <w:t>2014</w:t>
      </w:r>
      <w:r w:rsidRPr="00C217B6">
        <w:rPr>
          <w:rFonts w:eastAsia="標楷體" w:hint="eastAsia"/>
          <w:sz w:val="26"/>
          <w:szCs w:val="26"/>
        </w:rPr>
        <w:t>年下降至</w:t>
      </w:r>
      <w:r w:rsidRPr="00C217B6">
        <w:rPr>
          <w:rFonts w:eastAsia="標楷體"/>
          <w:sz w:val="26"/>
          <w:szCs w:val="26"/>
        </w:rPr>
        <w:t>20%</w:t>
      </w:r>
      <w:r w:rsidRPr="00C217B6">
        <w:rPr>
          <w:rFonts w:eastAsia="標楷體" w:hint="eastAsia"/>
          <w:sz w:val="26"/>
          <w:szCs w:val="26"/>
        </w:rPr>
        <w:t>，</w:t>
      </w:r>
      <w:r w:rsidRPr="00C217B6">
        <w:rPr>
          <w:rFonts w:eastAsia="標楷體"/>
          <w:sz w:val="26"/>
          <w:szCs w:val="26"/>
        </w:rPr>
        <w:t>2015</w:t>
      </w:r>
      <w:r w:rsidR="006D691E">
        <w:rPr>
          <w:rFonts w:eastAsia="標楷體" w:hint="eastAsia"/>
          <w:sz w:val="26"/>
          <w:szCs w:val="26"/>
        </w:rPr>
        <w:t>年再</w:t>
      </w:r>
      <w:r w:rsidRPr="00C217B6">
        <w:rPr>
          <w:rFonts w:eastAsia="標楷體" w:hint="eastAsia"/>
          <w:sz w:val="26"/>
          <w:szCs w:val="26"/>
        </w:rPr>
        <w:t>下降至</w:t>
      </w:r>
      <w:r w:rsidRPr="00C217B6">
        <w:rPr>
          <w:rFonts w:eastAsia="標楷體"/>
          <w:sz w:val="26"/>
          <w:szCs w:val="26"/>
        </w:rPr>
        <w:t>15%</w:t>
      </w:r>
      <w:r w:rsidRPr="00C217B6">
        <w:rPr>
          <w:rFonts w:eastAsia="標楷體" w:hint="eastAsia"/>
          <w:sz w:val="26"/>
          <w:szCs w:val="26"/>
        </w:rPr>
        <w:t>左右。推估台灣紡織品出口至越南可以符合短供清單產品者約為</w:t>
      </w:r>
      <w:r w:rsidRPr="00C217B6">
        <w:rPr>
          <w:rFonts w:eastAsia="標楷體"/>
          <w:sz w:val="26"/>
          <w:szCs w:val="26"/>
        </w:rPr>
        <w:t>1,330</w:t>
      </w:r>
      <w:r w:rsidRPr="00C217B6">
        <w:rPr>
          <w:rFonts w:eastAsia="標楷體" w:hint="eastAsia"/>
          <w:sz w:val="26"/>
          <w:szCs w:val="26"/>
        </w:rPr>
        <w:t>百萬美元，占總出口值</w:t>
      </w:r>
      <w:r w:rsidRPr="00C217B6">
        <w:rPr>
          <w:rFonts w:eastAsia="標楷體"/>
          <w:sz w:val="26"/>
          <w:szCs w:val="26"/>
        </w:rPr>
        <w:t>2,046</w:t>
      </w:r>
      <w:r w:rsidRPr="00C217B6">
        <w:rPr>
          <w:rFonts w:eastAsia="標楷體" w:hint="eastAsia"/>
          <w:sz w:val="26"/>
          <w:szCs w:val="26"/>
        </w:rPr>
        <w:t>百萬美元的比例為</w:t>
      </w:r>
      <w:r w:rsidRPr="00C217B6">
        <w:rPr>
          <w:rFonts w:eastAsia="標楷體"/>
          <w:sz w:val="26"/>
          <w:szCs w:val="26"/>
        </w:rPr>
        <w:t>65%</w:t>
      </w:r>
      <w:r w:rsidRPr="00C217B6">
        <w:rPr>
          <w:rFonts w:eastAsia="標楷體" w:hint="eastAsia"/>
          <w:sz w:val="26"/>
          <w:szCs w:val="26"/>
        </w:rPr>
        <w:t>。</w:t>
      </w:r>
    </w:p>
    <w:p w:rsidR="000D5F5F" w:rsidRPr="00C217B6" w:rsidRDefault="000D5F5F" w:rsidP="000D5F5F">
      <w:pPr>
        <w:spacing w:beforeLines="50" w:before="120" w:afterLines="50" w:after="120" w:line="360" w:lineRule="auto"/>
        <w:ind w:leftChars="300" w:left="720" w:firstLineChars="200" w:firstLine="520"/>
        <w:jc w:val="both"/>
        <w:rPr>
          <w:rFonts w:eastAsia="標楷體"/>
          <w:sz w:val="26"/>
          <w:szCs w:val="26"/>
        </w:rPr>
      </w:pPr>
      <w:r w:rsidRPr="00C217B6">
        <w:rPr>
          <w:rFonts w:eastAsia="標楷體" w:hint="eastAsia"/>
          <w:sz w:val="26"/>
          <w:szCs w:val="26"/>
        </w:rPr>
        <w:t>未來取代</w:t>
      </w:r>
      <w:r w:rsidRPr="00C217B6">
        <w:rPr>
          <w:rFonts w:eastAsia="標楷體"/>
          <w:sz w:val="26"/>
          <w:szCs w:val="26"/>
        </w:rPr>
        <w:t>TPP</w:t>
      </w:r>
      <w:r w:rsidRPr="00C217B6">
        <w:rPr>
          <w:rFonts w:eastAsia="標楷體" w:hint="eastAsia"/>
          <w:sz w:val="26"/>
          <w:szCs w:val="26"/>
        </w:rPr>
        <w:t>的區域貿易架構，很可能是中國所號召的</w:t>
      </w:r>
      <w:r w:rsidRPr="00C217B6">
        <w:rPr>
          <w:rFonts w:eastAsia="標楷體"/>
          <w:sz w:val="26"/>
          <w:szCs w:val="26"/>
        </w:rPr>
        <w:t>RCEP(</w:t>
      </w:r>
      <w:r w:rsidRPr="00C217B6">
        <w:rPr>
          <w:rFonts w:eastAsia="標楷體" w:hint="eastAsia"/>
          <w:sz w:val="26"/>
          <w:szCs w:val="26"/>
        </w:rPr>
        <w:t>區域全面經濟夥伴協定</w:t>
      </w:r>
      <w:r w:rsidRPr="00C217B6">
        <w:rPr>
          <w:rFonts w:eastAsia="標楷體"/>
          <w:sz w:val="26"/>
          <w:szCs w:val="26"/>
        </w:rPr>
        <w:t>)</w:t>
      </w:r>
      <w:r w:rsidRPr="00C217B6">
        <w:rPr>
          <w:rFonts w:eastAsia="標楷體" w:hint="eastAsia"/>
          <w:sz w:val="26"/>
          <w:szCs w:val="26"/>
        </w:rPr>
        <w:t>，</w:t>
      </w:r>
      <w:r w:rsidRPr="00C217B6">
        <w:rPr>
          <w:rFonts w:eastAsia="標楷體"/>
          <w:sz w:val="26"/>
          <w:szCs w:val="26"/>
        </w:rPr>
        <w:t>RCEP</w:t>
      </w:r>
      <w:r w:rsidRPr="00C217B6">
        <w:rPr>
          <w:rFonts w:eastAsia="標楷體" w:hint="eastAsia"/>
          <w:sz w:val="26"/>
          <w:szCs w:val="26"/>
        </w:rPr>
        <w:t>成員國占全球貿易額達</w:t>
      </w:r>
      <w:r w:rsidRPr="00C217B6">
        <w:rPr>
          <w:rFonts w:eastAsia="標楷體"/>
          <w:sz w:val="26"/>
          <w:szCs w:val="26"/>
        </w:rPr>
        <w:t>40%</w:t>
      </w:r>
      <w:r w:rsidRPr="00C217B6">
        <w:rPr>
          <w:rFonts w:eastAsia="標楷體" w:hint="eastAsia"/>
          <w:sz w:val="26"/>
          <w:szCs w:val="26"/>
        </w:rPr>
        <w:t>，總人口數達</w:t>
      </w:r>
      <w:r w:rsidRPr="00C217B6">
        <w:rPr>
          <w:rFonts w:eastAsia="標楷體"/>
          <w:sz w:val="26"/>
          <w:szCs w:val="26"/>
        </w:rPr>
        <w:t>30</w:t>
      </w:r>
      <w:r w:rsidRPr="00C217B6">
        <w:rPr>
          <w:rFonts w:eastAsia="標楷體" w:hint="eastAsia"/>
          <w:sz w:val="26"/>
          <w:szCs w:val="26"/>
        </w:rPr>
        <w:t>億人，且</w:t>
      </w:r>
      <w:r w:rsidRPr="00C217B6">
        <w:rPr>
          <w:rFonts w:eastAsia="標楷體"/>
          <w:sz w:val="26"/>
          <w:szCs w:val="26"/>
        </w:rPr>
        <w:t>RCEP</w:t>
      </w:r>
      <w:r w:rsidR="006D691E">
        <w:rPr>
          <w:rFonts w:eastAsia="標楷體" w:hint="eastAsia"/>
          <w:sz w:val="26"/>
          <w:szCs w:val="26"/>
        </w:rPr>
        <w:t>對於原產地規定較寬鬆，台灣紡織業相對於過去</w:t>
      </w:r>
      <w:r w:rsidRPr="00C217B6">
        <w:rPr>
          <w:rFonts w:eastAsia="標楷體" w:hint="eastAsia"/>
          <w:sz w:val="26"/>
          <w:szCs w:val="26"/>
        </w:rPr>
        <w:t>比較有加入的機會。</w:t>
      </w:r>
    </w:p>
    <w:p w:rsidR="000D5F5F" w:rsidRPr="00C217B6" w:rsidRDefault="000D5F5F" w:rsidP="000D5F5F">
      <w:pPr>
        <w:spacing w:beforeLines="50" w:before="120" w:afterLines="50" w:after="120" w:line="360" w:lineRule="auto"/>
        <w:ind w:leftChars="300" w:left="720" w:firstLineChars="200" w:firstLine="520"/>
        <w:jc w:val="both"/>
        <w:rPr>
          <w:rFonts w:eastAsia="標楷體"/>
          <w:sz w:val="26"/>
          <w:szCs w:val="26"/>
        </w:rPr>
      </w:pPr>
      <w:r w:rsidRPr="00C217B6">
        <w:rPr>
          <w:rFonts w:eastAsia="標楷體"/>
          <w:sz w:val="26"/>
          <w:szCs w:val="26"/>
        </w:rPr>
        <w:t> </w:t>
      </w:r>
      <w:r w:rsidRPr="00C217B6">
        <w:rPr>
          <w:rFonts w:eastAsia="標楷體" w:hint="eastAsia"/>
          <w:sz w:val="26"/>
          <w:szCs w:val="26"/>
        </w:rPr>
        <w:t>現階段「關稅」與「品牌」仍是臺灣紡織業走向國際的兩大障礙，臺灣紡織業過去</w:t>
      </w:r>
      <w:r w:rsidRPr="00C217B6">
        <w:rPr>
          <w:rFonts w:eastAsia="標楷體"/>
          <w:sz w:val="26"/>
          <w:szCs w:val="26"/>
        </w:rPr>
        <w:t>20</w:t>
      </w:r>
      <w:r w:rsidRPr="00C217B6">
        <w:rPr>
          <w:rFonts w:eastAsia="標楷體" w:hint="eastAsia"/>
          <w:sz w:val="26"/>
          <w:szCs w:val="26"/>
        </w:rPr>
        <w:t>年歷經中國大陸業者大幅擴廠以及低價競爭，現在已逐漸開創出藍海策略的產品，早已不再追大</w:t>
      </w:r>
      <w:r w:rsidR="006D691E">
        <w:rPr>
          <w:rFonts w:eastAsia="標楷體" w:hint="eastAsia"/>
          <w:sz w:val="26"/>
          <w:szCs w:val="26"/>
        </w:rPr>
        <w:t>庫存、大產量，而是改走差異化產品，如穿戴裝置、防輻射，以及好看</w:t>
      </w:r>
      <w:r w:rsidRPr="00C217B6">
        <w:rPr>
          <w:rFonts w:eastAsia="標楷體" w:hint="eastAsia"/>
          <w:sz w:val="26"/>
          <w:szCs w:val="26"/>
        </w:rPr>
        <w:t>好穿</w:t>
      </w:r>
      <w:r w:rsidR="006D691E">
        <w:rPr>
          <w:rFonts w:eastAsia="標楷體" w:hint="eastAsia"/>
          <w:sz w:val="26"/>
          <w:szCs w:val="26"/>
        </w:rPr>
        <w:t>等</w:t>
      </w:r>
      <w:r w:rsidRPr="00C217B6">
        <w:rPr>
          <w:rFonts w:eastAsia="標楷體" w:hint="eastAsia"/>
          <w:sz w:val="26"/>
          <w:szCs w:val="26"/>
        </w:rPr>
        <w:t>流行機能性產品，極力爭取在國際間曝光。臺灣業者具有高度研發與創新設計能力，相信可在利基市場仍能占得一席之地。此外，臺廠除了技術能力不斷提升外，也開始走全流程服務，與客戶共同合作，從市場趨勢、競爭者分析、商品設計開發到製作為成品，透過這樣的服務，把客戶緊緊綁住，做出差異化，以及彈性客製化流程。全球物聯網帶動穿戴科技產業蓬勃發展，智慧衣已成為電子與紡織產品爭相投資的明日之星，而根據</w:t>
      </w:r>
      <w:r w:rsidRPr="00C217B6">
        <w:rPr>
          <w:rFonts w:eastAsia="標楷體"/>
          <w:sz w:val="26"/>
          <w:szCs w:val="26"/>
        </w:rPr>
        <w:t>Grand View Research</w:t>
      </w:r>
      <w:r w:rsidRPr="00C217B6">
        <w:rPr>
          <w:rFonts w:eastAsia="標楷體" w:hint="eastAsia"/>
          <w:sz w:val="26"/>
          <w:szCs w:val="26"/>
        </w:rPr>
        <w:t>市場調查預測，智慧型紡織品在</w:t>
      </w:r>
      <w:r w:rsidRPr="00C217B6">
        <w:rPr>
          <w:rFonts w:eastAsia="標楷體"/>
          <w:sz w:val="26"/>
          <w:szCs w:val="26"/>
        </w:rPr>
        <w:t>2020</w:t>
      </w:r>
      <w:r w:rsidRPr="00C217B6">
        <w:rPr>
          <w:rFonts w:eastAsia="標楷體" w:hint="eastAsia"/>
          <w:sz w:val="26"/>
          <w:szCs w:val="26"/>
        </w:rPr>
        <w:t>年產值將達到</w:t>
      </w:r>
      <w:r w:rsidRPr="00C217B6">
        <w:rPr>
          <w:rFonts w:eastAsia="標楷體"/>
          <w:sz w:val="26"/>
          <w:szCs w:val="26"/>
        </w:rPr>
        <w:t>150</w:t>
      </w:r>
      <w:r w:rsidRPr="00C217B6">
        <w:rPr>
          <w:rFonts w:eastAsia="標楷體" w:hint="eastAsia"/>
          <w:sz w:val="26"/>
          <w:szCs w:val="26"/>
        </w:rPr>
        <w:t>億美金。歐美先進大國除了專注於將革新纖維材料與創新電子紡織品整合應用外，也積極投入智慧衣標準的研議與制定，</w:t>
      </w:r>
      <w:r w:rsidRPr="00C217B6">
        <w:rPr>
          <w:rFonts w:eastAsia="標楷體" w:hint="eastAsia"/>
          <w:sz w:val="26"/>
          <w:szCs w:val="26"/>
        </w:rPr>
        <w:lastRenderedPageBreak/>
        <w:t>而臺灣的紡織業者與高科技廠商在組成策略聯盟，合力生產穿戴智慧衣，將是很強大的組合，對於醫療照護上或運動上的應用極具市場價值且充滿無限商機。</w:t>
      </w:r>
    </w:p>
    <w:p w:rsidR="004C5A82" w:rsidRPr="00C217B6" w:rsidRDefault="00596949" w:rsidP="00D82424">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C217B6">
        <w:rPr>
          <w:rFonts w:eastAsia="標楷體" w:hint="eastAsia"/>
          <w:b/>
          <w:sz w:val="28"/>
          <w:szCs w:val="26"/>
        </w:rPr>
        <w:t>全球紡織業市場現況</w:t>
      </w:r>
      <w:r w:rsidRPr="00C217B6">
        <w:rPr>
          <w:rStyle w:val="af2"/>
          <w:rFonts w:eastAsia="標楷體"/>
          <w:b/>
          <w:sz w:val="28"/>
          <w:szCs w:val="26"/>
        </w:rPr>
        <w:footnoteReference w:id="4"/>
      </w:r>
    </w:p>
    <w:p w:rsidR="000D5F5F" w:rsidRPr="00C217B6" w:rsidRDefault="000D5F5F" w:rsidP="000D5F5F">
      <w:pPr>
        <w:spacing w:beforeLines="50" w:before="120" w:afterLines="50" w:after="120" w:line="360" w:lineRule="auto"/>
        <w:ind w:leftChars="300" w:left="720" w:firstLineChars="200" w:firstLine="520"/>
        <w:jc w:val="both"/>
        <w:rPr>
          <w:rFonts w:eastAsia="標楷體"/>
          <w:sz w:val="26"/>
          <w:szCs w:val="26"/>
        </w:rPr>
      </w:pPr>
      <w:r w:rsidRPr="00C217B6">
        <w:rPr>
          <w:rFonts w:eastAsia="標楷體" w:hint="eastAsia"/>
          <w:sz w:val="26"/>
          <w:szCs w:val="26"/>
        </w:rPr>
        <w:t>國際原油價格的波動將會牽動紡織上游原物料價格走勢，尼龍重要的石化原料</w:t>
      </w:r>
      <w:r w:rsidRPr="00C217B6">
        <w:rPr>
          <w:rFonts w:eastAsia="標楷體"/>
          <w:sz w:val="26"/>
          <w:szCs w:val="26"/>
        </w:rPr>
        <w:t>CPL</w:t>
      </w:r>
      <w:r w:rsidRPr="00C217B6">
        <w:rPr>
          <w:rFonts w:eastAsia="標楷體" w:hint="eastAsia"/>
          <w:sz w:val="26"/>
          <w:szCs w:val="26"/>
        </w:rPr>
        <w:t>與原油價格具高度連動性，而</w:t>
      </w:r>
      <w:r w:rsidRPr="00C217B6">
        <w:rPr>
          <w:rFonts w:eastAsia="標楷體"/>
          <w:sz w:val="26"/>
          <w:szCs w:val="26"/>
        </w:rPr>
        <w:t>PTA</w:t>
      </w:r>
      <w:r w:rsidRPr="00C217B6">
        <w:rPr>
          <w:rFonts w:eastAsia="標楷體" w:hint="eastAsia"/>
          <w:sz w:val="26"/>
          <w:szCs w:val="26"/>
        </w:rPr>
        <w:t>與</w:t>
      </w:r>
      <w:r w:rsidRPr="00C217B6">
        <w:rPr>
          <w:rFonts w:eastAsia="標楷體"/>
          <w:sz w:val="26"/>
          <w:szCs w:val="26"/>
        </w:rPr>
        <w:t>EG</w:t>
      </w:r>
      <w:r w:rsidRPr="00C217B6">
        <w:rPr>
          <w:rFonts w:eastAsia="標楷體" w:hint="eastAsia"/>
          <w:sz w:val="26"/>
          <w:szCs w:val="26"/>
        </w:rPr>
        <w:t>也會隨著油價而調整，但除油價影響，下游聚酯類產品的需求多寡也會影響</w:t>
      </w:r>
      <w:r w:rsidRPr="00C217B6">
        <w:rPr>
          <w:rFonts w:eastAsia="標楷體"/>
          <w:sz w:val="26"/>
          <w:szCs w:val="26"/>
        </w:rPr>
        <w:t>PTA</w:t>
      </w:r>
      <w:r w:rsidRPr="00C217B6">
        <w:rPr>
          <w:rFonts w:eastAsia="標楷體" w:hint="eastAsia"/>
          <w:sz w:val="26"/>
          <w:szCs w:val="26"/>
        </w:rPr>
        <w:t>與</w:t>
      </w:r>
      <w:r w:rsidRPr="00C217B6">
        <w:rPr>
          <w:rFonts w:eastAsia="標楷體"/>
          <w:sz w:val="26"/>
          <w:szCs w:val="26"/>
        </w:rPr>
        <w:t>EG</w:t>
      </w:r>
      <w:r w:rsidRPr="00C217B6">
        <w:rPr>
          <w:rFonts w:eastAsia="標楷體" w:hint="eastAsia"/>
          <w:sz w:val="26"/>
          <w:szCs w:val="26"/>
        </w:rPr>
        <w:t>的價格。原油價格在</w:t>
      </w:r>
      <w:r w:rsidRPr="00C217B6">
        <w:rPr>
          <w:rFonts w:eastAsia="標楷體"/>
          <w:sz w:val="26"/>
          <w:szCs w:val="26"/>
        </w:rPr>
        <w:t>2016</w:t>
      </w:r>
      <w:r w:rsidRPr="00C217B6">
        <w:rPr>
          <w:rFonts w:eastAsia="標楷體" w:hint="eastAsia"/>
          <w:sz w:val="26"/>
          <w:szCs w:val="26"/>
        </w:rPr>
        <w:t>年初跌到每桶不到</w:t>
      </w:r>
      <w:r w:rsidRPr="00C217B6">
        <w:rPr>
          <w:rFonts w:eastAsia="標楷體"/>
          <w:sz w:val="26"/>
          <w:szCs w:val="26"/>
        </w:rPr>
        <w:t>30</w:t>
      </w:r>
      <w:r w:rsidRPr="00C217B6">
        <w:rPr>
          <w:rFonts w:eastAsia="標楷體" w:hint="eastAsia"/>
          <w:sz w:val="26"/>
          <w:szCs w:val="26"/>
        </w:rPr>
        <w:t>美元，創下</w:t>
      </w:r>
      <w:r w:rsidRPr="00C217B6">
        <w:rPr>
          <w:rFonts w:eastAsia="標楷體"/>
          <w:sz w:val="26"/>
          <w:szCs w:val="26"/>
        </w:rPr>
        <w:t>12</w:t>
      </w:r>
      <w:r w:rsidRPr="00C217B6">
        <w:rPr>
          <w:rFonts w:eastAsia="標楷體" w:hint="eastAsia"/>
          <w:sz w:val="26"/>
          <w:szCs w:val="26"/>
        </w:rPr>
        <w:t>年來最低點，但在</w:t>
      </w:r>
      <w:r w:rsidRPr="00C217B6">
        <w:rPr>
          <w:rFonts w:eastAsia="標楷體"/>
          <w:sz w:val="26"/>
          <w:szCs w:val="26"/>
        </w:rPr>
        <w:t>2016</w:t>
      </w:r>
      <w:r w:rsidRPr="00C217B6">
        <w:rPr>
          <w:rFonts w:eastAsia="標楷體" w:hint="eastAsia"/>
          <w:sz w:val="26"/>
          <w:szCs w:val="26"/>
        </w:rPr>
        <w:t>年底</w:t>
      </w:r>
      <w:r w:rsidRPr="00C217B6">
        <w:rPr>
          <w:rFonts w:eastAsia="標楷體"/>
          <w:sz w:val="26"/>
          <w:szCs w:val="26"/>
        </w:rPr>
        <w:t>11</w:t>
      </w:r>
      <w:r w:rsidRPr="00C217B6">
        <w:rPr>
          <w:rFonts w:eastAsia="標楷體" w:hint="eastAsia"/>
          <w:sz w:val="26"/>
          <w:szCs w:val="26"/>
        </w:rPr>
        <w:t>月底油國組織（</w:t>
      </w:r>
      <w:r w:rsidRPr="00C217B6">
        <w:rPr>
          <w:rFonts w:eastAsia="標楷體"/>
          <w:sz w:val="26"/>
          <w:szCs w:val="26"/>
        </w:rPr>
        <w:t>OPEC</w:t>
      </w:r>
      <w:r w:rsidRPr="00C217B6">
        <w:rPr>
          <w:rFonts w:eastAsia="標楷體" w:hint="eastAsia"/>
          <w:sz w:val="26"/>
          <w:szCs w:val="26"/>
        </w:rPr>
        <w:t>）達成減產協議並帶動國際油價大漲後，雖然</w:t>
      </w:r>
      <w:r w:rsidRPr="00C217B6">
        <w:rPr>
          <w:rFonts w:eastAsia="標楷體"/>
          <w:sz w:val="26"/>
          <w:szCs w:val="26"/>
        </w:rPr>
        <w:t>2017</w:t>
      </w:r>
      <w:r w:rsidRPr="00C217B6">
        <w:rPr>
          <w:rFonts w:eastAsia="標楷體" w:hint="eastAsia"/>
          <w:sz w:val="26"/>
          <w:szCs w:val="26"/>
        </w:rPr>
        <w:t>年全球原油仍呈現供過於求的情勢，但若產油國減產協議真能如期施行，則預估</w:t>
      </w:r>
      <w:r w:rsidRPr="00C217B6">
        <w:rPr>
          <w:rFonts w:eastAsia="標楷體"/>
          <w:sz w:val="26"/>
          <w:szCs w:val="26"/>
        </w:rPr>
        <w:t>2017</w:t>
      </w:r>
      <w:r w:rsidRPr="00C217B6">
        <w:rPr>
          <w:rFonts w:eastAsia="標楷體" w:hint="eastAsia"/>
          <w:sz w:val="26"/>
          <w:szCs w:val="26"/>
        </w:rPr>
        <w:t>年油價走勢估計約在</w:t>
      </w:r>
      <w:r w:rsidRPr="00C217B6">
        <w:rPr>
          <w:rFonts w:eastAsia="標楷體"/>
          <w:sz w:val="26"/>
          <w:szCs w:val="26"/>
        </w:rPr>
        <w:t>60-75</w:t>
      </w:r>
      <w:r w:rsidRPr="00C217B6">
        <w:rPr>
          <w:rFonts w:eastAsia="標楷體" w:hint="eastAsia"/>
          <w:sz w:val="26"/>
          <w:szCs w:val="26"/>
        </w:rPr>
        <w:t>美元區間盤整；但若未能達成明確減產協議，則油價有可能處於</w:t>
      </w:r>
      <w:r w:rsidRPr="00C217B6">
        <w:rPr>
          <w:rFonts w:eastAsia="標楷體"/>
          <w:sz w:val="26"/>
          <w:szCs w:val="26"/>
        </w:rPr>
        <w:t>30-45</w:t>
      </w:r>
      <w:r w:rsidRPr="00C217B6">
        <w:rPr>
          <w:rFonts w:eastAsia="標楷體" w:hint="eastAsia"/>
          <w:sz w:val="26"/>
          <w:szCs w:val="26"/>
        </w:rPr>
        <w:t>元低檔甚至下探，也將影響紡織上游原物料價格走勢。</w:t>
      </w:r>
    </w:p>
    <w:p w:rsidR="004C5A82" w:rsidRPr="00C217B6" w:rsidRDefault="000D5F5F" w:rsidP="000D5F5F">
      <w:pPr>
        <w:spacing w:beforeLines="50" w:before="120" w:afterLines="50" w:after="120" w:line="360" w:lineRule="auto"/>
        <w:ind w:leftChars="300" w:left="720" w:firstLineChars="200" w:firstLine="520"/>
        <w:jc w:val="both"/>
        <w:rPr>
          <w:rFonts w:eastAsia="標楷體"/>
          <w:sz w:val="26"/>
          <w:szCs w:val="26"/>
        </w:rPr>
      </w:pPr>
      <w:r w:rsidRPr="00C217B6">
        <w:rPr>
          <w:rFonts w:eastAsia="標楷體" w:hint="eastAsia"/>
          <w:sz w:val="26"/>
          <w:szCs w:val="26"/>
        </w:rPr>
        <w:t>而近年來環保意識抬頭，國際紡織品牌大廠進行更進階的無毒生產、無毒排放、更高階的環保製程及原料，要求供應商，來維持品牌大廠保護地球、環境友善、節能減碳的形象。像是</w:t>
      </w:r>
      <w:r w:rsidRPr="00C217B6">
        <w:rPr>
          <w:rFonts w:eastAsia="標楷體"/>
          <w:sz w:val="26"/>
          <w:szCs w:val="26"/>
        </w:rPr>
        <w:t>ZDHC</w:t>
      </w:r>
      <w:r w:rsidRPr="00C217B6">
        <w:rPr>
          <w:rFonts w:eastAsia="標楷體" w:hint="eastAsia"/>
          <w:sz w:val="26"/>
          <w:szCs w:val="26"/>
        </w:rPr>
        <w:t>組織是由</w:t>
      </w:r>
      <w:proofErr w:type="spellStart"/>
      <w:r w:rsidRPr="00C217B6">
        <w:rPr>
          <w:rFonts w:eastAsia="標楷體"/>
          <w:sz w:val="26"/>
          <w:szCs w:val="26"/>
        </w:rPr>
        <w:t>adidas</w:t>
      </w:r>
      <w:proofErr w:type="spellEnd"/>
      <w:r w:rsidRPr="00C217B6">
        <w:rPr>
          <w:rFonts w:eastAsia="標楷體" w:hint="eastAsia"/>
          <w:sz w:val="26"/>
          <w:szCs w:val="26"/>
        </w:rPr>
        <w:t>、</w:t>
      </w:r>
      <w:r w:rsidRPr="00C217B6">
        <w:rPr>
          <w:rFonts w:eastAsia="標楷體"/>
          <w:sz w:val="26"/>
          <w:szCs w:val="26"/>
        </w:rPr>
        <w:t>PUMA</w:t>
      </w:r>
      <w:r w:rsidRPr="00C217B6">
        <w:rPr>
          <w:rFonts w:eastAsia="標楷體" w:hint="eastAsia"/>
          <w:sz w:val="26"/>
          <w:szCs w:val="26"/>
        </w:rPr>
        <w:t>、</w:t>
      </w:r>
      <w:r w:rsidRPr="00C217B6">
        <w:rPr>
          <w:rFonts w:eastAsia="標楷體"/>
          <w:sz w:val="26"/>
          <w:szCs w:val="26"/>
        </w:rPr>
        <w:t>H&amp;M</w:t>
      </w:r>
      <w:r w:rsidRPr="00C217B6">
        <w:rPr>
          <w:rFonts w:eastAsia="標楷體" w:hint="eastAsia"/>
          <w:sz w:val="26"/>
          <w:szCs w:val="26"/>
        </w:rPr>
        <w:t>、</w:t>
      </w:r>
      <w:r w:rsidRPr="00C217B6">
        <w:rPr>
          <w:rFonts w:eastAsia="標楷體"/>
          <w:sz w:val="26"/>
          <w:szCs w:val="26"/>
        </w:rPr>
        <w:t>Gap</w:t>
      </w:r>
      <w:r w:rsidRPr="00C217B6">
        <w:rPr>
          <w:rFonts w:eastAsia="標楷體" w:hint="eastAsia"/>
          <w:sz w:val="26"/>
          <w:szCs w:val="26"/>
        </w:rPr>
        <w:t>、</w:t>
      </w:r>
      <w:proofErr w:type="spellStart"/>
      <w:r w:rsidRPr="00C217B6">
        <w:rPr>
          <w:rFonts w:eastAsia="標楷體"/>
          <w:sz w:val="26"/>
          <w:szCs w:val="26"/>
        </w:rPr>
        <w:t>Inditex</w:t>
      </w:r>
      <w:proofErr w:type="spellEnd"/>
      <w:r w:rsidRPr="00C217B6">
        <w:rPr>
          <w:rFonts w:eastAsia="標楷體" w:hint="eastAsia"/>
          <w:sz w:val="26"/>
          <w:szCs w:val="26"/>
        </w:rPr>
        <w:t>、</w:t>
      </w:r>
      <w:r w:rsidRPr="00C217B6">
        <w:rPr>
          <w:rFonts w:eastAsia="標楷體"/>
          <w:sz w:val="26"/>
          <w:szCs w:val="26"/>
        </w:rPr>
        <w:t>Burberry</w:t>
      </w:r>
      <w:r w:rsidRPr="00C217B6">
        <w:rPr>
          <w:rFonts w:eastAsia="標楷體" w:hint="eastAsia"/>
          <w:sz w:val="26"/>
          <w:szCs w:val="26"/>
        </w:rPr>
        <w:t>等</w:t>
      </w:r>
      <w:r w:rsidRPr="00C217B6">
        <w:rPr>
          <w:rFonts w:eastAsia="標楷體"/>
          <w:sz w:val="26"/>
          <w:szCs w:val="26"/>
        </w:rPr>
        <w:t>22</w:t>
      </w:r>
      <w:r w:rsidRPr="00C217B6">
        <w:rPr>
          <w:rFonts w:eastAsia="標楷體" w:hint="eastAsia"/>
          <w:sz w:val="26"/>
          <w:szCs w:val="26"/>
        </w:rPr>
        <w:t>個主要品牌及零售商組成的團體，做出共同承諾，將在</w:t>
      </w:r>
      <w:r w:rsidRPr="00C217B6">
        <w:rPr>
          <w:rFonts w:eastAsia="標楷體"/>
          <w:sz w:val="26"/>
          <w:szCs w:val="26"/>
        </w:rPr>
        <w:t>2020</w:t>
      </w:r>
      <w:r w:rsidRPr="00C217B6">
        <w:rPr>
          <w:rFonts w:eastAsia="標楷體" w:hint="eastAsia"/>
          <w:sz w:val="26"/>
          <w:szCs w:val="26"/>
        </w:rPr>
        <w:t>年實現有害化學物質的零排放，為全球紡織業設立全新的環保標準。</w:t>
      </w:r>
      <w:r w:rsidRPr="00C217B6">
        <w:rPr>
          <w:rFonts w:eastAsia="標楷體"/>
          <w:sz w:val="26"/>
          <w:szCs w:val="26"/>
        </w:rPr>
        <w:t>Adidas</w:t>
      </w:r>
      <w:r w:rsidRPr="00C217B6">
        <w:rPr>
          <w:rFonts w:eastAsia="標楷體" w:hint="eastAsia"/>
          <w:sz w:val="26"/>
          <w:szCs w:val="26"/>
        </w:rPr>
        <w:t>發佈</w:t>
      </w:r>
      <w:r w:rsidRPr="00C217B6">
        <w:rPr>
          <w:rFonts w:eastAsia="標楷體"/>
          <w:sz w:val="26"/>
          <w:szCs w:val="26"/>
        </w:rPr>
        <w:t>2020</w:t>
      </w:r>
      <w:r w:rsidRPr="00C217B6">
        <w:rPr>
          <w:rFonts w:eastAsia="標楷體" w:hint="eastAsia"/>
          <w:sz w:val="26"/>
          <w:szCs w:val="26"/>
        </w:rPr>
        <w:t>年綠色宣言，將使用更多可永續循環使用的材料，包含寶特瓶回收及海洋回收環保紗等；遠東新用環保機構</w:t>
      </w:r>
      <w:r w:rsidRPr="00C217B6">
        <w:rPr>
          <w:rFonts w:eastAsia="標楷體"/>
          <w:sz w:val="26"/>
          <w:szCs w:val="26"/>
        </w:rPr>
        <w:t>Parley</w:t>
      </w:r>
      <w:r w:rsidRPr="00C217B6">
        <w:rPr>
          <w:rFonts w:eastAsia="標楷體" w:hint="eastAsia"/>
          <w:sz w:val="26"/>
          <w:szCs w:val="26"/>
        </w:rPr>
        <w:t>認證過的海洋廢棄寶特瓶抽紗，</w:t>
      </w:r>
      <w:r w:rsidRPr="00C217B6">
        <w:rPr>
          <w:rFonts w:eastAsia="標楷體"/>
          <w:sz w:val="26"/>
          <w:szCs w:val="26"/>
        </w:rPr>
        <w:t>Adidas</w:t>
      </w:r>
      <w:r w:rsidRPr="00C217B6">
        <w:rPr>
          <w:rFonts w:eastAsia="標楷體" w:hint="eastAsia"/>
          <w:sz w:val="26"/>
          <w:szCs w:val="26"/>
        </w:rPr>
        <w:t>將其作成限量鞋，目前遠東新的環保紗產量一年</w:t>
      </w:r>
      <w:r w:rsidRPr="00C217B6">
        <w:rPr>
          <w:rFonts w:eastAsia="標楷體"/>
          <w:sz w:val="26"/>
          <w:szCs w:val="26"/>
        </w:rPr>
        <w:t>2</w:t>
      </w:r>
      <w:r w:rsidRPr="00C217B6">
        <w:rPr>
          <w:rFonts w:eastAsia="標楷體" w:hint="eastAsia"/>
          <w:sz w:val="26"/>
          <w:szCs w:val="26"/>
        </w:rPr>
        <w:t>萬</w:t>
      </w:r>
      <w:r w:rsidRPr="00C217B6">
        <w:rPr>
          <w:rFonts w:eastAsia="標楷體"/>
          <w:sz w:val="26"/>
          <w:szCs w:val="26"/>
        </w:rPr>
        <w:lastRenderedPageBreak/>
        <w:t>4000</w:t>
      </w:r>
      <w:r w:rsidRPr="00C217B6">
        <w:rPr>
          <w:rFonts w:eastAsia="標楷體" w:hint="eastAsia"/>
          <w:sz w:val="26"/>
          <w:szCs w:val="26"/>
        </w:rPr>
        <w:t>噸、佔總產量</w:t>
      </w:r>
      <w:r w:rsidRPr="00C217B6">
        <w:rPr>
          <w:rFonts w:eastAsia="標楷體"/>
          <w:sz w:val="26"/>
          <w:szCs w:val="26"/>
        </w:rPr>
        <w:t>20%</w:t>
      </w:r>
      <w:r w:rsidRPr="00C217B6">
        <w:rPr>
          <w:rFonts w:eastAsia="標楷體" w:hint="eastAsia"/>
          <w:sz w:val="26"/>
          <w:szCs w:val="26"/>
        </w:rPr>
        <w:t>，預期未來認證環保紗的出貨量將以每年</w:t>
      </w:r>
      <w:r w:rsidRPr="00C217B6">
        <w:rPr>
          <w:rFonts w:eastAsia="標楷體"/>
          <w:sz w:val="26"/>
          <w:szCs w:val="26"/>
        </w:rPr>
        <w:t>20%</w:t>
      </w:r>
      <w:r w:rsidRPr="00C217B6">
        <w:rPr>
          <w:rFonts w:eastAsia="標楷體" w:hint="eastAsia"/>
          <w:sz w:val="26"/>
          <w:szCs w:val="26"/>
        </w:rPr>
        <w:t>的幅度成長。</w:t>
      </w:r>
    </w:p>
    <w:p w:rsidR="004C5A82" w:rsidRPr="00C217B6" w:rsidRDefault="00596949" w:rsidP="00D82424">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C217B6">
        <w:rPr>
          <w:rFonts w:ascii="Times New Roman" w:eastAsia="標楷體" w:hint="eastAsia"/>
          <w:sz w:val="32"/>
        </w:rPr>
        <w:t>產業發展趨勢</w:t>
      </w:r>
    </w:p>
    <w:p w:rsidR="000D5F5F" w:rsidRPr="00C217B6" w:rsidRDefault="000D5F5F" w:rsidP="000D5F5F">
      <w:pPr>
        <w:spacing w:beforeLines="50" w:before="120" w:afterLines="50" w:after="120" w:line="360" w:lineRule="auto"/>
        <w:ind w:leftChars="200" w:left="480" w:firstLineChars="200" w:firstLine="520"/>
        <w:jc w:val="both"/>
        <w:rPr>
          <w:rFonts w:eastAsia="標楷體"/>
          <w:sz w:val="26"/>
          <w:szCs w:val="26"/>
        </w:rPr>
      </w:pPr>
      <w:r w:rsidRPr="00C217B6">
        <w:rPr>
          <w:rFonts w:eastAsia="標楷體" w:hint="eastAsia"/>
          <w:sz w:val="26"/>
          <w:szCs w:val="26"/>
        </w:rPr>
        <w:t>台灣因天然纖維不足，生產人造纖維比例高達</w:t>
      </w:r>
      <w:r w:rsidRPr="00C217B6">
        <w:rPr>
          <w:rFonts w:eastAsia="標楷體"/>
          <w:sz w:val="26"/>
          <w:szCs w:val="26"/>
        </w:rPr>
        <w:t>85%</w:t>
      </w:r>
      <w:r w:rsidRPr="00C217B6">
        <w:rPr>
          <w:rFonts w:eastAsia="標楷體" w:hint="eastAsia"/>
          <w:sz w:val="26"/>
          <w:szCs w:val="26"/>
        </w:rPr>
        <w:t>，國內纖維系列產品又以聚醯胺（尼龍）與聚酯產品為主。而尼龍粒除了可以製成尼龍絲與尼龍加工絲外，亦可用來生產汽車零件所需要的工程塑膠；聚酯粒運用範圍更廣，除了可以做為紡織用途，生產聚酯絲、聚酯棉與聚酯加工絲外，亦可用來生產瓶用聚酯粒、聚酯薄膜，瓶用聚酯粒主要用來製作寶特瓶，聚酯薄膜則可生產工業用、光電用與包裝用膜；尼龍絲的用途有衣料用布、皮包布、傘布、織帶、內裡、泳衣、內衣、滑雪裝、軍用背包等。因天然纖維已無明顯成長趨勢，而人造纖維因歐美地區的使用者消費習慣的改變，影響擴及到亞洲地區，改變了亞洲的消費習慣，故未來紡織業將以人造纖維產量增加為主。目前臺灣紡織業成為產業結構中最完整的生產體系，且臺灣紡織品是世界機能性紡織品消費市場主要原料供應來源之一。</w:t>
      </w:r>
    </w:p>
    <w:p w:rsidR="004C5A82" w:rsidRDefault="000D5F5F" w:rsidP="000D5F5F">
      <w:pPr>
        <w:spacing w:beforeLines="50" w:before="120" w:afterLines="50" w:after="120" w:line="360" w:lineRule="auto"/>
        <w:ind w:leftChars="200" w:left="480" w:firstLineChars="200" w:firstLine="520"/>
        <w:jc w:val="both"/>
        <w:rPr>
          <w:rFonts w:eastAsia="標楷體"/>
          <w:sz w:val="26"/>
          <w:szCs w:val="26"/>
        </w:rPr>
      </w:pPr>
      <w:r w:rsidRPr="00C217B6">
        <w:rPr>
          <w:rFonts w:eastAsia="標楷體"/>
          <w:sz w:val="26"/>
          <w:szCs w:val="26"/>
        </w:rPr>
        <w:t>2016</w:t>
      </w:r>
      <w:r w:rsidRPr="00C217B6">
        <w:rPr>
          <w:rFonts w:eastAsia="標楷體" w:hint="eastAsia"/>
          <w:sz w:val="26"/>
          <w:szCs w:val="26"/>
        </w:rPr>
        <w:t>年紡織供應鏈經歷了辛苦的一年，因暖冬的效應造成庫存過高，因此供應鏈呈現營收與獲利衰退的局面，但觀察</w:t>
      </w:r>
      <w:r w:rsidRPr="00C217B6">
        <w:rPr>
          <w:rFonts w:eastAsia="標楷體"/>
          <w:sz w:val="26"/>
          <w:szCs w:val="26"/>
        </w:rPr>
        <w:t>2016</w:t>
      </w:r>
      <w:r w:rsidRPr="00C217B6">
        <w:rPr>
          <w:rFonts w:eastAsia="標楷體" w:hint="eastAsia"/>
          <w:sz w:val="26"/>
          <w:szCs w:val="26"/>
        </w:rPr>
        <w:t>年底庫存水位已下降，估計</w:t>
      </w:r>
      <w:r w:rsidRPr="00C217B6">
        <w:rPr>
          <w:rFonts w:eastAsia="標楷體"/>
          <w:sz w:val="26"/>
          <w:szCs w:val="26"/>
        </w:rPr>
        <w:t>2017</w:t>
      </w:r>
      <w:r w:rsidRPr="00C217B6">
        <w:rPr>
          <w:rFonts w:eastAsia="標楷體" w:hint="eastAsia"/>
          <w:sz w:val="26"/>
          <w:szCs w:val="26"/>
        </w:rPr>
        <w:t>年終端庫存去化完成後，紡織供應鏈的的訂單將回溫。雖然</w:t>
      </w:r>
      <w:r w:rsidRPr="00C217B6">
        <w:rPr>
          <w:rFonts w:eastAsia="標楷體"/>
          <w:sz w:val="26"/>
          <w:szCs w:val="26"/>
        </w:rPr>
        <w:t>TPP</w:t>
      </w:r>
      <w:r w:rsidRPr="00C217B6">
        <w:rPr>
          <w:rFonts w:eastAsia="標楷體" w:hint="eastAsia"/>
          <w:sz w:val="26"/>
          <w:szCs w:val="26"/>
        </w:rPr>
        <w:t>協議對於越南成衣輸美可享有零關稅，因此紡織供應鏈考量關稅與人力成本，多積極布局越南市場，但隨著美國總統川普當選，川普並不支持</w:t>
      </w:r>
      <w:r w:rsidRPr="00C217B6">
        <w:rPr>
          <w:rFonts w:eastAsia="標楷體"/>
          <w:sz w:val="26"/>
          <w:szCs w:val="26"/>
        </w:rPr>
        <w:t>TPP</w:t>
      </w:r>
      <w:r w:rsidRPr="00C217B6">
        <w:rPr>
          <w:rFonts w:eastAsia="標楷體" w:hint="eastAsia"/>
          <w:sz w:val="26"/>
          <w:szCs w:val="26"/>
        </w:rPr>
        <w:t>，因此</w:t>
      </w:r>
      <w:r w:rsidRPr="00C217B6">
        <w:rPr>
          <w:rFonts w:eastAsia="標楷體"/>
          <w:sz w:val="26"/>
          <w:szCs w:val="26"/>
        </w:rPr>
        <w:t>TPP</w:t>
      </w:r>
      <w:r w:rsidRPr="00C217B6">
        <w:rPr>
          <w:rFonts w:eastAsia="標楷體" w:hint="eastAsia"/>
          <w:sz w:val="26"/>
          <w:szCs w:val="26"/>
        </w:rPr>
        <w:t>協議恐將面臨破局，因此推估客戶訂單以及供應鏈由中國轉移至越南的速度也將放慢，又加上中國人民幣貶值有利紡織業競爭，因此臺廠在越南有新投產或大宗貨的廠商將面臨嚴峻的競爭，但與品牌客戶長期穩定合作以及專攻利基產品的廠商則將</w:t>
      </w:r>
      <w:r w:rsidRPr="00C217B6">
        <w:rPr>
          <w:rFonts w:eastAsia="標楷體" w:hint="eastAsia"/>
          <w:sz w:val="26"/>
          <w:szCs w:val="26"/>
        </w:rPr>
        <w:lastRenderedPageBreak/>
        <w:t>有更不錯的表現，推估</w:t>
      </w:r>
      <w:r w:rsidRPr="00C217B6">
        <w:rPr>
          <w:rFonts w:eastAsia="標楷體"/>
          <w:sz w:val="26"/>
          <w:szCs w:val="26"/>
        </w:rPr>
        <w:t>2017</w:t>
      </w:r>
      <w:r w:rsidRPr="00C217B6">
        <w:rPr>
          <w:rFonts w:eastAsia="標楷體" w:hint="eastAsia"/>
          <w:sz w:val="26"/>
          <w:szCs w:val="26"/>
        </w:rPr>
        <w:t>年紡織類股將可迎接春燕的來臨。</w:t>
      </w:r>
    </w:p>
    <w:p w:rsidR="004C5A82" w:rsidRDefault="00AA0DD0" w:rsidP="00D82424">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主要競爭廠商</w:t>
      </w:r>
    </w:p>
    <w:p w:rsidR="004C5A82" w:rsidRDefault="001E7072" w:rsidP="00D82424">
      <w:pPr>
        <w:spacing w:beforeLines="50" w:before="120" w:afterLines="50" w:after="120" w:line="360" w:lineRule="auto"/>
        <w:ind w:leftChars="200" w:left="480" w:firstLineChars="200" w:firstLine="520"/>
        <w:jc w:val="both"/>
        <w:rPr>
          <w:rFonts w:eastAsia="標楷體"/>
          <w:sz w:val="26"/>
          <w:szCs w:val="26"/>
        </w:rPr>
      </w:pPr>
      <w:r w:rsidRPr="00E40652">
        <w:rPr>
          <w:rFonts w:eastAsia="標楷體"/>
          <w:sz w:val="26"/>
          <w:szCs w:val="26"/>
        </w:rPr>
        <w:t>瀚昌公司與</w:t>
      </w:r>
      <w:r w:rsidRPr="00E40652">
        <w:rPr>
          <w:rFonts w:eastAsia="標楷體"/>
          <w:sz w:val="26"/>
          <w:szCs w:val="26"/>
        </w:rPr>
        <w:t>PT</w:t>
      </w:r>
      <w:r w:rsidRPr="00E40652">
        <w:rPr>
          <w:rFonts w:eastAsia="標楷體"/>
          <w:sz w:val="26"/>
          <w:szCs w:val="26"/>
        </w:rPr>
        <w:t>兩者合作多年，關係良好，</w:t>
      </w:r>
      <w:r w:rsidRPr="00E40652">
        <w:rPr>
          <w:rFonts w:eastAsia="標楷體" w:hint="eastAsia"/>
          <w:sz w:val="26"/>
          <w:szCs w:val="26"/>
        </w:rPr>
        <w:t>為其台灣唯一供應商，但由於大陸紡織業者以低價策略搶奪市場，故其因此損失不少</w:t>
      </w:r>
      <w:r w:rsidRPr="00E40652">
        <w:rPr>
          <w:rFonts w:eastAsia="標楷體" w:hint="eastAsia"/>
          <w:sz w:val="26"/>
          <w:szCs w:val="26"/>
        </w:rPr>
        <w:t>PT</w:t>
      </w:r>
      <w:r w:rsidRPr="00E40652">
        <w:rPr>
          <w:rFonts w:eastAsia="標楷體" w:hint="eastAsia"/>
          <w:sz w:val="26"/>
          <w:szCs w:val="26"/>
        </w:rPr>
        <w:t>訂單</w:t>
      </w:r>
      <w:r w:rsidRPr="00E40652">
        <w:rPr>
          <w:rFonts w:eastAsia="標楷體"/>
          <w:sz w:val="26"/>
          <w:szCs w:val="26"/>
        </w:rPr>
        <w:t>。</w:t>
      </w:r>
    </w:p>
    <w:p w:rsidR="004C5A82" w:rsidRDefault="00AA0DD0" w:rsidP="00D82424">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競爭優勢</w:t>
      </w:r>
    </w:p>
    <w:p w:rsidR="004C5A82" w:rsidRDefault="001E7072" w:rsidP="00D82424">
      <w:pPr>
        <w:spacing w:beforeLines="50" w:before="120" w:afterLines="50" w:after="120" w:line="360" w:lineRule="auto"/>
        <w:ind w:leftChars="200" w:left="480" w:firstLineChars="200" w:firstLine="520"/>
        <w:jc w:val="both"/>
        <w:rPr>
          <w:rFonts w:eastAsia="標楷體"/>
          <w:sz w:val="26"/>
          <w:szCs w:val="26"/>
        </w:rPr>
      </w:pPr>
      <w:r w:rsidRPr="00A742BB">
        <w:rPr>
          <w:rFonts w:eastAsia="標楷體"/>
          <w:sz w:val="26"/>
          <w:szCs w:val="26"/>
        </w:rPr>
        <w:t>台灣布</w:t>
      </w:r>
      <w:r w:rsidRPr="00A742BB">
        <w:rPr>
          <w:rFonts w:eastAsia="標楷體" w:hint="eastAsia"/>
          <w:sz w:val="26"/>
          <w:szCs w:val="26"/>
        </w:rPr>
        <w:t>料供應商</w:t>
      </w:r>
      <w:r w:rsidRPr="00A742BB">
        <w:rPr>
          <w:rFonts w:eastAsia="標楷體"/>
          <w:sz w:val="26"/>
          <w:szCs w:val="26"/>
        </w:rPr>
        <w:t>能生產高技術層次（指吸濕、排汗等功能）</w:t>
      </w:r>
      <w:r w:rsidRPr="00A742BB">
        <w:rPr>
          <w:rFonts w:eastAsia="標楷體" w:hint="eastAsia"/>
          <w:sz w:val="26"/>
          <w:szCs w:val="26"/>
        </w:rPr>
        <w:t>之</w:t>
      </w:r>
      <w:r w:rsidRPr="00A742BB">
        <w:rPr>
          <w:rFonts w:eastAsia="標楷體"/>
          <w:sz w:val="26"/>
          <w:szCs w:val="26"/>
        </w:rPr>
        <w:t>布料</w:t>
      </w:r>
      <w:r w:rsidRPr="00A742BB">
        <w:rPr>
          <w:rFonts w:eastAsia="標楷體" w:hint="eastAsia"/>
          <w:sz w:val="26"/>
          <w:szCs w:val="26"/>
        </w:rPr>
        <w:t>，</w:t>
      </w:r>
      <w:r w:rsidRPr="00A742BB">
        <w:rPr>
          <w:rFonts w:eastAsia="標楷體"/>
          <w:sz w:val="26"/>
          <w:szCs w:val="26"/>
        </w:rPr>
        <w:t>研發能力強</w:t>
      </w:r>
      <w:r w:rsidRPr="00A742BB">
        <w:rPr>
          <w:rFonts w:eastAsia="標楷體" w:hint="eastAsia"/>
          <w:sz w:val="26"/>
          <w:szCs w:val="26"/>
        </w:rPr>
        <w:t>，並常能推陳出新，其所生產之布料及副件</w:t>
      </w:r>
      <w:r w:rsidRPr="00A742BB">
        <w:rPr>
          <w:rFonts w:eastAsia="標楷體"/>
          <w:sz w:val="26"/>
          <w:szCs w:val="26"/>
        </w:rPr>
        <w:t>機能性</w:t>
      </w:r>
      <w:r>
        <w:rPr>
          <w:rStyle w:val="af2"/>
          <w:rFonts w:eastAsia="標楷體"/>
          <w:sz w:val="26"/>
          <w:szCs w:val="26"/>
        </w:rPr>
        <w:footnoteReference w:id="5"/>
      </w:r>
      <w:r w:rsidRPr="00A742BB">
        <w:rPr>
          <w:rFonts w:eastAsia="標楷體" w:hint="eastAsia"/>
          <w:sz w:val="26"/>
          <w:szCs w:val="26"/>
        </w:rPr>
        <w:t>高，</w:t>
      </w:r>
      <w:r w:rsidRPr="00A742BB">
        <w:rPr>
          <w:rFonts w:eastAsia="標楷體"/>
          <w:sz w:val="26"/>
          <w:szCs w:val="26"/>
        </w:rPr>
        <w:t>品質穩定，較中國大陸及東南亞等國供應</w:t>
      </w:r>
      <w:r w:rsidRPr="00A742BB">
        <w:rPr>
          <w:rFonts w:eastAsia="標楷體" w:hint="eastAsia"/>
          <w:sz w:val="26"/>
          <w:szCs w:val="26"/>
        </w:rPr>
        <w:t>商產品為優。</w:t>
      </w:r>
    </w:p>
    <w:p w:rsidR="004C5A82" w:rsidRDefault="001E7072" w:rsidP="00D82424">
      <w:pPr>
        <w:spacing w:beforeLines="50" w:before="120" w:afterLines="50" w:after="120" w:line="360" w:lineRule="auto"/>
        <w:ind w:leftChars="200" w:left="480" w:firstLineChars="200" w:firstLine="520"/>
        <w:jc w:val="both"/>
        <w:rPr>
          <w:rFonts w:eastAsia="標楷體"/>
          <w:sz w:val="26"/>
          <w:szCs w:val="26"/>
        </w:rPr>
      </w:pPr>
      <w:r w:rsidRPr="00A742BB">
        <w:rPr>
          <w:rFonts w:eastAsia="標楷體"/>
          <w:sz w:val="26"/>
          <w:szCs w:val="26"/>
        </w:rPr>
        <w:t>瀚昌公司</w:t>
      </w:r>
      <w:r w:rsidRPr="00A742BB">
        <w:rPr>
          <w:rFonts w:eastAsia="標楷體" w:hint="eastAsia"/>
          <w:sz w:val="26"/>
          <w:szCs w:val="26"/>
        </w:rPr>
        <w:t>因</w:t>
      </w:r>
      <w:r w:rsidRPr="00A742BB">
        <w:rPr>
          <w:rFonts w:eastAsia="標楷體"/>
          <w:sz w:val="26"/>
          <w:szCs w:val="26"/>
        </w:rPr>
        <w:t>對</w:t>
      </w:r>
      <w:r>
        <w:rPr>
          <w:rFonts w:eastAsia="標楷體" w:hint="eastAsia"/>
          <w:sz w:val="26"/>
          <w:szCs w:val="26"/>
        </w:rPr>
        <w:t>台灣</w:t>
      </w:r>
      <w:r w:rsidRPr="00A742BB">
        <w:rPr>
          <w:rFonts w:eastAsia="標楷體"/>
          <w:sz w:val="26"/>
          <w:szCs w:val="26"/>
        </w:rPr>
        <w:t>布</w:t>
      </w:r>
      <w:r w:rsidRPr="00A742BB">
        <w:rPr>
          <w:rFonts w:eastAsia="標楷體" w:hint="eastAsia"/>
          <w:sz w:val="26"/>
          <w:szCs w:val="26"/>
        </w:rPr>
        <w:t>料供應商、布</w:t>
      </w:r>
      <w:r w:rsidRPr="00A742BB">
        <w:rPr>
          <w:rFonts w:eastAsia="標楷體"/>
          <w:sz w:val="26"/>
          <w:szCs w:val="26"/>
        </w:rPr>
        <w:t>廠及紡織廠非常熟悉</w:t>
      </w:r>
      <w:r w:rsidRPr="00A742BB">
        <w:rPr>
          <w:rFonts w:eastAsia="標楷體" w:hint="eastAsia"/>
          <w:sz w:val="26"/>
          <w:szCs w:val="26"/>
        </w:rPr>
        <w:t>，故為</w:t>
      </w:r>
      <w:r w:rsidRPr="00A742BB">
        <w:rPr>
          <w:rFonts w:eastAsia="標楷體"/>
          <w:sz w:val="26"/>
          <w:szCs w:val="26"/>
        </w:rPr>
        <w:t>PT</w:t>
      </w:r>
      <w:r w:rsidRPr="00A742BB">
        <w:rPr>
          <w:rFonts w:eastAsia="標楷體" w:hint="eastAsia"/>
          <w:sz w:val="26"/>
          <w:szCs w:val="26"/>
        </w:rPr>
        <w:t>深深仰仗。</w:t>
      </w:r>
    </w:p>
    <w:p w:rsidR="004C5A82" w:rsidRDefault="00AA0DD0" w:rsidP="00D82424">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競爭策略</w:t>
      </w:r>
    </w:p>
    <w:p w:rsidR="004C5A82" w:rsidRDefault="001E7072" w:rsidP="00D82424">
      <w:pPr>
        <w:spacing w:beforeLines="50" w:before="120" w:afterLines="50" w:after="120" w:line="360" w:lineRule="auto"/>
        <w:ind w:leftChars="200" w:left="480" w:firstLineChars="200" w:firstLine="520"/>
        <w:jc w:val="both"/>
        <w:rPr>
          <w:rFonts w:eastAsia="標楷體"/>
          <w:bCs/>
          <w:kern w:val="0"/>
          <w:sz w:val="26"/>
          <w:szCs w:val="26"/>
        </w:rPr>
      </w:pPr>
      <w:r w:rsidRPr="00A742BB">
        <w:rPr>
          <w:rFonts w:eastAsia="標楷體"/>
          <w:sz w:val="26"/>
          <w:szCs w:val="26"/>
        </w:rPr>
        <w:t>布</w:t>
      </w:r>
      <w:r w:rsidRPr="00A742BB">
        <w:rPr>
          <w:rFonts w:eastAsia="標楷體" w:hint="eastAsia"/>
          <w:sz w:val="26"/>
          <w:szCs w:val="26"/>
        </w:rPr>
        <w:t>料之</w:t>
      </w:r>
      <w:r w:rsidRPr="00A742BB">
        <w:rPr>
          <w:rFonts w:eastAsia="標楷體"/>
          <w:sz w:val="26"/>
          <w:szCs w:val="26"/>
        </w:rPr>
        <w:t>設計及材質日新月異，瀚昌</w:t>
      </w:r>
      <w:r>
        <w:rPr>
          <w:rFonts w:eastAsia="標楷體" w:hint="eastAsia"/>
          <w:sz w:val="26"/>
          <w:szCs w:val="26"/>
        </w:rPr>
        <w:t>公司</w:t>
      </w:r>
      <w:r w:rsidRPr="00A742BB">
        <w:rPr>
          <w:rFonts w:eastAsia="標楷體"/>
          <w:sz w:val="26"/>
          <w:szCs w:val="26"/>
        </w:rPr>
        <w:t>經常會</w:t>
      </w:r>
      <w:r w:rsidRPr="00A742BB">
        <w:rPr>
          <w:rFonts w:eastAsia="標楷體" w:hint="eastAsia"/>
          <w:sz w:val="26"/>
          <w:szCs w:val="26"/>
        </w:rPr>
        <w:t>告知</w:t>
      </w:r>
      <w:r w:rsidRPr="00A742BB">
        <w:rPr>
          <w:rFonts w:eastAsia="標楷體"/>
          <w:sz w:val="26"/>
          <w:szCs w:val="26"/>
        </w:rPr>
        <w:t>PT</w:t>
      </w:r>
      <w:r w:rsidRPr="00A742BB">
        <w:rPr>
          <w:rFonts w:eastAsia="標楷體"/>
          <w:sz w:val="26"/>
          <w:szCs w:val="26"/>
        </w:rPr>
        <w:t>新</w:t>
      </w:r>
      <w:r>
        <w:rPr>
          <w:rFonts w:eastAsia="標楷體" w:hint="eastAsia"/>
          <w:sz w:val="26"/>
          <w:szCs w:val="26"/>
        </w:rPr>
        <w:t>推</w:t>
      </w:r>
      <w:r w:rsidRPr="00A742BB">
        <w:rPr>
          <w:rFonts w:eastAsia="標楷體"/>
          <w:sz w:val="26"/>
          <w:szCs w:val="26"/>
        </w:rPr>
        <w:t>出布料之形態款式，並在</w:t>
      </w:r>
      <w:r w:rsidRPr="00A742BB">
        <w:rPr>
          <w:rFonts w:eastAsia="標楷體"/>
          <w:sz w:val="26"/>
          <w:szCs w:val="26"/>
        </w:rPr>
        <w:t>PT</w:t>
      </w:r>
      <w:r w:rsidRPr="00A742BB">
        <w:rPr>
          <w:rFonts w:eastAsia="標楷體"/>
          <w:sz w:val="26"/>
          <w:szCs w:val="26"/>
        </w:rPr>
        <w:t>下單後，</w:t>
      </w:r>
      <w:r w:rsidRPr="00A742BB">
        <w:rPr>
          <w:rFonts w:eastAsia="標楷體" w:hint="eastAsia"/>
          <w:sz w:val="26"/>
          <w:szCs w:val="26"/>
        </w:rPr>
        <w:t>提供</w:t>
      </w:r>
      <w:r w:rsidRPr="00A742BB">
        <w:rPr>
          <w:rFonts w:eastAsia="標楷體"/>
          <w:sz w:val="26"/>
          <w:szCs w:val="26"/>
        </w:rPr>
        <w:t>緊盯供應商，確認出貨品質及交付日期</w:t>
      </w:r>
      <w:r w:rsidRPr="00A742BB">
        <w:rPr>
          <w:rFonts w:eastAsia="標楷體" w:hint="eastAsia"/>
          <w:sz w:val="26"/>
          <w:szCs w:val="26"/>
        </w:rPr>
        <w:t>之優質服務</w:t>
      </w:r>
      <w:r w:rsidRPr="00A742BB">
        <w:rPr>
          <w:rFonts w:eastAsia="標楷體"/>
          <w:sz w:val="26"/>
          <w:szCs w:val="26"/>
        </w:rPr>
        <w:t>。</w:t>
      </w:r>
    </w:p>
    <w:p w:rsidR="00C07881" w:rsidRDefault="00C07881" w:rsidP="00C07881">
      <w:pPr>
        <w:autoSpaceDE w:val="0"/>
        <w:autoSpaceDN w:val="0"/>
        <w:adjustRightInd w:val="0"/>
        <w:spacing w:beforeLines="50" w:before="120" w:afterLines="50" w:after="120" w:line="360" w:lineRule="auto"/>
        <w:jc w:val="both"/>
        <w:rPr>
          <w:rFonts w:eastAsia="標楷體"/>
          <w:bCs/>
          <w:kern w:val="0"/>
          <w:sz w:val="26"/>
          <w:szCs w:val="26"/>
        </w:rPr>
      </w:pPr>
      <w:r>
        <w:rPr>
          <w:rFonts w:eastAsia="標楷體"/>
          <w:bCs/>
          <w:kern w:val="0"/>
          <w:sz w:val="26"/>
          <w:szCs w:val="26"/>
        </w:rPr>
        <w:br w:type="page"/>
      </w:r>
    </w:p>
    <w:p w:rsidR="004C5A82" w:rsidRDefault="004C5A82" w:rsidP="00C07881">
      <w:pPr>
        <w:autoSpaceDE w:val="0"/>
        <w:autoSpaceDN w:val="0"/>
        <w:adjustRightInd w:val="0"/>
        <w:spacing w:beforeLines="50" w:before="120" w:afterLines="50" w:after="120" w:line="360" w:lineRule="auto"/>
        <w:jc w:val="both"/>
        <w:rPr>
          <w:rFonts w:eastAsia="標楷體"/>
          <w:bCs/>
          <w:kern w:val="0"/>
          <w:sz w:val="26"/>
          <w:szCs w:val="26"/>
        </w:rPr>
      </w:pPr>
    </w:p>
    <w:p w:rsidR="00567251" w:rsidRPr="00EA272E" w:rsidRDefault="00567251" w:rsidP="00D82424">
      <w:pPr>
        <w:autoSpaceDE w:val="0"/>
        <w:autoSpaceDN w:val="0"/>
        <w:adjustRightInd w:val="0"/>
        <w:spacing w:beforeLines="50" w:before="120" w:afterLines="50" w:after="120" w:line="360" w:lineRule="auto"/>
        <w:ind w:firstLineChars="200" w:firstLine="520"/>
        <w:jc w:val="both"/>
        <w:rPr>
          <w:rFonts w:eastAsia="標楷體"/>
          <w:bCs/>
          <w:kern w:val="0"/>
          <w:sz w:val="26"/>
          <w:szCs w:val="26"/>
        </w:rPr>
        <w:sectPr w:rsidR="00567251" w:rsidRPr="00EA272E" w:rsidSect="00A439EA">
          <w:headerReference w:type="even" r:id="rId25"/>
          <w:headerReference w:type="default" r:id="rId26"/>
          <w:headerReference w:type="first" r:id="rId27"/>
          <w:pgSz w:w="11906" w:h="16838" w:code="9"/>
          <w:pgMar w:top="2160" w:right="1440" w:bottom="1814" w:left="1440" w:header="851" w:footer="567" w:gutter="567"/>
          <w:cols w:space="425"/>
          <w:docGrid w:linePitch="360"/>
        </w:sectPr>
      </w:pPr>
    </w:p>
    <w:p w:rsidR="007821E9" w:rsidRPr="00EA272E" w:rsidRDefault="00747D45" w:rsidP="00747D45">
      <w:pPr>
        <w:pStyle w:val="1"/>
        <w:numPr>
          <w:ilvl w:val="0"/>
          <w:numId w:val="0"/>
        </w:numPr>
        <w:tabs>
          <w:tab w:val="left" w:pos="215"/>
          <w:tab w:val="right" w:pos="8459"/>
        </w:tabs>
        <w:spacing w:before="0" w:after="0" w:line="240" w:lineRule="auto"/>
        <w:rPr>
          <w:rFonts w:ascii="Times New Roman" w:eastAsia="標楷體" w:hAnsi="Times New Roman"/>
          <w:sz w:val="56"/>
          <w:szCs w:val="56"/>
        </w:rPr>
      </w:pPr>
      <w:bookmarkStart w:id="56" w:name="_Toc253154509"/>
      <w:bookmarkStart w:id="57" w:name="_Toc253154577"/>
      <w:bookmarkStart w:id="58" w:name="_Toc272326008"/>
      <w:bookmarkStart w:id="59" w:name="_Toc272326636"/>
      <w:bookmarkStart w:id="60" w:name="_Toc272326815"/>
      <w:bookmarkStart w:id="61" w:name="_Toc275960648"/>
      <w:r>
        <w:rPr>
          <w:rFonts w:ascii="Times New Roman" w:eastAsia="標楷體" w:hAnsi="Times New Roman"/>
          <w:sz w:val="56"/>
          <w:szCs w:val="56"/>
        </w:rPr>
        <w:lastRenderedPageBreak/>
        <w:tab/>
      </w:r>
      <w:r>
        <w:rPr>
          <w:rFonts w:ascii="Times New Roman" w:eastAsia="標楷體" w:hAnsi="Times New Roman"/>
          <w:sz w:val="56"/>
          <w:szCs w:val="56"/>
        </w:rPr>
        <w:tab/>
      </w:r>
      <w:bookmarkStart w:id="62" w:name="_Toc449536297"/>
      <w:r w:rsidR="00A63CF7">
        <w:rPr>
          <w:rFonts w:ascii="Times New Roman" w:eastAsia="標楷體" w:hAnsi="Times New Roman"/>
          <w:noProof/>
          <w:sz w:val="56"/>
          <w:szCs w:val="56"/>
        </w:rPr>
        <mc:AlternateContent>
          <mc:Choice Requires="wps">
            <w:drawing>
              <wp:anchor distT="0" distB="0" distL="114300" distR="114300" simplePos="0" relativeHeight="251654656" behindDoc="0" locked="0" layoutInCell="1" allowOverlap="1">
                <wp:simplePos x="0" y="0"/>
                <wp:positionH relativeFrom="column">
                  <wp:posOffset>4665980</wp:posOffset>
                </wp:positionH>
                <wp:positionV relativeFrom="paragraph">
                  <wp:posOffset>0</wp:posOffset>
                </wp:positionV>
                <wp:extent cx="720090" cy="720090"/>
                <wp:effectExtent l="6350" t="9525" r="6985" b="13335"/>
                <wp:wrapNone/>
                <wp:docPr id="2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FB01FC" w:rsidRDefault="00630BD8" w:rsidP="00105A31">
                            <w:pPr>
                              <w:jc w:val="center"/>
                              <w:rPr>
                                <w:sz w:val="52"/>
                                <w:szCs w:val="52"/>
                              </w:rPr>
                            </w:pPr>
                            <w:r w:rsidRPr="00FB01FC">
                              <w:rPr>
                                <w:rFonts w:ascii="微軟正黑體" w:eastAsia="微軟正黑體" w:hAnsi="微軟正黑體"/>
                                <w:b/>
                                <w:sz w:val="52"/>
                                <w:szCs w:val="52"/>
                              </w:rPr>
                              <w:fldChar w:fldCharType="begin"/>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hint="eastAsia"/>
                                <w:b/>
                                <w:sz w:val="52"/>
                                <w:szCs w:val="52"/>
                              </w:rPr>
                              <w:instrText>= 3 \* ROMAN</w:instrText>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b/>
                                <w:sz w:val="52"/>
                                <w:szCs w:val="52"/>
                              </w:rPr>
                              <w:fldChar w:fldCharType="separate"/>
                            </w:r>
                            <w:r w:rsidRPr="00FB01FC">
                              <w:rPr>
                                <w:rFonts w:ascii="微軟正黑體" w:eastAsia="微軟正黑體" w:hAnsi="微軟正黑體"/>
                                <w:b/>
                                <w:noProof/>
                                <w:sz w:val="52"/>
                                <w:szCs w:val="52"/>
                              </w:rPr>
                              <w:t>III</w:t>
                            </w:r>
                            <w:r w:rsidRPr="00FB01FC">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4" type="#_x0000_t202" style="position:absolute;margin-left:367.4pt;margin-top:0;width:56.7pt;height:5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">
                <v:textbox>
                  <w:txbxContent>
                    <w:p w:rsidR="00630BD8" w:rsidRPr="00FB01FC" w:rsidRDefault="00630BD8" w:rsidP="00105A31">
                      <w:pPr>
                        <w:jc w:val="center"/>
                        <w:rPr>
                          <w:sz w:val="52"/>
                          <w:szCs w:val="52"/>
                        </w:rPr>
                      </w:pPr>
                      <w:r w:rsidRPr="00FB01FC">
                        <w:rPr>
                          <w:rFonts w:ascii="微軟正黑體" w:eastAsia="微軟正黑體" w:hAnsi="微軟正黑體"/>
                          <w:b/>
                          <w:sz w:val="52"/>
                          <w:szCs w:val="52"/>
                        </w:rPr>
                        <w:fldChar w:fldCharType="begin"/>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hint="eastAsia"/>
                          <w:b/>
                          <w:sz w:val="52"/>
                          <w:szCs w:val="52"/>
                        </w:rPr>
                        <w:instrText>= 3 \* ROMAN</w:instrText>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b/>
                          <w:sz w:val="52"/>
                          <w:szCs w:val="52"/>
                        </w:rPr>
                        <w:fldChar w:fldCharType="separate"/>
                      </w:r>
                      <w:r w:rsidRPr="00FB01FC">
                        <w:rPr>
                          <w:rFonts w:ascii="微軟正黑體" w:eastAsia="微軟正黑體" w:hAnsi="微軟正黑體"/>
                          <w:b/>
                          <w:noProof/>
                          <w:sz w:val="52"/>
                          <w:szCs w:val="52"/>
                        </w:rPr>
                        <w:t>III</w:t>
                      </w:r>
                      <w:r w:rsidRPr="00FB01FC">
                        <w:rPr>
                          <w:rFonts w:ascii="微軟正黑體" w:eastAsia="微軟正黑體" w:hAnsi="微軟正黑體"/>
                          <w:b/>
                          <w:sz w:val="52"/>
                          <w:szCs w:val="52"/>
                        </w:rPr>
                        <w:fldChar w:fldCharType="end"/>
                      </w:r>
                    </w:p>
                  </w:txbxContent>
                </v:textbox>
              </v:shape>
            </w:pict>
          </mc:Fallback>
        </mc:AlternateContent>
      </w:r>
      <w:bookmarkEnd w:id="56"/>
      <w:bookmarkEnd w:id="57"/>
      <w:bookmarkEnd w:id="58"/>
      <w:bookmarkEnd w:id="59"/>
      <w:bookmarkEnd w:id="60"/>
      <w:bookmarkEnd w:id="61"/>
      <w:bookmarkEnd w:id="62"/>
    </w:p>
    <w:p w:rsidR="007821E9" w:rsidRPr="00EA272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0E26E4" w:rsidRDefault="00567251"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63" w:name="_Toc449536298"/>
      <w:r w:rsidRPr="000E26E4">
        <w:rPr>
          <w:rFonts w:ascii="Times New Roman" w:eastAsia="標楷體" w:hAnsi="Times New Roman"/>
          <w:sz w:val="44"/>
          <w:szCs w:val="46"/>
        </w:rPr>
        <w:t>受控交易</w:t>
      </w:r>
      <w:r w:rsidR="0087751B" w:rsidRPr="000E26E4">
        <w:rPr>
          <w:rFonts w:ascii="Times New Roman" w:eastAsia="標楷體" w:hAnsi="Times New Roman" w:hint="eastAsia"/>
          <w:sz w:val="44"/>
          <w:szCs w:val="46"/>
        </w:rPr>
        <w:t>說明</w:t>
      </w:r>
      <w:bookmarkEnd w:id="63"/>
    </w:p>
    <w:p w:rsidR="004C5A82" w:rsidRDefault="00AA0DD0" w:rsidP="00D82424">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受控交易</w:t>
      </w:r>
      <w:r w:rsidR="0048600C" w:rsidRPr="00EA272E">
        <w:rPr>
          <w:rFonts w:ascii="Times New Roman" w:eastAsia="標楷體" w:hAnsi="Times New Roman" w:hint="eastAsia"/>
          <w:sz w:val="36"/>
          <w:szCs w:val="40"/>
        </w:rPr>
        <w:t>類型</w:t>
      </w:r>
    </w:p>
    <w:p w:rsidR="004C5A82" w:rsidRDefault="00567251"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依據移轉</w:t>
      </w:r>
      <w:r w:rsidRPr="00EA272E">
        <w:rPr>
          <w:rFonts w:eastAsia="標楷體"/>
          <w:bCs/>
          <w:iCs/>
          <w:sz w:val="26"/>
          <w:szCs w:val="26"/>
        </w:rPr>
        <w:t>訂價</w:t>
      </w:r>
      <w:r w:rsidRPr="00EA272E">
        <w:rPr>
          <w:rFonts w:eastAsia="標楷體"/>
          <w:sz w:val="26"/>
          <w:szCs w:val="26"/>
        </w:rPr>
        <w:t>查核準則第</w:t>
      </w:r>
      <w:r w:rsidRPr="00EA272E">
        <w:rPr>
          <w:rFonts w:eastAsia="標楷體"/>
          <w:sz w:val="26"/>
          <w:szCs w:val="26"/>
        </w:rPr>
        <w:t>5</w:t>
      </w:r>
      <w:r w:rsidRPr="00EA272E">
        <w:rPr>
          <w:rFonts w:eastAsia="標楷體"/>
          <w:sz w:val="26"/>
          <w:szCs w:val="26"/>
        </w:rPr>
        <w:t>條，適用本準則之交易類型如下：</w:t>
      </w:r>
    </w:p>
    <w:p w:rsidR="004C5A82" w:rsidRDefault="00D92058" w:rsidP="00D82424">
      <w:pPr>
        <w:spacing w:beforeLines="50" w:before="120" w:afterLines="50" w:after="120" w:line="360" w:lineRule="auto"/>
        <w:jc w:val="both"/>
        <w:rPr>
          <w:rFonts w:eastAsia="標楷體"/>
          <w:sz w:val="26"/>
          <w:szCs w:val="26"/>
        </w:rPr>
      </w:pPr>
      <w:r>
        <w:rPr>
          <w:rFonts w:eastAsia="標楷體" w:hint="eastAsia"/>
          <w:sz w:val="26"/>
          <w:szCs w:val="26"/>
        </w:rPr>
        <w:t>『</w:t>
      </w:r>
      <w:r w:rsidR="00567251" w:rsidRPr="00EA272E">
        <w:rPr>
          <w:rFonts w:eastAsia="標楷體"/>
          <w:sz w:val="26"/>
          <w:szCs w:val="26"/>
        </w:rPr>
        <w:t>一、有形資產之移轉，包括買賣、交換、贈與或其他安排。</w:t>
      </w:r>
    </w:p>
    <w:p w:rsidR="004C5A82" w:rsidRDefault="00567251" w:rsidP="00D82424">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二、有形資產之使用，包括租賃、設定權利、提供他人持有、使用或占有，或其他安排。</w:t>
      </w:r>
    </w:p>
    <w:p w:rsidR="004C5A82" w:rsidRDefault="00567251" w:rsidP="00D82424">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三、無形資產之移轉，包括買賣、交換、贈與或其他安排。</w:t>
      </w:r>
    </w:p>
    <w:p w:rsidR="004C5A82" w:rsidRDefault="00567251" w:rsidP="00D82424">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四、無形資產之使用，包括授權、再授權、提供他人使用或其他安排。</w:t>
      </w:r>
    </w:p>
    <w:p w:rsidR="004C5A82" w:rsidRDefault="00567251" w:rsidP="00D82424">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五、服務之提供，包括行銷、管理、行政、技術、人事、研究與發展、資訊處理、法律、會計或其他服務。</w:t>
      </w:r>
    </w:p>
    <w:p w:rsidR="004C5A82" w:rsidRDefault="00567251" w:rsidP="00D82424">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六、資金之使用，包括資金借貸、預付款、暫付款、擔保、延期收款或其他安排。</w:t>
      </w:r>
    </w:p>
    <w:p w:rsidR="004C5A82" w:rsidRDefault="00567251" w:rsidP="00D82424">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七、其他經財政部核定之交易類型。</w:t>
      </w:r>
      <w:r w:rsidR="00D92058">
        <w:rPr>
          <w:rFonts w:eastAsia="標楷體" w:hint="eastAsia"/>
          <w:sz w:val="26"/>
          <w:szCs w:val="26"/>
        </w:rPr>
        <w:t>』</w:t>
      </w:r>
    </w:p>
    <w:p w:rsidR="004C5A82" w:rsidRDefault="004C5A82" w:rsidP="00D82424">
      <w:pPr>
        <w:tabs>
          <w:tab w:val="left" w:pos="840"/>
        </w:tabs>
        <w:spacing w:beforeLines="50" w:before="120" w:afterLines="50" w:after="120" w:line="360" w:lineRule="auto"/>
        <w:ind w:leftChars="110" w:left="823" w:hangingChars="215" w:hanging="559"/>
        <w:jc w:val="both"/>
        <w:rPr>
          <w:rFonts w:eastAsia="標楷體"/>
          <w:sz w:val="26"/>
          <w:szCs w:val="26"/>
        </w:rPr>
      </w:pPr>
    </w:p>
    <w:p w:rsidR="004C5A82" w:rsidRDefault="004C5A82" w:rsidP="00D82424">
      <w:pPr>
        <w:tabs>
          <w:tab w:val="left" w:pos="840"/>
        </w:tabs>
        <w:spacing w:beforeLines="50" w:before="120" w:afterLines="50" w:after="120" w:line="360" w:lineRule="auto"/>
        <w:ind w:leftChars="110" w:left="823" w:hangingChars="215" w:hanging="559"/>
        <w:jc w:val="both"/>
        <w:rPr>
          <w:rFonts w:eastAsia="標楷體"/>
          <w:sz w:val="26"/>
          <w:szCs w:val="26"/>
        </w:rPr>
      </w:pPr>
    </w:p>
    <w:p w:rsidR="004C5A82" w:rsidRDefault="0048600C" w:rsidP="00D82424">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F54DFB">
        <w:rPr>
          <w:rFonts w:ascii="Times New Roman" w:eastAsia="標楷體" w:hAnsi="Times New Roman" w:hint="eastAsia"/>
          <w:sz w:val="36"/>
          <w:szCs w:val="40"/>
        </w:rPr>
        <w:lastRenderedPageBreak/>
        <w:t>受控交易</w:t>
      </w:r>
      <w:r w:rsidR="00AA0DD0" w:rsidRPr="00F54DFB">
        <w:rPr>
          <w:rFonts w:ascii="Times New Roman" w:eastAsia="標楷體" w:hAnsi="Times New Roman" w:hint="eastAsia"/>
          <w:sz w:val="36"/>
          <w:szCs w:val="40"/>
        </w:rPr>
        <w:t>敍述</w:t>
      </w:r>
    </w:p>
    <w:p w:rsidR="004C5A82" w:rsidRDefault="00567251" w:rsidP="00D82424">
      <w:pPr>
        <w:pStyle w:val="3"/>
        <w:numPr>
          <w:ilvl w:val="0"/>
          <w:numId w:val="7"/>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w:t>
      </w:r>
    </w:p>
    <w:tbl>
      <w:tblPr>
        <w:tblW w:w="4938"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92"/>
        <w:gridCol w:w="1599"/>
        <w:gridCol w:w="1431"/>
        <w:gridCol w:w="1311"/>
        <w:gridCol w:w="2748"/>
        <w:gridCol w:w="886"/>
      </w:tblGrid>
      <w:tr w:rsidR="000D4180" w:rsidRPr="00EA272E">
        <w:tc>
          <w:tcPr>
            <w:tcW w:w="346" w:type="pct"/>
            <w:vMerge w:val="restart"/>
            <w:shd w:val="clear" w:color="auto" w:fill="4F81BD"/>
            <w:vAlign w:val="center"/>
          </w:tcPr>
          <w:p w:rsidR="000D4180" w:rsidRPr="00FF279F" w:rsidRDefault="000D4180" w:rsidP="00403BF7">
            <w:pPr>
              <w:spacing w:line="0" w:lineRule="atLeast"/>
              <w:ind w:right="-57"/>
              <w:jc w:val="center"/>
              <w:rPr>
                <w:rFonts w:eastAsia="標楷體"/>
                <w:bCs/>
                <w:color w:val="FFFFFF"/>
                <w:sz w:val="26"/>
              </w:rPr>
            </w:pPr>
            <w:r w:rsidRPr="00FF279F">
              <w:rPr>
                <w:rFonts w:eastAsia="標楷體" w:hint="eastAsia"/>
                <w:bCs/>
                <w:color w:val="FFFFFF"/>
                <w:sz w:val="26"/>
              </w:rPr>
              <w:t>編號</w:t>
            </w:r>
          </w:p>
        </w:tc>
        <w:tc>
          <w:tcPr>
            <w:tcW w:w="933" w:type="pct"/>
            <w:vMerge w:val="restart"/>
            <w:shd w:val="clear" w:color="auto" w:fill="4F81BD"/>
            <w:vAlign w:val="center"/>
          </w:tcPr>
          <w:p w:rsidR="000D4180" w:rsidRPr="00FF279F" w:rsidRDefault="000D4180" w:rsidP="00403BF7">
            <w:pPr>
              <w:spacing w:line="0" w:lineRule="atLeast"/>
              <w:ind w:right="-57"/>
              <w:jc w:val="center"/>
              <w:rPr>
                <w:rFonts w:eastAsia="標楷體"/>
                <w:bCs/>
                <w:color w:val="FFFFFF"/>
                <w:sz w:val="26"/>
              </w:rPr>
            </w:pPr>
            <w:r w:rsidRPr="00FF279F">
              <w:rPr>
                <w:rFonts w:eastAsia="標楷體"/>
                <w:bCs/>
                <w:color w:val="FFFFFF"/>
                <w:sz w:val="26"/>
              </w:rPr>
              <w:t>關係企業</w:t>
            </w:r>
            <w:r w:rsidRPr="00FF279F">
              <w:rPr>
                <w:rFonts w:eastAsia="標楷體" w:hint="eastAsia"/>
                <w:bCs/>
                <w:color w:val="FFFFFF"/>
                <w:sz w:val="26"/>
              </w:rPr>
              <w:t>/</w:t>
            </w:r>
            <w:r w:rsidRPr="00FF279F">
              <w:rPr>
                <w:rFonts w:eastAsia="標楷體" w:hint="eastAsia"/>
                <w:bCs/>
                <w:color w:val="FFFFFF"/>
                <w:sz w:val="26"/>
              </w:rPr>
              <w:t>人</w:t>
            </w:r>
          </w:p>
        </w:tc>
        <w:tc>
          <w:tcPr>
            <w:tcW w:w="835" w:type="pct"/>
            <w:vMerge w:val="restart"/>
            <w:shd w:val="clear" w:color="auto" w:fill="4F81BD"/>
            <w:vAlign w:val="center"/>
          </w:tcPr>
          <w:p w:rsidR="000D4180" w:rsidRPr="00FF279F" w:rsidRDefault="000D4180" w:rsidP="00403BF7">
            <w:pPr>
              <w:spacing w:line="0" w:lineRule="atLeast"/>
              <w:ind w:right="-57"/>
              <w:jc w:val="center"/>
              <w:rPr>
                <w:rFonts w:eastAsia="標楷體"/>
                <w:bCs/>
                <w:color w:val="FFFFFF"/>
                <w:sz w:val="26"/>
              </w:rPr>
            </w:pPr>
            <w:r w:rsidRPr="00FF279F">
              <w:rPr>
                <w:rFonts w:eastAsia="標楷體" w:hint="eastAsia"/>
                <w:bCs/>
                <w:color w:val="FFFFFF"/>
                <w:sz w:val="26"/>
              </w:rPr>
              <w:t>國籍及</w:t>
            </w:r>
          </w:p>
          <w:p w:rsidR="000D4180" w:rsidRPr="00FF279F" w:rsidRDefault="000D4180" w:rsidP="00403BF7">
            <w:pPr>
              <w:spacing w:line="0" w:lineRule="atLeast"/>
              <w:ind w:right="-57"/>
              <w:jc w:val="center"/>
              <w:rPr>
                <w:rFonts w:eastAsia="標楷體"/>
                <w:bCs/>
                <w:color w:val="FFFFFF"/>
                <w:sz w:val="26"/>
              </w:rPr>
            </w:pPr>
            <w:r w:rsidRPr="00FF279F">
              <w:rPr>
                <w:rFonts w:eastAsia="標楷體" w:hint="eastAsia"/>
                <w:bCs/>
                <w:color w:val="FFFFFF"/>
                <w:sz w:val="26"/>
              </w:rPr>
              <w:t>所在地區</w:t>
            </w:r>
          </w:p>
        </w:tc>
        <w:tc>
          <w:tcPr>
            <w:tcW w:w="765" w:type="pct"/>
            <w:vMerge w:val="restart"/>
            <w:shd w:val="clear" w:color="auto" w:fill="4F81BD"/>
            <w:vAlign w:val="center"/>
          </w:tcPr>
          <w:p w:rsidR="000D4180" w:rsidRPr="00FF279F" w:rsidRDefault="000D4180" w:rsidP="00FF279F">
            <w:pPr>
              <w:spacing w:line="0" w:lineRule="atLeast"/>
              <w:ind w:left="-288" w:right="-57" w:firstLineChars="69" w:firstLine="179"/>
              <w:jc w:val="center"/>
              <w:rPr>
                <w:rFonts w:eastAsia="標楷體"/>
                <w:bCs/>
                <w:color w:val="FFFFFF"/>
                <w:sz w:val="26"/>
              </w:rPr>
            </w:pPr>
            <w:r w:rsidRPr="00FF279F">
              <w:rPr>
                <w:rFonts w:eastAsia="標楷體" w:hint="eastAsia"/>
                <w:bCs/>
                <w:color w:val="FFFFFF"/>
                <w:sz w:val="26"/>
              </w:rPr>
              <w:t>簡稱</w:t>
            </w:r>
          </w:p>
        </w:tc>
        <w:tc>
          <w:tcPr>
            <w:tcW w:w="2121" w:type="pct"/>
            <w:gridSpan w:val="2"/>
            <w:shd w:val="clear" w:color="auto" w:fill="4F81BD"/>
          </w:tcPr>
          <w:p w:rsidR="000D4180" w:rsidRPr="00FF279F" w:rsidRDefault="000D4180" w:rsidP="00403BF7">
            <w:pPr>
              <w:spacing w:line="0" w:lineRule="atLeast"/>
              <w:ind w:right="-57"/>
              <w:jc w:val="center"/>
              <w:rPr>
                <w:rFonts w:eastAsia="標楷體"/>
                <w:bCs/>
                <w:color w:val="FFFFFF"/>
                <w:sz w:val="26"/>
              </w:rPr>
            </w:pPr>
            <w:r w:rsidRPr="00FF279F">
              <w:rPr>
                <w:rFonts w:eastAsia="標楷體" w:hint="eastAsia"/>
                <w:bCs/>
                <w:color w:val="FFFFFF"/>
                <w:sz w:val="26"/>
              </w:rPr>
              <w:t>從屬與控制關係之認定</w:t>
            </w:r>
          </w:p>
        </w:tc>
      </w:tr>
      <w:tr w:rsidR="000D4180" w:rsidRPr="00EA272E">
        <w:tc>
          <w:tcPr>
            <w:tcW w:w="346" w:type="pct"/>
            <w:vMerge/>
            <w:vAlign w:val="center"/>
          </w:tcPr>
          <w:p w:rsidR="000D4180" w:rsidRPr="00FF279F" w:rsidRDefault="000D4180" w:rsidP="00FF279F">
            <w:pPr>
              <w:spacing w:line="0" w:lineRule="atLeast"/>
              <w:ind w:left="-288" w:right="128" w:firstLineChars="69" w:firstLine="179"/>
              <w:jc w:val="center"/>
              <w:rPr>
                <w:rFonts w:eastAsia="標楷體"/>
                <w:bCs/>
                <w:sz w:val="26"/>
              </w:rPr>
            </w:pPr>
          </w:p>
        </w:tc>
        <w:tc>
          <w:tcPr>
            <w:tcW w:w="933" w:type="pct"/>
            <w:vMerge/>
          </w:tcPr>
          <w:p w:rsidR="000D4180" w:rsidRPr="00FF279F" w:rsidRDefault="000D4180" w:rsidP="00FF279F">
            <w:pPr>
              <w:spacing w:line="0" w:lineRule="atLeast"/>
              <w:ind w:left="-288" w:right="128" w:firstLineChars="69" w:firstLine="179"/>
              <w:jc w:val="center"/>
              <w:rPr>
                <w:rFonts w:eastAsia="標楷體"/>
                <w:bCs/>
                <w:sz w:val="26"/>
              </w:rPr>
            </w:pPr>
          </w:p>
        </w:tc>
        <w:tc>
          <w:tcPr>
            <w:tcW w:w="835" w:type="pct"/>
            <w:vMerge/>
          </w:tcPr>
          <w:p w:rsidR="000D4180" w:rsidRPr="00FF279F" w:rsidRDefault="000D4180" w:rsidP="00FF279F">
            <w:pPr>
              <w:spacing w:line="0" w:lineRule="atLeast"/>
              <w:ind w:left="-288" w:right="128" w:firstLineChars="69" w:firstLine="179"/>
              <w:jc w:val="center"/>
              <w:rPr>
                <w:rFonts w:eastAsia="標楷體"/>
                <w:sz w:val="26"/>
              </w:rPr>
            </w:pPr>
          </w:p>
        </w:tc>
        <w:tc>
          <w:tcPr>
            <w:tcW w:w="765" w:type="pct"/>
            <w:vMerge/>
          </w:tcPr>
          <w:p w:rsidR="000D4180" w:rsidRPr="00FF279F" w:rsidRDefault="000D4180" w:rsidP="00FF279F">
            <w:pPr>
              <w:spacing w:line="0" w:lineRule="atLeast"/>
              <w:ind w:left="-288" w:right="128" w:firstLineChars="69" w:firstLine="179"/>
              <w:jc w:val="center"/>
              <w:rPr>
                <w:rFonts w:eastAsia="標楷體"/>
                <w:sz w:val="26"/>
              </w:rPr>
            </w:pPr>
          </w:p>
        </w:tc>
        <w:tc>
          <w:tcPr>
            <w:tcW w:w="1604" w:type="pct"/>
            <w:shd w:val="clear" w:color="auto" w:fill="4F81BD"/>
          </w:tcPr>
          <w:p w:rsidR="000D4180" w:rsidRPr="00FF279F" w:rsidRDefault="000D4180" w:rsidP="00403BF7">
            <w:pPr>
              <w:spacing w:line="0" w:lineRule="atLeast"/>
              <w:ind w:right="-57"/>
              <w:jc w:val="center"/>
              <w:rPr>
                <w:rFonts w:eastAsia="標楷體"/>
                <w:bCs/>
                <w:color w:val="FFFFFF"/>
                <w:sz w:val="26"/>
              </w:rPr>
            </w:pPr>
            <w:r w:rsidRPr="00FF279F">
              <w:rPr>
                <w:rFonts w:eastAsia="標楷體" w:hint="eastAsia"/>
                <w:bCs/>
                <w:color w:val="FFFFFF"/>
                <w:sz w:val="26"/>
              </w:rPr>
              <w:t>關係說明</w:t>
            </w:r>
          </w:p>
        </w:tc>
        <w:tc>
          <w:tcPr>
            <w:tcW w:w="517" w:type="pct"/>
            <w:shd w:val="clear" w:color="auto" w:fill="4F81BD"/>
          </w:tcPr>
          <w:p w:rsidR="000D4180" w:rsidRPr="00FF279F" w:rsidRDefault="000D4180" w:rsidP="00403BF7">
            <w:pPr>
              <w:spacing w:line="0" w:lineRule="atLeast"/>
              <w:ind w:right="-57"/>
              <w:jc w:val="center"/>
              <w:rPr>
                <w:rFonts w:eastAsia="標楷體"/>
                <w:bCs/>
                <w:color w:val="FFFFFF"/>
                <w:sz w:val="26"/>
              </w:rPr>
            </w:pPr>
            <w:r w:rsidRPr="00FF279F">
              <w:rPr>
                <w:rFonts w:eastAsia="標楷體"/>
                <w:bCs/>
                <w:color w:val="FFFFFF"/>
                <w:sz w:val="26"/>
              </w:rPr>
              <w:t>代號</w:t>
            </w:r>
            <w:r w:rsidRPr="00FF279F">
              <w:rPr>
                <w:rFonts w:eastAsia="標楷體"/>
                <w:bCs/>
                <w:color w:val="FFFFFF"/>
                <w:sz w:val="26"/>
                <w:vertAlign w:val="superscript"/>
              </w:rPr>
              <w:footnoteReference w:id="6"/>
            </w:r>
          </w:p>
        </w:tc>
      </w:tr>
      <w:tr w:rsidR="000D4180" w:rsidRPr="00EA272E">
        <w:trPr>
          <w:trHeight w:val="400"/>
        </w:trPr>
        <w:tc>
          <w:tcPr>
            <w:tcW w:w="346" w:type="pct"/>
            <w:vAlign w:val="center"/>
          </w:tcPr>
          <w:p w:rsidR="000D4180" w:rsidRPr="00D449E1" w:rsidRDefault="000D4180" w:rsidP="00403BF7">
            <w:pPr>
              <w:spacing w:line="0" w:lineRule="atLeast"/>
              <w:jc w:val="center"/>
              <w:rPr>
                <w:rFonts w:eastAsia="標楷體"/>
                <w:bCs/>
                <w:sz w:val="26"/>
                <w:szCs w:val="26"/>
              </w:rPr>
            </w:pPr>
            <w:r w:rsidRPr="00D449E1">
              <w:rPr>
                <w:rFonts w:eastAsia="標楷體" w:hint="eastAsia"/>
                <w:bCs/>
                <w:sz w:val="26"/>
                <w:szCs w:val="26"/>
              </w:rPr>
              <w:t>1.</w:t>
            </w:r>
          </w:p>
        </w:tc>
        <w:tc>
          <w:tcPr>
            <w:tcW w:w="933" w:type="pct"/>
            <w:vAlign w:val="center"/>
          </w:tcPr>
          <w:p w:rsidR="000D4180" w:rsidRPr="00674441" w:rsidRDefault="000D4180" w:rsidP="00403BF7">
            <w:pPr>
              <w:spacing w:line="0" w:lineRule="atLeast"/>
              <w:jc w:val="center"/>
              <w:rPr>
                <w:rFonts w:eastAsia="標楷體"/>
                <w:bCs/>
                <w:sz w:val="26"/>
              </w:rPr>
            </w:pPr>
            <w:proofErr w:type="spellStart"/>
            <w:r w:rsidRPr="00A742BB">
              <w:rPr>
                <w:rFonts w:eastAsia="標楷體"/>
                <w:sz w:val="26"/>
                <w:szCs w:val="26"/>
              </w:rPr>
              <w:t>P.T.Handsum</w:t>
            </w:r>
            <w:proofErr w:type="spellEnd"/>
          </w:p>
        </w:tc>
        <w:tc>
          <w:tcPr>
            <w:tcW w:w="835" w:type="pct"/>
            <w:vAlign w:val="center"/>
          </w:tcPr>
          <w:p w:rsidR="000D4180" w:rsidRPr="00674441" w:rsidRDefault="000D4180" w:rsidP="00403BF7">
            <w:pPr>
              <w:spacing w:line="0" w:lineRule="atLeast"/>
              <w:jc w:val="center"/>
              <w:rPr>
                <w:rFonts w:eastAsia="標楷體"/>
                <w:sz w:val="26"/>
              </w:rPr>
            </w:pPr>
            <w:r>
              <w:rPr>
                <w:rFonts w:eastAsia="標楷體" w:hint="eastAsia"/>
                <w:sz w:val="26"/>
              </w:rPr>
              <w:t>印尼</w:t>
            </w:r>
          </w:p>
        </w:tc>
        <w:tc>
          <w:tcPr>
            <w:tcW w:w="765" w:type="pct"/>
            <w:vAlign w:val="center"/>
          </w:tcPr>
          <w:p w:rsidR="000D4180" w:rsidRPr="00674441" w:rsidRDefault="000D4180" w:rsidP="00403BF7">
            <w:pPr>
              <w:spacing w:line="0" w:lineRule="atLeast"/>
              <w:jc w:val="center"/>
              <w:rPr>
                <w:rFonts w:eastAsia="標楷體"/>
                <w:sz w:val="26"/>
              </w:rPr>
            </w:pPr>
            <w:r w:rsidRPr="00A742BB">
              <w:rPr>
                <w:rFonts w:eastAsia="標楷體"/>
                <w:sz w:val="26"/>
                <w:szCs w:val="26"/>
              </w:rPr>
              <w:t>PT</w:t>
            </w:r>
          </w:p>
        </w:tc>
        <w:tc>
          <w:tcPr>
            <w:tcW w:w="1604" w:type="pct"/>
            <w:vAlign w:val="center"/>
          </w:tcPr>
          <w:p w:rsidR="000D4180" w:rsidRPr="00674441" w:rsidRDefault="000D4180" w:rsidP="00403BF7">
            <w:pPr>
              <w:spacing w:line="0" w:lineRule="atLeast"/>
              <w:jc w:val="both"/>
              <w:rPr>
                <w:rFonts w:eastAsia="標楷體"/>
                <w:sz w:val="26"/>
              </w:rPr>
            </w:pPr>
            <w:r>
              <w:rPr>
                <w:rFonts w:eastAsia="標楷體" w:hint="eastAsia"/>
                <w:sz w:val="26"/>
              </w:rPr>
              <w:t>瀚昌公司銷貨給</w:t>
            </w:r>
            <w:r>
              <w:rPr>
                <w:rFonts w:eastAsia="標楷體" w:hint="eastAsia"/>
                <w:sz w:val="26"/>
              </w:rPr>
              <w:t>PT</w:t>
            </w:r>
            <w:r>
              <w:rPr>
                <w:rFonts w:eastAsia="標楷體" w:hint="eastAsia"/>
                <w:sz w:val="26"/>
              </w:rPr>
              <w:t>之比例超過總銷貨</w:t>
            </w:r>
            <w:r>
              <w:rPr>
                <w:rFonts w:eastAsia="標楷體" w:hint="eastAsia"/>
                <w:sz w:val="26"/>
              </w:rPr>
              <w:t>50%</w:t>
            </w:r>
          </w:p>
        </w:tc>
        <w:tc>
          <w:tcPr>
            <w:tcW w:w="517" w:type="pct"/>
            <w:vAlign w:val="center"/>
          </w:tcPr>
          <w:p w:rsidR="000D4180" w:rsidRPr="00674441" w:rsidRDefault="000D4180" w:rsidP="00403BF7">
            <w:pPr>
              <w:spacing w:line="0" w:lineRule="atLeast"/>
              <w:ind w:left="-108" w:right="-71"/>
              <w:jc w:val="center"/>
              <w:rPr>
                <w:rFonts w:eastAsia="標楷體"/>
                <w:bCs/>
                <w:sz w:val="26"/>
              </w:rPr>
            </w:pPr>
            <w:r>
              <w:rPr>
                <w:rFonts w:eastAsia="標楷體" w:hint="eastAsia"/>
                <w:bCs/>
                <w:sz w:val="26"/>
              </w:rPr>
              <w:t>12</w:t>
            </w:r>
          </w:p>
        </w:tc>
      </w:tr>
    </w:tbl>
    <w:p w:rsidR="004C5A82" w:rsidRDefault="00211437" w:rsidP="00D82424">
      <w:pPr>
        <w:pStyle w:val="3"/>
        <w:numPr>
          <w:ilvl w:val="0"/>
          <w:numId w:val="7"/>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105</w:t>
      </w:r>
      <w:r w:rsidR="000D4180" w:rsidRPr="005C1B21">
        <w:rPr>
          <w:rFonts w:ascii="Times New Roman" w:eastAsia="標楷體" w:hAnsi="Times New Roman" w:hint="eastAsia"/>
          <w:sz w:val="32"/>
        </w:rPr>
        <w:t>年度</w:t>
      </w:r>
      <w:r w:rsidR="000D4180" w:rsidRPr="005C1B21">
        <w:rPr>
          <w:rFonts w:ascii="Times New Roman" w:eastAsia="標楷體" w:hAnsi="Times New Roman"/>
          <w:sz w:val="32"/>
        </w:rPr>
        <w:t>受控交易</w:t>
      </w:r>
      <w:r w:rsidR="000D4180" w:rsidRPr="005C1B21">
        <w:rPr>
          <w:rFonts w:ascii="Times New Roman" w:eastAsia="標楷體" w:hAnsi="Times New Roman" w:hint="eastAsia"/>
          <w:sz w:val="32"/>
        </w:rPr>
        <w:t>彙總明細</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000" w:firstRow="0" w:lastRow="0" w:firstColumn="0" w:lastColumn="0" w:noHBand="0" w:noVBand="0"/>
      </w:tblPr>
      <w:tblGrid>
        <w:gridCol w:w="1320"/>
        <w:gridCol w:w="840"/>
        <w:gridCol w:w="720"/>
        <w:gridCol w:w="1515"/>
        <w:gridCol w:w="2327"/>
        <w:gridCol w:w="1800"/>
      </w:tblGrid>
      <w:tr w:rsidR="000D4180" w:rsidRPr="00EA272E" w:rsidTr="001B01F1">
        <w:trPr>
          <w:trHeight w:val="330"/>
          <w:tblHeader/>
        </w:trPr>
        <w:tc>
          <w:tcPr>
            <w:tcW w:w="6722" w:type="dxa"/>
            <w:gridSpan w:val="5"/>
            <w:shd w:val="clear" w:color="auto" w:fill="4F81BD"/>
            <w:noWrap/>
            <w:vAlign w:val="center"/>
          </w:tcPr>
          <w:p w:rsidR="000D4180" w:rsidRPr="00EA272E" w:rsidRDefault="000D4180" w:rsidP="00403BF7">
            <w:pPr>
              <w:widowControl/>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受控交易說明</w:t>
            </w:r>
          </w:p>
        </w:tc>
        <w:tc>
          <w:tcPr>
            <w:tcW w:w="1800" w:type="dxa"/>
            <w:vMerge w:val="restart"/>
            <w:shd w:val="clear" w:color="auto" w:fill="4F81BD"/>
            <w:noWrap/>
            <w:vAlign w:val="center"/>
          </w:tcPr>
          <w:p w:rsidR="000D4180" w:rsidRPr="00EA272E" w:rsidRDefault="000D4180" w:rsidP="00403BF7">
            <w:pPr>
              <w:widowControl/>
              <w:spacing w:line="0" w:lineRule="atLeast"/>
              <w:jc w:val="center"/>
              <w:rPr>
                <w:rFonts w:eastAsia="標楷體"/>
                <w:bCs/>
                <w:color w:val="FFFFFF"/>
                <w:kern w:val="0"/>
                <w:sz w:val="26"/>
                <w:szCs w:val="26"/>
              </w:rPr>
            </w:pPr>
            <w:r w:rsidRPr="00EA272E">
              <w:rPr>
                <w:rFonts w:eastAsia="標楷體"/>
                <w:bCs/>
                <w:color w:val="FFFFFF"/>
                <w:kern w:val="0"/>
                <w:sz w:val="26"/>
                <w:szCs w:val="26"/>
              </w:rPr>
              <w:t>金額</w:t>
            </w:r>
          </w:p>
          <w:p w:rsidR="000D4180" w:rsidRPr="00EA272E" w:rsidRDefault="000D4180" w:rsidP="00403BF7">
            <w:pPr>
              <w:spacing w:line="0" w:lineRule="atLeast"/>
              <w:jc w:val="center"/>
              <w:rPr>
                <w:rFonts w:eastAsia="標楷體"/>
                <w:bCs/>
                <w:color w:val="FFFFFF"/>
                <w:kern w:val="0"/>
                <w:sz w:val="26"/>
                <w:szCs w:val="26"/>
              </w:rPr>
            </w:pPr>
            <w:r w:rsidRPr="00EA272E">
              <w:rPr>
                <w:rFonts w:eastAsia="標楷體"/>
                <w:bCs/>
                <w:color w:val="FFFFFF"/>
                <w:kern w:val="0"/>
                <w:sz w:val="26"/>
                <w:szCs w:val="26"/>
              </w:rPr>
              <w:t>(</w:t>
            </w:r>
            <w:r w:rsidRPr="00EA272E">
              <w:rPr>
                <w:rFonts w:eastAsia="標楷體"/>
                <w:bCs/>
                <w:color w:val="FFFFFF"/>
                <w:kern w:val="0"/>
                <w:sz w:val="26"/>
                <w:szCs w:val="26"/>
              </w:rPr>
              <w:t>新台幣元</w:t>
            </w:r>
            <w:r w:rsidRPr="00EA272E">
              <w:rPr>
                <w:rFonts w:eastAsia="標楷體"/>
                <w:bCs/>
                <w:color w:val="FFFFFF"/>
                <w:kern w:val="0"/>
                <w:sz w:val="26"/>
                <w:szCs w:val="26"/>
              </w:rPr>
              <w:t>)</w:t>
            </w:r>
          </w:p>
        </w:tc>
      </w:tr>
      <w:tr w:rsidR="000D4180" w:rsidRPr="00EA272E" w:rsidTr="001B01F1">
        <w:trPr>
          <w:trHeight w:val="330"/>
          <w:tblHeader/>
        </w:trPr>
        <w:tc>
          <w:tcPr>
            <w:tcW w:w="1320" w:type="dxa"/>
            <w:shd w:val="clear" w:color="auto" w:fill="4F81BD"/>
            <w:noWrap/>
            <w:vAlign w:val="center"/>
          </w:tcPr>
          <w:p w:rsidR="000D4180" w:rsidRPr="00EA272E" w:rsidRDefault="000D4180" w:rsidP="00403BF7">
            <w:pPr>
              <w:widowControl/>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受控</w:t>
            </w:r>
            <w:r w:rsidRPr="00EA272E">
              <w:rPr>
                <w:rFonts w:eastAsia="標楷體"/>
                <w:bCs/>
                <w:color w:val="FFFFFF"/>
                <w:kern w:val="0"/>
                <w:sz w:val="26"/>
                <w:szCs w:val="26"/>
              </w:rPr>
              <w:t>交易類型</w:t>
            </w:r>
          </w:p>
        </w:tc>
        <w:tc>
          <w:tcPr>
            <w:tcW w:w="840" w:type="dxa"/>
            <w:shd w:val="clear" w:color="auto" w:fill="4F81BD"/>
            <w:noWrap/>
            <w:vAlign w:val="center"/>
          </w:tcPr>
          <w:p w:rsidR="000D4180" w:rsidRDefault="000D4180" w:rsidP="00403BF7">
            <w:pPr>
              <w:widowControl/>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會計</w:t>
            </w:r>
          </w:p>
          <w:p w:rsidR="000D4180" w:rsidRPr="00EA272E" w:rsidRDefault="000D4180" w:rsidP="00403BF7">
            <w:pPr>
              <w:widowControl/>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科目</w:t>
            </w:r>
          </w:p>
        </w:tc>
        <w:tc>
          <w:tcPr>
            <w:tcW w:w="720" w:type="dxa"/>
            <w:shd w:val="clear" w:color="auto" w:fill="4F81BD"/>
            <w:vAlign w:val="center"/>
          </w:tcPr>
          <w:p w:rsidR="000D4180" w:rsidRPr="00EA272E" w:rsidRDefault="000D4180" w:rsidP="00403BF7">
            <w:pPr>
              <w:spacing w:line="0" w:lineRule="atLeast"/>
              <w:jc w:val="center"/>
              <w:rPr>
                <w:rFonts w:eastAsia="標楷體"/>
                <w:bCs/>
                <w:color w:val="FFFFFF"/>
                <w:kern w:val="0"/>
                <w:sz w:val="26"/>
                <w:szCs w:val="26"/>
              </w:rPr>
            </w:pPr>
            <w:r>
              <w:rPr>
                <w:rFonts w:eastAsia="標楷體" w:hint="eastAsia"/>
                <w:bCs/>
                <w:color w:val="FFFFFF"/>
                <w:kern w:val="0"/>
                <w:sz w:val="26"/>
                <w:szCs w:val="26"/>
              </w:rPr>
              <w:t>編號</w:t>
            </w:r>
          </w:p>
        </w:tc>
        <w:tc>
          <w:tcPr>
            <w:tcW w:w="1515" w:type="dxa"/>
            <w:shd w:val="clear" w:color="auto" w:fill="4F81BD"/>
            <w:vAlign w:val="center"/>
          </w:tcPr>
          <w:p w:rsidR="000D4180" w:rsidRPr="00EA272E" w:rsidRDefault="000D4180" w:rsidP="00403BF7">
            <w:pPr>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交易</w:t>
            </w:r>
            <w:r w:rsidRPr="00EA272E">
              <w:rPr>
                <w:rFonts w:eastAsia="標楷體"/>
                <w:bCs/>
                <w:color w:val="FFFFFF"/>
                <w:kern w:val="0"/>
                <w:sz w:val="26"/>
                <w:szCs w:val="26"/>
              </w:rPr>
              <w:t>對象</w:t>
            </w:r>
          </w:p>
        </w:tc>
        <w:tc>
          <w:tcPr>
            <w:tcW w:w="2327" w:type="dxa"/>
            <w:shd w:val="clear" w:color="auto" w:fill="4F81BD"/>
            <w:noWrap/>
            <w:vAlign w:val="center"/>
          </w:tcPr>
          <w:p w:rsidR="000D4180" w:rsidRPr="00EA272E" w:rsidRDefault="000D4180" w:rsidP="00403BF7">
            <w:pPr>
              <w:widowControl/>
              <w:spacing w:line="0" w:lineRule="atLeast"/>
              <w:jc w:val="center"/>
              <w:rPr>
                <w:rFonts w:eastAsia="標楷體"/>
                <w:bCs/>
                <w:color w:val="FFFFFF"/>
                <w:kern w:val="0"/>
                <w:sz w:val="26"/>
                <w:szCs w:val="26"/>
              </w:rPr>
            </w:pPr>
            <w:r w:rsidRPr="00EA272E">
              <w:rPr>
                <w:rFonts w:eastAsia="標楷體"/>
                <w:bCs/>
                <w:color w:val="FFFFFF"/>
                <w:kern w:val="0"/>
                <w:sz w:val="26"/>
                <w:szCs w:val="26"/>
              </w:rPr>
              <w:t>交易內容敘述</w:t>
            </w:r>
          </w:p>
        </w:tc>
        <w:tc>
          <w:tcPr>
            <w:tcW w:w="1800" w:type="dxa"/>
            <w:vMerge/>
            <w:shd w:val="clear" w:color="auto" w:fill="4F81BD"/>
            <w:noWrap/>
            <w:vAlign w:val="center"/>
          </w:tcPr>
          <w:p w:rsidR="000D4180" w:rsidRPr="00EA272E" w:rsidRDefault="000D4180" w:rsidP="00403BF7">
            <w:pPr>
              <w:widowControl/>
              <w:spacing w:line="0" w:lineRule="atLeast"/>
              <w:jc w:val="center"/>
              <w:rPr>
                <w:rFonts w:eastAsia="標楷體"/>
                <w:b/>
                <w:bCs/>
                <w:kern w:val="0"/>
                <w:sz w:val="26"/>
                <w:szCs w:val="26"/>
              </w:rPr>
            </w:pPr>
          </w:p>
        </w:tc>
      </w:tr>
      <w:tr w:rsidR="000D4180" w:rsidRPr="0001285A" w:rsidTr="001B01F1">
        <w:trPr>
          <w:trHeight w:val="775"/>
          <w:tblHeader/>
        </w:trPr>
        <w:tc>
          <w:tcPr>
            <w:tcW w:w="1320" w:type="dxa"/>
            <w:shd w:val="clear" w:color="auto" w:fill="auto"/>
            <w:noWrap/>
            <w:vAlign w:val="center"/>
          </w:tcPr>
          <w:p w:rsidR="000D4180" w:rsidRPr="00674441" w:rsidRDefault="000D4180" w:rsidP="00403BF7">
            <w:pPr>
              <w:widowControl/>
              <w:spacing w:line="0" w:lineRule="atLeast"/>
              <w:jc w:val="center"/>
              <w:rPr>
                <w:rFonts w:eastAsia="標楷體"/>
                <w:bCs/>
                <w:kern w:val="0"/>
                <w:sz w:val="26"/>
                <w:szCs w:val="26"/>
              </w:rPr>
            </w:pPr>
            <w:r w:rsidRPr="00674441">
              <w:rPr>
                <w:rFonts w:eastAsia="標楷體" w:hint="eastAsia"/>
                <w:bCs/>
                <w:kern w:val="0"/>
                <w:sz w:val="26"/>
                <w:szCs w:val="26"/>
              </w:rPr>
              <w:t>有形資產之移轉</w:t>
            </w:r>
          </w:p>
        </w:tc>
        <w:tc>
          <w:tcPr>
            <w:tcW w:w="840" w:type="dxa"/>
            <w:shd w:val="clear" w:color="auto" w:fill="auto"/>
            <w:noWrap/>
            <w:vAlign w:val="center"/>
          </w:tcPr>
          <w:p w:rsidR="000D4180" w:rsidRPr="00674441" w:rsidRDefault="000D4180" w:rsidP="00403BF7">
            <w:pPr>
              <w:widowControl/>
              <w:spacing w:line="0" w:lineRule="atLeast"/>
              <w:jc w:val="center"/>
              <w:rPr>
                <w:rFonts w:eastAsia="標楷體"/>
                <w:bCs/>
                <w:kern w:val="0"/>
                <w:sz w:val="26"/>
                <w:szCs w:val="26"/>
              </w:rPr>
            </w:pPr>
            <w:r w:rsidRPr="00674441">
              <w:rPr>
                <w:rFonts w:eastAsia="標楷體" w:hint="eastAsia"/>
                <w:bCs/>
                <w:kern w:val="0"/>
                <w:sz w:val="26"/>
                <w:szCs w:val="26"/>
              </w:rPr>
              <w:t>銷貨</w:t>
            </w:r>
          </w:p>
        </w:tc>
        <w:tc>
          <w:tcPr>
            <w:tcW w:w="720" w:type="dxa"/>
            <w:shd w:val="clear" w:color="auto" w:fill="auto"/>
            <w:vAlign w:val="center"/>
          </w:tcPr>
          <w:p w:rsidR="000D4180" w:rsidRPr="00674441" w:rsidRDefault="000D4180" w:rsidP="00403BF7">
            <w:pPr>
              <w:spacing w:line="0" w:lineRule="atLeast"/>
              <w:jc w:val="center"/>
              <w:rPr>
                <w:rFonts w:eastAsia="標楷體"/>
                <w:bCs/>
                <w:kern w:val="0"/>
                <w:sz w:val="26"/>
                <w:szCs w:val="26"/>
              </w:rPr>
            </w:pPr>
            <w:r w:rsidRPr="00674441">
              <w:rPr>
                <w:rFonts w:eastAsia="標楷體" w:hint="eastAsia"/>
                <w:bCs/>
                <w:kern w:val="0"/>
                <w:sz w:val="26"/>
                <w:szCs w:val="26"/>
              </w:rPr>
              <w:t>1</w:t>
            </w:r>
          </w:p>
        </w:tc>
        <w:tc>
          <w:tcPr>
            <w:tcW w:w="1515" w:type="dxa"/>
            <w:shd w:val="clear" w:color="auto" w:fill="auto"/>
            <w:vAlign w:val="center"/>
          </w:tcPr>
          <w:p w:rsidR="000D4180" w:rsidRPr="00674441" w:rsidRDefault="000D4180" w:rsidP="00403BF7">
            <w:pPr>
              <w:widowControl/>
              <w:spacing w:line="0" w:lineRule="atLeast"/>
              <w:jc w:val="center"/>
              <w:rPr>
                <w:rFonts w:eastAsia="標楷體"/>
                <w:bCs/>
                <w:kern w:val="0"/>
                <w:sz w:val="26"/>
                <w:szCs w:val="26"/>
              </w:rPr>
            </w:pPr>
            <w:r w:rsidRPr="00674441">
              <w:rPr>
                <w:rFonts w:eastAsia="標楷體"/>
                <w:bCs/>
                <w:kern w:val="0"/>
                <w:sz w:val="26"/>
                <w:szCs w:val="26"/>
              </w:rPr>
              <w:t>PT</w:t>
            </w:r>
          </w:p>
        </w:tc>
        <w:tc>
          <w:tcPr>
            <w:tcW w:w="2327" w:type="dxa"/>
            <w:shd w:val="clear" w:color="auto" w:fill="auto"/>
            <w:noWrap/>
            <w:vAlign w:val="center"/>
          </w:tcPr>
          <w:p w:rsidR="000D4180" w:rsidRPr="00674441" w:rsidRDefault="000D4180" w:rsidP="00403BF7">
            <w:pPr>
              <w:widowControl/>
              <w:spacing w:line="0" w:lineRule="atLeast"/>
              <w:jc w:val="center"/>
              <w:rPr>
                <w:rFonts w:eastAsia="標楷體"/>
                <w:bCs/>
                <w:kern w:val="0"/>
                <w:sz w:val="26"/>
                <w:szCs w:val="26"/>
              </w:rPr>
            </w:pPr>
            <w:r w:rsidRPr="00674441">
              <w:rPr>
                <w:rFonts w:eastAsia="標楷體"/>
                <w:bCs/>
                <w:kern w:val="0"/>
                <w:sz w:val="26"/>
                <w:szCs w:val="26"/>
              </w:rPr>
              <w:t>各式布料及副料</w:t>
            </w:r>
          </w:p>
        </w:tc>
        <w:tc>
          <w:tcPr>
            <w:tcW w:w="1800" w:type="dxa"/>
            <w:shd w:val="clear" w:color="auto" w:fill="auto"/>
            <w:noWrap/>
            <w:vAlign w:val="center"/>
          </w:tcPr>
          <w:p w:rsidR="000D4180" w:rsidRPr="0001285A" w:rsidRDefault="00E20C33" w:rsidP="001B01F1">
            <w:pPr>
              <w:widowControl/>
              <w:spacing w:line="0" w:lineRule="atLeast"/>
              <w:jc w:val="right"/>
              <w:rPr>
                <w:rFonts w:eastAsia="標楷體"/>
                <w:bCs/>
                <w:kern w:val="0"/>
                <w:sz w:val="26"/>
                <w:szCs w:val="26"/>
              </w:rPr>
            </w:pPr>
            <w:r>
              <w:rPr>
                <w:rFonts w:eastAsia="標楷體" w:hint="eastAsia"/>
                <w:bCs/>
                <w:kern w:val="0"/>
                <w:sz w:val="26"/>
                <w:szCs w:val="26"/>
              </w:rPr>
              <w:t>233,485,250</w:t>
            </w:r>
          </w:p>
        </w:tc>
      </w:tr>
    </w:tbl>
    <w:p w:rsidR="004C5A82" w:rsidRDefault="00305142" w:rsidP="00D82424">
      <w:pPr>
        <w:pStyle w:val="3"/>
        <w:numPr>
          <w:ilvl w:val="0"/>
          <w:numId w:val="7"/>
        </w:numPr>
        <w:spacing w:beforeLines="50" w:before="120" w:afterLines="50" w:after="12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t>受控交易流程</w:t>
      </w:r>
      <w:r w:rsidRPr="00EA272E">
        <w:rPr>
          <w:rFonts w:ascii="Times New Roman" w:eastAsia="標楷體" w:hAnsi="Times New Roman" w:hint="eastAsia"/>
          <w:sz w:val="32"/>
        </w:rPr>
        <w:t>及說明</w:t>
      </w:r>
    </w:p>
    <w:p w:rsidR="00F73C82" w:rsidRDefault="00305142" w:rsidP="00D82424">
      <w:pPr>
        <w:numPr>
          <w:ilvl w:val="0"/>
          <w:numId w:val="39"/>
        </w:numPr>
        <w:tabs>
          <w:tab w:val="left" w:pos="1134"/>
        </w:tabs>
        <w:spacing w:beforeLines="50" w:before="120" w:afterLines="50" w:after="120" w:line="360" w:lineRule="auto"/>
        <w:ind w:left="1080"/>
        <w:jc w:val="both"/>
        <w:rPr>
          <w:rFonts w:eastAsia="標楷體"/>
          <w:b/>
          <w:sz w:val="28"/>
          <w:szCs w:val="26"/>
        </w:rPr>
      </w:pPr>
      <w:r w:rsidRPr="00372F8E">
        <w:rPr>
          <w:rFonts w:eastAsia="標楷體" w:hint="eastAsia"/>
          <w:b/>
          <w:sz w:val="28"/>
          <w:szCs w:val="26"/>
        </w:rPr>
        <w:t>有形資產之移轉</w:t>
      </w:r>
      <w:r w:rsidR="00372F8E" w:rsidRPr="00372F8E">
        <w:rPr>
          <w:rFonts w:eastAsia="標楷體"/>
          <w:b/>
          <w:sz w:val="28"/>
          <w:szCs w:val="26"/>
        </w:rPr>
        <w:t>—</w:t>
      </w:r>
      <w:r w:rsidRPr="00372F8E">
        <w:rPr>
          <w:rFonts w:eastAsia="標楷體" w:hint="eastAsia"/>
          <w:b/>
          <w:sz w:val="28"/>
          <w:szCs w:val="26"/>
        </w:rPr>
        <w:t>-</w:t>
      </w:r>
      <w:r w:rsidRPr="00372F8E">
        <w:rPr>
          <w:rFonts w:eastAsia="標楷體" w:hint="eastAsia"/>
          <w:b/>
          <w:sz w:val="28"/>
          <w:szCs w:val="26"/>
        </w:rPr>
        <w:t>銷貨</w:t>
      </w:r>
    </w:p>
    <w:p w:rsidR="00F73C82" w:rsidRDefault="000D4180">
      <w:pPr>
        <w:spacing w:before="100" w:beforeAutospacing="1" w:after="100" w:afterAutospacing="1" w:line="360" w:lineRule="auto"/>
        <w:ind w:leftChars="300" w:left="720" w:firstLineChars="200" w:firstLine="520"/>
        <w:jc w:val="both"/>
        <w:rPr>
          <w:rFonts w:eastAsia="標楷體"/>
          <w:sz w:val="26"/>
          <w:szCs w:val="26"/>
        </w:rPr>
      </w:pPr>
      <w:r w:rsidRPr="00A742BB">
        <w:rPr>
          <w:rFonts w:eastAsia="標楷體"/>
          <w:sz w:val="26"/>
          <w:szCs w:val="26"/>
        </w:rPr>
        <w:t>瀚昌公司將各式布料及鈕扣、拉鍊等副料售予</w:t>
      </w:r>
      <w:r w:rsidRPr="00A742BB">
        <w:rPr>
          <w:rFonts w:eastAsia="標楷體"/>
          <w:bCs/>
          <w:sz w:val="26"/>
          <w:szCs w:val="26"/>
        </w:rPr>
        <w:t>PT</w:t>
      </w:r>
      <w:r w:rsidR="008509EC">
        <w:rPr>
          <w:rFonts w:eastAsia="標楷體" w:hint="eastAsia"/>
          <w:bCs/>
          <w:sz w:val="26"/>
          <w:szCs w:val="26"/>
        </w:rPr>
        <w:t>，</w:t>
      </w:r>
      <w:r w:rsidR="00211437">
        <w:rPr>
          <w:rFonts w:eastAsia="標楷體" w:hint="eastAsia"/>
          <w:bCs/>
          <w:sz w:val="26"/>
          <w:szCs w:val="26"/>
        </w:rPr>
        <w:t>105</w:t>
      </w:r>
      <w:r w:rsidR="008509EC">
        <w:rPr>
          <w:rFonts w:eastAsia="標楷體" w:hint="eastAsia"/>
          <w:bCs/>
          <w:sz w:val="26"/>
          <w:szCs w:val="26"/>
        </w:rPr>
        <w:t>年度受控交易金額為</w:t>
      </w:r>
      <w:r w:rsidR="00E20C33">
        <w:rPr>
          <w:rFonts w:eastAsia="標楷體" w:hint="eastAsia"/>
          <w:bCs/>
          <w:kern w:val="0"/>
          <w:sz w:val="26"/>
          <w:szCs w:val="26"/>
        </w:rPr>
        <w:t>233,485,250</w:t>
      </w:r>
      <w:r w:rsidR="008509EC">
        <w:rPr>
          <w:rFonts w:eastAsia="標楷體" w:hint="eastAsia"/>
          <w:bCs/>
          <w:kern w:val="0"/>
          <w:sz w:val="26"/>
          <w:szCs w:val="26"/>
        </w:rPr>
        <w:t>元</w:t>
      </w:r>
      <w:r w:rsidRPr="00A742BB">
        <w:rPr>
          <w:rFonts w:eastAsia="標楷體"/>
          <w:sz w:val="26"/>
          <w:szCs w:val="26"/>
        </w:rPr>
        <w:t>。</w:t>
      </w:r>
    </w:p>
    <w:p w:rsidR="00372F8E" w:rsidRDefault="000D4180" w:rsidP="00D82424">
      <w:pPr>
        <w:pStyle w:val="3"/>
        <w:numPr>
          <w:ilvl w:val="0"/>
          <w:numId w:val="7"/>
        </w:numPr>
        <w:spacing w:beforeLines="50" w:before="120" w:afterLines="50" w:after="12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t>受控交易流程</w:t>
      </w:r>
    </w:p>
    <w:p w:rsidR="00372F8E" w:rsidRDefault="00A63CF7" w:rsidP="00372F8E">
      <w:r>
        <w:rPr>
          <w:noProof/>
        </w:rPr>
        <mc:AlternateContent>
          <mc:Choice Requires="wps">
            <w:drawing>
              <wp:anchor distT="0" distB="0" distL="114300" distR="114300" simplePos="0" relativeHeight="251667968" behindDoc="0" locked="0" layoutInCell="1" allowOverlap="1">
                <wp:simplePos x="0" y="0"/>
                <wp:positionH relativeFrom="column">
                  <wp:posOffset>2876550</wp:posOffset>
                </wp:positionH>
                <wp:positionV relativeFrom="paragraph">
                  <wp:posOffset>112395</wp:posOffset>
                </wp:positionV>
                <wp:extent cx="1009650" cy="304800"/>
                <wp:effectExtent l="19050" t="19050" r="38100" b="47625"/>
                <wp:wrapNone/>
                <wp:docPr id="2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048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30BD8" w:rsidRPr="000E09FA" w:rsidRDefault="00630BD8" w:rsidP="00372F8E">
                            <w:pPr>
                              <w:jc w:val="center"/>
                              <w:rPr>
                                <w:color w:val="FFFFFF" w:themeColor="background1"/>
                              </w:rPr>
                            </w:pPr>
                            <w:r w:rsidRPr="000E09FA">
                              <w:rPr>
                                <w:rFonts w:eastAsia="標楷體"/>
                                <w:color w:val="FFFFFF" w:themeColor="background1"/>
                                <w:sz w:val="26"/>
                                <w:szCs w:val="26"/>
                              </w:rPr>
                              <w:t>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8" o:spid="_x0000_s1065" style="position:absolute;margin-left:226.5pt;margin-top:8.85pt;width:79.5pt;height: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" fillcolor="#4bacc6 [3208]" strokecolor="#f2f2f2 [3041]" strokeweight="3pt">
                <v:shadow on="t" color="#205867 [1608]" opacity=".5" offset="1pt"/>
                <v:textbox>
                  <w:txbxContent>
                    <w:p w:rsidR="00630BD8" w:rsidRPr="000E09FA" w:rsidRDefault="00630BD8" w:rsidP="00372F8E">
                      <w:pPr>
                        <w:jc w:val="center"/>
                        <w:rPr>
                          <w:color w:val="FFFFFF" w:themeColor="background1"/>
                        </w:rPr>
                      </w:pPr>
                      <w:r w:rsidRPr="000E09FA">
                        <w:rPr>
                          <w:rFonts w:eastAsia="標楷體"/>
                          <w:color w:val="FFFFFF" w:themeColor="background1"/>
                          <w:sz w:val="26"/>
                          <w:szCs w:val="26"/>
                        </w:rPr>
                        <w:t>PT</w:t>
                      </w:r>
                    </w:p>
                  </w:txbxContent>
                </v:textbox>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4448175</wp:posOffset>
                </wp:positionH>
                <wp:positionV relativeFrom="paragraph">
                  <wp:posOffset>112395</wp:posOffset>
                </wp:positionV>
                <wp:extent cx="847725" cy="304800"/>
                <wp:effectExtent l="19050" t="19050" r="38100" b="47625"/>
                <wp:wrapNone/>
                <wp:docPr id="2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048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630BD8" w:rsidRPr="000E09FA" w:rsidRDefault="00630BD8" w:rsidP="000E09FA">
                            <w:pPr>
                              <w:jc w:val="center"/>
                              <w:rPr>
                                <w:color w:val="FFFFFF" w:themeColor="background1"/>
                              </w:rPr>
                            </w:pPr>
                            <w:r w:rsidRPr="000E09FA">
                              <w:rPr>
                                <w:rFonts w:eastAsia="標楷體" w:hint="eastAsia"/>
                                <w:color w:val="FFFFFF" w:themeColor="background1"/>
                                <w:sz w:val="26"/>
                                <w:szCs w:val="26"/>
                              </w:rPr>
                              <w:t>客戶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2" o:spid="_x0000_s1066" style="position:absolute;margin-left:350.25pt;margin-top:8.85pt;width:66.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" fillcolor="#4f81bd [3204]" strokecolor="#f2f2f2 [3041]" strokeweight="3pt">
                <v:shadow on="t" color="#243f60 [1604]" opacity=".5" offset="1pt"/>
                <v:textbox>
                  <w:txbxContent>
                    <w:p w:rsidR="00630BD8" w:rsidRPr="000E09FA" w:rsidRDefault="00630BD8" w:rsidP="000E09FA">
                      <w:pPr>
                        <w:jc w:val="center"/>
                        <w:rPr>
                          <w:color w:val="FFFFFF" w:themeColor="background1"/>
                        </w:rPr>
                      </w:pPr>
                      <w:r w:rsidRPr="000E09FA">
                        <w:rPr>
                          <w:rFonts w:eastAsia="標楷體" w:hint="eastAsia"/>
                          <w:color w:val="FFFFFF" w:themeColor="background1"/>
                          <w:sz w:val="26"/>
                          <w:szCs w:val="26"/>
                        </w:rPr>
                        <w:t>客戶</w:t>
                      </w:r>
                    </w:p>
                  </w:txbxContent>
                </v:textbox>
              </v:rect>
            </w:pict>
          </mc:Fallback>
        </mc:AlternateContent>
      </w:r>
      <w:r>
        <w:rPr>
          <w:noProof/>
        </w:rPr>
        <mc:AlternateContent>
          <mc:Choice Requires="wps">
            <w:drawing>
              <wp:anchor distT="0" distB="0" distL="114300" distR="114300" simplePos="0" relativeHeight="251649534" behindDoc="0" locked="0" layoutInCell="1" allowOverlap="1">
                <wp:simplePos x="0" y="0"/>
                <wp:positionH relativeFrom="column">
                  <wp:posOffset>2162175</wp:posOffset>
                </wp:positionH>
                <wp:positionV relativeFrom="paragraph">
                  <wp:posOffset>255270</wp:posOffset>
                </wp:positionV>
                <wp:extent cx="676275" cy="0"/>
                <wp:effectExtent l="9525" t="57150" r="19050" b="57150"/>
                <wp:wrapNone/>
                <wp:docPr id="21"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5" o:spid="_x0000_s1026" type="#_x0000_t32" style="position:absolute;margin-left:170.25pt;margin-top:20.1pt;width:53.25pt;height:0;z-index:2516495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" strokeweight="1pt">
                <v:stroke dashstyle="dash" endarrow="block"/>
              </v:shape>
            </w:pict>
          </mc:Fallback>
        </mc:AlternateContent>
      </w:r>
      <w:r>
        <w:rPr>
          <w:noProof/>
        </w:rPr>
        <mc:AlternateContent>
          <mc:Choice Requires="wps">
            <w:drawing>
              <wp:anchor distT="0" distB="0" distL="114300" distR="114300" simplePos="0" relativeHeight="251648509" behindDoc="0" locked="0" layoutInCell="1" allowOverlap="1">
                <wp:simplePos x="0" y="0"/>
                <wp:positionH relativeFrom="column">
                  <wp:posOffset>3771900</wp:posOffset>
                </wp:positionH>
                <wp:positionV relativeFrom="paragraph">
                  <wp:posOffset>255270</wp:posOffset>
                </wp:positionV>
                <wp:extent cx="676275" cy="0"/>
                <wp:effectExtent l="9525" t="57150" r="19050" b="57150"/>
                <wp:wrapNone/>
                <wp:docPr id="20"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1" o:spid="_x0000_s1026" type="#_x0000_t32" style="position:absolute;margin-left:297pt;margin-top:20.1pt;width:53.25pt;height:0;z-index:2516485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" strokeweight="1pt">
                <v:stroke endarrow="block"/>
              </v:shape>
            </w:pict>
          </mc:Fallback>
        </mc:AlternateContent>
      </w:r>
      <w:r>
        <w:rPr>
          <w:rFonts w:eastAsia="標楷體"/>
          <w:noProof/>
          <w:sz w:val="32"/>
        </w:rPr>
        <mc:AlternateContent>
          <mc:Choice Requires="wps">
            <w:drawing>
              <wp:anchor distT="0" distB="0" distL="114300" distR="114300" simplePos="0" relativeHeight="251663872" behindDoc="0" locked="0" layoutInCell="1" allowOverlap="1">
                <wp:simplePos x="0" y="0"/>
                <wp:positionH relativeFrom="column">
                  <wp:posOffset>1400175</wp:posOffset>
                </wp:positionH>
                <wp:positionV relativeFrom="paragraph">
                  <wp:posOffset>121920</wp:posOffset>
                </wp:positionV>
                <wp:extent cx="1047750" cy="304800"/>
                <wp:effectExtent l="9525" t="9525" r="9525" b="9525"/>
                <wp:wrapNone/>
                <wp:docPr id="19"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rsidR="00630BD8" w:rsidRDefault="00630BD8" w:rsidP="00372F8E">
                            <w:pPr>
                              <w:jc w:val="center"/>
                            </w:pPr>
                            <w:proofErr w:type="gramStart"/>
                            <w:r w:rsidRPr="00A742BB">
                              <w:rPr>
                                <w:rFonts w:eastAsia="標楷體"/>
                                <w:sz w:val="26"/>
                                <w:szCs w:val="26"/>
                              </w:rPr>
                              <w:t>瀚</w:t>
                            </w:r>
                            <w:proofErr w:type="gramEnd"/>
                            <w:r w:rsidRPr="00A742BB">
                              <w:rPr>
                                <w:rFonts w:eastAsia="標楷體"/>
                                <w:sz w:val="26"/>
                                <w:szCs w:val="26"/>
                              </w:rPr>
                              <w:t>昌公司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4" o:spid="_x0000_s1067" style="position:absolute;margin-left:110.25pt;margin-top:9.6pt;width:82.5pt;height: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">
                <v:textbox>
                  <w:txbxContent>
                    <w:p w:rsidR="00630BD8" w:rsidRDefault="00630BD8" w:rsidP="00372F8E">
                      <w:pPr>
                        <w:jc w:val="center"/>
                      </w:pPr>
                      <w:r w:rsidRPr="00A742BB">
                        <w:rPr>
                          <w:rFonts w:eastAsia="標楷體"/>
                          <w:sz w:val="26"/>
                          <w:szCs w:val="26"/>
                        </w:rPr>
                        <w:t>瀚昌公司</w:t>
                      </w:r>
                    </w:p>
                  </w:txbxContent>
                </v:textbox>
              </v:rect>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104775</wp:posOffset>
                </wp:positionH>
                <wp:positionV relativeFrom="paragraph">
                  <wp:posOffset>121920</wp:posOffset>
                </wp:positionV>
                <wp:extent cx="847725" cy="304800"/>
                <wp:effectExtent l="19050" t="19050" r="38100" b="47625"/>
                <wp:wrapNone/>
                <wp:docPr id="18"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048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630BD8" w:rsidRPr="000E09FA" w:rsidRDefault="00630BD8" w:rsidP="000E09FA">
                            <w:pPr>
                              <w:jc w:val="center"/>
                              <w:rPr>
                                <w:color w:val="FFFFFF" w:themeColor="background1"/>
                              </w:rPr>
                            </w:pPr>
                            <w:r>
                              <w:rPr>
                                <w:rFonts w:eastAsia="標楷體" w:hint="eastAsia"/>
                                <w:color w:val="FFFFFF" w:themeColor="background1"/>
                                <w:sz w:val="26"/>
                                <w:szCs w:val="26"/>
                              </w:rPr>
                              <w:t>供應商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068" style="position:absolute;margin-left:8.25pt;margin-top:9.6pt;width:66.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" fillcolor="#9bbb59 [3206]" strokecolor="#f2f2f2 [3041]" strokeweight="3pt">
                <v:shadow on="t" color="#4e6128 [1606]" opacity=".5" offset="1pt"/>
                <v:textbox>
                  <w:txbxContent>
                    <w:p w:rsidR="00630BD8" w:rsidRPr="000E09FA" w:rsidRDefault="00630BD8" w:rsidP="000E09FA">
                      <w:pPr>
                        <w:jc w:val="center"/>
                        <w:rPr>
                          <w:color w:val="FFFFFF" w:themeColor="background1"/>
                        </w:rPr>
                      </w:pPr>
                      <w:r>
                        <w:rPr>
                          <w:rFonts w:eastAsia="標楷體" w:hint="eastAsia"/>
                          <w:color w:val="FFFFFF" w:themeColor="background1"/>
                          <w:sz w:val="26"/>
                          <w:szCs w:val="26"/>
                        </w:rPr>
                        <w:t>供應商</w:t>
                      </w:r>
                    </w:p>
                  </w:txbxContent>
                </v:textbox>
              </v:rect>
            </w:pict>
          </mc:Fallback>
        </mc:AlternateContent>
      </w:r>
    </w:p>
    <w:p w:rsidR="00372F8E" w:rsidRDefault="00A63CF7" w:rsidP="00372F8E">
      <w:r>
        <w:rPr>
          <w:noProof/>
        </w:rPr>
        <mc:AlternateContent>
          <mc:Choice Requires="wps">
            <w:drawing>
              <wp:anchor distT="0" distB="0" distL="114300" distR="114300" simplePos="0" relativeHeight="251647484" behindDoc="0" locked="0" layoutInCell="1" allowOverlap="1">
                <wp:simplePos x="0" y="0"/>
                <wp:positionH relativeFrom="column">
                  <wp:posOffset>723900</wp:posOffset>
                </wp:positionH>
                <wp:positionV relativeFrom="paragraph">
                  <wp:posOffset>80010</wp:posOffset>
                </wp:positionV>
                <wp:extent cx="676275" cy="0"/>
                <wp:effectExtent l="9525" t="57150" r="19050" b="57150"/>
                <wp:wrapNone/>
                <wp:docPr id="17" name="Auto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4" o:spid="_x0000_s1026" type="#_x0000_t32" style="position:absolute;margin-left:57pt;margin-top:6.3pt;width:53.25pt;height:0;z-index:2516474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" strokeweight="1pt">
                <v:stroke dashstyle="dash" endarrow="block"/>
              </v:shape>
            </w:pict>
          </mc:Fallback>
        </mc:AlternateContent>
      </w:r>
    </w:p>
    <w:p w:rsidR="00372F8E" w:rsidRDefault="00372F8E" w:rsidP="00372F8E"/>
    <w:p w:rsidR="00372F8E" w:rsidRDefault="00372F8E" w:rsidP="00372F8E"/>
    <w:p w:rsidR="00372F8E" w:rsidRDefault="00A63CF7" w:rsidP="00372F8E">
      <w:r>
        <w:rPr>
          <w:noProof/>
        </w:rPr>
        <mc:AlternateContent>
          <mc:Choice Requires="wps">
            <w:drawing>
              <wp:anchor distT="0" distB="0" distL="114300" distR="114300" simplePos="0" relativeHeight="251665920" behindDoc="0" locked="0" layoutInCell="1" allowOverlap="1">
                <wp:simplePos x="0" y="0"/>
                <wp:positionH relativeFrom="column">
                  <wp:posOffset>723900</wp:posOffset>
                </wp:positionH>
                <wp:positionV relativeFrom="paragraph">
                  <wp:posOffset>68580</wp:posOffset>
                </wp:positionV>
                <wp:extent cx="1200150" cy="428625"/>
                <wp:effectExtent l="9525" t="9525" r="9525" b="9525"/>
                <wp:wrapNone/>
                <wp:docPr id="1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28625"/>
                        </a:xfrm>
                        <a:prstGeom prst="rect">
                          <a:avLst/>
                        </a:prstGeom>
                        <a:solidFill>
                          <a:srgbClr val="FFFFFF"/>
                        </a:solidFill>
                        <a:ln w="9525">
                          <a:solidFill>
                            <a:schemeClr val="bg1">
                              <a:lumMod val="100000"/>
                              <a:lumOff val="0"/>
                            </a:schemeClr>
                          </a:solidFill>
                          <a:prstDash val="dash"/>
                          <a:miter lim="800000"/>
                          <a:headEnd/>
                          <a:tailEnd/>
                        </a:ln>
                      </wps:spPr>
                      <wps:txbx>
                        <w:txbxContent>
                          <w:p w:rsidR="00630BD8" w:rsidRPr="00372F8E" w:rsidRDefault="00630BD8" w:rsidP="00372F8E">
                            <w:pPr>
                              <w:rPr>
                                <w:rFonts w:asciiTheme="majorEastAsia" w:eastAsiaTheme="majorEastAsia" w:hAnsiTheme="majorEastAsia"/>
                                <w:sz w:val="20"/>
                                <w:szCs w:val="20"/>
                              </w:rPr>
                            </w:pPr>
                            <w:r w:rsidRPr="00372F8E">
                              <w:rPr>
                                <w:rFonts w:asciiTheme="majorEastAsia" w:eastAsiaTheme="majorEastAsia" w:hAnsiTheme="majorEastAsia"/>
                                <w:sz w:val="20"/>
                                <w:szCs w:val="20"/>
                              </w:rPr>
                              <w:t>布料及鈕扣、拉鍊等副料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 o:spid="_x0000_s1069" style="position:absolute;margin-left:57pt;margin-top:5.4pt;width:94.5pt;height:3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" strokecolor="white [3212]">
                <v:stroke dashstyle="dash"/>
                <v:textbox>
                  <w:txbxContent>
                    <w:p w:rsidR="00630BD8" w:rsidRPr="00372F8E" w:rsidRDefault="00630BD8" w:rsidP="00372F8E">
                      <w:pPr>
                        <w:rPr>
                          <w:rFonts w:asciiTheme="majorEastAsia" w:eastAsiaTheme="majorEastAsia" w:hAnsiTheme="majorEastAsia"/>
                          <w:sz w:val="20"/>
                          <w:szCs w:val="20"/>
                        </w:rPr>
                      </w:pPr>
                      <w:r w:rsidRPr="00372F8E">
                        <w:rPr>
                          <w:rFonts w:asciiTheme="majorEastAsia" w:eastAsiaTheme="majorEastAsia" w:hAnsiTheme="majorEastAsia"/>
                          <w:sz w:val="20"/>
                          <w:szCs w:val="20"/>
                        </w:rPr>
                        <w:t>布料及鈕扣、拉鍊等副料</w:t>
                      </w:r>
                    </w:p>
                  </w:txbxContent>
                </v:textbox>
              </v:rect>
            </w:pict>
          </mc:Fallback>
        </mc:AlternateContent>
      </w:r>
      <w:r>
        <w:rPr>
          <w:noProof/>
        </w:rPr>
        <mc:AlternateContent>
          <mc:Choice Requires="wps">
            <w:drawing>
              <wp:anchor distT="0" distB="0" distL="114300" distR="114300" simplePos="0" relativeHeight="251650559" behindDoc="0" locked="0" layoutInCell="1" allowOverlap="1">
                <wp:simplePos x="0" y="0"/>
                <wp:positionH relativeFrom="column">
                  <wp:posOffset>2952750</wp:posOffset>
                </wp:positionH>
                <wp:positionV relativeFrom="paragraph">
                  <wp:posOffset>156210</wp:posOffset>
                </wp:positionV>
                <wp:extent cx="1200150" cy="428625"/>
                <wp:effectExtent l="0" t="1905" r="0" b="0"/>
                <wp:wrapNone/>
                <wp:docPr id="1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28625"/>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prstDash val="dash"/>
                              <a:miter lim="800000"/>
                              <a:headEnd/>
                              <a:tailEnd/>
                            </a14:hiddenLine>
                          </a:ext>
                        </a:extLst>
                      </wps:spPr>
                      <wps:txbx>
                        <w:txbxContent>
                          <w:p w:rsidR="00630BD8" w:rsidRPr="00372F8E" w:rsidRDefault="00630BD8" w:rsidP="00372F8E">
                            <w:r w:rsidRPr="00372F8E">
                              <w:rPr>
                                <w:rFonts w:asciiTheme="majorEastAsia" w:eastAsiaTheme="majorEastAsia" w:hAnsiTheme="majorEastAsia" w:hint="eastAsia"/>
                                <w:sz w:val="20"/>
                                <w:szCs w:val="20"/>
                              </w:rPr>
                              <w:t>成品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0" o:spid="_x0000_s1070" style="position:absolute;margin-left:232.5pt;margin-top:12.3pt;width:94.5pt;height:33.75pt;z-index:251650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" stroked="f" strokecolor="white [3212]">
                <v:stroke dashstyle="dash"/>
                <v:textbox>
                  <w:txbxContent>
                    <w:p w:rsidR="00630BD8" w:rsidRPr="00372F8E" w:rsidRDefault="00630BD8" w:rsidP="00372F8E">
                      <w:r w:rsidRPr="00372F8E">
                        <w:rPr>
                          <w:rFonts w:asciiTheme="majorEastAsia" w:eastAsiaTheme="majorEastAsia" w:hAnsiTheme="majorEastAsia" w:hint="eastAsia"/>
                          <w:sz w:val="20"/>
                          <w:szCs w:val="20"/>
                        </w:rPr>
                        <w:t>成品</w:t>
                      </w:r>
                    </w:p>
                  </w:txbxContent>
                </v:textbox>
              </v:rec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3419475</wp:posOffset>
                </wp:positionH>
                <wp:positionV relativeFrom="paragraph">
                  <wp:posOffset>268605</wp:posOffset>
                </wp:positionV>
                <wp:extent cx="676275" cy="0"/>
                <wp:effectExtent l="9525" t="57150" r="19050" b="57150"/>
                <wp:wrapNone/>
                <wp:docPr id="14"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9" o:spid="_x0000_s1026" type="#_x0000_t32" style="position:absolute;margin-left:269.25pt;margin-top:21.15pt;width:53.2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" strokeweight="1pt">
                <v:stroke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2009775</wp:posOffset>
                </wp:positionH>
                <wp:positionV relativeFrom="paragraph">
                  <wp:posOffset>268605</wp:posOffset>
                </wp:positionV>
                <wp:extent cx="676275" cy="0"/>
                <wp:effectExtent l="9525" t="57150" r="19050" b="57150"/>
                <wp:wrapNone/>
                <wp:docPr id="13"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7" o:spid="_x0000_s1026" type="#_x0000_t32" style="position:absolute;margin-left:158.25pt;margin-top:21.15pt;width:53.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" strokeweight="1pt">
                <v:stroke dashstyle="dash" endarrow="block"/>
              </v:shape>
            </w:pict>
          </mc:Fallback>
        </mc:AlternateContent>
      </w:r>
    </w:p>
    <w:p w:rsidR="00372F8E" w:rsidRDefault="00372F8E" w:rsidP="00372F8E"/>
    <w:p w:rsidR="00372F8E" w:rsidRDefault="00372F8E" w:rsidP="00372F8E"/>
    <w:p w:rsidR="00372F8E" w:rsidRDefault="00372F8E" w:rsidP="00372F8E"/>
    <w:p w:rsidR="00372F8E" w:rsidRDefault="00372F8E" w:rsidP="00372F8E"/>
    <w:p w:rsidR="00372F8E" w:rsidRPr="00372F8E" w:rsidRDefault="00372F8E" w:rsidP="00372F8E"/>
    <w:p w:rsidR="004C5A82" w:rsidRDefault="000D4180" w:rsidP="00D82424">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bookmarkStart w:id="64" w:name="_MON_1239037395"/>
      <w:bookmarkStart w:id="65" w:name="_MON_1239139217"/>
      <w:bookmarkStart w:id="66" w:name="_MON_1239197127"/>
      <w:bookmarkStart w:id="67" w:name="_MON_1243409149"/>
      <w:bookmarkStart w:id="68" w:name="_MON_1273505005"/>
      <w:bookmarkStart w:id="69" w:name="_MON_1273505010"/>
      <w:bookmarkStart w:id="70" w:name="_MON_1302968609"/>
      <w:bookmarkStart w:id="71" w:name="_MON_1302970044"/>
      <w:bookmarkStart w:id="72" w:name="_MON_1303113476"/>
      <w:bookmarkStart w:id="73" w:name="_MON_1305637986"/>
      <w:bookmarkStart w:id="74" w:name="_MON_1357734329"/>
      <w:bookmarkStart w:id="75" w:name="_MON_1357740844"/>
      <w:bookmarkStart w:id="76" w:name="_MON_1358687134"/>
      <w:bookmarkStart w:id="77" w:name="_MON_1358687146"/>
      <w:bookmarkStart w:id="78" w:name="_MON_1364737890"/>
      <w:bookmarkStart w:id="79" w:name="_MON_1364737910"/>
      <w:bookmarkStart w:id="80" w:name="_MON_1364737934"/>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EA272E">
        <w:rPr>
          <w:rFonts w:ascii="Times New Roman" w:eastAsia="標楷體" w:hAnsi="Times New Roman" w:hint="eastAsia"/>
          <w:sz w:val="36"/>
          <w:szCs w:val="40"/>
        </w:rPr>
        <w:lastRenderedPageBreak/>
        <w:t>收</w:t>
      </w:r>
      <w:r w:rsidRPr="00EA272E">
        <w:rPr>
          <w:rFonts w:ascii="Times New Roman" w:eastAsia="標楷體" w:hAnsi="Times New Roman"/>
          <w:sz w:val="36"/>
          <w:szCs w:val="40"/>
        </w:rPr>
        <w:t>付款</w:t>
      </w:r>
      <w:r w:rsidRPr="00EA272E">
        <w:rPr>
          <w:rFonts w:ascii="Times New Roman" w:eastAsia="標楷體" w:hAnsi="Times New Roman" w:hint="eastAsia"/>
          <w:sz w:val="36"/>
          <w:szCs w:val="40"/>
        </w:rPr>
        <w:t>條件</w:t>
      </w:r>
    </w:p>
    <w:p w:rsidR="00D92058" w:rsidRDefault="000D4180" w:rsidP="00D82424">
      <w:pPr>
        <w:spacing w:beforeLines="50" w:before="120" w:afterLines="50" w:after="120" w:line="360" w:lineRule="auto"/>
        <w:ind w:firstLineChars="200" w:firstLine="520"/>
        <w:jc w:val="both"/>
      </w:pPr>
      <w:r w:rsidRPr="00AB5097">
        <w:rPr>
          <w:rFonts w:eastAsia="標楷體" w:hint="eastAsia"/>
          <w:sz w:val="26"/>
          <w:szCs w:val="26"/>
        </w:rPr>
        <w:t>瀚昌公司給予關係企業之付款條件為</w:t>
      </w:r>
      <w:r w:rsidRPr="00AB5097">
        <w:rPr>
          <w:rFonts w:eastAsia="標楷體" w:hint="eastAsia"/>
          <w:sz w:val="26"/>
          <w:szCs w:val="26"/>
        </w:rPr>
        <w:t>30</w:t>
      </w:r>
      <w:r w:rsidRPr="00AB5097">
        <w:rPr>
          <w:rFonts w:eastAsia="標楷體" w:hint="eastAsia"/>
          <w:sz w:val="26"/>
          <w:szCs w:val="26"/>
        </w:rPr>
        <w:t>天。</w:t>
      </w:r>
    </w:p>
    <w:p w:rsidR="003C2126" w:rsidRDefault="003C2126" w:rsidP="00D92058">
      <w:r>
        <w:br w:type="page"/>
      </w:r>
    </w:p>
    <w:p w:rsidR="0087751B" w:rsidRPr="00D92058" w:rsidRDefault="0087751B" w:rsidP="00D92058"/>
    <w:p w:rsidR="00B12D41" w:rsidRPr="00EA272E" w:rsidRDefault="00B12D41" w:rsidP="00ED670D">
      <w:pPr>
        <w:pStyle w:val="1"/>
        <w:spacing w:before="0" w:after="0" w:line="360" w:lineRule="auto"/>
        <w:ind w:left="0" w:firstLine="0"/>
        <w:jc w:val="center"/>
        <w:rPr>
          <w:rFonts w:ascii="Times New Roman" w:eastAsia="標楷體" w:hAnsi="Times New Roman"/>
          <w:sz w:val="48"/>
          <w:szCs w:val="48"/>
        </w:rPr>
        <w:sectPr w:rsidR="00B12D41" w:rsidRPr="00EA272E" w:rsidSect="00DD5AB2">
          <w:type w:val="oddPage"/>
          <w:pgSz w:w="11906" w:h="16838" w:code="9"/>
          <w:pgMar w:top="2160" w:right="1440" w:bottom="1814" w:left="1440" w:header="851" w:footer="567" w:gutter="567"/>
          <w:cols w:space="425"/>
          <w:docGrid w:linePitch="360"/>
        </w:sectPr>
      </w:pPr>
      <w:bookmarkStart w:id="81" w:name="_Toc136775348"/>
    </w:p>
    <w:bookmarkStart w:id="82" w:name="_Toc253154511"/>
    <w:bookmarkStart w:id="83" w:name="_Toc253154579"/>
    <w:bookmarkStart w:id="84" w:name="_Toc272326010"/>
    <w:bookmarkStart w:id="85" w:name="_Toc272326638"/>
    <w:bookmarkStart w:id="86" w:name="_Toc272326817"/>
    <w:bookmarkStart w:id="87" w:name="_Toc275960650"/>
    <w:bookmarkStart w:id="88" w:name="_Toc449536299"/>
    <w:p w:rsidR="007821E9" w:rsidRPr="00EA272E" w:rsidRDefault="00A63CF7"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5680" behindDoc="0" locked="0" layoutInCell="1" allowOverlap="1">
                <wp:simplePos x="0" y="0"/>
                <wp:positionH relativeFrom="column">
                  <wp:posOffset>4671060</wp:posOffset>
                </wp:positionH>
                <wp:positionV relativeFrom="paragraph">
                  <wp:posOffset>0</wp:posOffset>
                </wp:positionV>
                <wp:extent cx="720090" cy="720090"/>
                <wp:effectExtent l="11430" t="9525" r="11430" b="13335"/>
                <wp:wrapNone/>
                <wp:docPr id="1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1F43DB" w:rsidRDefault="00630BD8"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71" type="#_x0000_t202" style="position:absolute;left:0;text-align:left;margin-left:367.8pt;margin-top:0;width:56.7pt;height:56.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47NJHSkCAABaBAAADgAAAAAAAAAAAAAAAAAuAgAAZHJzL2Uy&#10;b0RvYy54bWxQSwECLQAUAAYACAAAACEAs40IE94AAAAIAQAADwAAAAAAAAAAAAAAAACDBAAAZHJz&#10;L2Rvd25yZXYueG1sUEsFBgAAAAAEAAQA8wAAAI4FAAAAAA==&#10;">
                <v:textbox>
                  <w:txbxContent>
                    <w:p w:rsidR="00630BD8" w:rsidRPr="001F43DB" w:rsidRDefault="00630BD8"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82"/>
      <w:bookmarkEnd w:id="83"/>
      <w:bookmarkEnd w:id="84"/>
      <w:bookmarkEnd w:id="85"/>
      <w:bookmarkEnd w:id="86"/>
      <w:bookmarkEnd w:id="87"/>
      <w:bookmarkEnd w:id="88"/>
    </w:p>
    <w:p w:rsidR="007821E9" w:rsidRPr="0025570B" w:rsidRDefault="007821E9" w:rsidP="008E0EB4">
      <w:pPr>
        <w:pStyle w:val="1"/>
        <w:numPr>
          <w:ilvl w:val="0"/>
          <w:numId w:val="0"/>
        </w:numPr>
        <w:spacing w:before="0" w:after="0" w:line="240" w:lineRule="auto"/>
        <w:jc w:val="right"/>
        <w:rPr>
          <w:rFonts w:ascii="Times New Roman" w:eastAsia="標楷體" w:hAnsi="Times New Roman"/>
          <w:noProof/>
          <w:sz w:val="36"/>
          <w:szCs w:val="48"/>
        </w:rPr>
      </w:pPr>
    </w:p>
    <w:p w:rsidR="00567251" w:rsidRPr="000E26E4" w:rsidRDefault="0025570B"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89" w:name="_Toc449536300"/>
      <w:r w:rsidRPr="000E26E4">
        <w:rPr>
          <w:rFonts w:ascii="Times New Roman" w:eastAsia="標楷體" w:hAnsi="Times New Roman" w:hint="eastAsia"/>
          <w:sz w:val="44"/>
          <w:szCs w:val="46"/>
        </w:rPr>
        <w:t>證明</w:t>
      </w:r>
      <w:bookmarkEnd w:id="81"/>
      <w:r w:rsidRPr="000E26E4">
        <w:rPr>
          <w:rFonts w:ascii="Times New Roman" w:eastAsia="標楷體" w:hAnsi="Times New Roman" w:hint="eastAsia"/>
          <w:sz w:val="44"/>
          <w:szCs w:val="46"/>
        </w:rPr>
        <w:t>訂價結果為符合常規結果之文據</w:t>
      </w:r>
      <w:bookmarkEnd w:id="89"/>
    </w:p>
    <w:p w:rsidR="004C5A82" w:rsidRDefault="00FB01FC" w:rsidP="00D82424">
      <w:pPr>
        <w:spacing w:beforeLines="50" w:before="120" w:afterLines="50" w:after="120" w:line="360" w:lineRule="auto"/>
        <w:ind w:firstLineChars="200" w:firstLine="520"/>
        <w:jc w:val="both"/>
        <w:rPr>
          <w:rFonts w:eastAsia="標楷體"/>
          <w:sz w:val="26"/>
          <w:szCs w:val="26"/>
        </w:rPr>
      </w:pPr>
      <w:r w:rsidRPr="00FB01FC">
        <w:rPr>
          <w:rFonts w:eastAsia="標楷體" w:hint="eastAsia"/>
          <w:sz w:val="26"/>
          <w:szCs w:val="26"/>
        </w:rPr>
        <w:t>瀚昌公司</w:t>
      </w:r>
      <w:r w:rsidR="0025570B" w:rsidRPr="00FB01FC">
        <w:rPr>
          <w:rFonts w:eastAsia="標楷體"/>
          <w:sz w:val="26"/>
          <w:szCs w:val="26"/>
        </w:rPr>
        <w:t>因</w:t>
      </w:r>
      <w:r w:rsidR="00211437">
        <w:rPr>
          <w:rFonts w:eastAsia="標楷體" w:hint="eastAsia"/>
          <w:sz w:val="26"/>
          <w:szCs w:val="26"/>
        </w:rPr>
        <w:t>105</w:t>
      </w:r>
      <w:r w:rsidR="0025570B" w:rsidRPr="00FB01FC">
        <w:rPr>
          <w:rFonts w:eastAsia="標楷體" w:hint="eastAsia"/>
          <w:sz w:val="26"/>
          <w:szCs w:val="26"/>
        </w:rPr>
        <w:t>會</w:t>
      </w:r>
      <w:r w:rsidR="0025570B" w:rsidRPr="0087751B">
        <w:rPr>
          <w:rFonts w:eastAsia="標楷體" w:hint="eastAsia"/>
          <w:sz w:val="26"/>
          <w:szCs w:val="26"/>
        </w:rPr>
        <w:t>計年</w:t>
      </w:r>
      <w:r w:rsidR="0025570B" w:rsidRPr="0001285A">
        <w:rPr>
          <w:rFonts w:eastAsia="標楷體" w:hint="eastAsia"/>
          <w:sz w:val="26"/>
          <w:szCs w:val="26"/>
        </w:rPr>
        <w:t>度</w:t>
      </w:r>
      <w:r w:rsidR="000D4180" w:rsidRPr="0001285A">
        <w:rPr>
          <w:rFonts w:eastAsia="標楷體" w:hint="eastAsia"/>
          <w:sz w:val="26"/>
          <w:szCs w:val="26"/>
        </w:rPr>
        <w:t>收入總額</w:t>
      </w:r>
      <w:r w:rsidR="000D4180" w:rsidRPr="0001285A">
        <w:rPr>
          <w:rFonts w:eastAsia="標楷體"/>
          <w:sz w:val="26"/>
          <w:szCs w:val="26"/>
        </w:rPr>
        <w:t>未達新台幣</w:t>
      </w:r>
      <w:r w:rsidR="000D4180" w:rsidRPr="0001285A">
        <w:rPr>
          <w:rFonts w:eastAsia="標楷體" w:hint="eastAsia"/>
          <w:sz w:val="26"/>
          <w:szCs w:val="26"/>
        </w:rPr>
        <w:t>3</w:t>
      </w:r>
      <w:r w:rsidR="000D4180" w:rsidRPr="0001285A">
        <w:rPr>
          <w:rFonts w:eastAsia="標楷體"/>
          <w:sz w:val="26"/>
          <w:szCs w:val="26"/>
        </w:rPr>
        <w:t>億元，</w:t>
      </w:r>
      <w:r w:rsidR="0025570B" w:rsidRPr="0001285A">
        <w:rPr>
          <w:rFonts w:eastAsia="標楷體"/>
          <w:sz w:val="26"/>
          <w:szCs w:val="26"/>
        </w:rPr>
        <w:t>故得以替代文據證明其訂價結果符合</w:t>
      </w:r>
      <w:r w:rsidR="0025570B" w:rsidRPr="00047E9F">
        <w:rPr>
          <w:rFonts w:eastAsia="標楷體"/>
          <w:sz w:val="26"/>
          <w:szCs w:val="26"/>
        </w:rPr>
        <w:t>常規交易。依台財稅字第</w:t>
      </w:r>
      <w:r w:rsidR="0025570B" w:rsidRPr="00047E9F">
        <w:rPr>
          <w:rFonts w:eastAsia="標楷體"/>
          <w:sz w:val="26"/>
          <w:szCs w:val="26"/>
        </w:rPr>
        <w:t>09</w:t>
      </w:r>
      <w:r w:rsidR="0025570B" w:rsidRPr="00047E9F">
        <w:rPr>
          <w:rFonts w:eastAsia="標楷體" w:hint="eastAsia"/>
          <w:sz w:val="26"/>
          <w:szCs w:val="26"/>
        </w:rPr>
        <w:t>704555160</w:t>
      </w:r>
      <w:r w:rsidR="0025570B" w:rsidRPr="00047E9F">
        <w:rPr>
          <w:rFonts w:eastAsia="標楷體"/>
          <w:sz w:val="26"/>
          <w:szCs w:val="26"/>
        </w:rPr>
        <w:t>號</w:t>
      </w:r>
      <w:r w:rsidR="0025570B" w:rsidRPr="008F4F5B">
        <w:rPr>
          <w:rFonts w:eastAsia="標楷體"/>
          <w:sz w:val="26"/>
          <w:szCs w:val="26"/>
        </w:rPr>
        <w:t>令</w:t>
      </w:r>
      <w:r w:rsidR="004574AF" w:rsidRPr="008F4F5B">
        <w:rPr>
          <w:rFonts w:eastAsia="標楷體"/>
          <w:sz w:val="26"/>
          <w:szCs w:val="26"/>
        </w:rPr>
        <w:t>第四點第二款</w:t>
      </w:r>
      <w:r w:rsidR="0025570B" w:rsidRPr="008F4F5B">
        <w:rPr>
          <w:rFonts w:eastAsia="標楷體"/>
          <w:sz w:val="26"/>
          <w:szCs w:val="26"/>
        </w:rPr>
        <w:t>規定，『替代文據』有下列選擇：</w:t>
      </w:r>
    </w:p>
    <w:p w:rsidR="004C5A82" w:rsidRDefault="0025570B" w:rsidP="00D82424">
      <w:pPr>
        <w:numPr>
          <w:ilvl w:val="0"/>
          <w:numId w:val="31"/>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可比較未受控交易之公開招標文件及資料。</w:t>
      </w:r>
    </w:p>
    <w:p w:rsidR="004C5A82" w:rsidRDefault="0025570B" w:rsidP="00D82424">
      <w:pPr>
        <w:numPr>
          <w:ilvl w:val="0"/>
          <w:numId w:val="31"/>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營利事業所得稅查核準則第</w:t>
      </w:r>
      <w:r w:rsidRPr="008F4F5B">
        <w:rPr>
          <w:rFonts w:eastAsia="標楷體"/>
          <w:sz w:val="26"/>
          <w:szCs w:val="26"/>
        </w:rPr>
        <w:t>22</w:t>
      </w:r>
      <w:r w:rsidRPr="008F4F5B">
        <w:rPr>
          <w:rFonts w:eastAsia="標楷體"/>
          <w:sz w:val="26"/>
          <w:szCs w:val="26"/>
        </w:rPr>
        <w:t>條第</w:t>
      </w:r>
      <w:r w:rsidRPr="008F4F5B">
        <w:rPr>
          <w:rFonts w:eastAsia="標楷體"/>
          <w:sz w:val="26"/>
          <w:szCs w:val="26"/>
        </w:rPr>
        <w:t>3</w:t>
      </w:r>
      <w:r w:rsidRPr="008F4F5B">
        <w:rPr>
          <w:rFonts w:eastAsia="標楷體"/>
          <w:sz w:val="26"/>
          <w:szCs w:val="26"/>
        </w:rPr>
        <w:t>項規定之時價資料。</w:t>
      </w:r>
    </w:p>
    <w:p w:rsidR="004C5A82" w:rsidRDefault="0025570B" w:rsidP="00D82424">
      <w:pPr>
        <w:numPr>
          <w:ilvl w:val="0"/>
          <w:numId w:val="31"/>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獨立不動產估價師依法製作之估價報告或公證機構出具之鑑價報告。</w:t>
      </w:r>
    </w:p>
    <w:p w:rsidR="004C5A82" w:rsidRDefault="0025570B" w:rsidP="00D82424">
      <w:pPr>
        <w:numPr>
          <w:ilvl w:val="0"/>
          <w:numId w:val="31"/>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受控交易參與人之一為中華民國境外之關係企業，其依所在地國移轉訂價法規作成之移轉訂價報告。但其內容顯與我國移轉訂價法規不符者，應進行適當之修正。</w:t>
      </w:r>
    </w:p>
    <w:p w:rsidR="004C5A82" w:rsidRDefault="0025570B" w:rsidP="00D82424">
      <w:pPr>
        <w:numPr>
          <w:ilvl w:val="0"/>
          <w:numId w:val="31"/>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其他符合移轉訂價查核準則第</w:t>
      </w:r>
      <w:r w:rsidRPr="008F4F5B">
        <w:rPr>
          <w:rFonts w:eastAsia="標楷體"/>
          <w:sz w:val="26"/>
          <w:szCs w:val="26"/>
        </w:rPr>
        <w:t>7</w:t>
      </w:r>
      <w:r w:rsidRPr="008F4F5B">
        <w:rPr>
          <w:rFonts w:eastAsia="標楷體"/>
          <w:sz w:val="26"/>
          <w:szCs w:val="26"/>
        </w:rPr>
        <w:t>條第</w:t>
      </w:r>
      <w:r w:rsidRPr="008F4F5B">
        <w:rPr>
          <w:rFonts w:eastAsia="標楷體"/>
          <w:sz w:val="26"/>
          <w:szCs w:val="26"/>
        </w:rPr>
        <w:t>1</w:t>
      </w:r>
      <w:r w:rsidRPr="008F4F5B">
        <w:rPr>
          <w:rFonts w:eastAsia="標楷體"/>
          <w:sz w:val="26"/>
          <w:szCs w:val="26"/>
        </w:rPr>
        <w:t>款規定可比較原則，足資證明其訂價結果符合常規交易結果之文據。</w:t>
      </w:r>
    </w:p>
    <w:p w:rsidR="004C5A82" w:rsidRDefault="000D4180" w:rsidP="00D82424">
      <w:pPr>
        <w:spacing w:beforeLines="50" w:before="120" w:afterLines="50" w:after="120" w:line="360" w:lineRule="auto"/>
        <w:ind w:firstLineChars="200" w:firstLine="520"/>
        <w:jc w:val="both"/>
        <w:rPr>
          <w:rFonts w:eastAsia="標楷體"/>
        </w:rPr>
      </w:pPr>
      <w:r w:rsidRPr="00AB5097">
        <w:rPr>
          <w:rFonts w:eastAsia="標楷體" w:hint="eastAsia"/>
          <w:sz w:val="26"/>
          <w:szCs w:val="26"/>
        </w:rPr>
        <w:t>瀚昌公司與關係企業</w:t>
      </w:r>
      <w:r w:rsidRPr="00AB5097">
        <w:rPr>
          <w:rFonts w:eastAsia="標楷體" w:hint="eastAsia"/>
          <w:sz w:val="26"/>
          <w:szCs w:val="26"/>
        </w:rPr>
        <w:t>PT</w:t>
      </w:r>
      <w:r w:rsidRPr="00AB5097">
        <w:rPr>
          <w:rFonts w:eastAsia="標楷體" w:hint="eastAsia"/>
          <w:sz w:val="26"/>
          <w:szCs w:val="26"/>
        </w:rPr>
        <w:t>間之銷貨受控交易，因</w:t>
      </w:r>
      <w:r w:rsidRPr="00AB5097">
        <w:rPr>
          <w:rFonts w:eastAsia="標楷體"/>
          <w:sz w:val="26"/>
          <w:szCs w:val="26"/>
        </w:rPr>
        <w:t>無法取得上述</w:t>
      </w:r>
      <w:r w:rsidRPr="00AB5097">
        <w:rPr>
          <w:rFonts w:eastAsia="標楷體" w:hint="eastAsia"/>
          <w:sz w:val="26"/>
          <w:szCs w:val="26"/>
        </w:rPr>
        <w:t>號</w:t>
      </w:r>
      <w:r w:rsidRPr="00AB5097">
        <w:rPr>
          <w:rFonts w:eastAsia="標楷體"/>
          <w:sz w:val="26"/>
          <w:szCs w:val="26"/>
        </w:rPr>
        <w:t>令中第四點第二款</w:t>
      </w:r>
      <w:r w:rsidRPr="00AB5097">
        <w:rPr>
          <w:rFonts w:eastAsia="標楷體"/>
          <w:sz w:val="26"/>
          <w:szCs w:val="26"/>
        </w:rPr>
        <w:t>1</w:t>
      </w:r>
      <w:r w:rsidRPr="00AB5097">
        <w:rPr>
          <w:rFonts w:eastAsia="標楷體"/>
          <w:sz w:val="26"/>
          <w:szCs w:val="26"/>
        </w:rPr>
        <w:t>至</w:t>
      </w:r>
      <w:r w:rsidRPr="00AB5097">
        <w:rPr>
          <w:rFonts w:eastAsia="標楷體"/>
          <w:sz w:val="26"/>
          <w:szCs w:val="26"/>
        </w:rPr>
        <w:t>4</w:t>
      </w:r>
      <w:r w:rsidRPr="00AB5097">
        <w:rPr>
          <w:rFonts w:eastAsia="標楷體"/>
          <w:sz w:val="26"/>
          <w:szCs w:val="26"/>
        </w:rPr>
        <w:t>項規定之文據，</w:t>
      </w:r>
      <w:r w:rsidRPr="00AB5097">
        <w:rPr>
          <w:rFonts w:eastAsia="標楷體" w:hint="eastAsia"/>
          <w:sz w:val="26"/>
          <w:szCs w:val="26"/>
        </w:rPr>
        <w:t>本所</w:t>
      </w:r>
      <w:r w:rsidRPr="00AB5097">
        <w:rPr>
          <w:rFonts w:eastAsia="標楷體"/>
          <w:sz w:val="26"/>
          <w:szCs w:val="26"/>
        </w:rPr>
        <w:t>依第</w:t>
      </w:r>
      <w:r w:rsidRPr="00AB5097">
        <w:rPr>
          <w:rFonts w:eastAsia="標楷體"/>
          <w:sz w:val="26"/>
          <w:szCs w:val="26"/>
        </w:rPr>
        <w:t>5</w:t>
      </w:r>
      <w:r w:rsidRPr="00AB5097">
        <w:rPr>
          <w:rFonts w:eastAsia="標楷體"/>
          <w:sz w:val="26"/>
          <w:szCs w:val="26"/>
        </w:rPr>
        <w:t>項規定，按移轉訂價查核準則第</w:t>
      </w:r>
      <w:r w:rsidRPr="00AB5097">
        <w:rPr>
          <w:rFonts w:eastAsia="標楷體"/>
          <w:sz w:val="26"/>
          <w:szCs w:val="26"/>
        </w:rPr>
        <w:t>7</w:t>
      </w:r>
      <w:r w:rsidRPr="00AB5097">
        <w:rPr>
          <w:rFonts w:eastAsia="標楷體"/>
          <w:sz w:val="26"/>
          <w:szCs w:val="26"/>
        </w:rPr>
        <w:t>條第</w:t>
      </w:r>
      <w:r w:rsidRPr="00AB5097">
        <w:rPr>
          <w:rFonts w:eastAsia="標楷體"/>
          <w:sz w:val="26"/>
          <w:szCs w:val="26"/>
        </w:rPr>
        <w:t>1</w:t>
      </w:r>
      <w:r w:rsidRPr="00AB5097">
        <w:rPr>
          <w:rFonts w:eastAsia="標楷體"/>
          <w:sz w:val="26"/>
          <w:szCs w:val="26"/>
        </w:rPr>
        <w:t>款可比較原則，準備足資證明訂價結果符合常規交易之文據。</w:t>
      </w:r>
    </w:p>
    <w:p w:rsidR="00BD6F3C" w:rsidRDefault="00BD6F3C" w:rsidP="00AB3D8C">
      <w:pPr>
        <w:rPr>
          <w:rFonts w:eastAsia="標楷體"/>
        </w:rPr>
      </w:pPr>
    </w:p>
    <w:p w:rsidR="000D4180" w:rsidRDefault="000D4180" w:rsidP="00AB3D8C">
      <w:pPr>
        <w:rPr>
          <w:rFonts w:eastAsia="標楷體"/>
        </w:rPr>
      </w:pPr>
    </w:p>
    <w:p w:rsidR="000D4180" w:rsidRDefault="000D4180" w:rsidP="00AB3D8C">
      <w:pPr>
        <w:rPr>
          <w:rFonts w:eastAsia="標楷體"/>
        </w:rPr>
      </w:pPr>
    </w:p>
    <w:p w:rsidR="000D4180" w:rsidRDefault="000D4180" w:rsidP="00AB3D8C">
      <w:pPr>
        <w:rPr>
          <w:rFonts w:eastAsia="標楷體"/>
        </w:rPr>
      </w:pPr>
    </w:p>
    <w:p w:rsidR="000D4180" w:rsidRDefault="000D4180" w:rsidP="00AB3D8C">
      <w:pPr>
        <w:rPr>
          <w:rFonts w:eastAsia="標楷體"/>
        </w:rPr>
      </w:pPr>
    </w:p>
    <w:p w:rsidR="000D4180" w:rsidRDefault="000D4180" w:rsidP="00AB3D8C">
      <w:pPr>
        <w:rPr>
          <w:rFonts w:eastAsia="標楷體"/>
        </w:rPr>
      </w:pPr>
    </w:p>
    <w:p w:rsidR="000E26E4" w:rsidRDefault="000E26E4" w:rsidP="00AB3D8C">
      <w:pPr>
        <w:rPr>
          <w:rFonts w:eastAsia="標楷體"/>
        </w:rPr>
      </w:pPr>
    </w:p>
    <w:p w:rsidR="000E26E4" w:rsidRPr="00EA272E" w:rsidRDefault="000E26E4" w:rsidP="00AB3D8C">
      <w:pPr>
        <w:rPr>
          <w:rFonts w:eastAsia="標楷體"/>
        </w:rPr>
      </w:pPr>
    </w:p>
    <w:p w:rsidR="0076045E" w:rsidRPr="00EA272E" w:rsidRDefault="0076045E" w:rsidP="00ED670D">
      <w:pPr>
        <w:pStyle w:val="1"/>
        <w:spacing w:before="0" w:after="0" w:line="360" w:lineRule="auto"/>
        <w:ind w:left="0" w:firstLine="0"/>
        <w:jc w:val="center"/>
        <w:rPr>
          <w:rFonts w:ascii="Times New Roman" w:eastAsia="標楷體" w:hAnsi="Times New Roman"/>
          <w:sz w:val="48"/>
          <w:szCs w:val="48"/>
        </w:rPr>
        <w:sectPr w:rsidR="0076045E" w:rsidRPr="00EA272E" w:rsidSect="00DD5AB2">
          <w:type w:val="oddPage"/>
          <w:pgSz w:w="11906" w:h="16838" w:code="9"/>
          <w:pgMar w:top="2160" w:right="1440" w:bottom="1814" w:left="1440" w:header="851" w:footer="567" w:gutter="567"/>
          <w:cols w:space="425"/>
          <w:docGrid w:linePitch="360"/>
        </w:sectPr>
      </w:pPr>
    </w:p>
    <w:bookmarkStart w:id="90" w:name="_Toc253154513"/>
    <w:bookmarkStart w:id="91" w:name="_Toc253154581"/>
    <w:bookmarkStart w:id="92" w:name="_Toc272326012"/>
    <w:bookmarkStart w:id="93" w:name="_Toc272326640"/>
    <w:bookmarkStart w:id="94" w:name="_Toc272326819"/>
    <w:bookmarkStart w:id="95" w:name="_Toc275960652"/>
    <w:bookmarkStart w:id="96" w:name="_Toc449536301"/>
    <w:p w:rsidR="00995F8B" w:rsidRPr="00EA272E" w:rsidRDefault="00A63CF7"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704" behindDoc="0" locked="0" layoutInCell="1" allowOverlap="1">
                <wp:simplePos x="0" y="0"/>
                <wp:positionH relativeFrom="column">
                  <wp:posOffset>4662170</wp:posOffset>
                </wp:positionH>
                <wp:positionV relativeFrom="paragraph">
                  <wp:posOffset>0</wp:posOffset>
                </wp:positionV>
                <wp:extent cx="720090" cy="720090"/>
                <wp:effectExtent l="12065" t="9525" r="10795" b="13335"/>
                <wp:wrapNone/>
                <wp:docPr id="1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8C6F22" w:rsidRDefault="00630BD8"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72" type="#_x0000_t202" style="position:absolute;left:0;text-align:left;margin-left:367.1pt;margin-top:0;width:56.7pt;height:5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oAr3GikCAABaBAAADgAAAAAAAAAAAAAAAAAuAgAAZHJzL2Uy&#10;b0RvYy54bWxQSwECLQAUAAYACAAAACEACXMfxN4AAAAIAQAADwAAAAAAAAAAAAAAAACDBAAAZHJz&#10;L2Rvd25yZXYueG1sUEsFBgAAAAAEAAQA8wAAAI4FAAAAAA==&#10;">
                <v:textbox>
                  <w:txbxContent>
                    <w:p w:rsidR="00630BD8" w:rsidRPr="008C6F22" w:rsidRDefault="00630BD8"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90"/>
      <w:bookmarkEnd w:id="91"/>
      <w:bookmarkEnd w:id="92"/>
      <w:bookmarkEnd w:id="93"/>
      <w:bookmarkEnd w:id="94"/>
      <w:bookmarkEnd w:id="95"/>
      <w:bookmarkEnd w:id="96"/>
    </w:p>
    <w:p w:rsidR="00995F8B" w:rsidRPr="00EA272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0E26E4" w:rsidRDefault="00F70BB6"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97" w:name="_Toc449536302"/>
      <w:r w:rsidRPr="000E26E4">
        <w:rPr>
          <w:rFonts w:ascii="Times New Roman" w:eastAsia="標楷體" w:hAnsi="Times New Roman" w:hint="eastAsia"/>
          <w:sz w:val="44"/>
          <w:szCs w:val="46"/>
        </w:rPr>
        <w:t>遵循移轉訂價查核準則辦理情形</w:t>
      </w:r>
      <w:bookmarkEnd w:id="97"/>
    </w:p>
    <w:p w:rsidR="00F70BB6" w:rsidRPr="00EA272E"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EA272E">
        <w:rPr>
          <w:rFonts w:eastAsia="標楷體"/>
          <w:sz w:val="26"/>
          <w:szCs w:val="26"/>
        </w:rPr>
        <w:t>8</w:t>
      </w:r>
      <w:r w:rsidRPr="00EA272E">
        <w:rPr>
          <w:rFonts w:eastAsia="標楷體"/>
          <w:sz w:val="26"/>
          <w:szCs w:val="26"/>
        </w:rPr>
        <w:t>條</w:t>
      </w:r>
      <w:r w:rsidRPr="00EA272E">
        <w:rPr>
          <w:rFonts w:eastAsia="標楷體" w:hint="eastAsia"/>
          <w:sz w:val="26"/>
          <w:szCs w:val="26"/>
        </w:rPr>
        <w:t>共</w:t>
      </w:r>
      <w:r w:rsidRPr="00EA272E">
        <w:rPr>
          <w:rFonts w:eastAsia="標楷體"/>
          <w:sz w:val="26"/>
          <w:szCs w:val="26"/>
        </w:rPr>
        <w:t>列出七項要件，規定於決定受控交易與未受控交易之可比較程度時，應基於此七項要件做比較。</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所謂『可比較程度』，為非關係企業間交易（即『未受控交易』）與關係企業間交易（即『受控交易』）之相似程度。</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本所遵循移轉訂價查核準則第</w:t>
      </w:r>
      <w:r w:rsidRPr="00EA272E">
        <w:rPr>
          <w:rFonts w:eastAsia="標楷體"/>
          <w:sz w:val="26"/>
          <w:szCs w:val="26"/>
        </w:rPr>
        <w:t>8</w:t>
      </w:r>
      <w:r w:rsidRPr="00EA272E">
        <w:rPr>
          <w:rFonts w:eastAsia="標楷體"/>
          <w:sz w:val="26"/>
          <w:szCs w:val="26"/>
        </w:rPr>
        <w:t>條列舉之影響價格或利潤因素，作為選擇可比較對象之依據。</w:t>
      </w:r>
    </w:p>
    <w:p w:rsidR="004C5A82" w:rsidRDefault="00F70BB6" w:rsidP="00D82424">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一、</w:t>
      </w:r>
      <w:r w:rsidRPr="00EA272E">
        <w:rPr>
          <w:rFonts w:ascii="Times New Roman" w:eastAsia="標楷體" w:hAnsi="Times New Roman" w:hint="eastAsia"/>
          <w:sz w:val="32"/>
          <w:szCs w:val="32"/>
        </w:rPr>
        <w:t>交易標的</w:t>
      </w:r>
      <w:r w:rsidRPr="00EA272E">
        <w:rPr>
          <w:rFonts w:ascii="Times New Roman" w:eastAsia="標楷體" w:hAnsi="Times New Roman"/>
          <w:sz w:val="32"/>
          <w:szCs w:val="32"/>
        </w:rPr>
        <w:t>資產或服務之特性</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5</w:t>
      </w:r>
      <w:r w:rsidRPr="00EA272E">
        <w:rPr>
          <w:rFonts w:eastAsia="標楷體"/>
          <w:sz w:val="26"/>
          <w:szCs w:val="26"/>
        </w:rPr>
        <w:t>條規定受控交易應按條文列舉之七種類型加以分類</w:t>
      </w:r>
      <w:r w:rsidRPr="00EA272E">
        <w:rPr>
          <w:rFonts w:eastAsia="標楷體" w:hint="eastAsia"/>
          <w:sz w:val="26"/>
          <w:szCs w:val="26"/>
        </w:rPr>
        <w:t>，</w:t>
      </w:r>
      <w:r w:rsidRPr="00EA272E">
        <w:rPr>
          <w:rFonts w:eastAsia="標楷體"/>
          <w:sz w:val="26"/>
          <w:szCs w:val="26"/>
        </w:rPr>
        <w:t>是故除特殊交易可向財政部申請核</w:t>
      </w:r>
      <w:r w:rsidRPr="00EA272E">
        <w:rPr>
          <w:rFonts w:eastAsia="標楷體" w:hint="eastAsia"/>
          <w:sz w:val="26"/>
          <w:szCs w:val="26"/>
        </w:rPr>
        <w:t>定</w:t>
      </w:r>
      <w:r w:rsidRPr="00EA272E">
        <w:rPr>
          <w:rFonts w:eastAsia="標楷體"/>
          <w:sz w:val="26"/>
          <w:szCs w:val="26"/>
        </w:rPr>
        <w:t>為特殊交易類型</w:t>
      </w:r>
      <w:r w:rsidRPr="00EA272E">
        <w:rPr>
          <w:rFonts w:eastAsia="標楷體" w:hint="eastAsia"/>
          <w:sz w:val="26"/>
          <w:szCs w:val="26"/>
        </w:rPr>
        <w:t>外</w:t>
      </w:r>
      <w:r w:rsidRPr="00EA272E">
        <w:rPr>
          <w:rFonts w:eastAsia="標楷體"/>
          <w:sz w:val="26"/>
          <w:szCs w:val="26"/>
        </w:rPr>
        <w:t>，一般性交易應依資產或服務之特性區分為有形資產之移轉、有形資產之使用、無形資產之移轉、無形資產之使用、服務之提供或資金之使用等交易類型。</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EA272E">
        <w:rPr>
          <w:rFonts w:eastAsia="標楷體"/>
          <w:sz w:val="26"/>
          <w:szCs w:val="26"/>
        </w:rPr>
        <w:t>9</w:t>
      </w:r>
      <w:r w:rsidRPr="00EA272E">
        <w:rPr>
          <w:rFonts w:eastAsia="標楷體"/>
          <w:sz w:val="26"/>
          <w:szCs w:val="26"/>
        </w:rPr>
        <w:t>條規定，採用最適常規交易方法時，應依受控交易之交易類型，受控交易及未受控交易間之可比較程度，以及所蒐集資料與假設之品</w:t>
      </w:r>
      <w:r w:rsidRPr="00EA272E">
        <w:rPr>
          <w:rFonts w:eastAsia="標楷體"/>
          <w:sz w:val="26"/>
          <w:szCs w:val="26"/>
        </w:rPr>
        <w:lastRenderedPageBreak/>
        <w:t>質，分別適用移轉訂價查核準則第</w:t>
      </w:r>
      <w:r w:rsidRPr="00EA272E">
        <w:rPr>
          <w:rFonts w:eastAsia="標楷體"/>
          <w:sz w:val="26"/>
          <w:szCs w:val="26"/>
        </w:rPr>
        <w:t>10</w:t>
      </w:r>
      <w:r w:rsidRPr="00EA272E">
        <w:rPr>
          <w:rFonts w:eastAsia="標楷體"/>
          <w:sz w:val="26"/>
          <w:szCs w:val="26"/>
        </w:rPr>
        <w:t>條至第</w:t>
      </w:r>
      <w:r w:rsidRPr="00EA272E">
        <w:rPr>
          <w:rFonts w:eastAsia="標楷體"/>
          <w:sz w:val="26"/>
          <w:szCs w:val="26"/>
        </w:rPr>
        <w:t>13</w:t>
      </w:r>
      <w:r w:rsidRPr="00EA272E">
        <w:rPr>
          <w:rFonts w:eastAsia="標楷體"/>
          <w:sz w:val="26"/>
          <w:szCs w:val="26"/>
        </w:rPr>
        <w:t>條規定，決定最適常規交易方法。</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各常規交易方法對於可比較對象之可比較程度各有特別考量，各該考量因素分別列舉於移轉訂價查核準則第</w:t>
      </w:r>
      <w:r w:rsidRPr="00EA272E">
        <w:rPr>
          <w:rFonts w:eastAsia="標楷體"/>
          <w:sz w:val="26"/>
          <w:szCs w:val="26"/>
        </w:rPr>
        <w:t>14</w:t>
      </w:r>
      <w:r w:rsidRPr="00EA272E">
        <w:rPr>
          <w:rFonts w:eastAsia="標楷體"/>
          <w:sz w:val="26"/>
          <w:szCs w:val="26"/>
        </w:rPr>
        <w:t>條至</w:t>
      </w:r>
      <w:r w:rsidRPr="00EA272E">
        <w:rPr>
          <w:rFonts w:eastAsia="標楷體"/>
          <w:sz w:val="26"/>
          <w:szCs w:val="26"/>
        </w:rPr>
        <w:t>19</w:t>
      </w:r>
      <w:r w:rsidRPr="00EA272E">
        <w:rPr>
          <w:rFonts w:eastAsia="標楷體"/>
          <w:sz w:val="26"/>
          <w:szCs w:val="26"/>
        </w:rPr>
        <w:t>條之條文中。各常規交易方法以其特有考量因素評估未受控交易及受控交易，兩者相似程度越高，則未受控交易越適於比較。</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本所除遵循移轉訂價查核準則第</w:t>
      </w:r>
      <w:r w:rsidRPr="00EA272E">
        <w:rPr>
          <w:rFonts w:eastAsia="標楷體"/>
          <w:sz w:val="26"/>
          <w:szCs w:val="26"/>
        </w:rPr>
        <w:t>8</w:t>
      </w:r>
      <w:r w:rsidRPr="00EA272E">
        <w:rPr>
          <w:rFonts w:eastAsia="標楷體"/>
          <w:sz w:val="26"/>
          <w:szCs w:val="26"/>
        </w:rPr>
        <w:t>條規定之要件選擇可比較對象外，並將</w:t>
      </w:r>
      <w:r w:rsidR="00022C2C" w:rsidRPr="00AB5097">
        <w:rPr>
          <w:rFonts w:eastAsia="標楷體" w:hint="eastAsia"/>
          <w:sz w:val="26"/>
          <w:szCs w:val="26"/>
        </w:rPr>
        <w:t>瀚昌公司</w:t>
      </w:r>
      <w:r w:rsidRPr="00EA272E">
        <w:rPr>
          <w:rFonts w:eastAsia="標楷體"/>
          <w:sz w:val="26"/>
          <w:szCs w:val="26"/>
        </w:rPr>
        <w:t>交易類型適用常規交易方法考量之特別因素納入評估。</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為</w:t>
      </w:r>
      <w:r w:rsidR="00022C2C" w:rsidRPr="00AB5097">
        <w:rPr>
          <w:rFonts w:eastAsia="標楷體" w:hint="eastAsia"/>
          <w:sz w:val="26"/>
          <w:szCs w:val="26"/>
        </w:rPr>
        <w:t>瀚昌公司</w:t>
      </w:r>
      <w:r w:rsidRPr="00EA272E">
        <w:rPr>
          <w:rFonts w:eastAsia="標楷體"/>
          <w:sz w:val="26"/>
          <w:szCs w:val="26"/>
        </w:rPr>
        <w:t>之受控交易選擇最適常規交易方法之過程</w:t>
      </w:r>
      <w:r w:rsidRPr="00EA272E">
        <w:rPr>
          <w:rFonts w:eastAsia="標楷體" w:hint="eastAsia"/>
          <w:sz w:val="26"/>
          <w:szCs w:val="26"/>
        </w:rPr>
        <w:t>，</w:t>
      </w:r>
      <w:r w:rsidRPr="00EA272E">
        <w:rPr>
          <w:rFonts w:eastAsia="標楷體"/>
          <w:sz w:val="26"/>
          <w:szCs w:val="26"/>
        </w:rPr>
        <w:t>詳述</w:t>
      </w:r>
      <w:r w:rsidRPr="00EA272E">
        <w:rPr>
          <w:rFonts w:eastAsia="標楷體" w:hint="eastAsia"/>
          <w:sz w:val="26"/>
          <w:szCs w:val="26"/>
        </w:rPr>
        <w:t>於</w:t>
      </w:r>
      <w:r w:rsidRPr="00EA272E">
        <w:rPr>
          <w:rFonts w:eastAsia="標楷體"/>
          <w:sz w:val="26"/>
          <w:szCs w:val="26"/>
        </w:rPr>
        <w:t>本</w:t>
      </w:r>
      <w:r w:rsidR="00CB63D1">
        <w:rPr>
          <w:rFonts w:eastAsia="標楷體" w:hint="eastAsia"/>
          <w:sz w:val="26"/>
          <w:szCs w:val="26"/>
        </w:rPr>
        <w:t>文據</w:t>
      </w:r>
      <w:r w:rsidRPr="00EA272E">
        <w:rPr>
          <w:rFonts w:eastAsia="標楷體"/>
          <w:sz w:val="26"/>
          <w:szCs w:val="26"/>
        </w:rPr>
        <w:t>第</w:t>
      </w:r>
      <w:r w:rsidR="00CB63D1">
        <w:rPr>
          <w:rFonts w:eastAsia="標楷體" w:hint="eastAsia"/>
          <w:sz w:val="26"/>
          <w:szCs w:val="26"/>
        </w:rPr>
        <w:t>陸</w:t>
      </w:r>
      <w:r w:rsidRPr="00EA272E">
        <w:rPr>
          <w:rFonts w:eastAsia="標楷體"/>
          <w:sz w:val="26"/>
          <w:szCs w:val="26"/>
        </w:rPr>
        <w:t>章。</w:t>
      </w:r>
    </w:p>
    <w:p w:rsidR="004C5A82" w:rsidRDefault="00F70BB6" w:rsidP="00D82424">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二、</w:t>
      </w:r>
      <w:r w:rsidRPr="00EA272E">
        <w:rPr>
          <w:rFonts w:ascii="Times New Roman" w:eastAsia="標楷體" w:hAnsi="Times New Roman" w:hint="eastAsia"/>
          <w:sz w:val="32"/>
          <w:szCs w:val="32"/>
        </w:rPr>
        <w:t>執行之</w:t>
      </w:r>
      <w:r w:rsidRPr="00EA272E">
        <w:rPr>
          <w:rFonts w:ascii="Times New Roman" w:eastAsia="標楷體" w:hAnsi="Times New Roman"/>
          <w:sz w:val="32"/>
          <w:szCs w:val="32"/>
        </w:rPr>
        <w:t>功能</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款將營利事業執行之功能分為七類。本</w:t>
      </w:r>
      <w:r w:rsidR="00CB63D1">
        <w:rPr>
          <w:rFonts w:eastAsia="標楷體" w:hint="eastAsia"/>
          <w:sz w:val="26"/>
          <w:szCs w:val="26"/>
        </w:rPr>
        <w:t>文據</w:t>
      </w:r>
      <w:r w:rsidRPr="00EA272E">
        <w:rPr>
          <w:rFonts w:eastAsia="標楷體"/>
          <w:sz w:val="26"/>
          <w:szCs w:val="26"/>
        </w:rPr>
        <w:t>已依</w:t>
      </w:r>
      <w:r w:rsidRPr="00EA272E">
        <w:rPr>
          <w:rFonts w:eastAsia="標楷體" w:hint="eastAsia"/>
          <w:sz w:val="26"/>
          <w:szCs w:val="26"/>
        </w:rPr>
        <w:t>移轉訂價</w:t>
      </w:r>
      <w:r w:rsidRPr="00EA272E">
        <w:rPr>
          <w:rFonts w:eastAsia="標楷體"/>
          <w:sz w:val="26"/>
          <w:szCs w:val="26"/>
        </w:rPr>
        <w:t>查核準則規定，</w:t>
      </w:r>
      <w:r w:rsidR="00CB63D1">
        <w:rPr>
          <w:rFonts w:eastAsia="標楷體" w:hint="eastAsia"/>
          <w:sz w:val="26"/>
          <w:szCs w:val="26"/>
        </w:rPr>
        <w:t>考量該項可能影</w:t>
      </w:r>
      <w:r w:rsidR="00CB63D1" w:rsidRPr="008F4F5B">
        <w:rPr>
          <w:rFonts w:eastAsia="標楷體"/>
          <w:sz w:val="26"/>
          <w:szCs w:val="26"/>
        </w:rPr>
        <w:t>響價格或利潤之因素</w:t>
      </w:r>
      <w:r w:rsidRPr="00EA272E">
        <w:rPr>
          <w:rFonts w:eastAsia="標楷體"/>
          <w:sz w:val="26"/>
          <w:szCs w:val="26"/>
        </w:rPr>
        <w:t>。</w:t>
      </w:r>
    </w:p>
    <w:p w:rsidR="004C5A82" w:rsidRDefault="00F70BB6" w:rsidP="00D82424">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三、契約條款</w:t>
      </w:r>
    </w:p>
    <w:p w:rsidR="00F70BB6" w:rsidRDefault="00F70BB6" w:rsidP="00F70BB6">
      <w:pPr>
        <w:spacing w:before="50" w:after="50" w:line="360" w:lineRule="auto"/>
        <w:ind w:firstLineChars="200" w:firstLine="520"/>
        <w:jc w:val="both"/>
        <w:rPr>
          <w:rFonts w:eastAsia="標楷體"/>
          <w:sz w:val="26"/>
          <w:szCs w:val="26"/>
        </w:rPr>
      </w:pPr>
      <w:r w:rsidRPr="0043456B">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F70BB6" w:rsidRPr="00EA272E" w:rsidRDefault="00022C2C" w:rsidP="00F70BB6">
      <w:pPr>
        <w:spacing w:before="50" w:after="50" w:line="360" w:lineRule="auto"/>
        <w:ind w:firstLineChars="200" w:firstLine="520"/>
        <w:jc w:val="both"/>
        <w:rPr>
          <w:rFonts w:eastAsia="標楷體"/>
          <w:sz w:val="26"/>
          <w:szCs w:val="26"/>
        </w:rPr>
      </w:pPr>
      <w:r w:rsidRPr="00AB5097">
        <w:rPr>
          <w:rFonts w:eastAsia="標楷體" w:hint="eastAsia"/>
          <w:sz w:val="26"/>
          <w:szCs w:val="26"/>
        </w:rPr>
        <w:t>瀚昌公司</w:t>
      </w:r>
      <w:r w:rsidR="00F70BB6">
        <w:rPr>
          <w:rFonts w:eastAsia="標楷體" w:hint="eastAsia"/>
          <w:sz w:val="26"/>
          <w:szCs w:val="26"/>
        </w:rPr>
        <w:t>與關係企業所簽訂之契約條款</w:t>
      </w:r>
      <w:r w:rsidR="00F70BB6" w:rsidRPr="00EA272E">
        <w:rPr>
          <w:rFonts w:eastAsia="標楷體"/>
          <w:sz w:val="26"/>
          <w:szCs w:val="26"/>
        </w:rPr>
        <w:t>詳述於本</w:t>
      </w:r>
      <w:r w:rsidR="00CB63D1">
        <w:rPr>
          <w:rFonts w:eastAsia="標楷體" w:hint="eastAsia"/>
          <w:sz w:val="26"/>
          <w:szCs w:val="26"/>
        </w:rPr>
        <w:t>文據</w:t>
      </w:r>
      <w:r w:rsidR="00F70BB6" w:rsidRPr="00EA272E">
        <w:rPr>
          <w:rFonts w:eastAsia="標楷體"/>
          <w:sz w:val="26"/>
          <w:szCs w:val="26"/>
        </w:rPr>
        <w:t>第參章。</w:t>
      </w:r>
    </w:p>
    <w:p w:rsidR="00F70BB6" w:rsidRPr="00EA272E" w:rsidRDefault="00F70BB6" w:rsidP="00F70BB6">
      <w:pPr>
        <w:pStyle w:val="2"/>
        <w:numPr>
          <w:ilvl w:val="0"/>
          <w:numId w:val="0"/>
        </w:numPr>
        <w:spacing w:before="100" w:beforeAutospacing="1" w:after="100" w:afterAutospacing="1" w:line="360" w:lineRule="auto"/>
        <w:rPr>
          <w:rFonts w:ascii="Times New Roman" w:eastAsia="標楷體" w:hAnsi="Times New Roman"/>
          <w:sz w:val="32"/>
          <w:szCs w:val="32"/>
        </w:rPr>
      </w:pPr>
      <w:r w:rsidRPr="00EA272E">
        <w:rPr>
          <w:rFonts w:ascii="Times New Roman" w:eastAsia="標楷體" w:hAnsi="Times New Roman"/>
          <w:sz w:val="32"/>
          <w:szCs w:val="32"/>
        </w:rPr>
        <w:t>四、承擔</w:t>
      </w:r>
      <w:r w:rsidRPr="00EA272E">
        <w:rPr>
          <w:rFonts w:ascii="Times New Roman" w:eastAsia="標楷體" w:hAnsi="Times New Roman" w:hint="eastAsia"/>
          <w:sz w:val="32"/>
          <w:szCs w:val="32"/>
        </w:rPr>
        <w:t>之</w:t>
      </w:r>
      <w:r w:rsidRPr="00EA272E">
        <w:rPr>
          <w:rFonts w:ascii="Times New Roman" w:eastAsia="標楷體" w:hAnsi="Times New Roman"/>
          <w:sz w:val="32"/>
          <w:szCs w:val="32"/>
        </w:rPr>
        <w:t>風險</w:t>
      </w:r>
    </w:p>
    <w:p w:rsidR="00F70BB6" w:rsidRPr="00EA272E"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款將營利事業承擔之風險分為五</w:t>
      </w:r>
      <w:r w:rsidR="00CB63D1">
        <w:rPr>
          <w:rFonts w:eastAsia="標楷體"/>
          <w:sz w:val="26"/>
          <w:szCs w:val="26"/>
        </w:rPr>
        <w:t>類。本</w:t>
      </w:r>
      <w:r w:rsidR="00CB63D1">
        <w:rPr>
          <w:rFonts w:eastAsia="標楷體" w:hint="eastAsia"/>
          <w:sz w:val="26"/>
          <w:szCs w:val="26"/>
        </w:rPr>
        <w:t>文據</w:t>
      </w:r>
      <w:r w:rsidRPr="00EA272E">
        <w:rPr>
          <w:rFonts w:eastAsia="標楷體"/>
          <w:sz w:val="26"/>
          <w:szCs w:val="26"/>
        </w:rPr>
        <w:t>已依</w:t>
      </w:r>
      <w:r w:rsidRPr="00EA272E">
        <w:rPr>
          <w:rFonts w:eastAsia="標楷體" w:hint="eastAsia"/>
          <w:sz w:val="26"/>
          <w:szCs w:val="26"/>
        </w:rPr>
        <w:t>移轉訂價</w:t>
      </w:r>
      <w:r w:rsidRPr="00EA272E">
        <w:rPr>
          <w:rFonts w:eastAsia="標楷體"/>
          <w:sz w:val="26"/>
          <w:szCs w:val="26"/>
        </w:rPr>
        <w:t>查核準則規定，</w:t>
      </w:r>
      <w:r w:rsidR="00CB63D1">
        <w:rPr>
          <w:rFonts w:eastAsia="標楷體" w:hint="eastAsia"/>
          <w:sz w:val="26"/>
          <w:szCs w:val="26"/>
        </w:rPr>
        <w:t>考量該項可能影</w:t>
      </w:r>
      <w:r w:rsidR="00CB63D1" w:rsidRPr="008F4F5B">
        <w:rPr>
          <w:rFonts w:eastAsia="標楷體"/>
          <w:sz w:val="26"/>
          <w:szCs w:val="26"/>
        </w:rPr>
        <w:t>響價格或利潤之因素</w:t>
      </w:r>
      <w:r w:rsidRPr="00EA272E">
        <w:rPr>
          <w:rFonts w:eastAsia="標楷體"/>
          <w:sz w:val="26"/>
          <w:szCs w:val="26"/>
        </w:rPr>
        <w:t>。</w:t>
      </w:r>
    </w:p>
    <w:p w:rsidR="00F70BB6" w:rsidRPr="00EA272E" w:rsidRDefault="00F70BB6" w:rsidP="00D82424">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lastRenderedPageBreak/>
        <w:t>五、經濟及市場情況</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43456B">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4C5A82" w:rsidRDefault="003C28BD" w:rsidP="00D82424">
      <w:pPr>
        <w:spacing w:beforeLines="50" w:before="120" w:afterLines="50" w:after="120" w:line="360" w:lineRule="auto"/>
        <w:ind w:firstLineChars="200" w:firstLine="520"/>
        <w:jc w:val="both"/>
        <w:rPr>
          <w:rFonts w:eastAsia="標楷體"/>
          <w:sz w:val="26"/>
          <w:szCs w:val="26"/>
        </w:rPr>
      </w:pPr>
      <w:r w:rsidRPr="00AB5097">
        <w:rPr>
          <w:rFonts w:eastAsia="標楷體" w:hint="eastAsia"/>
          <w:sz w:val="26"/>
          <w:szCs w:val="26"/>
        </w:rPr>
        <w:t>瀚昌公司</w:t>
      </w:r>
      <w:r w:rsidR="00CB63D1">
        <w:rPr>
          <w:rFonts w:eastAsia="標楷體" w:hint="eastAsia"/>
          <w:sz w:val="26"/>
          <w:szCs w:val="26"/>
        </w:rPr>
        <w:t>所處產業經濟及市場情況已詳述於本文據</w:t>
      </w:r>
      <w:r w:rsidR="00F70BB6" w:rsidRPr="00000FD5">
        <w:rPr>
          <w:rFonts w:eastAsia="標楷體" w:hint="eastAsia"/>
          <w:sz w:val="26"/>
          <w:szCs w:val="26"/>
        </w:rPr>
        <w:t>第貳章。</w:t>
      </w:r>
      <w:r w:rsidR="00F70BB6" w:rsidRPr="0043456B">
        <w:rPr>
          <w:rFonts w:eastAsia="標楷體" w:hint="eastAsia"/>
          <w:sz w:val="26"/>
          <w:szCs w:val="26"/>
        </w:rPr>
        <w:t>本所找尋</w:t>
      </w:r>
      <w:r w:rsidRPr="00AB5097">
        <w:rPr>
          <w:rFonts w:eastAsia="標楷體" w:hint="eastAsia"/>
          <w:sz w:val="26"/>
          <w:szCs w:val="26"/>
        </w:rPr>
        <w:t>瀚昌公司</w:t>
      </w:r>
      <w:r w:rsidR="00F70BB6" w:rsidRPr="0043456B">
        <w:rPr>
          <w:rFonts w:eastAsia="標楷體" w:hint="eastAsia"/>
          <w:sz w:val="26"/>
          <w:szCs w:val="26"/>
        </w:rPr>
        <w:t>可比較對象時，盡可能選取與其位於相同地理位置區塊、市場大小、市場競爭程度相似者作為可比較對象。</w:t>
      </w:r>
    </w:p>
    <w:p w:rsidR="004C5A82" w:rsidRDefault="003A2268" w:rsidP="00D82424">
      <w:pPr>
        <w:autoSpaceDE w:val="0"/>
        <w:autoSpaceDN w:val="0"/>
        <w:adjustRightInd w:val="0"/>
        <w:spacing w:beforeLines="50" w:before="120" w:afterLines="50" w:after="120" w:line="360" w:lineRule="auto"/>
        <w:ind w:firstLineChars="231" w:firstLine="601"/>
        <w:jc w:val="both"/>
        <w:rPr>
          <w:rFonts w:eastAsia="標楷體"/>
          <w:sz w:val="26"/>
          <w:szCs w:val="26"/>
        </w:rPr>
      </w:pPr>
      <w:r>
        <w:rPr>
          <w:rFonts w:eastAsia="標楷體" w:hint="eastAsia"/>
          <w:sz w:val="26"/>
          <w:szCs w:val="26"/>
        </w:rPr>
        <w:t>由於各公司</w:t>
      </w:r>
      <w:r w:rsidRPr="00C0551B">
        <w:rPr>
          <w:rFonts w:eastAsia="標楷體" w:hint="eastAsia"/>
          <w:sz w:val="26"/>
          <w:szCs w:val="26"/>
        </w:rPr>
        <w:t>給</w:t>
      </w:r>
      <w:r>
        <w:rPr>
          <w:rFonts w:eastAsia="標楷體" w:hint="eastAsia"/>
          <w:sz w:val="26"/>
          <w:szCs w:val="26"/>
        </w:rPr>
        <w:t>予</w:t>
      </w:r>
      <w:r w:rsidRPr="00C0551B">
        <w:rPr>
          <w:rFonts w:eastAsia="標楷體" w:hint="eastAsia"/>
          <w:sz w:val="26"/>
          <w:szCs w:val="26"/>
        </w:rPr>
        <w:t>客戶</w:t>
      </w:r>
      <w:r>
        <w:rPr>
          <w:rFonts w:eastAsia="標楷體" w:hint="eastAsia"/>
          <w:sz w:val="26"/>
          <w:szCs w:val="26"/>
        </w:rPr>
        <w:t>之</w:t>
      </w:r>
      <w:r w:rsidRPr="00C0551B">
        <w:rPr>
          <w:rFonts w:eastAsia="標楷體" w:hint="eastAsia"/>
          <w:sz w:val="26"/>
          <w:szCs w:val="26"/>
        </w:rPr>
        <w:t>銷貨條件</w:t>
      </w:r>
      <w:r>
        <w:rPr>
          <w:rFonts w:eastAsia="標楷體" w:hint="eastAsia"/>
          <w:sz w:val="26"/>
          <w:szCs w:val="26"/>
        </w:rPr>
        <w:t>、自</w:t>
      </w:r>
      <w:r w:rsidRPr="00EF68DA">
        <w:rPr>
          <w:rFonts w:eastAsia="標楷體" w:hint="eastAsia"/>
          <w:sz w:val="26"/>
          <w:szCs w:val="26"/>
        </w:rPr>
        <w:t>供應商取得之購貨條件及保有存貨多寡不同，</w:t>
      </w:r>
      <w:r>
        <w:rPr>
          <w:rFonts w:eastAsia="標楷體" w:hint="eastAsia"/>
          <w:sz w:val="26"/>
          <w:szCs w:val="26"/>
        </w:rPr>
        <w:t>其營運成本中隱含</w:t>
      </w:r>
      <w:r w:rsidRPr="00EF68DA">
        <w:rPr>
          <w:rFonts w:eastAsia="標楷體" w:hint="eastAsia"/>
          <w:sz w:val="26"/>
          <w:szCs w:val="26"/>
        </w:rPr>
        <w:t>資金使用之利息，故必須</w:t>
      </w:r>
      <w:r>
        <w:rPr>
          <w:rFonts w:eastAsia="標楷體" w:hint="eastAsia"/>
          <w:sz w:val="26"/>
          <w:szCs w:val="26"/>
        </w:rPr>
        <w:t>對其</w:t>
      </w:r>
      <w:r w:rsidRPr="00EF68DA">
        <w:rPr>
          <w:rFonts w:eastAsia="標楷體" w:hint="eastAsia"/>
          <w:sz w:val="26"/>
          <w:szCs w:val="26"/>
        </w:rPr>
        <w:t>進行「資本性調整」將該等差異排除，</w:t>
      </w:r>
      <w:r>
        <w:rPr>
          <w:rFonts w:eastAsia="標楷體" w:hint="eastAsia"/>
          <w:sz w:val="26"/>
          <w:szCs w:val="26"/>
        </w:rPr>
        <w:t>並</w:t>
      </w:r>
      <w:r w:rsidRPr="00EF68DA">
        <w:rPr>
          <w:rFonts w:eastAsia="標楷體" w:hint="eastAsia"/>
          <w:sz w:val="26"/>
          <w:szCs w:val="26"/>
        </w:rPr>
        <w:t>把</w:t>
      </w:r>
      <w:r>
        <w:rPr>
          <w:rFonts w:eastAsia="標楷體" w:hint="eastAsia"/>
          <w:sz w:val="26"/>
          <w:szCs w:val="26"/>
        </w:rPr>
        <w:t>可比較對象之</w:t>
      </w:r>
      <w:r w:rsidRPr="00EF68DA">
        <w:rPr>
          <w:rFonts w:eastAsia="標楷體" w:hint="eastAsia"/>
          <w:sz w:val="26"/>
          <w:szCs w:val="26"/>
        </w:rPr>
        <w:t>存貨、</w:t>
      </w:r>
      <w:r w:rsidRPr="00C0551B">
        <w:rPr>
          <w:rFonts w:eastAsia="標楷體" w:hint="eastAsia"/>
          <w:sz w:val="26"/>
          <w:szCs w:val="26"/>
        </w:rPr>
        <w:t>進貨條件和銷貨條件調整至</w:t>
      </w:r>
      <w:r>
        <w:rPr>
          <w:rFonts w:eastAsia="標楷體" w:hint="eastAsia"/>
          <w:sz w:val="26"/>
          <w:szCs w:val="26"/>
        </w:rPr>
        <w:t>與受測個體相</w:t>
      </w:r>
      <w:r w:rsidRPr="00C0551B">
        <w:rPr>
          <w:rFonts w:eastAsia="標楷體" w:hint="eastAsia"/>
          <w:sz w:val="26"/>
          <w:szCs w:val="26"/>
        </w:rPr>
        <w:t>同</w:t>
      </w:r>
      <w:r>
        <w:rPr>
          <w:rFonts w:eastAsia="標楷體" w:hint="eastAsia"/>
          <w:sz w:val="26"/>
          <w:szCs w:val="26"/>
        </w:rPr>
        <w:t>之</w:t>
      </w:r>
      <w:r w:rsidRPr="00C0551B">
        <w:rPr>
          <w:rFonts w:eastAsia="標楷體" w:hint="eastAsia"/>
          <w:sz w:val="26"/>
          <w:szCs w:val="26"/>
        </w:rPr>
        <w:t>基準點上，</w:t>
      </w:r>
      <w:r>
        <w:rPr>
          <w:rFonts w:eastAsia="標楷體" w:hint="eastAsia"/>
          <w:sz w:val="26"/>
          <w:szCs w:val="26"/>
        </w:rPr>
        <w:t>藉</w:t>
      </w:r>
      <w:r w:rsidRPr="00C0551B">
        <w:rPr>
          <w:rFonts w:eastAsia="標楷體" w:hint="eastAsia"/>
          <w:sz w:val="26"/>
          <w:szCs w:val="26"/>
        </w:rPr>
        <w:t>以提升可比較程度。</w:t>
      </w:r>
      <w:r>
        <w:rPr>
          <w:rFonts w:eastAsia="標楷體" w:hint="eastAsia"/>
          <w:sz w:val="26"/>
          <w:szCs w:val="26"/>
        </w:rPr>
        <w:t>本所對可比較對象採行之資本性調整過程詳述於本文據第捌章。</w:t>
      </w:r>
    </w:p>
    <w:p w:rsidR="004C5A82" w:rsidRDefault="00F70BB6" w:rsidP="00D82424">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六、商業策略</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商業策略亦可影響企業之移轉訂價政策</w:t>
      </w:r>
      <w:r w:rsidRPr="00EA272E">
        <w:rPr>
          <w:rFonts w:eastAsia="標楷體" w:hint="eastAsia"/>
          <w:sz w:val="26"/>
          <w:szCs w:val="26"/>
        </w:rPr>
        <w:t>，其包括</w:t>
      </w:r>
      <w:r w:rsidRPr="00EA272E">
        <w:rPr>
          <w:rFonts w:eastAsia="標楷體"/>
          <w:sz w:val="26"/>
          <w:szCs w:val="26"/>
        </w:rPr>
        <w:t>1</w:t>
      </w:r>
      <w:r w:rsidRPr="00EA272E">
        <w:rPr>
          <w:rFonts w:eastAsia="標楷體" w:hint="eastAsia"/>
          <w:sz w:val="26"/>
          <w:szCs w:val="26"/>
        </w:rPr>
        <w:t>）創新及產品開發策略、</w:t>
      </w:r>
      <w:r w:rsidRPr="00EA272E">
        <w:rPr>
          <w:rFonts w:eastAsia="標楷體" w:hint="eastAsia"/>
          <w:sz w:val="26"/>
          <w:szCs w:val="26"/>
        </w:rPr>
        <w:t>2</w:t>
      </w:r>
      <w:r w:rsidRPr="00EA272E">
        <w:rPr>
          <w:rFonts w:eastAsia="標楷體" w:hint="eastAsia"/>
          <w:sz w:val="26"/>
          <w:szCs w:val="26"/>
        </w:rPr>
        <w:t>）避險策略與</w:t>
      </w:r>
      <w:r w:rsidRPr="00EA272E">
        <w:rPr>
          <w:rFonts w:eastAsia="標楷體" w:hint="eastAsia"/>
          <w:sz w:val="26"/>
          <w:szCs w:val="26"/>
        </w:rPr>
        <w:t>3</w:t>
      </w:r>
      <w:r w:rsidRPr="00EA272E">
        <w:rPr>
          <w:rFonts w:eastAsia="標楷體" w:hint="eastAsia"/>
          <w:sz w:val="26"/>
          <w:szCs w:val="26"/>
        </w:rPr>
        <w:t>）市場占有率策略等。</w:t>
      </w:r>
      <w:r w:rsidRPr="00EA272E">
        <w:rPr>
          <w:rFonts w:eastAsia="標楷體"/>
          <w:sz w:val="26"/>
          <w:szCs w:val="26"/>
        </w:rPr>
        <w:t>例如</w:t>
      </w:r>
      <w:r w:rsidRPr="00EA272E">
        <w:rPr>
          <w:rFonts w:eastAsia="標楷體" w:hint="eastAsia"/>
          <w:sz w:val="26"/>
          <w:szCs w:val="26"/>
        </w:rPr>
        <w:t>其中</w:t>
      </w:r>
      <w:r w:rsidRPr="00EA272E">
        <w:rPr>
          <w:rFonts w:eastAsia="標楷體"/>
          <w:sz w:val="26"/>
          <w:szCs w:val="26"/>
        </w:rPr>
        <w:t>企業為搶奪市場佔有率，而採用『市場滲透計畫』，短期內以低於類似產品售價之價格銷售產品，此時其售價會落於常規交易結果之外</w:t>
      </w:r>
      <w:r w:rsidRPr="00EA272E">
        <w:rPr>
          <w:rFonts w:eastAsia="標楷體" w:hint="eastAsia"/>
          <w:sz w:val="26"/>
          <w:szCs w:val="26"/>
        </w:rPr>
        <w:t>，故</w:t>
      </w:r>
      <w:r w:rsidRPr="00EA272E">
        <w:rPr>
          <w:rFonts w:eastAsia="標楷體"/>
          <w:sz w:val="26"/>
          <w:szCs w:val="26"/>
        </w:rPr>
        <w:t>此交易結果則須</w:t>
      </w:r>
      <w:r w:rsidRPr="00EA272E">
        <w:rPr>
          <w:rFonts w:eastAsia="標楷體" w:hint="eastAsia"/>
          <w:sz w:val="26"/>
          <w:szCs w:val="26"/>
        </w:rPr>
        <w:t>消除商業策略之差異後才行比較</w:t>
      </w:r>
      <w:r w:rsidRPr="00EA272E">
        <w:rPr>
          <w:rFonts w:eastAsia="標楷體"/>
          <w:sz w:val="26"/>
          <w:szCs w:val="26"/>
        </w:rPr>
        <w:t>。</w:t>
      </w:r>
    </w:p>
    <w:p w:rsidR="00F70BB6" w:rsidRPr="00EA272E" w:rsidRDefault="003C28BD" w:rsidP="00F70BB6">
      <w:pPr>
        <w:snapToGrid w:val="0"/>
        <w:spacing w:before="50" w:after="50" w:line="360" w:lineRule="auto"/>
        <w:ind w:firstLineChars="200" w:firstLine="520"/>
        <w:jc w:val="both"/>
        <w:rPr>
          <w:rFonts w:eastAsia="標楷體"/>
          <w:color w:val="000000"/>
          <w:sz w:val="26"/>
          <w:szCs w:val="26"/>
        </w:rPr>
      </w:pPr>
      <w:r w:rsidRPr="00AB5097">
        <w:rPr>
          <w:rFonts w:eastAsia="標楷體" w:hint="eastAsia"/>
          <w:sz w:val="26"/>
          <w:szCs w:val="26"/>
        </w:rPr>
        <w:t>瀚昌公司</w:t>
      </w:r>
      <w:r w:rsidR="00F70BB6" w:rsidRPr="00EA272E">
        <w:rPr>
          <w:rFonts w:eastAsia="標楷體"/>
          <w:color w:val="000000"/>
          <w:sz w:val="26"/>
          <w:szCs w:val="26"/>
        </w:rPr>
        <w:t>並未採取特別之商業策略，故不受此項因素影響。</w:t>
      </w:r>
    </w:p>
    <w:p w:rsidR="00F70BB6" w:rsidRPr="00EA272E" w:rsidRDefault="00F70BB6" w:rsidP="00D82424">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hint="eastAsia"/>
          <w:sz w:val="32"/>
          <w:szCs w:val="32"/>
        </w:rPr>
        <w:t>七</w:t>
      </w:r>
      <w:r w:rsidRPr="00EA272E">
        <w:rPr>
          <w:rFonts w:ascii="Times New Roman" w:eastAsia="標楷體" w:hAnsi="Times New Roman"/>
          <w:sz w:val="32"/>
          <w:szCs w:val="32"/>
        </w:rPr>
        <w:t>、其他影響可比較程度之因素</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87751B">
        <w:rPr>
          <w:rFonts w:eastAsia="標楷體" w:hint="eastAsia"/>
          <w:sz w:val="26"/>
          <w:szCs w:val="26"/>
        </w:rPr>
        <w:t>經分析</w:t>
      </w:r>
      <w:r w:rsidR="003C28BD" w:rsidRPr="00AB5097">
        <w:rPr>
          <w:rFonts w:eastAsia="標楷體" w:hint="eastAsia"/>
          <w:sz w:val="26"/>
          <w:szCs w:val="26"/>
        </w:rPr>
        <w:t>瀚昌公司</w:t>
      </w:r>
      <w:r w:rsidRPr="0087751B">
        <w:rPr>
          <w:rFonts w:eastAsia="標楷體" w:hint="eastAsia"/>
          <w:sz w:val="26"/>
          <w:szCs w:val="26"/>
        </w:rPr>
        <w:t>之受控交易，</w:t>
      </w:r>
      <w:r w:rsidRPr="0087751B">
        <w:rPr>
          <w:rFonts w:eastAsia="標楷體"/>
          <w:sz w:val="26"/>
          <w:szCs w:val="26"/>
        </w:rPr>
        <w:t>並</w:t>
      </w:r>
      <w:r>
        <w:rPr>
          <w:rFonts w:eastAsia="標楷體" w:hint="eastAsia"/>
          <w:color w:val="000000"/>
          <w:sz w:val="26"/>
          <w:szCs w:val="26"/>
        </w:rPr>
        <w:t>無發現有其他</w:t>
      </w:r>
      <w:r w:rsidRPr="00EA272E">
        <w:rPr>
          <w:rFonts w:eastAsia="標楷體"/>
          <w:color w:val="000000"/>
          <w:sz w:val="26"/>
          <w:szCs w:val="26"/>
        </w:rPr>
        <w:t>特殊且會影響訂價策略或</w:t>
      </w:r>
      <w:r w:rsidRPr="00EA272E">
        <w:rPr>
          <w:rFonts w:eastAsia="標楷體"/>
          <w:color w:val="000000"/>
          <w:sz w:val="26"/>
          <w:szCs w:val="26"/>
        </w:rPr>
        <w:lastRenderedPageBreak/>
        <w:t>利潤之因素</w:t>
      </w:r>
      <w:r>
        <w:rPr>
          <w:rFonts w:eastAsia="標楷體" w:hint="eastAsia"/>
          <w:color w:val="000000"/>
          <w:sz w:val="26"/>
          <w:szCs w:val="26"/>
        </w:rPr>
        <w:t>存在。</w:t>
      </w:r>
      <w:bookmarkStart w:id="98" w:name="_Toc137897621"/>
    </w:p>
    <w:p w:rsidR="000A6E85" w:rsidRPr="00EA272E" w:rsidRDefault="000A6E85" w:rsidP="00D82424">
      <w:pPr>
        <w:spacing w:beforeLines="50" w:before="120" w:afterLines="50" w:after="120" w:line="360" w:lineRule="auto"/>
        <w:ind w:firstLineChars="200" w:firstLine="520"/>
        <w:jc w:val="both"/>
        <w:rPr>
          <w:rFonts w:eastAsia="標楷體"/>
          <w:sz w:val="26"/>
          <w:szCs w:val="26"/>
        </w:rPr>
        <w:sectPr w:rsidR="000A6E85" w:rsidRPr="00EA272E" w:rsidSect="00DD5AB2">
          <w:type w:val="oddPage"/>
          <w:pgSz w:w="11906" w:h="16838" w:code="9"/>
          <w:pgMar w:top="2160" w:right="1440" w:bottom="1814" w:left="1440" w:header="851" w:footer="567" w:gutter="567"/>
          <w:cols w:space="425"/>
          <w:docGrid w:linePitch="360"/>
        </w:sectPr>
      </w:pPr>
    </w:p>
    <w:bookmarkStart w:id="99" w:name="_Toc253154515"/>
    <w:bookmarkStart w:id="100" w:name="_Toc253154583"/>
    <w:bookmarkStart w:id="101" w:name="_Toc272326014"/>
    <w:bookmarkStart w:id="102" w:name="_Toc272326642"/>
    <w:bookmarkStart w:id="103" w:name="_Toc272326821"/>
    <w:bookmarkStart w:id="104" w:name="_Toc275960654"/>
    <w:bookmarkStart w:id="105" w:name="_Toc449536303"/>
    <w:p w:rsidR="000314E8" w:rsidRPr="00EA272E" w:rsidRDefault="00A63CF7"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728" behindDoc="0" locked="0" layoutInCell="1" allowOverlap="1">
                <wp:simplePos x="0" y="0"/>
                <wp:positionH relativeFrom="column">
                  <wp:posOffset>4671060</wp:posOffset>
                </wp:positionH>
                <wp:positionV relativeFrom="paragraph">
                  <wp:posOffset>0</wp:posOffset>
                </wp:positionV>
                <wp:extent cx="720090" cy="720090"/>
                <wp:effectExtent l="11430" t="9525" r="11430" b="13335"/>
                <wp:wrapNone/>
                <wp:docPr id="1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5F6F74" w:rsidRDefault="00630BD8"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73" type="#_x0000_t202" style="position:absolute;left:0;text-align:left;margin-left:367.8pt;margin-top:0;width:56.7pt;height:5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m4LjlykCAABaBAAADgAAAAAAAAAAAAAAAAAuAgAAZHJzL2Uy&#10;b0RvYy54bWxQSwECLQAUAAYACAAAACEAs40IE94AAAAIAQAADwAAAAAAAAAAAAAAAACDBAAAZHJz&#10;L2Rvd25yZXYueG1sUEsFBgAAAAAEAAQA8wAAAI4FAAAAAA==&#10;">
                <v:textbox>
                  <w:txbxContent>
                    <w:p w:rsidR="00630BD8" w:rsidRPr="005F6F74" w:rsidRDefault="00630BD8"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99"/>
      <w:bookmarkEnd w:id="100"/>
      <w:bookmarkEnd w:id="101"/>
      <w:bookmarkEnd w:id="102"/>
      <w:bookmarkEnd w:id="103"/>
      <w:bookmarkEnd w:id="104"/>
      <w:bookmarkEnd w:id="105"/>
    </w:p>
    <w:p w:rsidR="000314E8" w:rsidRPr="00EA272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0E26E4" w:rsidRDefault="00F70BB6"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106" w:name="_Toc449536304"/>
      <w:bookmarkEnd w:id="98"/>
      <w:r w:rsidRPr="000E26E4">
        <w:rPr>
          <w:rFonts w:ascii="Times New Roman" w:eastAsia="標楷體" w:hAnsi="Times New Roman" w:hint="eastAsia"/>
          <w:sz w:val="44"/>
          <w:szCs w:val="46"/>
        </w:rPr>
        <w:t>最適常規交易方法之決定</w:t>
      </w:r>
      <w:bookmarkEnd w:id="106"/>
    </w:p>
    <w:p w:rsidR="004C5A82" w:rsidRDefault="00F70BB6" w:rsidP="00D82424">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最適</w:t>
      </w:r>
      <w:r w:rsidRPr="00EA272E">
        <w:rPr>
          <w:rFonts w:ascii="Times New Roman" w:eastAsia="標楷體" w:hAnsi="Times New Roman"/>
          <w:sz w:val="36"/>
          <w:szCs w:val="40"/>
        </w:rPr>
        <w:t>常規交易</w:t>
      </w:r>
      <w:r w:rsidRPr="00EA272E">
        <w:rPr>
          <w:rFonts w:ascii="Times New Roman" w:eastAsia="標楷體" w:hAnsi="Times New Roman" w:hint="eastAsia"/>
          <w:sz w:val="36"/>
          <w:szCs w:val="40"/>
        </w:rPr>
        <w:t>方法之說明</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所謂『常規交易方法』，根據移轉訂價查核準則第</w:t>
      </w:r>
      <w:r w:rsidRPr="00EA272E">
        <w:rPr>
          <w:rFonts w:eastAsia="標楷體"/>
          <w:sz w:val="26"/>
          <w:szCs w:val="26"/>
        </w:rPr>
        <w:t>4</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11</w:t>
      </w:r>
      <w:r w:rsidRPr="00EA272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8F4F5B">
        <w:rPr>
          <w:rFonts w:eastAsia="標楷體"/>
          <w:sz w:val="26"/>
          <w:szCs w:val="26"/>
        </w:rPr>
        <w:t>為減少徵納雙方之稽徵成本及依從成本，我國財政部於制訂移轉訂價查核準則時，參照美國內地稅法</w:t>
      </w:r>
      <w:r w:rsidRPr="008F4F5B">
        <w:rPr>
          <w:rFonts w:eastAsia="標楷體"/>
          <w:sz w:val="26"/>
          <w:szCs w:val="26"/>
        </w:rPr>
        <w:t>482</w:t>
      </w:r>
      <w:r w:rsidRPr="008F4F5B">
        <w:rPr>
          <w:rFonts w:eastAsia="標楷體"/>
          <w:sz w:val="26"/>
          <w:szCs w:val="26"/>
        </w:rPr>
        <w:t>條之『最佳方法』原則，決定最適常規交易方法。</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2</w:t>
      </w:r>
      <w:r w:rsidRPr="00EA272E">
        <w:rPr>
          <w:rFonts w:eastAsia="標楷體"/>
          <w:sz w:val="26"/>
          <w:szCs w:val="26"/>
        </w:rPr>
        <w:t>款規定，於採用最適常規交易方法時，應按交易類型採用最適之常規交易方法，以決定其常規交易結果。</w:t>
      </w:r>
      <w:r w:rsidRPr="008F4F5B">
        <w:rPr>
          <w:rFonts w:eastAsia="標楷體"/>
          <w:sz w:val="26"/>
          <w:szCs w:val="26"/>
        </w:rPr>
        <w:t>另外，根據移轉訂價查核準則第</w:t>
      </w:r>
      <w:r w:rsidRPr="008F4F5B">
        <w:rPr>
          <w:rFonts w:eastAsia="標楷體"/>
          <w:sz w:val="26"/>
          <w:szCs w:val="26"/>
        </w:rPr>
        <w:t>7</w:t>
      </w:r>
      <w:r w:rsidRPr="008F4F5B">
        <w:rPr>
          <w:rFonts w:eastAsia="標楷體"/>
          <w:sz w:val="26"/>
          <w:szCs w:val="26"/>
        </w:rPr>
        <w:t>條第</w:t>
      </w:r>
      <w:r w:rsidRPr="008F4F5B">
        <w:rPr>
          <w:rFonts w:eastAsia="標楷體"/>
          <w:sz w:val="26"/>
          <w:szCs w:val="26"/>
        </w:rPr>
        <w:t>3</w:t>
      </w:r>
      <w:r w:rsidRPr="008F4F5B">
        <w:rPr>
          <w:rFonts w:eastAsia="標楷體"/>
          <w:sz w:val="26"/>
          <w:szCs w:val="26"/>
        </w:rPr>
        <w:t>款規定，決定受控交易之常規交易結果，應以個別交易為基礎，各自適用常規交易方法，以期常規交易結果盡可能接近公平市價。但個別交易</w:t>
      </w:r>
      <w:r w:rsidR="00075B4D">
        <w:rPr>
          <w:rFonts w:eastAsia="標楷體" w:hint="eastAsia"/>
          <w:sz w:val="26"/>
          <w:szCs w:val="26"/>
        </w:rPr>
        <w:t>間</w:t>
      </w:r>
      <w:r w:rsidRPr="008F4F5B">
        <w:rPr>
          <w:rFonts w:eastAsia="標楷體"/>
          <w:sz w:val="26"/>
          <w:szCs w:val="26"/>
        </w:rPr>
        <w:t>有關聯性或連續性者，應合併相關交易適用常規交易方法，以決定其常規交易結果，所以移轉訂價</w:t>
      </w:r>
      <w:r>
        <w:rPr>
          <w:rFonts w:eastAsia="標楷體" w:hint="eastAsia"/>
          <w:sz w:val="26"/>
          <w:szCs w:val="26"/>
        </w:rPr>
        <w:t>分析</w:t>
      </w:r>
      <w:r w:rsidRPr="008F4F5B">
        <w:rPr>
          <w:rFonts w:eastAsia="標楷體"/>
          <w:sz w:val="26"/>
          <w:szCs w:val="26"/>
        </w:rPr>
        <w:t>原則上應以個別交易為基礎。</w:t>
      </w:r>
    </w:p>
    <w:p w:rsidR="004C5A82" w:rsidRDefault="00F70BB6" w:rsidP="00D82424">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而在決定最適常規交易方法時，應依遵循移轉訂價查核準則第</w:t>
      </w:r>
      <w:r w:rsidRPr="00EA272E">
        <w:rPr>
          <w:rFonts w:eastAsia="標楷體" w:hint="eastAsia"/>
          <w:sz w:val="26"/>
          <w:szCs w:val="26"/>
        </w:rPr>
        <w:t>9</w:t>
      </w:r>
      <w:r w:rsidRPr="00EA272E">
        <w:rPr>
          <w:rFonts w:eastAsia="標楷體" w:hint="eastAsia"/>
          <w:sz w:val="26"/>
          <w:szCs w:val="26"/>
        </w:rPr>
        <w:t>條規定，考量下列兩點：</w:t>
      </w:r>
    </w:p>
    <w:p w:rsidR="004C5A82" w:rsidRDefault="004C5A82" w:rsidP="00D82424">
      <w:pPr>
        <w:spacing w:beforeLines="50" w:before="120" w:afterLines="50" w:after="120" w:line="360" w:lineRule="auto"/>
        <w:ind w:firstLineChars="200" w:firstLine="520"/>
        <w:jc w:val="both"/>
        <w:rPr>
          <w:rFonts w:eastAsia="標楷體"/>
          <w:sz w:val="26"/>
          <w:szCs w:val="26"/>
        </w:rPr>
      </w:pPr>
    </w:p>
    <w:p w:rsidR="00F70BB6" w:rsidRPr="00EA272E" w:rsidRDefault="00F70BB6" w:rsidP="000A517A">
      <w:pPr>
        <w:pStyle w:val="4"/>
        <w:keepNext w:val="0"/>
        <w:widowControl/>
        <w:numPr>
          <w:ilvl w:val="0"/>
          <w:numId w:val="2"/>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lastRenderedPageBreak/>
        <w:t>可比較程度</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hint="eastAsia"/>
          <w:sz w:val="26"/>
          <w:szCs w:val="26"/>
        </w:rPr>
        <w:t>可比較程度應</w:t>
      </w:r>
      <w:r w:rsidRPr="00EA272E">
        <w:rPr>
          <w:rFonts w:eastAsia="標楷體"/>
          <w:sz w:val="26"/>
          <w:szCs w:val="26"/>
        </w:rPr>
        <w:t>考量</w:t>
      </w:r>
      <w:r w:rsidRPr="00EA272E">
        <w:rPr>
          <w:rFonts w:eastAsia="標楷體"/>
          <w:sz w:val="26"/>
          <w:szCs w:val="26"/>
        </w:rPr>
        <w:t>1</w:t>
      </w:r>
      <w:r w:rsidRPr="00EA272E">
        <w:rPr>
          <w:rFonts w:eastAsia="標楷體" w:hint="eastAsia"/>
          <w:sz w:val="26"/>
          <w:szCs w:val="26"/>
        </w:rPr>
        <w:t>）交易標的資產或服務之特性、</w:t>
      </w:r>
      <w:r w:rsidRPr="00EA272E">
        <w:rPr>
          <w:rFonts w:eastAsia="標楷體" w:hint="eastAsia"/>
          <w:sz w:val="26"/>
          <w:szCs w:val="26"/>
        </w:rPr>
        <w:t>2</w:t>
      </w:r>
      <w:r w:rsidRPr="00EA272E">
        <w:rPr>
          <w:rFonts w:eastAsia="標楷體" w:hint="eastAsia"/>
          <w:sz w:val="26"/>
          <w:szCs w:val="26"/>
        </w:rPr>
        <w:t>）執行之功能、</w:t>
      </w:r>
      <w:r w:rsidRPr="00EA272E">
        <w:rPr>
          <w:rFonts w:eastAsia="標楷體" w:hint="eastAsia"/>
          <w:sz w:val="26"/>
          <w:szCs w:val="26"/>
        </w:rPr>
        <w:t>3</w:t>
      </w:r>
      <w:r w:rsidRPr="00EA272E">
        <w:rPr>
          <w:rFonts w:eastAsia="標楷體" w:hint="eastAsia"/>
          <w:sz w:val="26"/>
          <w:szCs w:val="26"/>
        </w:rPr>
        <w:t>）契約條款、</w:t>
      </w:r>
      <w:r w:rsidRPr="00EA272E">
        <w:rPr>
          <w:rFonts w:eastAsia="標楷體" w:hint="eastAsia"/>
          <w:sz w:val="26"/>
          <w:szCs w:val="26"/>
        </w:rPr>
        <w:t>4</w:t>
      </w:r>
      <w:r w:rsidRPr="00EA272E">
        <w:rPr>
          <w:rFonts w:eastAsia="標楷體" w:hint="eastAsia"/>
          <w:sz w:val="26"/>
          <w:szCs w:val="26"/>
        </w:rPr>
        <w:t>）承擔之風險、</w:t>
      </w:r>
      <w:r w:rsidRPr="00EA272E">
        <w:rPr>
          <w:rFonts w:eastAsia="標楷體" w:hint="eastAsia"/>
          <w:sz w:val="26"/>
          <w:szCs w:val="26"/>
        </w:rPr>
        <w:t>5</w:t>
      </w:r>
      <w:r w:rsidRPr="00EA272E">
        <w:rPr>
          <w:rFonts w:eastAsia="標楷體" w:hint="eastAsia"/>
          <w:sz w:val="26"/>
          <w:szCs w:val="26"/>
        </w:rPr>
        <w:t>）經濟及市場情況及</w:t>
      </w:r>
      <w:r w:rsidRPr="00EA272E">
        <w:rPr>
          <w:rFonts w:eastAsia="標楷體" w:hint="eastAsia"/>
          <w:sz w:val="26"/>
          <w:szCs w:val="26"/>
        </w:rPr>
        <w:t>6</w:t>
      </w:r>
      <w:r w:rsidRPr="00EA272E">
        <w:rPr>
          <w:rFonts w:eastAsia="標楷體" w:hint="eastAsia"/>
          <w:sz w:val="26"/>
          <w:szCs w:val="26"/>
        </w:rPr>
        <w:t>）商業策略等應特別</w:t>
      </w:r>
      <w:r w:rsidRPr="00EA272E">
        <w:rPr>
          <w:rFonts w:eastAsia="標楷體"/>
          <w:sz w:val="26"/>
          <w:szCs w:val="26"/>
        </w:rPr>
        <w:t>因素</w:t>
      </w:r>
      <w:r w:rsidRPr="00EA272E">
        <w:rPr>
          <w:rFonts w:eastAsia="標楷體" w:hint="eastAsia"/>
          <w:sz w:val="26"/>
          <w:szCs w:val="26"/>
        </w:rPr>
        <w:t>之相似程度。相似程度越高者，其適用性越高。</w:t>
      </w:r>
    </w:p>
    <w:p w:rsidR="00F70BB6" w:rsidRPr="00EA272E" w:rsidRDefault="00F70BB6" w:rsidP="000A517A">
      <w:pPr>
        <w:pStyle w:val="4"/>
        <w:keepNext w:val="0"/>
        <w:widowControl/>
        <w:numPr>
          <w:ilvl w:val="0"/>
          <w:numId w:val="2"/>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資料與假設的品質</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hint="eastAsia"/>
          <w:sz w:val="26"/>
          <w:szCs w:val="26"/>
        </w:rPr>
        <w:t>品質應</w:t>
      </w:r>
      <w:r w:rsidRPr="00EA272E">
        <w:rPr>
          <w:rFonts w:eastAsia="標楷體"/>
          <w:sz w:val="26"/>
          <w:szCs w:val="26"/>
        </w:rPr>
        <w:t>考量</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以蒐集之資料足夠完整正確且能確認</w:t>
      </w:r>
      <w:r w:rsidRPr="00EA272E">
        <w:rPr>
          <w:rFonts w:eastAsia="標楷體" w:hint="eastAsia"/>
          <w:sz w:val="26"/>
          <w:szCs w:val="26"/>
        </w:rPr>
        <w:t>可比較程度分析因素</w:t>
      </w:r>
      <w:r w:rsidRPr="00EA272E">
        <w:rPr>
          <w:rFonts w:eastAsia="標楷體"/>
          <w:sz w:val="26"/>
          <w:szCs w:val="26"/>
        </w:rPr>
        <w:t>之差異</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依</w:t>
      </w:r>
      <w:r w:rsidRPr="00EA272E">
        <w:rPr>
          <w:rFonts w:eastAsia="標楷體" w:hint="eastAsia"/>
          <w:sz w:val="26"/>
          <w:szCs w:val="26"/>
        </w:rPr>
        <w:t>移轉訂價查核準則第</w:t>
      </w:r>
      <w:r w:rsidRPr="00EA272E">
        <w:rPr>
          <w:rFonts w:eastAsia="標楷體" w:hint="eastAsia"/>
          <w:sz w:val="26"/>
          <w:szCs w:val="26"/>
        </w:rPr>
        <w:t>8</w:t>
      </w:r>
      <w:r w:rsidRPr="00EA272E">
        <w:rPr>
          <w:rFonts w:eastAsia="標楷體" w:hint="eastAsia"/>
          <w:sz w:val="26"/>
          <w:szCs w:val="26"/>
        </w:rPr>
        <w:t>條</w:t>
      </w:r>
      <w:r w:rsidRPr="00EA272E">
        <w:rPr>
          <w:rFonts w:eastAsia="標楷體"/>
          <w:sz w:val="26"/>
          <w:szCs w:val="26"/>
        </w:rPr>
        <w:t>規定進行調整以消除差異之可能性及適宜性</w:t>
      </w:r>
      <w:r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使用假設之合理性</w:t>
      </w:r>
      <w:r w:rsidRPr="00EA272E">
        <w:rPr>
          <w:rFonts w:eastAsia="標楷體" w:hint="eastAsia"/>
          <w:sz w:val="26"/>
          <w:szCs w:val="26"/>
        </w:rPr>
        <w:t>等</w:t>
      </w:r>
      <w:r w:rsidRPr="00EA272E">
        <w:rPr>
          <w:rFonts w:eastAsia="標楷體"/>
          <w:sz w:val="26"/>
          <w:szCs w:val="26"/>
        </w:rPr>
        <w:t>因素。品質愈佳者，其適用性愈高。</w:t>
      </w:r>
    </w:p>
    <w:p w:rsidR="00F70BB6" w:rsidRPr="00EA272E" w:rsidRDefault="00F70BB6" w:rsidP="00F70BB6">
      <w:pPr>
        <w:spacing w:before="100" w:beforeAutospacing="1" w:after="100" w:afterAutospacing="1" w:line="360" w:lineRule="auto"/>
        <w:ind w:leftChars="200" w:left="480"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1</w:t>
      </w:r>
      <w:r w:rsidRPr="00EA272E">
        <w:rPr>
          <w:rFonts w:eastAsia="標楷體" w:hint="eastAsia"/>
          <w:sz w:val="26"/>
          <w:szCs w:val="26"/>
        </w:rPr>
        <w:t>0</w:t>
      </w:r>
      <w:r w:rsidRPr="00EA272E">
        <w:rPr>
          <w:rFonts w:eastAsia="標楷體"/>
          <w:sz w:val="26"/>
          <w:szCs w:val="26"/>
        </w:rPr>
        <w:t>條至</w:t>
      </w:r>
      <w:r w:rsidRPr="00EA272E">
        <w:rPr>
          <w:rFonts w:eastAsia="標楷體"/>
          <w:sz w:val="26"/>
          <w:szCs w:val="26"/>
        </w:rPr>
        <w:t>19</w:t>
      </w:r>
      <w:r w:rsidRPr="00EA272E">
        <w:rPr>
          <w:rFonts w:eastAsia="標楷體"/>
          <w:sz w:val="26"/>
          <w:szCs w:val="26"/>
        </w:rPr>
        <w:t>條</w:t>
      </w:r>
      <w:r w:rsidRPr="00EA272E">
        <w:rPr>
          <w:rFonts w:eastAsia="標楷體" w:hint="eastAsia"/>
          <w:sz w:val="26"/>
          <w:szCs w:val="26"/>
        </w:rPr>
        <w:t>有針</w:t>
      </w:r>
      <w:r w:rsidRPr="00EA272E">
        <w:rPr>
          <w:rFonts w:eastAsia="標楷體"/>
          <w:sz w:val="26"/>
          <w:szCs w:val="26"/>
        </w:rPr>
        <w:t>對採用各種常規交易方法時所應特別考慮之因素有</w:t>
      </w:r>
      <w:r w:rsidRPr="00EA272E">
        <w:rPr>
          <w:rFonts w:eastAsia="標楷體" w:hint="eastAsia"/>
          <w:sz w:val="26"/>
          <w:szCs w:val="26"/>
        </w:rPr>
        <w:t>作</w:t>
      </w:r>
      <w:r w:rsidRPr="00EA272E">
        <w:rPr>
          <w:rFonts w:eastAsia="標楷體"/>
          <w:sz w:val="26"/>
          <w:szCs w:val="26"/>
        </w:rPr>
        <w:t>詳細</w:t>
      </w:r>
      <w:r w:rsidRPr="00EA272E">
        <w:rPr>
          <w:rFonts w:eastAsia="標楷體" w:hint="eastAsia"/>
          <w:sz w:val="26"/>
          <w:szCs w:val="26"/>
        </w:rPr>
        <w:t>敘述，故將各種</w:t>
      </w:r>
      <w:r w:rsidRPr="00EA272E">
        <w:rPr>
          <w:rFonts w:eastAsia="標楷體"/>
          <w:sz w:val="26"/>
          <w:szCs w:val="26"/>
        </w:rPr>
        <w:t>常規</w:t>
      </w:r>
      <w:r w:rsidRPr="00EA272E">
        <w:rPr>
          <w:rFonts w:eastAsia="標楷體" w:hint="eastAsia"/>
          <w:sz w:val="26"/>
          <w:szCs w:val="26"/>
        </w:rPr>
        <w:t>交易</w:t>
      </w:r>
      <w:r w:rsidRPr="00EA272E">
        <w:rPr>
          <w:rFonts w:eastAsia="標楷體"/>
          <w:sz w:val="26"/>
          <w:szCs w:val="26"/>
        </w:rPr>
        <w:t>方法說明如下</w:t>
      </w:r>
      <w:r w:rsidRPr="00EA272E">
        <w:rPr>
          <w:rFonts w:eastAsia="標楷體" w:hint="eastAsia"/>
          <w:sz w:val="26"/>
          <w:szCs w:val="26"/>
        </w:rPr>
        <w:t>：</w:t>
      </w:r>
    </w:p>
    <w:p w:rsidR="004C5A82" w:rsidRDefault="00F70BB6" w:rsidP="00D82424">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可比較未受控價格法</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14</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評估可比較未受控價格法之適用性時，尤應特別考量從事受控交易之營利事業與非關係人之交易標的資產或服務之特性、契約條款及經濟情況</w:t>
      </w:r>
      <w:r w:rsidRPr="00EA272E">
        <w:rPr>
          <w:rFonts w:eastAsia="標楷體" w:hint="eastAsia"/>
          <w:sz w:val="26"/>
          <w:szCs w:val="26"/>
        </w:rPr>
        <w:t>等因素</w:t>
      </w:r>
      <w:r w:rsidRPr="00EA272E">
        <w:rPr>
          <w:rFonts w:eastAsia="標楷體"/>
          <w:sz w:val="26"/>
          <w:szCs w:val="26"/>
        </w:rPr>
        <w:t>之差異，其間如有</w:t>
      </w:r>
      <w:r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4C5A82" w:rsidRDefault="00F70BB6" w:rsidP="00D82424">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lastRenderedPageBreak/>
        <w:t>可比較未受控交易法</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依移轉訂價查核準則第</w:t>
      </w:r>
      <w:r w:rsidRPr="00EA272E">
        <w:rPr>
          <w:rFonts w:eastAsia="標楷體"/>
          <w:sz w:val="26"/>
          <w:szCs w:val="26"/>
        </w:rPr>
        <w:t>15</w:t>
      </w:r>
      <w:r w:rsidRPr="00EA272E">
        <w:rPr>
          <w:rFonts w:eastAsia="標楷體"/>
          <w:sz w:val="26"/>
          <w:szCs w:val="26"/>
        </w:rPr>
        <w:t>條</w:t>
      </w:r>
      <w:r w:rsidRPr="00EA272E">
        <w:rPr>
          <w:rFonts w:eastAsia="標楷體" w:hint="eastAsia"/>
          <w:sz w:val="26"/>
          <w:szCs w:val="26"/>
        </w:rPr>
        <w:t>所定</w:t>
      </w:r>
      <w:r w:rsidRPr="00EA272E">
        <w:rPr>
          <w:rFonts w:eastAsia="標楷體"/>
          <w:sz w:val="26"/>
          <w:szCs w:val="26"/>
        </w:rPr>
        <w:t>可比較未受控交易法</w:t>
      </w:r>
      <w:r w:rsidRPr="00EA272E">
        <w:rPr>
          <w:rFonts w:eastAsia="標楷體" w:hint="eastAsia"/>
          <w:sz w:val="26"/>
          <w:szCs w:val="26"/>
        </w:rPr>
        <w:t>，</w:t>
      </w:r>
      <w:r w:rsidRPr="00EA272E">
        <w:rPr>
          <w:rFonts w:eastAsia="標楷體"/>
          <w:sz w:val="26"/>
          <w:szCs w:val="26"/>
        </w:rPr>
        <w:t>係以非關係人於可比較情況下，從事無形資產之移轉或使用之可比較未受控交易所收取之價格，為受控交易之常規交易價格。</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評估可比較未受控交易法之適用性時，尤應特別考量從事受控交易之營利事業與非關係人之交易標的無形資產之可比較程度及二者所處情況之可比較程度。</w:t>
      </w:r>
      <w:r w:rsidRPr="00EA272E">
        <w:rPr>
          <w:rFonts w:eastAsia="標楷體" w:hint="eastAsia"/>
          <w:sz w:val="26"/>
          <w:szCs w:val="26"/>
        </w:rPr>
        <w:t>其中所處情況之</w:t>
      </w:r>
      <w:r w:rsidRPr="00EA272E">
        <w:rPr>
          <w:rFonts w:eastAsia="標楷體"/>
          <w:sz w:val="26"/>
          <w:szCs w:val="26"/>
        </w:rPr>
        <w:t>可比較程度應考量</w:t>
      </w:r>
      <w:r w:rsidRPr="00EA272E">
        <w:rPr>
          <w:rFonts w:eastAsia="標楷體" w:hint="eastAsia"/>
          <w:sz w:val="26"/>
          <w:szCs w:val="26"/>
        </w:rPr>
        <w:t>：</w:t>
      </w:r>
      <w:r w:rsidRPr="00EA272E">
        <w:rPr>
          <w:rFonts w:eastAsia="標楷體"/>
          <w:sz w:val="26"/>
          <w:szCs w:val="26"/>
        </w:rPr>
        <w:t>1</w:t>
      </w:r>
      <w:r w:rsidRPr="00EA272E">
        <w:rPr>
          <w:rFonts w:eastAsia="標楷體" w:hint="eastAsia"/>
          <w:sz w:val="26"/>
          <w:szCs w:val="26"/>
        </w:rPr>
        <w:t>）</w:t>
      </w:r>
      <w:r w:rsidRPr="00EA272E">
        <w:rPr>
          <w:rFonts w:eastAsia="標楷體"/>
          <w:sz w:val="26"/>
          <w:szCs w:val="26"/>
        </w:rPr>
        <w:t>移轉條件</w:t>
      </w:r>
      <w:r w:rsidRPr="00EA272E">
        <w:rPr>
          <w:rFonts w:eastAsia="標楷體" w:hint="eastAsia"/>
          <w:sz w:val="26"/>
          <w:szCs w:val="26"/>
        </w:rPr>
        <w:t>（</w:t>
      </w:r>
      <w:r w:rsidRPr="00EA272E">
        <w:rPr>
          <w:rFonts w:eastAsia="標楷體"/>
          <w:sz w:val="26"/>
          <w:szCs w:val="26"/>
        </w:rPr>
        <w:t>包括無形資產之使用權或授權是否具有專屬性、是否有任何使用限制、權利行使有無地區之限制</w:t>
      </w:r>
      <w:r w:rsidRPr="00EA272E">
        <w:rPr>
          <w:rFonts w:eastAsia="標楷體" w:hint="eastAsia"/>
          <w:sz w:val="26"/>
          <w:szCs w:val="26"/>
        </w:rPr>
        <w:t>）；</w:t>
      </w:r>
      <w:r w:rsidRPr="00EA272E">
        <w:rPr>
          <w:rFonts w:eastAsia="標楷體"/>
          <w:sz w:val="26"/>
          <w:szCs w:val="26"/>
        </w:rPr>
        <w:t>2</w:t>
      </w:r>
      <w:r w:rsidRPr="00EA272E">
        <w:rPr>
          <w:rFonts w:eastAsia="標楷體" w:hint="eastAsia"/>
          <w:sz w:val="26"/>
          <w:szCs w:val="26"/>
        </w:rPr>
        <w:t>）</w:t>
      </w:r>
      <w:r w:rsidRPr="00EA272E">
        <w:rPr>
          <w:rFonts w:eastAsia="標楷體"/>
          <w:sz w:val="26"/>
          <w:szCs w:val="26"/>
        </w:rPr>
        <w:t>無形資產於使用市場所處之發展階段</w:t>
      </w:r>
      <w:r w:rsidRPr="00EA272E">
        <w:rPr>
          <w:rFonts w:eastAsia="標楷體" w:hint="eastAsia"/>
          <w:sz w:val="26"/>
          <w:szCs w:val="26"/>
        </w:rPr>
        <w:t>（</w:t>
      </w:r>
      <w:r w:rsidRPr="00EA272E">
        <w:rPr>
          <w:rFonts w:eastAsia="標楷體"/>
          <w:sz w:val="26"/>
          <w:szCs w:val="26"/>
        </w:rPr>
        <w:t>包括是否須政府核准、授權或核發執照</w:t>
      </w:r>
      <w:r w:rsidRPr="00EA272E">
        <w:rPr>
          <w:rFonts w:eastAsia="標楷體" w:hint="eastAsia"/>
          <w:sz w:val="26"/>
          <w:szCs w:val="26"/>
        </w:rPr>
        <w:t>）；</w:t>
      </w:r>
      <w:r w:rsidRPr="00EA272E">
        <w:rPr>
          <w:rFonts w:eastAsia="標楷體"/>
          <w:sz w:val="26"/>
          <w:szCs w:val="26"/>
        </w:rPr>
        <w:t>3</w:t>
      </w:r>
      <w:r w:rsidRPr="00EA272E">
        <w:rPr>
          <w:rFonts w:eastAsia="標楷體" w:hint="eastAsia"/>
          <w:sz w:val="26"/>
          <w:szCs w:val="26"/>
        </w:rPr>
        <w:t>）</w:t>
      </w:r>
      <w:r w:rsidRPr="00EA272E">
        <w:rPr>
          <w:rFonts w:eastAsia="標楷體"/>
          <w:sz w:val="26"/>
          <w:szCs w:val="26"/>
        </w:rPr>
        <w:t>是否擁有無形資產之更新、修改及修正之權利；</w:t>
      </w:r>
      <w:r w:rsidRPr="00EA272E">
        <w:rPr>
          <w:rFonts w:eastAsia="標楷體"/>
          <w:sz w:val="26"/>
          <w:szCs w:val="26"/>
        </w:rPr>
        <w:t>4</w:t>
      </w:r>
      <w:r w:rsidRPr="00EA272E">
        <w:rPr>
          <w:rFonts w:eastAsia="標楷體" w:hint="eastAsia"/>
          <w:sz w:val="26"/>
          <w:szCs w:val="26"/>
        </w:rPr>
        <w:t>）</w:t>
      </w:r>
      <w:r w:rsidRPr="00EA272E">
        <w:rPr>
          <w:rFonts w:eastAsia="標楷體"/>
          <w:sz w:val="26"/>
          <w:szCs w:val="26"/>
        </w:rPr>
        <w:t>無形資產之獨特性及其維持獨特性之期間</w:t>
      </w:r>
      <w:r w:rsidRPr="00EA272E">
        <w:rPr>
          <w:rFonts w:eastAsia="標楷體" w:hint="eastAsia"/>
          <w:sz w:val="26"/>
          <w:szCs w:val="26"/>
        </w:rPr>
        <w:t>（</w:t>
      </w:r>
      <w:r w:rsidRPr="00EA272E">
        <w:rPr>
          <w:rFonts w:eastAsia="標楷體"/>
          <w:sz w:val="26"/>
          <w:szCs w:val="26"/>
        </w:rPr>
        <w:t>包括相關國家法律對於該無形資產之保護程度及期間</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5</w:t>
      </w:r>
      <w:r w:rsidRPr="00EA272E">
        <w:rPr>
          <w:rFonts w:eastAsia="標楷體" w:hint="eastAsia"/>
          <w:sz w:val="26"/>
          <w:szCs w:val="26"/>
        </w:rPr>
        <w:t>）</w:t>
      </w:r>
      <w:r w:rsidRPr="00EA272E">
        <w:rPr>
          <w:rFonts w:eastAsia="標楷體"/>
          <w:sz w:val="26"/>
          <w:szCs w:val="26"/>
        </w:rPr>
        <w:t>授權、契約或其他協議之持續期間</w:t>
      </w:r>
      <w:r w:rsidRPr="00EA272E">
        <w:rPr>
          <w:rFonts w:eastAsia="標楷體" w:hint="eastAsia"/>
          <w:sz w:val="26"/>
          <w:szCs w:val="26"/>
        </w:rPr>
        <w:t>及終止或協商權力</w:t>
      </w:r>
      <w:r w:rsidRPr="00EA272E">
        <w:rPr>
          <w:rFonts w:eastAsia="標楷體"/>
          <w:sz w:val="26"/>
          <w:szCs w:val="26"/>
        </w:rPr>
        <w:t>；</w:t>
      </w:r>
      <w:r w:rsidRPr="00EA272E">
        <w:rPr>
          <w:rFonts w:eastAsia="標楷體"/>
          <w:sz w:val="26"/>
          <w:szCs w:val="26"/>
        </w:rPr>
        <w:t>6</w:t>
      </w:r>
      <w:r w:rsidRPr="00EA272E">
        <w:rPr>
          <w:rFonts w:eastAsia="標楷體" w:hint="eastAsia"/>
          <w:sz w:val="26"/>
          <w:szCs w:val="26"/>
        </w:rPr>
        <w:t>）</w:t>
      </w:r>
      <w:r w:rsidRPr="00EA272E">
        <w:rPr>
          <w:rFonts w:eastAsia="標楷體"/>
          <w:sz w:val="26"/>
          <w:szCs w:val="26"/>
        </w:rPr>
        <w:t>受讓人承擔之</w:t>
      </w:r>
      <w:r w:rsidRPr="00EA272E">
        <w:rPr>
          <w:rFonts w:eastAsia="標楷體" w:hint="eastAsia"/>
          <w:sz w:val="26"/>
          <w:szCs w:val="26"/>
        </w:rPr>
        <w:t>任何</w:t>
      </w:r>
      <w:r w:rsidRPr="00EA272E">
        <w:rPr>
          <w:rFonts w:eastAsia="標楷體"/>
          <w:sz w:val="26"/>
          <w:szCs w:val="26"/>
        </w:rPr>
        <w:t>經濟及產品責任風險</w:t>
      </w:r>
      <w:r w:rsidRPr="00EA272E">
        <w:rPr>
          <w:rFonts w:eastAsia="標楷體" w:hint="eastAsia"/>
          <w:sz w:val="26"/>
          <w:szCs w:val="26"/>
        </w:rPr>
        <w:t>與</w:t>
      </w:r>
      <w:r w:rsidRPr="00EA272E">
        <w:rPr>
          <w:rFonts w:eastAsia="標楷體"/>
          <w:sz w:val="26"/>
          <w:szCs w:val="26"/>
        </w:rPr>
        <w:t>7</w:t>
      </w:r>
      <w:r w:rsidRPr="00EA272E">
        <w:rPr>
          <w:rFonts w:eastAsia="標楷體" w:hint="eastAsia"/>
          <w:sz w:val="26"/>
          <w:szCs w:val="26"/>
        </w:rPr>
        <w:t>）</w:t>
      </w:r>
      <w:r w:rsidRPr="00EA272E">
        <w:rPr>
          <w:rFonts w:eastAsia="標楷體"/>
          <w:sz w:val="26"/>
          <w:szCs w:val="26"/>
        </w:rPr>
        <w:t>受讓人與讓與人所執行之功能</w:t>
      </w:r>
      <w:r w:rsidRPr="00EA272E">
        <w:rPr>
          <w:rFonts w:eastAsia="標楷體" w:hint="eastAsia"/>
          <w:sz w:val="26"/>
          <w:szCs w:val="26"/>
        </w:rPr>
        <w:t>（</w:t>
      </w:r>
      <w:r w:rsidRPr="00EA272E">
        <w:rPr>
          <w:rFonts w:eastAsia="標楷體"/>
          <w:sz w:val="26"/>
          <w:szCs w:val="26"/>
        </w:rPr>
        <w:t>包括附屬及支援服務</w:t>
      </w:r>
      <w:r w:rsidRPr="00EA272E">
        <w:rPr>
          <w:rFonts w:eastAsia="標楷體" w:hint="eastAsia"/>
          <w:sz w:val="26"/>
          <w:szCs w:val="26"/>
        </w:rPr>
        <w:t>）</w:t>
      </w:r>
      <w:r w:rsidRPr="00EA272E">
        <w:rPr>
          <w:rFonts w:eastAsia="標楷體"/>
          <w:sz w:val="26"/>
          <w:szCs w:val="26"/>
        </w:rPr>
        <w:t>等因素</w:t>
      </w:r>
      <w:r w:rsidRPr="00EA272E">
        <w:rPr>
          <w:rFonts w:eastAsia="標楷體" w:hint="eastAsia"/>
          <w:sz w:val="26"/>
          <w:szCs w:val="26"/>
        </w:rPr>
        <w:t>之差異</w:t>
      </w:r>
      <w:r w:rsidRPr="00EA272E">
        <w:rPr>
          <w:rFonts w:eastAsia="標楷體"/>
          <w:sz w:val="26"/>
          <w:szCs w:val="26"/>
        </w:rPr>
        <w:t>。其間如有</w:t>
      </w:r>
      <w:r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4C5A82" w:rsidRDefault="00F70BB6" w:rsidP="00D82424">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再售價格法</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16</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再售價格法，係按從事受控交易之營利事業再銷售予非關係人之價格，減除依可比較未受控交易毛利率計算之毛利後之金額，為受控交易之常規交易價格。</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評估再售價格法之適用性時，尤應特別考量</w:t>
      </w:r>
      <w:r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如銷售、行銷、廣告及服務</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如存貨水準及其</w:t>
      </w:r>
      <w:r w:rsidRPr="00EA272E">
        <w:rPr>
          <w:rFonts w:eastAsia="標楷體"/>
          <w:sz w:val="26"/>
          <w:szCs w:val="26"/>
        </w:rPr>
        <w:lastRenderedPageBreak/>
        <w:t>週轉率及相關風險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如保證範圍及條款、交易數量、信用條件、交貨條件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市場情況</w:t>
      </w:r>
      <w:r w:rsidRPr="00EA272E">
        <w:rPr>
          <w:rFonts w:eastAsia="標楷體" w:hint="eastAsia"/>
          <w:sz w:val="26"/>
          <w:szCs w:val="26"/>
        </w:rPr>
        <w:t>（</w:t>
      </w:r>
      <w:r w:rsidRPr="00EA272E">
        <w:rPr>
          <w:rFonts w:eastAsia="標楷體"/>
          <w:sz w:val="26"/>
          <w:szCs w:val="26"/>
        </w:rPr>
        <w:t>如處於批發或零售之市場層級</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9</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影響毛利率之因素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Pr="00EA272E">
        <w:rPr>
          <w:rFonts w:eastAsia="標楷體" w:hint="eastAsia"/>
          <w:sz w:val="26"/>
          <w:szCs w:val="26"/>
        </w:rPr>
        <w:t>前項</w:t>
      </w:r>
      <w:r w:rsidRPr="00EA272E">
        <w:rPr>
          <w:rFonts w:eastAsia="標楷體"/>
          <w:sz w:val="26"/>
          <w:szCs w:val="26"/>
        </w:rPr>
        <w:t>差異，應就該等差異對毛利率之影響進行合理之調整，其無法經由合理之調整以消除該等差異者，應採用其他適合之常規交易方法。</w:t>
      </w:r>
    </w:p>
    <w:p w:rsidR="004C5A82" w:rsidRDefault="00F70BB6" w:rsidP="00D82424">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成本加價法</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17</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成本加價法，係以自非關係人購進之成本或自行製造之成本，加計依可比較未受控交易成本加價率計算之毛利後之金額，為受控交易之常規交易價格。</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評估成本加價法之適用性時，尤應特別考量</w:t>
      </w:r>
      <w:r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如製造、加工技術或安裝複雜程度、測試功能</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如市場風險、匯兌風險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w:t>
      </w:r>
      <w:r w:rsidRPr="00EA272E">
        <w:rPr>
          <w:rFonts w:eastAsia="標楷體" w:hint="eastAsia"/>
          <w:sz w:val="26"/>
          <w:szCs w:val="26"/>
        </w:rPr>
        <w:t>件</w:t>
      </w:r>
      <w:r w:rsidRPr="00EA272E">
        <w:rPr>
          <w:rFonts w:eastAsia="標楷體"/>
          <w:sz w:val="26"/>
          <w:szCs w:val="26"/>
        </w:rPr>
        <w:t>、交易數量、信用條件、交貨條件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影響成本加價率之因素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Pr="00EA272E">
        <w:rPr>
          <w:rFonts w:eastAsia="標楷體" w:hint="eastAsia"/>
          <w:sz w:val="26"/>
          <w:szCs w:val="26"/>
        </w:rPr>
        <w:t>前項</w:t>
      </w:r>
      <w:r w:rsidRPr="00EA272E">
        <w:rPr>
          <w:rFonts w:eastAsia="標楷體"/>
          <w:sz w:val="26"/>
          <w:szCs w:val="26"/>
        </w:rPr>
        <w:t>差異，應就該等差異對成本加價率之影響進行合理之調整，其無法經由合理之調整以消除該等差異者，應採用其他適合之常規交易方法。</w:t>
      </w:r>
    </w:p>
    <w:p w:rsidR="004C5A82" w:rsidRDefault="004C5A82" w:rsidP="00D82424">
      <w:pPr>
        <w:spacing w:beforeLines="50" w:before="120" w:afterLines="50" w:after="120" w:line="360" w:lineRule="auto"/>
        <w:ind w:leftChars="400" w:left="960" w:firstLineChars="200" w:firstLine="520"/>
        <w:jc w:val="both"/>
        <w:rPr>
          <w:rFonts w:eastAsia="標楷體"/>
          <w:sz w:val="26"/>
          <w:szCs w:val="26"/>
        </w:rPr>
      </w:pPr>
    </w:p>
    <w:p w:rsidR="004C5A82" w:rsidRDefault="00F70BB6" w:rsidP="00D82424">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lastRenderedPageBreak/>
        <w:t>可比較利潤法</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18</w:t>
      </w:r>
      <w:r w:rsidRPr="00EA272E">
        <w:rPr>
          <w:rFonts w:eastAsia="標楷體"/>
          <w:sz w:val="26"/>
          <w:szCs w:val="26"/>
        </w:rPr>
        <w:t>條所定可比較利潤法，係以可比較未受控交易於特定年限內之平均利潤率指標為基礎，計算可比較營業利潤，並據以決定受控交易之常規交易結果。</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採用可比較利潤法時，</w:t>
      </w:r>
      <w:r w:rsidRPr="00EA272E">
        <w:rPr>
          <w:rFonts w:eastAsia="標楷體" w:hint="eastAsia"/>
          <w:sz w:val="26"/>
          <w:szCs w:val="26"/>
        </w:rPr>
        <w:t>須遵循下列步驟：</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選定受測個體及受測活動</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選定與受測個體及受測活動相似之可比較未受控交易</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選定利潤率指標</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決定可比較未受控交易之平均利潤率</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依受測個體之受測活動於特定年限內之營業資產、銷貨淨額、營業費用或其他基礎之年平均數，計算可比較營業利潤</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受測個體從事受測活動於特定年限內之平均營業利潤</w:t>
      </w:r>
      <w:r w:rsidRPr="00EA272E">
        <w:rPr>
          <w:rFonts w:eastAsia="標楷體" w:hint="eastAsia"/>
          <w:sz w:val="26"/>
          <w:szCs w:val="26"/>
        </w:rPr>
        <w:t>在</w:t>
      </w:r>
      <w:r w:rsidRPr="00EA272E">
        <w:rPr>
          <w:rFonts w:eastAsia="標楷體"/>
          <w:sz w:val="26"/>
          <w:szCs w:val="26"/>
        </w:rPr>
        <w:t>常規交易範圍之內者，視為符合常規；在該範圍之外者，按交易當年度所有可比較營業利潤之中位數調整受測個體當年度之營業利潤</w:t>
      </w:r>
      <w:r w:rsidRPr="00EA272E">
        <w:rPr>
          <w:rFonts w:eastAsia="標楷體" w:hint="eastAsia"/>
          <w:sz w:val="26"/>
          <w:szCs w:val="26"/>
        </w:rPr>
        <w:t>及</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以受測個體之常規營業利潤為基礎，決定受測個體以外依</w:t>
      </w:r>
      <w:r w:rsidRPr="00EA272E">
        <w:rPr>
          <w:rFonts w:eastAsia="標楷體" w:hint="eastAsia"/>
          <w:sz w:val="26"/>
          <w:szCs w:val="26"/>
        </w:rPr>
        <w:t>移轉訂價查核準則</w:t>
      </w:r>
      <w:r w:rsidRPr="00EA272E">
        <w:rPr>
          <w:rFonts w:eastAsia="標楷體"/>
          <w:sz w:val="26"/>
          <w:szCs w:val="26"/>
        </w:rPr>
        <w:t>規定應繳納中華民國所得稅之同一受控交易其他參與人之常規交易結果</w:t>
      </w:r>
      <w:r w:rsidRPr="00EA272E">
        <w:rPr>
          <w:rFonts w:eastAsia="標楷體" w:hint="eastAsia"/>
          <w:sz w:val="26"/>
          <w:szCs w:val="26"/>
        </w:rPr>
        <w:t>。</w:t>
      </w:r>
    </w:p>
    <w:p w:rsidR="004C5A82" w:rsidRDefault="00F70BB6" w:rsidP="00D82424">
      <w:pPr>
        <w:spacing w:beforeLines="50" w:before="120" w:afterLines="50" w:after="120" w:line="360" w:lineRule="auto"/>
        <w:ind w:leftChars="400" w:left="960" w:firstLineChars="200" w:firstLine="520"/>
        <w:jc w:val="both"/>
        <w:rPr>
          <w:rFonts w:eastAsia="標楷體"/>
          <w:bCs/>
          <w:sz w:val="26"/>
          <w:szCs w:val="26"/>
        </w:rPr>
      </w:pPr>
      <w:r w:rsidRPr="00EA272E">
        <w:rPr>
          <w:rFonts w:eastAsia="標楷體"/>
          <w:sz w:val="26"/>
          <w:szCs w:val="26"/>
        </w:rPr>
        <w:t>評估可比較利潤法之適用性時，尤應特別考量受測個體及受測活動與非關係人及其所從事相關活動之</w:t>
      </w:r>
      <w:r w:rsidRPr="00EA272E">
        <w:rPr>
          <w:rFonts w:eastAsia="標楷體" w:hint="eastAsia"/>
          <w:sz w:val="26"/>
          <w:szCs w:val="26"/>
        </w:rPr>
        <w:t>下列因素：</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影響二者間可比較程度</w:t>
      </w:r>
      <w:r w:rsidRPr="00EA272E">
        <w:rPr>
          <w:rFonts w:eastAsia="標楷體" w:hint="eastAsia"/>
          <w:sz w:val="26"/>
          <w:szCs w:val="26"/>
        </w:rPr>
        <w:t>之</w:t>
      </w:r>
      <w:r w:rsidRPr="00EA272E">
        <w:rPr>
          <w:rFonts w:eastAsia="標楷體"/>
          <w:sz w:val="26"/>
          <w:szCs w:val="26"/>
        </w:rPr>
        <w:t>因素</w:t>
      </w:r>
      <w:r w:rsidRPr="00EA272E">
        <w:rPr>
          <w:rFonts w:eastAsia="標楷體" w:hint="eastAsia"/>
          <w:sz w:val="26"/>
          <w:szCs w:val="26"/>
        </w:rPr>
        <w:t>（</w:t>
      </w:r>
      <w:r w:rsidRPr="00EA272E">
        <w:rPr>
          <w:rFonts w:eastAsia="標楷體"/>
          <w:sz w:val="26"/>
          <w:szCs w:val="26"/>
        </w:rPr>
        <w:t>包括執行之功能、承擔之風險、使用之營業資產、相關之營業、交易標的資產或服務之市場、營業規模、位於商業循環或產品循環之階段</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成本、費用、所得及資產，於受測活動及其他活動間分攤方式之合理性及適宜性</w:t>
      </w:r>
      <w:r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。若</w:t>
      </w:r>
      <w:r w:rsidRPr="00EA272E">
        <w:rPr>
          <w:rFonts w:eastAsia="標楷體"/>
          <w:sz w:val="26"/>
          <w:szCs w:val="26"/>
        </w:rPr>
        <w:t>受測個體及受測活動，與非關係人及其所從事之</w:t>
      </w:r>
      <w:r w:rsidRPr="00EA272E">
        <w:rPr>
          <w:rFonts w:eastAsia="標楷體"/>
          <w:bCs/>
          <w:sz w:val="26"/>
          <w:szCs w:val="26"/>
        </w:rPr>
        <w:t>相關活動間，如存在前項因素之差異，應就該等差異對營業利潤之影響進行合理之調整，其無法經由合理之調整以消除該等差異者，應採用其</w:t>
      </w:r>
      <w:r w:rsidRPr="00EA272E">
        <w:rPr>
          <w:rFonts w:eastAsia="標楷體"/>
          <w:bCs/>
          <w:sz w:val="26"/>
          <w:szCs w:val="26"/>
        </w:rPr>
        <w:lastRenderedPageBreak/>
        <w:t>他適合之常規交易方法。</w:t>
      </w:r>
    </w:p>
    <w:p w:rsidR="004C5A82" w:rsidRDefault="00F70BB6" w:rsidP="00D82424">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利潤分割法</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19</w:t>
      </w:r>
      <w:r w:rsidRPr="00EA272E">
        <w:rPr>
          <w:rFonts w:eastAsia="標楷體"/>
          <w:sz w:val="26"/>
          <w:szCs w:val="26"/>
        </w:rPr>
        <w:t>條所定利潤分割法，係於受控交易之各參與人所從事之活動高度整合致無法單獨衡量其交易結果時，</w:t>
      </w:r>
      <w:r w:rsidRPr="00EA272E">
        <w:rPr>
          <w:rFonts w:eastAsia="標楷體" w:hint="eastAsia"/>
          <w:sz w:val="26"/>
          <w:szCs w:val="26"/>
        </w:rPr>
        <w:t>依</w:t>
      </w:r>
      <w:r w:rsidRPr="00EA272E">
        <w:rPr>
          <w:rFonts w:eastAsia="標楷體"/>
          <w:sz w:val="26"/>
          <w:szCs w:val="26"/>
        </w:rPr>
        <w:t>各參與人對所有參與人合併營業利潤之貢獻，計算各參與人應分配之營業利潤。</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合併營業利潤之分配，</w:t>
      </w:r>
      <w:r w:rsidRPr="00EA272E">
        <w:rPr>
          <w:rFonts w:eastAsia="標楷體" w:hint="eastAsia"/>
          <w:sz w:val="26"/>
          <w:szCs w:val="26"/>
        </w:rPr>
        <w:t>須先</w:t>
      </w:r>
      <w:r w:rsidRPr="00EA272E">
        <w:rPr>
          <w:rFonts w:eastAsia="標楷體"/>
          <w:sz w:val="26"/>
          <w:szCs w:val="26"/>
        </w:rPr>
        <w:t>按例行性貢獻分配例行性利潤</w:t>
      </w:r>
      <w:r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以合併營業利潤為基礎，依各參與人從事相關營業活動之例行性貢獻，分配其應得之市場公平報酬</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所稱例行性貢獻，指非關係人對於相同或類似營業活動之貢獻，其以可資辨識市場公平報酬之營業活動為基礎</w:t>
      </w:r>
      <w:r w:rsidRPr="00EA272E">
        <w:rPr>
          <w:rFonts w:eastAsia="標楷體" w:hint="eastAsia"/>
          <w:sz w:val="26"/>
          <w:szCs w:val="26"/>
        </w:rPr>
        <w:t>及</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計算例行性利潤時，應進行功能分析，依各參與人執行之功能、承擔之風險及使用之資產，確認其從事相關營業活動應分配之市場公平報酬。</w:t>
      </w:r>
      <w:r w:rsidRPr="00EA272E">
        <w:rPr>
          <w:rFonts w:eastAsia="標楷體" w:hint="eastAsia"/>
          <w:sz w:val="26"/>
          <w:szCs w:val="26"/>
        </w:rPr>
        <w:t>然後再</w:t>
      </w:r>
      <w:r w:rsidRPr="00EA272E">
        <w:rPr>
          <w:rFonts w:eastAsia="標楷體"/>
          <w:sz w:val="26"/>
          <w:szCs w:val="26"/>
        </w:rPr>
        <w:t>按對無形資產之貢獻分配剩餘利潤</w:t>
      </w:r>
      <w:r w:rsidRPr="00EA272E">
        <w:rPr>
          <w:rFonts w:eastAsia="標楷體" w:hint="eastAsia"/>
          <w:sz w:val="26"/>
          <w:szCs w:val="26"/>
        </w:rPr>
        <w:t>：</w:t>
      </w:r>
      <w:r w:rsidRPr="00EA272E">
        <w:rPr>
          <w:rFonts w:eastAsia="標楷體"/>
          <w:sz w:val="26"/>
          <w:szCs w:val="26"/>
        </w:rPr>
        <w:t>合併營業利潤減除分配予各參與人之例行性利潤後，以其餘額按各參與人於相關營業活動中對於無形資產之貢獻價值，計算其應分配之剩餘利潤。</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評估利潤分割法之適用性時</w:t>
      </w:r>
      <w:r w:rsidRPr="00EA272E">
        <w:rPr>
          <w:rFonts w:eastAsia="標楷體" w:hint="eastAsia"/>
          <w:sz w:val="26"/>
          <w:szCs w:val="26"/>
        </w:rPr>
        <w:t>，</w:t>
      </w:r>
      <w:r w:rsidRPr="00EA272E">
        <w:rPr>
          <w:rFonts w:eastAsia="標楷體"/>
          <w:sz w:val="26"/>
          <w:szCs w:val="26"/>
        </w:rPr>
        <w:t>尤應特別考量</w:t>
      </w:r>
      <w:r w:rsidRPr="00EA272E">
        <w:rPr>
          <w:rFonts w:eastAsia="標楷體" w:hint="eastAsia"/>
          <w:sz w:val="26"/>
          <w:szCs w:val="26"/>
        </w:rPr>
        <w:t>下列因素：</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決定例行性貢獻市場公平報酬之方法所應考量之因素</w:t>
      </w:r>
      <w:r w:rsidRPr="00EA272E">
        <w:rPr>
          <w:rFonts w:eastAsia="標楷體" w:hint="eastAsia"/>
          <w:sz w:val="26"/>
          <w:szCs w:val="26"/>
        </w:rPr>
        <w:t>（</w:t>
      </w:r>
      <w:r w:rsidRPr="00EA272E">
        <w:rPr>
          <w:rFonts w:eastAsia="標楷體"/>
          <w:sz w:val="26"/>
          <w:szCs w:val="26"/>
        </w:rPr>
        <w:t>包括執行之功能、承擔之風險及使用之資產</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2</w:t>
      </w:r>
      <w:r w:rsidRPr="00EA272E">
        <w:rPr>
          <w:rFonts w:eastAsia="標楷體"/>
          <w:sz w:val="26"/>
          <w:szCs w:val="26"/>
        </w:rPr>
        <w:t>）成本、費用、所得及資產，於相關營業活動及其他活動間分攤方式之合理性及適宜性</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及</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決定各參與人對無形資產之貢獻價值所使用資料及假設之可信賴程度</w:t>
      </w:r>
      <w:r w:rsidRPr="00EA272E">
        <w:rPr>
          <w:rFonts w:eastAsia="標楷體" w:hint="eastAsia"/>
          <w:sz w:val="26"/>
          <w:szCs w:val="26"/>
        </w:rPr>
        <w:t>。若</w:t>
      </w:r>
      <w:r w:rsidRPr="00EA272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w:t>
      </w:r>
      <w:r w:rsidRPr="00EA272E">
        <w:rPr>
          <w:rFonts w:eastAsia="標楷體"/>
          <w:sz w:val="26"/>
          <w:szCs w:val="26"/>
        </w:rPr>
        <w:lastRenderedPageBreak/>
        <w:t>以消除該等差異者，應採用其他適合之常規交易方法。</w:t>
      </w:r>
    </w:p>
    <w:p w:rsidR="004C5A82" w:rsidRDefault="00F70BB6" w:rsidP="00D82424">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一般而言，</w:t>
      </w:r>
      <w:r w:rsidRPr="00EA272E">
        <w:rPr>
          <w:rFonts w:eastAsia="標楷體" w:hint="eastAsia"/>
          <w:sz w:val="26"/>
          <w:szCs w:val="26"/>
        </w:rPr>
        <w:t>可比較利潤法及利潤分割法等利潤法</w:t>
      </w:r>
      <w:r w:rsidRPr="00EA272E">
        <w:rPr>
          <w:rFonts w:eastAsia="標楷體"/>
          <w:sz w:val="26"/>
          <w:szCs w:val="26"/>
        </w:rPr>
        <w:t>之適用範圍較</w:t>
      </w:r>
      <w:r w:rsidRPr="00EA272E">
        <w:rPr>
          <w:rFonts w:eastAsia="標楷體" w:hint="eastAsia"/>
          <w:sz w:val="26"/>
          <w:szCs w:val="26"/>
        </w:rPr>
        <w:t>可比較未受控價格（交易）法、</w:t>
      </w:r>
      <w:r w:rsidRPr="00EA272E">
        <w:rPr>
          <w:rFonts w:eastAsia="標楷體"/>
          <w:sz w:val="26"/>
          <w:szCs w:val="26"/>
        </w:rPr>
        <w:t>再售價格法及成本加價法</w:t>
      </w:r>
      <w:r w:rsidRPr="00EA272E">
        <w:rPr>
          <w:rFonts w:eastAsia="標楷體" w:hint="eastAsia"/>
          <w:sz w:val="26"/>
          <w:szCs w:val="26"/>
        </w:rPr>
        <w:t>等傳統法</w:t>
      </w:r>
      <w:r w:rsidRPr="00EA272E">
        <w:rPr>
          <w:rFonts w:eastAsia="標楷體"/>
          <w:sz w:val="26"/>
          <w:szCs w:val="26"/>
        </w:rPr>
        <w:t>為廣。</w:t>
      </w:r>
      <w:r w:rsidRPr="00EA272E">
        <w:rPr>
          <w:rFonts w:eastAsia="標楷體" w:hint="eastAsia"/>
          <w:sz w:val="26"/>
          <w:szCs w:val="26"/>
        </w:rPr>
        <w:t>其中</w:t>
      </w:r>
      <w:r w:rsidRPr="00EA272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Pr="00EA272E">
        <w:rPr>
          <w:rFonts w:eastAsia="標楷體" w:hint="eastAsia"/>
          <w:sz w:val="26"/>
          <w:szCs w:val="26"/>
        </w:rPr>
        <w:t>採用</w:t>
      </w:r>
      <w:r w:rsidRPr="00EA272E">
        <w:rPr>
          <w:rFonts w:eastAsia="標楷體"/>
          <w:sz w:val="26"/>
          <w:szCs w:val="26"/>
        </w:rPr>
        <w:t>傳統法可能會</w:t>
      </w:r>
      <w:r w:rsidRPr="00EA272E">
        <w:rPr>
          <w:rFonts w:eastAsia="標楷體" w:hint="eastAsia"/>
          <w:sz w:val="26"/>
          <w:szCs w:val="26"/>
        </w:rPr>
        <w:t>因</w:t>
      </w:r>
      <w:r w:rsidRPr="00EA272E">
        <w:rPr>
          <w:rFonts w:eastAsia="標楷體"/>
          <w:sz w:val="26"/>
          <w:szCs w:val="26"/>
        </w:rPr>
        <w:t>無法找到適當之可比較對象以致</w:t>
      </w:r>
      <w:r w:rsidRPr="00EA272E">
        <w:rPr>
          <w:rFonts w:eastAsia="標楷體" w:hint="eastAsia"/>
          <w:sz w:val="26"/>
          <w:szCs w:val="26"/>
        </w:rPr>
        <w:t>於</w:t>
      </w:r>
      <w:r w:rsidRPr="00EA272E">
        <w:rPr>
          <w:rFonts w:eastAsia="標楷體"/>
          <w:sz w:val="26"/>
          <w:szCs w:val="26"/>
        </w:rPr>
        <w:t>無法適用，此時</w:t>
      </w:r>
      <w:r w:rsidRPr="00EA272E">
        <w:rPr>
          <w:rFonts w:eastAsia="標楷體" w:hint="eastAsia"/>
          <w:sz w:val="26"/>
          <w:szCs w:val="26"/>
        </w:rPr>
        <w:t>宜採用</w:t>
      </w:r>
      <w:r w:rsidRPr="00EA272E">
        <w:rPr>
          <w:rFonts w:eastAsia="標楷體"/>
          <w:sz w:val="26"/>
          <w:szCs w:val="26"/>
        </w:rPr>
        <w:t>以營業</w:t>
      </w:r>
      <w:r w:rsidRPr="00EA272E">
        <w:rPr>
          <w:rFonts w:eastAsia="標楷體" w:hint="eastAsia"/>
          <w:sz w:val="26"/>
          <w:szCs w:val="26"/>
        </w:rPr>
        <w:t>利潤</w:t>
      </w:r>
      <w:r w:rsidRPr="00EA272E">
        <w:rPr>
          <w:rFonts w:eastAsia="標楷體"/>
          <w:sz w:val="26"/>
          <w:szCs w:val="26"/>
        </w:rPr>
        <w:t>為基礎之可比較利潤法</w:t>
      </w:r>
      <w:r w:rsidRPr="00EA272E">
        <w:rPr>
          <w:rFonts w:eastAsia="標楷體" w:hint="eastAsia"/>
          <w:sz w:val="26"/>
          <w:szCs w:val="26"/>
        </w:rPr>
        <w:t>或</w:t>
      </w:r>
      <w:r w:rsidRPr="00EA272E">
        <w:rPr>
          <w:rFonts w:eastAsia="標楷體"/>
          <w:sz w:val="26"/>
          <w:szCs w:val="26"/>
        </w:rPr>
        <w:t>利潤分割法</w:t>
      </w:r>
      <w:r w:rsidRPr="00EA272E">
        <w:rPr>
          <w:rFonts w:eastAsia="標楷體" w:hint="eastAsia"/>
          <w:sz w:val="26"/>
          <w:szCs w:val="26"/>
        </w:rPr>
        <w:t>等利潤法</w:t>
      </w:r>
      <w:r w:rsidRPr="00EA272E">
        <w:rPr>
          <w:rFonts w:eastAsia="標楷體"/>
          <w:sz w:val="26"/>
          <w:szCs w:val="26"/>
        </w:rPr>
        <w:t>較為妥當</w:t>
      </w:r>
      <w:r w:rsidRPr="00EA272E">
        <w:rPr>
          <w:rFonts w:eastAsia="標楷體" w:hint="eastAsia"/>
          <w:sz w:val="26"/>
          <w:szCs w:val="26"/>
        </w:rPr>
        <w:t>，</w:t>
      </w:r>
      <w:r w:rsidRPr="00EA272E">
        <w:rPr>
          <w:rFonts w:eastAsia="標楷體"/>
          <w:sz w:val="26"/>
          <w:szCs w:val="26"/>
        </w:rPr>
        <w:t>但</w:t>
      </w:r>
      <w:r w:rsidRPr="00EA272E">
        <w:rPr>
          <w:rFonts w:eastAsia="標楷體" w:hint="eastAsia"/>
          <w:sz w:val="26"/>
          <w:szCs w:val="26"/>
        </w:rPr>
        <w:t>採用利潤法中之可比較利潤法時，</w:t>
      </w:r>
      <w:r w:rsidRPr="00EA272E">
        <w:rPr>
          <w:rFonts w:eastAsia="標楷體"/>
          <w:sz w:val="26"/>
          <w:szCs w:val="26"/>
        </w:rPr>
        <w:t>若無法自受控交易</w:t>
      </w:r>
      <w:r w:rsidRPr="00EA272E">
        <w:rPr>
          <w:rFonts w:eastAsia="標楷體" w:hint="eastAsia"/>
          <w:sz w:val="26"/>
          <w:szCs w:val="26"/>
        </w:rPr>
        <w:t>參與人</w:t>
      </w:r>
      <w:r w:rsidRPr="00EA272E">
        <w:rPr>
          <w:rFonts w:eastAsia="標楷體"/>
          <w:sz w:val="26"/>
          <w:szCs w:val="26"/>
        </w:rPr>
        <w:t>中找到可比較利潤法所需之受測個體，</w:t>
      </w:r>
      <w:r w:rsidRPr="00EA272E">
        <w:rPr>
          <w:rFonts w:eastAsia="標楷體" w:hint="eastAsia"/>
          <w:sz w:val="26"/>
          <w:szCs w:val="26"/>
        </w:rPr>
        <w:t>則</w:t>
      </w:r>
      <w:r w:rsidRPr="00EA272E">
        <w:rPr>
          <w:rFonts w:eastAsia="標楷體"/>
          <w:sz w:val="26"/>
          <w:szCs w:val="26"/>
        </w:rPr>
        <w:t>宜考量</w:t>
      </w:r>
      <w:r w:rsidRPr="00EA272E">
        <w:rPr>
          <w:rFonts w:eastAsia="標楷體" w:hint="eastAsia"/>
          <w:sz w:val="26"/>
          <w:szCs w:val="26"/>
        </w:rPr>
        <w:t>採用</w:t>
      </w:r>
      <w:r w:rsidRPr="00EA272E">
        <w:rPr>
          <w:rFonts w:eastAsia="標楷體"/>
          <w:sz w:val="26"/>
          <w:szCs w:val="26"/>
        </w:rPr>
        <w:t>利潤分割法</w:t>
      </w:r>
      <w:r w:rsidRPr="00EA272E">
        <w:rPr>
          <w:rFonts w:eastAsia="標楷體" w:hint="eastAsia"/>
          <w:sz w:val="26"/>
          <w:szCs w:val="26"/>
        </w:rPr>
        <w:t>，</w:t>
      </w:r>
      <w:r w:rsidRPr="00EA272E">
        <w:rPr>
          <w:rFonts w:eastAsia="標楷體"/>
          <w:sz w:val="26"/>
          <w:szCs w:val="26"/>
        </w:rPr>
        <w:t>但若受控交易之參與人業務過於複雜、從事之活動過於多樣化，以致釐清例行性功能與對無形資產具有貢獻之功能有所困難時，則利潤分割法之適用性將大為降低。</w:t>
      </w:r>
    </w:p>
    <w:p w:rsidR="004C5A82" w:rsidRDefault="00F70BB6" w:rsidP="00D82424">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決定最適</w:t>
      </w:r>
      <w:r w:rsidRPr="00EA272E">
        <w:rPr>
          <w:rFonts w:ascii="Times New Roman" w:eastAsia="標楷體" w:hAnsi="Times New Roman"/>
          <w:sz w:val="36"/>
          <w:szCs w:val="40"/>
        </w:rPr>
        <w:t>常規交易方法</w:t>
      </w:r>
    </w:p>
    <w:p w:rsidR="004C5A82" w:rsidRDefault="00F70BB6" w:rsidP="00D82424">
      <w:pPr>
        <w:pStyle w:val="3"/>
        <w:numPr>
          <w:ilvl w:val="0"/>
          <w:numId w:val="18"/>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常規交易方法之</w:t>
      </w:r>
      <w:r w:rsidRPr="00EA272E">
        <w:rPr>
          <w:rFonts w:ascii="Times New Roman" w:eastAsia="標楷體" w:hAnsi="Times New Roman" w:hint="eastAsia"/>
          <w:sz w:val="32"/>
        </w:rPr>
        <w:t>適用</w:t>
      </w:r>
    </w:p>
    <w:p w:rsidR="000A6E85" w:rsidRPr="00AB5097" w:rsidRDefault="000A6E85" w:rsidP="000A6E85">
      <w:pPr>
        <w:pStyle w:val="31"/>
        <w:kinsoku w:val="0"/>
        <w:overflowPunct w:val="0"/>
        <w:autoSpaceDE w:val="0"/>
        <w:autoSpaceDN w:val="0"/>
        <w:adjustRightInd w:val="0"/>
        <w:snapToGrid w:val="0"/>
        <w:spacing w:before="120" w:after="120"/>
        <w:ind w:leftChars="200" w:left="480"/>
      </w:pPr>
      <w:r w:rsidRPr="00AB5097">
        <w:t>於本</w:t>
      </w:r>
      <w:r w:rsidRPr="00AB5097">
        <w:rPr>
          <w:rFonts w:hint="eastAsia"/>
        </w:rPr>
        <w:t>文據</w:t>
      </w:r>
      <w:r w:rsidRPr="00AB5097">
        <w:t>中分析之受控交易</w:t>
      </w:r>
      <w:r w:rsidRPr="00AB5097">
        <w:rPr>
          <w:rFonts w:hint="eastAsia"/>
        </w:rPr>
        <w:t>為</w:t>
      </w:r>
      <w:r w:rsidRPr="00AB5097">
        <w:t>『</w:t>
      </w:r>
      <w:r w:rsidRPr="00AB5097">
        <w:rPr>
          <w:rFonts w:hint="eastAsia"/>
        </w:rPr>
        <w:t>有形資產之移轉</w:t>
      </w:r>
      <w:r w:rsidRPr="00AB5097">
        <w:t>』</w:t>
      </w:r>
      <w:r w:rsidRPr="00AB5097">
        <w:rPr>
          <w:rFonts w:hint="eastAsia"/>
        </w:rPr>
        <w:t>受控交易類型</w:t>
      </w:r>
      <w:r w:rsidRPr="00AB5097">
        <w:t>，依據移轉訂價查核準</w:t>
      </w:r>
      <w:r w:rsidRPr="00AB5097">
        <w:rPr>
          <w:rFonts w:hint="eastAsia"/>
        </w:rPr>
        <w:t>則</w:t>
      </w:r>
      <w:r w:rsidRPr="00AB5097">
        <w:t>第</w:t>
      </w:r>
      <w:r w:rsidRPr="00AB5097">
        <w:rPr>
          <w:rFonts w:hint="eastAsia"/>
        </w:rPr>
        <w:t>10</w:t>
      </w:r>
      <w:r w:rsidRPr="00AB5097">
        <w:rPr>
          <w:rFonts w:hint="eastAsia"/>
        </w:rPr>
        <w:t>條</w:t>
      </w:r>
      <w:r w:rsidRPr="00AB5097">
        <w:t>規定，適用</w:t>
      </w:r>
      <w:r w:rsidRPr="00AB5097">
        <w:rPr>
          <w:rFonts w:hint="eastAsia"/>
        </w:rPr>
        <w:t>於評估之常規交易</w:t>
      </w:r>
      <w:r w:rsidRPr="00AB5097">
        <w:t>方法有下列各法：</w:t>
      </w:r>
    </w:p>
    <w:p w:rsidR="004C5A82" w:rsidRDefault="000A6E85" w:rsidP="00D82424">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AB5097">
        <w:rPr>
          <w:rFonts w:eastAsia="標楷體"/>
          <w:b/>
          <w:sz w:val="28"/>
          <w:szCs w:val="26"/>
        </w:rPr>
        <w:t>有形資產</w:t>
      </w:r>
      <w:r w:rsidRPr="00AB5097">
        <w:rPr>
          <w:rFonts w:eastAsia="標楷體" w:hint="eastAsia"/>
          <w:b/>
          <w:sz w:val="28"/>
          <w:szCs w:val="26"/>
        </w:rPr>
        <w:t>交易</w:t>
      </w:r>
    </w:p>
    <w:p w:rsidR="000A6E85" w:rsidRPr="00AB5097" w:rsidRDefault="000A6E85" w:rsidP="000A6E85">
      <w:pPr>
        <w:pStyle w:val="31"/>
        <w:kinsoku w:val="0"/>
        <w:overflowPunct w:val="0"/>
        <w:autoSpaceDE w:val="0"/>
        <w:autoSpaceDN w:val="0"/>
        <w:adjustRightInd w:val="0"/>
        <w:snapToGrid w:val="0"/>
        <w:spacing w:before="120" w:after="120"/>
        <w:ind w:leftChars="215" w:left="516" w:firstLineChars="0" w:firstLine="384"/>
      </w:pPr>
      <w:r w:rsidRPr="00AB5097">
        <w:rPr>
          <w:rFonts w:hint="eastAsia"/>
        </w:rPr>
        <w:t>（</w:t>
      </w:r>
      <w:r w:rsidRPr="00AB5097">
        <w:rPr>
          <w:rFonts w:hint="eastAsia"/>
        </w:rPr>
        <w:t>1</w:t>
      </w:r>
      <w:r w:rsidRPr="00AB5097">
        <w:rPr>
          <w:rFonts w:hint="eastAsia"/>
        </w:rPr>
        <w:t>）</w:t>
      </w:r>
      <w:r w:rsidRPr="00AB5097">
        <w:t>可比較未受控價格法</w:t>
      </w:r>
      <w:r w:rsidRPr="00AB5097">
        <w:rPr>
          <w:rFonts w:hint="eastAsia"/>
        </w:rPr>
        <w:t>；</w:t>
      </w:r>
    </w:p>
    <w:p w:rsidR="000A6E85" w:rsidRPr="00AB5097" w:rsidRDefault="000A6E85" w:rsidP="000A6E85">
      <w:pPr>
        <w:pStyle w:val="31"/>
        <w:kinsoku w:val="0"/>
        <w:overflowPunct w:val="0"/>
        <w:autoSpaceDE w:val="0"/>
        <w:autoSpaceDN w:val="0"/>
        <w:adjustRightInd w:val="0"/>
        <w:snapToGrid w:val="0"/>
        <w:spacing w:before="120" w:after="120"/>
        <w:ind w:leftChars="215" w:left="516" w:firstLineChars="0" w:firstLine="384"/>
      </w:pPr>
      <w:r w:rsidRPr="00AB5097">
        <w:rPr>
          <w:rFonts w:hint="eastAsia"/>
        </w:rPr>
        <w:t>（</w:t>
      </w:r>
      <w:r w:rsidRPr="00AB5097">
        <w:rPr>
          <w:rFonts w:hint="eastAsia"/>
        </w:rPr>
        <w:t>2</w:t>
      </w:r>
      <w:r w:rsidRPr="00AB5097">
        <w:rPr>
          <w:rFonts w:hint="eastAsia"/>
        </w:rPr>
        <w:t>）</w:t>
      </w:r>
      <w:r w:rsidRPr="00AB5097">
        <w:t>再售價格法</w:t>
      </w:r>
      <w:r w:rsidRPr="00AB5097">
        <w:rPr>
          <w:rFonts w:hint="eastAsia"/>
        </w:rPr>
        <w:t>；</w:t>
      </w:r>
    </w:p>
    <w:p w:rsidR="000A6E85" w:rsidRPr="00AB5097" w:rsidRDefault="000A6E85" w:rsidP="000A6E85">
      <w:pPr>
        <w:pStyle w:val="31"/>
        <w:kinsoku w:val="0"/>
        <w:overflowPunct w:val="0"/>
        <w:autoSpaceDE w:val="0"/>
        <w:autoSpaceDN w:val="0"/>
        <w:adjustRightInd w:val="0"/>
        <w:snapToGrid w:val="0"/>
        <w:spacing w:before="120" w:after="120"/>
        <w:ind w:leftChars="375" w:left="900" w:firstLineChars="0" w:firstLine="0"/>
      </w:pPr>
      <w:r w:rsidRPr="00AB5097">
        <w:rPr>
          <w:rFonts w:hint="eastAsia"/>
        </w:rPr>
        <w:t>（</w:t>
      </w:r>
      <w:r w:rsidRPr="00AB5097">
        <w:rPr>
          <w:rFonts w:hint="eastAsia"/>
        </w:rPr>
        <w:t>3</w:t>
      </w:r>
      <w:r w:rsidRPr="00AB5097">
        <w:rPr>
          <w:rFonts w:hint="eastAsia"/>
        </w:rPr>
        <w:t>）</w:t>
      </w:r>
      <w:r w:rsidRPr="00AB5097">
        <w:t>成本加價法</w:t>
      </w:r>
      <w:r w:rsidRPr="00AB5097">
        <w:rPr>
          <w:rFonts w:hint="eastAsia"/>
        </w:rPr>
        <w:t>；</w:t>
      </w:r>
    </w:p>
    <w:p w:rsidR="000A6E85" w:rsidRPr="00AB5097" w:rsidRDefault="000A6E85" w:rsidP="000A6E85">
      <w:pPr>
        <w:pStyle w:val="31"/>
        <w:kinsoku w:val="0"/>
        <w:overflowPunct w:val="0"/>
        <w:autoSpaceDE w:val="0"/>
        <w:autoSpaceDN w:val="0"/>
        <w:adjustRightInd w:val="0"/>
        <w:snapToGrid w:val="0"/>
        <w:spacing w:before="120" w:after="120"/>
        <w:ind w:leftChars="375" w:left="900" w:firstLineChars="0" w:firstLine="0"/>
      </w:pPr>
      <w:r w:rsidRPr="00AB5097">
        <w:rPr>
          <w:rFonts w:hint="eastAsia"/>
        </w:rPr>
        <w:lastRenderedPageBreak/>
        <w:t>（</w:t>
      </w:r>
      <w:r w:rsidRPr="00AB5097">
        <w:rPr>
          <w:rFonts w:hint="eastAsia"/>
        </w:rPr>
        <w:t>4</w:t>
      </w:r>
      <w:r w:rsidRPr="00AB5097">
        <w:rPr>
          <w:rFonts w:hint="eastAsia"/>
        </w:rPr>
        <w:t>）</w:t>
      </w:r>
      <w:r w:rsidRPr="00AB5097">
        <w:t>可比較利潤法</w:t>
      </w:r>
      <w:r w:rsidRPr="00AB5097">
        <w:rPr>
          <w:rFonts w:hint="eastAsia"/>
        </w:rPr>
        <w:t>；</w:t>
      </w:r>
    </w:p>
    <w:p w:rsidR="000A6E85" w:rsidRPr="00AB5097" w:rsidRDefault="000A6E85" w:rsidP="000A6E85">
      <w:pPr>
        <w:pStyle w:val="31"/>
        <w:kinsoku w:val="0"/>
        <w:overflowPunct w:val="0"/>
        <w:autoSpaceDE w:val="0"/>
        <w:autoSpaceDN w:val="0"/>
        <w:adjustRightInd w:val="0"/>
        <w:snapToGrid w:val="0"/>
        <w:spacing w:before="120" w:after="120"/>
        <w:ind w:leftChars="375" w:left="900" w:firstLineChars="0" w:firstLine="0"/>
      </w:pPr>
      <w:r w:rsidRPr="00AB5097">
        <w:rPr>
          <w:rFonts w:hint="eastAsia"/>
        </w:rPr>
        <w:t>（</w:t>
      </w:r>
      <w:r w:rsidRPr="00AB5097">
        <w:rPr>
          <w:rFonts w:hint="eastAsia"/>
        </w:rPr>
        <w:t>5</w:t>
      </w:r>
      <w:r w:rsidRPr="00AB5097">
        <w:rPr>
          <w:rFonts w:hint="eastAsia"/>
        </w:rPr>
        <w:t>）</w:t>
      </w:r>
      <w:r w:rsidRPr="00AB5097">
        <w:t>利潤分割法</w:t>
      </w:r>
      <w:r w:rsidRPr="00AB5097">
        <w:rPr>
          <w:rFonts w:hint="eastAsia"/>
        </w:rPr>
        <w:t>。</w:t>
      </w:r>
    </w:p>
    <w:p w:rsidR="000A6E85" w:rsidRPr="00AB5097" w:rsidRDefault="000A6E85" w:rsidP="000A6E85">
      <w:pPr>
        <w:pStyle w:val="31"/>
        <w:tabs>
          <w:tab w:val="left" w:pos="900"/>
        </w:tabs>
        <w:kinsoku w:val="0"/>
        <w:overflowPunct w:val="0"/>
        <w:autoSpaceDE w:val="0"/>
        <w:autoSpaceDN w:val="0"/>
        <w:adjustRightInd w:val="0"/>
        <w:snapToGrid w:val="0"/>
        <w:spacing w:before="120" w:after="120"/>
        <w:ind w:leftChars="375" w:left="900" w:firstLineChars="0" w:firstLine="0"/>
      </w:pPr>
      <w:r w:rsidRPr="00AB5097">
        <w:rPr>
          <w:rFonts w:hint="eastAsia"/>
        </w:rPr>
        <w:t>（</w:t>
      </w:r>
      <w:r w:rsidRPr="00AB5097">
        <w:rPr>
          <w:rFonts w:hint="eastAsia"/>
        </w:rPr>
        <w:t>6</w:t>
      </w:r>
      <w:r w:rsidRPr="00AB5097">
        <w:rPr>
          <w:rFonts w:hint="eastAsia"/>
        </w:rPr>
        <w:t>）</w:t>
      </w:r>
      <w:r w:rsidRPr="00AB5097">
        <w:t>其他經財政部核定之常規交易方法。</w:t>
      </w:r>
    </w:p>
    <w:p w:rsidR="004C5A82" w:rsidRDefault="00F70BB6" w:rsidP="00D82424">
      <w:pPr>
        <w:pStyle w:val="3"/>
        <w:numPr>
          <w:ilvl w:val="0"/>
          <w:numId w:val="18"/>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最適</w:t>
      </w:r>
      <w:r w:rsidRPr="00EA272E">
        <w:rPr>
          <w:rFonts w:ascii="Times New Roman" w:eastAsia="標楷體" w:hAnsi="Times New Roman"/>
          <w:sz w:val="32"/>
        </w:rPr>
        <w:t>常規交易方法之</w:t>
      </w:r>
      <w:r w:rsidRPr="00EA272E">
        <w:rPr>
          <w:rFonts w:ascii="Times New Roman" w:eastAsia="標楷體" w:hAnsi="Times New Roman" w:hint="eastAsia"/>
          <w:sz w:val="32"/>
        </w:rPr>
        <w:t>決定</w:t>
      </w:r>
    </w:p>
    <w:p w:rsidR="004C5A82" w:rsidRDefault="003C1758" w:rsidP="00D82424">
      <w:pPr>
        <w:spacing w:beforeLines="50" w:before="120" w:afterLines="50" w:after="120" w:line="360" w:lineRule="auto"/>
        <w:ind w:leftChars="200" w:left="480" w:firstLineChars="200" w:firstLine="520"/>
        <w:jc w:val="both"/>
        <w:rPr>
          <w:rFonts w:eastAsia="標楷體"/>
          <w:sz w:val="26"/>
          <w:szCs w:val="26"/>
        </w:rPr>
      </w:pPr>
      <w:r w:rsidRPr="00AB5097">
        <w:rPr>
          <w:rFonts w:eastAsia="標楷體" w:hint="eastAsia"/>
          <w:sz w:val="26"/>
          <w:szCs w:val="26"/>
        </w:rPr>
        <w:t>綜合考量各方面因素，本所依移轉訂價查核準則規定之最適常規交易方法原則，決定成本加價法作為瀚昌公司之各</w:t>
      </w:r>
      <w:r w:rsidRPr="00AB5097">
        <w:rPr>
          <w:rFonts w:eastAsia="標楷體"/>
          <w:sz w:val="26"/>
          <w:szCs w:val="26"/>
        </w:rPr>
        <w:t>受控交易</w:t>
      </w:r>
      <w:r w:rsidRPr="00AB5097">
        <w:rPr>
          <w:rFonts w:eastAsia="標楷體" w:hint="eastAsia"/>
          <w:sz w:val="26"/>
          <w:szCs w:val="26"/>
        </w:rPr>
        <w:t>最適常規交易方法。決定原因說明如下，另其他常規交易</w:t>
      </w:r>
      <w:r w:rsidRPr="00AB5097">
        <w:rPr>
          <w:rFonts w:eastAsia="標楷體"/>
          <w:sz w:val="26"/>
          <w:szCs w:val="26"/>
        </w:rPr>
        <w:t>方法不適用</w:t>
      </w:r>
      <w:r w:rsidRPr="00AB5097">
        <w:rPr>
          <w:rFonts w:eastAsia="標楷體" w:hint="eastAsia"/>
          <w:sz w:val="26"/>
          <w:szCs w:val="26"/>
        </w:rPr>
        <w:t>之原因，</w:t>
      </w:r>
      <w:r w:rsidRPr="00AB5097">
        <w:rPr>
          <w:rFonts w:eastAsia="標楷體"/>
          <w:sz w:val="26"/>
          <w:szCs w:val="26"/>
        </w:rPr>
        <w:t>請見下節說明</w:t>
      </w:r>
      <w:r w:rsidRPr="00AB5097">
        <w:rPr>
          <w:rFonts w:eastAsia="標楷體" w:hint="eastAsia"/>
          <w:sz w:val="26"/>
          <w:szCs w:val="26"/>
        </w:rPr>
        <w:t>。</w:t>
      </w:r>
    </w:p>
    <w:p w:rsidR="004C5A82" w:rsidRDefault="003C1758" w:rsidP="00D82424">
      <w:pPr>
        <w:numPr>
          <w:ilvl w:val="0"/>
          <w:numId w:val="17"/>
        </w:numPr>
        <w:spacing w:beforeLines="50" w:before="120" w:afterLines="50" w:after="120" w:line="360" w:lineRule="auto"/>
        <w:ind w:left="993"/>
        <w:jc w:val="both"/>
        <w:rPr>
          <w:rFonts w:eastAsia="標楷體"/>
          <w:sz w:val="26"/>
          <w:szCs w:val="26"/>
        </w:rPr>
      </w:pPr>
      <w:r w:rsidRPr="00AB5097">
        <w:rPr>
          <w:rFonts w:eastAsia="標楷體" w:hint="eastAsia"/>
          <w:sz w:val="26"/>
          <w:szCs w:val="26"/>
        </w:rPr>
        <w:t>適用成本加價法之理由</w:t>
      </w:r>
    </w:p>
    <w:p w:rsidR="004C5A82" w:rsidRDefault="003C1758" w:rsidP="00D82424">
      <w:pPr>
        <w:spacing w:beforeLines="50" w:before="120" w:afterLines="50" w:after="120" w:line="360" w:lineRule="auto"/>
        <w:ind w:leftChars="400" w:left="960"/>
        <w:jc w:val="both"/>
        <w:rPr>
          <w:rFonts w:eastAsia="標楷體"/>
          <w:sz w:val="26"/>
          <w:szCs w:val="26"/>
        </w:rPr>
      </w:pPr>
      <w:r w:rsidRPr="00AB5097">
        <w:rPr>
          <w:rFonts w:eastAsia="標楷體" w:hint="eastAsia"/>
          <w:sz w:val="26"/>
          <w:szCs w:val="26"/>
        </w:rPr>
        <w:t>瀚昌公司</w:t>
      </w:r>
      <w:r>
        <w:rPr>
          <w:rFonts w:eastAsia="標楷體" w:hint="eastAsia"/>
          <w:sz w:val="26"/>
          <w:szCs w:val="26"/>
        </w:rPr>
        <w:t>自非關係企業購進產品</w:t>
      </w:r>
      <w:r w:rsidRPr="00AB5097">
        <w:rPr>
          <w:rFonts w:eastAsia="標楷體" w:hint="eastAsia"/>
          <w:sz w:val="26"/>
          <w:szCs w:val="26"/>
        </w:rPr>
        <w:t>銷售予關係企業，且可找到從事相類似產品交易，且執行功能與風險相似之可比較對象，故以『成本加價法』為最適常規交易方法。</w:t>
      </w:r>
    </w:p>
    <w:p w:rsidR="004C5A82" w:rsidRPr="00AD4E28" w:rsidRDefault="00F70BB6" w:rsidP="00AD4E28">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AD4E28">
        <w:rPr>
          <w:rFonts w:ascii="Times New Roman" w:eastAsia="標楷體" w:hAnsi="Times New Roman" w:hint="eastAsia"/>
          <w:sz w:val="36"/>
          <w:szCs w:val="40"/>
        </w:rPr>
        <w:t>其他常規交易方法不予採用原因</w:t>
      </w:r>
    </w:p>
    <w:p w:rsidR="004C5A82" w:rsidRDefault="003C1758" w:rsidP="00D82424">
      <w:pPr>
        <w:spacing w:beforeLines="50" w:before="120" w:afterLines="50" w:after="120" w:line="360" w:lineRule="auto"/>
        <w:ind w:leftChars="200" w:left="480" w:firstLineChars="200" w:firstLine="520"/>
        <w:jc w:val="both"/>
        <w:rPr>
          <w:rFonts w:eastAsia="標楷體"/>
          <w:sz w:val="26"/>
          <w:szCs w:val="26"/>
        </w:rPr>
      </w:pPr>
      <w:r w:rsidRPr="00CF0D0F">
        <w:rPr>
          <w:rFonts w:eastAsia="標楷體"/>
          <w:sz w:val="26"/>
          <w:szCs w:val="26"/>
        </w:rPr>
        <w:t>以下列出其他</w:t>
      </w:r>
      <w:r w:rsidRPr="00CF0D0F">
        <w:rPr>
          <w:rFonts w:eastAsia="標楷體" w:hint="eastAsia"/>
          <w:sz w:val="26"/>
          <w:szCs w:val="26"/>
        </w:rPr>
        <w:t>常規交易</w:t>
      </w:r>
      <w:r w:rsidRPr="00CF0D0F">
        <w:rPr>
          <w:rFonts w:eastAsia="標楷體"/>
          <w:sz w:val="26"/>
          <w:szCs w:val="26"/>
        </w:rPr>
        <w:t>方法所以不適</w:t>
      </w:r>
      <w:r w:rsidRPr="00CF0D0F">
        <w:rPr>
          <w:rFonts w:eastAsia="標楷體" w:hint="eastAsia"/>
          <w:sz w:val="26"/>
          <w:szCs w:val="26"/>
        </w:rPr>
        <w:t>用</w:t>
      </w:r>
      <w:r w:rsidRPr="00CF0D0F">
        <w:rPr>
          <w:rFonts w:eastAsia="標楷體"/>
          <w:sz w:val="26"/>
          <w:szCs w:val="26"/>
        </w:rPr>
        <w:t>評估『</w:t>
      </w:r>
      <w:r w:rsidRPr="00CF0D0F">
        <w:rPr>
          <w:rFonts w:eastAsia="標楷體" w:hint="eastAsia"/>
          <w:sz w:val="26"/>
          <w:szCs w:val="26"/>
        </w:rPr>
        <w:t>有形資產之移轉－銷貨</w:t>
      </w:r>
      <w:r w:rsidR="00BB1572">
        <w:rPr>
          <w:rFonts w:eastAsia="標楷體" w:hint="eastAsia"/>
          <w:sz w:val="26"/>
          <w:szCs w:val="26"/>
        </w:rPr>
        <w:t>』</w:t>
      </w:r>
      <w:r w:rsidRPr="00CF0D0F">
        <w:rPr>
          <w:rFonts w:eastAsia="標楷體"/>
          <w:sz w:val="26"/>
          <w:szCs w:val="26"/>
        </w:rPr>
        <w:t>受控交易</w:t>
      </w:r>
      <w:r w:rsidRPr="00CF0D0F">
        <w:rPr>
          <w:rFonts w:eastAsia="標楷體" w:hint="eastAsia"/>
          <w:sz w:val="26"/>
          <w:szCs w:val="26"/>
        </w:rPr>
        <w:t>類型</w:t>
      </w:r>
      <w:r w:rsidRPr="00CF0D0F">
        <w:rPr>
          <w:rFonts w:eastAsia="標楷體"/>
          <w:sz w:val="26"/>
          <w:szCs w:val="26"/>
        </w:rPr>
        <w:t>之原因供作參考：</w:t>
      </w:r>
    </w:p>
    <w:p w:rsidR="004C5A82" w:rsidRDefault="003C1758" w:rsidP="00D82424">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CF0D0F">
        <w:rPr>
          <w:rFonts w:eastAsia="標楷體"/>
          <w:b/>
          <w:sz w:val="28"/>
          <w:szCs w:val="26"/>
        </w:rPr>
        <w:t>可比較未受控價格法</w:t>
      </w:r>
    </w:p>
    <w:p w:rsidR="004C5A82" w:rsidRDefault="003C1758" w:rsidP="00D82424">
      <w:pPr>
        <w:spacing w:beforeLines="50" w:before="120" w:afterLines="50" w:after="120" w:line="360" w:lineRule="auto"/>
        <w:ind w:leftChars="300" w:left="720" w:firstLineChars="200" w:firstLine="520"/>
        <w:jc w:val="both"/>
        <w:rPr>
          <w:rFonts w:eastAsia="標楷體"/>
          <w:sz w:val="26"/>
          <w:szCs w:val="26"/>
        </w:rPr>
      </w:pPr>
      <w:r w:rsidRPr="00CF0D0F">
        <w:rPr>
          <w:rFonts w:eastAsia="標楷體" w:hint="eastAsia"/>
          <w:sz w:val="26"/>
          <w:szCs w:val="26"/>
        </w:rPr>
        <w:t>瀚昌公司未提供相同產品性質及交易條件之</w:t>
      </w:r>
      <w:r w:rsidRPr="00CF0D0F">
        <w:rPr>
          <w:rFonts w:eastAsia="標楷體"/>
          <w:bCs/>
          <w:kern w:val="0"/>
          <w:sz w:val="26"/>
          <w:szCs w:val="26"/>
        </w:rPr>
        <w:t>各式布料及副料</w:t>
      </w:r>
      <w:r w:rsidRPr="00CF0D0F">
        <w:rPr>
          <w:rFonts w:eastAsia="標楷體" w:hint="eastAsia"/>
          <w:sz w:val="26"/>
          <w:szCs w:val="26"/>
        </w:rPr>
        <w:t>予非關係企業，故無內部可比較未受控價格可用以比較。另外，因外部廠商之產品性質、規格、品牌價值及各自給予客戶之交易條件皆會存有差異，無法找到完全相同之產品，</w:t>
      </w:r>
      <w:r>
        <w:rPr>
          <w:rFonts w:eastAsia="標楷體" w:hint="eastAsia"/>
          <w:sz w:val="26"/>
          <w:szCs w:val="26"/>
        </w:rPr>
        <w:t>故無外部可比較未受控價格可用以比較，是以</w:t>
      </w:r>
      <w:r w:rsidRPr="00CF0D0F">
        <w:rPr>
          <w:rFonts w:eastAsia="標楷體" w:hint="eastAsia"/>
          <w:sz w:val="26"/>
          <w:szCs w:val="26"/>
        </w:rPr>
        <w:t>『可比較未受控價格法』非為最適常規交易方法。</w:t>
      </w:r>
    </w:p>
    <w:p w:rsidR="000E09FA" w:rsidRDefault="000E09FA" w:rsidP="00D82424">
      <w:pPr>
        <w:spacing w:beforeLines="50" w:before="120" w:afterLines="50" w:after="120" w:line="360" w:lineRule="auto"/>
        <w:ind w:leftChars="300" w:left="720" w:firstLineChars="200" w:firstLine="520"/>
        <w:jc w:val="both"/>
        <w:rPr>
          <w:rFonts w:eastAsia="標楷體"/>
          <w:sz w:val="26"/>
          <w:szCs w:val="26"/>
        </w:rPr>
      </w:pPr>
    </w:p>
    <w:p w:rsidR="004C5A82" w:rsidRDefault="003C1758" w:rsidP="00D82424">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CF0D0F">
        <w:rPr>
          <w:rFonts w:eastAsia="標楷體"/>
          <w:b/>
          <w:sz w:val="28"/>
          <w:szCs w:val="26"/>
        </w:rPr>
        <w:lastRenderedPageBreak/>
        <w:t>可比較未受控</w:t>
      </w:r>
      <w:r w:rsidRPr="00CF0D0F">
        <w:rPr>
          <w:rFonts w:eastAsia="標楷體" w:hint="eastAsia"/>
          <w:b/>
          <w:sz w:val="28"/>
          <w:szCs w:val="26"/>
        </w:rPr>
        <w:t>交易</w:t>
      </w:r>
      <w:r w:rsidRPr="00CF0D0F">
        <w:rPr>
          <w:rFonts w:eastAsia="標楷體"/>
          <w:b/>
          <w:sz w:val="28"/>
          <w:szCs w:val="26"/>
        </w:rPr>
        <w:t>法</w:t>
      </w:r>
    </w:p>
    <w:p w:rsidR="004C5A82" w:rsidRDefault="003C1758" w:rsidP="00D82424">
      <w:pPr>
        <w:spacing w:beforeLines="50" w:before="120" w:afterLines="50" w:after="120" w:line="360" w:lineRule="auto"/>
        <w:ind w:leftChars="300" w:left="720" w:firstLineChars="200" w:firstLine="520"/>
        <w:jc w:val="both"/>
        <w:rPr>
          <w:rFonts w:eastAsia="標楷體"/>
          <w:sz w:val="26"/>
          <w:szCs w:val="26"/>
        </w:rPr>
      </w:pPr>
      <w:r w:rsidRPr="00CF0D0F">
        <w:rPr>
          <w:rFonts w:eastAsia="標楷體"/>
          <w:sz w:val="26"/>
          <w:szCs w:val="26"/>
        </w:rPr>
        <w:t>依移轉訂價查核準則規定，</w:t>
      </w:r>
      <w:r w:rsidRPr="00CF0D0F">
        <w:rPr>
          <w:rFonts w:eastAsia="標楷體" w:hint="eastAsia"/>
          <w:sz w:val="26"/>
          <w:szCs w:val="26"/>
        </w:rPr>
        <w:t>此類型受控交易</w:t>
      </w:r>
      <w:r w:rsidRPr="00CF0D0F">
        <w:rPr>
          <w:rFonts w:eastAsia="標楷體"/>
          <w:sz w:val="26"/>
          <w:szCs w:val="26"/>
        </w:rPr>
        <w:t>不可使用</w:t>
      </w:r>
      <w:r w:rsidRPr="00CF0D0F">
        <w:rPr>
          <w:rFonts w:eastAsia="標楷體" w:hint="eastAsia"/>
          <w:sz w:val="26"/>
          <w:szCs w:val="26"/>
        </w:rPr>
        <w:t>此</w:t>
      </w:r>
      <w:r w:rsidRPr="00CF0D0F">
        <w:rPr>
          <w:rFonts w:eastAsia="標楷體"/>
          <w:sz w:val="26"/>
          <w:szCs w:val="26"/>
        </w:rPr>
        <w:t>法進行評估。</w:t>
      </w:r>
    </w:p>
    <w:p w:rsidR="004C5A82" w:rsidRDefault="003C1758" w:rsidP="00D82424">
      <w:pPr>
        <w:numPr>
          <w:ilvl w:val="0"/>
          <w:numId w:val="15"/>
        </w:numPr>
        <w:tabs>
          <w:tab w:val="left" w:pos="1134"/>
        </w:tabs>
        <w:spacing w:beforeLines="50" w:before="120" w:afterLines="50" w:after="120" w:line="360" w:lineRule="auto"/>
        <w:ind w:leftChars="250" w:left="1080"/>
        <w:jc w:val="both"/>
        <w:rPr>
          <w:rFonts w:eastAsia="標楷體"/>
          <w:b/>
          <w:sz w:val="28"/>
          <w:szCs w:val="26"/>
        </w:rPr>
      </w:pPr>
      <w:bookmarkStart w:id="107" w:name="_Toc253154517"/>
      <w:bookmarkStart w:id="108" w:name="_Toc253154585"/>
      <w:bookmarkStart w:id="109" w:name="_Toc272326016"/>
      <w:bookmarkStart w:id="110" w:name="_Toc272326644"/>
      <w:bookmarkStart w:id="111" w:name="_Toc272326823"/>
      <w:bookmarkStart w:id="112" w:name="_Toc275960656"/>
      <w:r w:rsidRPr="00CF0D0F">
        <w:rPr>
          <w:rFonts w:eastAsia="標楷體"/>
          <w:b/>
          <w:sz w:val="28"/>
          <w:szCs w:val="26"/>
        </w:rPr>
        <w:t>再售價格法</w:t>
      </w:r>
    </w:p>
    <w:p w:rsidR="004C5A82" w:rsidRDefault="003C1758" w:rsidP="00D82424">
      <w:pPr>
        <w:spacing w:beforeLines="50" w:before="120" w:afterLines="50" w:after="120" w:line="360" w:lineRule="auto"/>
        <w:ind w:leftChars="300" w:left="720" w:firstLineChars="200" w:firstLine="520"/>
        <w:jc w:val="both"/>
        <w:rPr>
          <w:rFonts w:eastAsia="標楷體"/>
          <w:sz w:val="26"/>
          <w:szCs w:val="26"/>
        </w:rPr>
      </w:pPr>
      <w:r w:rsidRPr="00CF0D0F">
        <w:rPr>
          <w:rFonts w:eastAsia="標楷體" w:hint="eastAsia"/>
          <w:sz w:val="26"/>
          <w:szCs w:val="26"/>
        </w:rPr>
        <w:t>瀚昌公司與關係企業間之交易，非屬向關係人購進後未經實質加值即轉售給非關係人之行為，故不適以『再售價格法』為最適常規交易方法。</w:t>
      </w:r>
    </w:p>
    <w:p w:rsidR="004C5A82" w:rsidRDefault="003C1758" w:rsidP="00D82424">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CF0D0F">
        <w:rPr>
          <w:rFonts w:eastAsia="標楷體" w:hint="eastAsia"/>
          <w:b/>
          <w:sz w:val="28"/>
          <w:szCs w:val="26"/>
        </w:rPr>
        <w:t>可比較利潤法</w:t>
      </w:r>
    </w:p>
    <w:p w:rsidR="004C5A82" w:rsidRDefault="00BB1572" w:rsidP="00D82424">
      <w:pPr>
        <w:spacing w:beforeLines="50" w:before="120" w:afterLines="50" w:after="120" w:line="360" w:lineRule="auto"/>
        <w:ind w:leftChars="300" w:left="720" w:firstLineChars="200" w:firstLine="520"/>
        <w:jc w:val="both"/>
        <w:rPr>
          <w:rFonts w:eastAsia="標楷體"/>
          <w:sz w:val="26"/>
          <w:szCs w:val="26"/>
        </w:rPr>
      </w:pPr>
      <w:r w:rsidRPr="001E4E37">
        <w:rPr>
          <w:rFonts w:eastAsia="標楷體"/>
          <w:sz w:val="26"/>
          <w:szCs w:val="26"/>
        </w:rPr>
        <w:t>OECD</w:t>
      </w:r>
      <w:r w:rsidRPr="001E4E37">
        <w:rPr>
          <w:rFonts w:eastAsia="標楷體"/>
          <w:sz w:val="26"/>
          <w:szCs w:val="26"/>
        </w:rPr>
        <w:t>偏好採用</w:t>
      </w:r>
      <w:r w:rsidRPr="001E4E37">
        <w:rPr>
          <w:rFonts w:eastAsia="標楷體" w:hint="eastAsia"/>
          <w:sz w:val="26"/>
          <w:szCs w:val="26"/>
        </w:rPr>
        <w:t>傳統</w:t>
      </w:r>
      <w:r w:rsidRPr="001E4E37">
        <w:rPr>
          <w:rFonts w:eastAsia="標楷體"/>
          <w:sz w:val="26"/>
          <w:szCs w:val="26"/>
        </w:rPr>
        <w:t>交易法，但當傳統交易法之可信度不高，不可單獨使用，或完全不能適用時，</w:t>
      </w:r>
      <w:r w:rsidRPr="001E4E37">
        <w:rPr>
          <w:rFonts w:eastAsia="標楷體" w:hint="eastAsia"/>
          <w:sz w:val="26"/>
          <w:szCs w:val="26"/>
        </w:rPr>
        <w:t>才</w:t>
      </w:r>
      <w:r w:rsidRPr="001E4E37">
        <w:rPr>
          <w:rFonts w:eastAsia="標楷體"/>
          <w:sz w:val="26"/>
          <w:szCs w:val="26"/>
        </w:rPr>
        <w:t>以利潤法為常規交易方法。因</w:t>
      </w:r>
      <w:r w:rsidRPr="00CF0D0F">
        <w:rPr>
          <w:rFonts w:eastAsia="標楷體" w:hint="eastAsia"/>
          <w:sz w:val="26"/>
          <w:szCs w:val="26"/>
        </w:rPr>
        <w:t>成本加價法</w:t>
      </w:r>
      <w:r w:rsidRPr="001E4E37">
        <w:rPr>
          <w:rFonts w:eastAsia="標楷體"/>
          <w:sz w:val="26"/>
          <w:szCs w:val="26"/>
        </w:rPr>
        <w:t>已被選為評估</w:t>
      </w:r>
      <w:r w:rsidRPr="00CF0D0F">
        <w:rPr>
          <w:rFonts w:eastAsia="標楷體" w:hint="eastAsia"/>
          <w:sz w:val="26"/>
          <w:szCs w:val="26"/>
        </w:rPr>
        <w:t>瀚昌公司</w:t>
      </w:r>
      <w:r>
        <w:rPr>
          <w:rFonts w:eastAsia="標楷體" w:hint="eastAsia"/>
          <w:sz w:val="26"/>
          <w:szCs w:val="26"/>
        </w:rPr>
        <w:t>『有形資產之移轉－銷</w:t>
      </w:r>
      <w:r w:rsidRPr="001E4E37">
        <w:rPr>
          <w:rFonts w:eastAsia="標楷體" w:hint="eastAsia"/>
          <w:sz w:val="26"/>
          <w:szCs w:val="26"/>
        </w:rPr>
        <w:t>貨』</w:t>
      </w:r>
      <w:r w:rsidRPr="001E4E37">
        <w:rPr>
          <w:rFonts w:eastAsia="標楷體"/>
          <w:sz w:val="26"/>
          <w:szCs w:val="26"/>
        </w:rPr>
        <w:t>受控交易是否符合常規之方法，該法優於利潤法之適用，故不再以此法評估。</w:t>
      </w:r>
    </w:p>
    <w:p w:rsidR="004C5A82" w:rsidRDefault="003C1758" w:rsidP="00D82424">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CF0D0F">
        <w:rPr>
          <w:rFonts w:eastAsia="標楷體" w:hint="eastAsia"/>
          <w:b/>
          <w:sz w:val="28"/>
          <w:szCs w:val="26"/>
        </w:rPr>
        <w:t>利潤分割</w:t>
      </w:r>
      <w:r w:rsidRPr="00CF0D0F">
        <w:rPr>
          <w:rFonts w:eastAsia="標楷體"/>
          <w:b/>
          <w:sz w:val="28"/>
          <w:szCs w:val="26"/>
        </w:rPr>
        <w:t>法</w:t>
      </w:r>
    </w:p>
    <w:p w:rsidR="004C5A82" w:rsidRDefault="003C1758" w:rsidP="00D82424">
      <w:pPr>
        <w:spacing w:beforeLines="50" w:before="120" w:afterLines="50" w:after="120" w:line="360" w:lineRule="auto"/>
        <w:ind w:leftChars="300" w:left="720" w:firstLineChars="200" w:firstLine="520"/>
        <w:jc w:val="both"/>
        <w:rPr>
          <w:rFonts w:eastAsia="標楷體"/>
          <w:sz w:val="26"/>
          <w:szCs w:val="26"/>
        </w:rPr>
      </w:pPr>
      <w:r w:rsidRPr="00CF0D0F">
        <w:rPr>
          <w:rFonts w:eastAsia="標楷體"/>
          <w:sz w:val="26"/>
          <w:szCs w:val="26"/>
        </w:rPr>
        <w:t>使用利潤分割法時，必須計算所有受控交易參與人對合併營業利潤之貢獻，通常適用將獨特無形資產於跨國交易間移轉或適用於交易性質複雜、牽涉跨國交易之情形。因</w:t>
      </w:r>
      <w:r w:rsidRPr="00CF0D0F">
        <w:rPr>
          <w:rFonts w:eastAsia="標楷體" w:hint="eastAsia"/>
          <w:sz w:val="26"/>
          <w:szCs w:val="26"/>
        </w:rPr>
        <w:t>瀚昌公司</w:t>
      </w:r>
      <w:r w:rsidRPr="00CF0D0F">
        <w:rPr>
          <w:rFonts w:eastAsia="標楷體"/>
          <w:sz w:val="26"/>
          <w:szCs w:val="26"/>
        </w:rPr>
        <w:t>與受控交易參與人之交易非屬高度整合不能單獨衡量交易結果</w:t>
      </w:r>
      <w:r w:rsidRPr="00CF0D0F">
        <w:rPr>
          <w:rFonts w:eastAsia="標楷體" w:hint="eastAsia"/>
          <w:sz w:val="26"/>
          <w:szCs w:val="26"/>
        </w:rPr>
        <w:t>或</w:t>
      </w:r>
      <w:r w:rsidRPr="00CF0D0F">
        <w:rPr>
          <w:rFonts w:eastAsia="標楷體"/>
          <w:sz w:val="26"/>
          <w:szCs w:val="26"/>
        </w:rPr>
        <w:t>與其他交易不可分割之情形，故本法並不適合作為評估方法</w:t>
      </w:r>
      <w:r w:rsidRPr="00CF0D0F">
        <w:rPr>
          <w:rFonts w:eastAsia="標楷體" w:hint="eastAsia"/>
          <w:sz w:val="26"/>
          <w:szCs w:val="26"/>
        </w:rPr>
        <w:t>。</w:t>
      </w:r>
    </w:p>
    <w:p w:rsidR="003C2511" w:rsidRDefault="003C2511" w:rsidP="00D82424">
      <w:pPr>
        <w:spacing w:beforeLines="50" w:before="120" w:afterLines="50" w:after="120" w:line="360" w:lineRule="auto"/>
        <w:jc w:val="both"/>
        <w:rPr>
          <w:rFonts w:eastAsia="標楷體"/>
          <w:sz w:val="26"/>
          <w:szCs w:val="26"/>
        </w:rPr>
      </w:pPr>
      <w:r>
        <w:rPr>
          <w:rFonts w:eastAsia="標楷體"/>
          <w:sz w:val="26"/>
          <w:szCs w:val="26"/>
        </w:rPr>
        <w:br w:type="page"/>
      </w:r>
    </w:p>
    <w:p w:rsidR="003C1758" w:rsidRPr="00CF0D0F" w:rsidRDefault="003C1758" w:rsidP="00D82424">
      <w:pPr>
        <w:spacing w:beforeLines="50" w:before="120" w:afterLines="50" w:after="120" w:line="360" w:lineRule="auto"/>
        <w:jc w:val="both"/>
        <w:rPr>
          <w:rFonts w:eastAsia="標楷體"/>
          <w:sz w:val="26"/>
          <w:szCs w:val="26"/>
        </w:rPr>
        <w:sectPr w:rsidR="003C1758" w:rsidRPr="00CF0D0F" w:rsidSect="00DD5AB2">
          <w:type w:val="oddPage"/>
          <w:pgSz w:w="11906" w:h="16838" w:code="9"/>
          <w:pgMar w:top="2160" w:right="1440" w:bottom="1814" w:left="1440" w:header="851" w:footer="567" w:gutter="567"/>
          <w:cols w:space="425"/>
          <w:docGrid w:linePitch="360"/>
        </w:sectPr>
      </w:pPr>
      <w:r>
        <w:rPr>
          <w:rFonts w:eastAsia="標楷體"/>
          <w:sz w:val="26"/>
          <w:szCs w:val="26"/>
        </w:rPr>
        <w:lastRenderedPageBreak/>
        <w:br w:type="page"/>
      </w:r>
    </w:p>
    <w:bookmarkStart w:id="113" w:name="_Toc449536305"/>
    <w:p w:rsidR="00AF5158" w:rsidRPr="00EA272E" w:rsidRDefault="00A63CF7"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752" behindDoc="0" locked="0" layoutInCell="1" allowOverlap="1">
                <wp:simplePos x="0" y="0"/>
                <wp:positionH relativeFrom="column">
                  <wp:posOffset>4660265</wp:posOffset>
                </wp:positionH>
                <wp:positionV relativeFrom="paragraph">
                  <wp:posOffset>0</wp:posOffset>
                </wp:positionV>
                <wp:extent cx="720090" cy="720090"/>
                <wp:effectExtent l="10160" t="9525" r="12700" b="13335"/>
                <wp:wrapNone/>
                <wp:docPr id="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8C6F22" w:rsidRDefault="00630BD8"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74" type="#_x0000_t202" style="position:absolute;left:0;text-align:left;margin-left:366.95pt;margin-top:0;width:56.7pt;height:5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">
                <v:textbox>
                  <w:txbxContent>
                    <w:p w:rsidR="00630BD8" w:rsidRPr="008C6F22" w:rsidRDefault="00630BD8"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107"/>
      <w:bookmarkEnd w:id="108"/>
      <w:bookmarkEnd w:id="109"/>
      <w:bookmarkEnd w:id="110"/>
      <w:bookmarkEnd w:id="111"/>
      <w:bookmarkEnd w:id="112"/>
      <w:bookmarkEnd w:id="113"/>
    </w:p>
    <w:p w:rsidR="00AF5158" w:rsidRPr="00EA272E"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0E26E4" w:rsidRDefault="00F70BB6"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114" w:name="_Toc449536306"/>
      <w:r w:rsidRPr="000E26E4">
        <w:rPr>
          <w:rFonts w:ascii="Times New Roman" w:eastAsia="標楷體" w:hAnsi="Times New Roman" w:hint="eastAsia"/>
          <w:sz w:val="44"/>
          <w:szCs w:val="46"/>
        </w:rPr>
        <w:t>可比較對象之找尋</w:t>
      </w:r>
      <w:bookmarkEnd w:id="114"/>
    </w:p>
    <w:p w:rsidR="004C5A82" w:rsidRDefault="00426587" w:rsidP="00D82424">
      <w:pPr>
        <w:pStyle w:val="33"/>
        <w:spacing w:beforeLines="50" w:before="120" w:afterLines="50" w:after="120" w:line="360" w:lineRule="auto"/>
        <w:ind w:firstLineChars="200" w:firstLine="520"/>
        <w:jc w:val="both"/>
        <w:rPr>
          <w:szCs w:val="26"/>
        </w:rPr>
      </w:pPr>
      <w:r w:rsidRPr="00E81999">
        <w:rPr>
          <w:rFonts w:hint="eastAsia"/>
          <w:szCs w:val="26"/>
        </w:rPr>
        <w:t>本文據中分析之受控交易為「</w:t>
      </w:r>
      <w:r w:rsidRPr="00E81999">
        <w:rPr>
          <w:rFonts w:hint="eastAsia"/>
        </w:rPr>
        <w:t>有形資產之移轉－銷貨</w:t>
      </w:r>
      <w:r w:rsidRPr="00E81999">
        <w:rPr>
          <w:rFonts w:hint="eastAsia"/>
          <w:szCs w:val="26"/>
        </w:rPr>
        <w:t>」，評估該受控交易之最適常規交易方法為</w:t>
      </w:r>
      <w:r>
        <w:rPr>
          <w:rFonts w:hint="eastAsia"/>
          <w:szCs w:val="26"/>
        </w:rPr>
        <w:t>「</w:t>
      </w:r>
      <w:r w:rsidRPr="00E81999">
        <w:rPr>
          <w:rFonts w:hint="eastAsia"/>
        </w:rPr>
        <w:t>成本加價法</w:t>
      </w:r>
      <w:r>
        <w:rPr>
          <w:rFonts w:hint="eastAsia"/>
        </w:rPr>
        <w:t>」</w:t>
      </w:r>
      <w:r w:rsidRPr="00E81999">
        <w:rPr>
          <w:rFonts w:hint="eastAsia"/>
          <w:szCs w:val="26"/>
        </w:rPr>
        <w:t>。</w:t>
      </w:r>
    </w:p>
    <w:p w:rsidR="004C5A82" w:rsidRDefault="00426587" w:rsidP="00D82424">
      <w:pPr>
        <w:pStyle w:val="33"/>
        <w:spacing w:beforeLines="50" w:before="120" w:afterLines="50" w:after="120" w:line="360" w:lineRule="auto"/>
        <w:ind w:firstLineChars="200" w:firstLine="520"/>
        <w:jc w:val="both"/>
        <w:rPr>
          <w:szCs w:val="26"/>
        </w:rPr>
      </w:pPr>
      <w:r w:rsidRPr="00EA272E">
        <w:rPr>
          <w:rFonts w:hint="eastAsia"/>
          <w:szCs w:val="26"/>
        </w:rPr>
        <w:t>本所以</w:t>
      </w:r>
      <w:r w:rsidR="008531FD" w:rsidRPr="001E4E37">
        <w:rPr>
          <w:rFonts w:hint="eastAsia"/>
          <w:szCs w:val="26"/>
        </w:rPr>
        <w:t>故本所以『</w:t>
      </w:r>
      <w:r w:rsidR="008531FD" w:rsidRPr="009E575E">
        <w:rPr>
          <w:szCs w:val="26"/>
        </w:rPr>
        <w:t>ONESOURCE</w:t>
      </w:r>
      <w:r w:rsidR="008531FD" w:rsidRPr="001E4E37">
        <w:rPr>
          <w:rFonts w:hint="eastAsia"/>
          <w:szCs w:val="26"/>
        </w:rPr>
        <w:t>資料庫</w:t>
      </w:r>
      <w:r w:rsidR="008509EC" w:rsidRPr="001E4E37">
        <w:rPr>
          <w:rFonts w:hint="eastAsia"/>
          <w:szCs w:val="26"/>
        </w:rPr>
        <w:t>』</w:t>
      </w:r>
      <w:r w:rsidR="008531FD" w:rsidRPr="001E4E37">
        <w:rPr>
          <w:rFonts w:hint="eastAsia"/>
          <w:szCs w:val="26"/>
        </w:rPr>
        <w:t>及『</w:t>
      </w:r>
      <w:r w:rsidR="008531FD">
        <w:rPr>
          <w:rFonts w:hint="eastAsia"/>
          <w:szCs w:val="26"/>
        </w:rPr>
        <w:t>中華民國台灣地區主要行業財務比率</w:t>
      </w:r>
      <w:r w:rsidR="008531FD" w:rsidRPr="00EA272E">
        <w:rPr>
          <w:rFonts w:hint="eastAsia"/>
          <w:szCs w:val="26"/>
        </w:rPr>
        <w:t>刊冊』做為選樣資料庫，</w:t>
      </w:r>
      <w:r w:rsidR="008531FD">
        <w:rPr>
          <w:rFonts w:hint="eastAsia"/>
          <w:szCs w:val="26"/>
        </w:rPr>
        <w:t>為瀚昌公司</w:t>
      </w:r>
      <w:r w:rsidR="008531FD" w:rsidRPr="00EA272E">
        <w:rPr>
          <w:rFonts w:hint="eastAsia"/>
          <w:szCs w:val="26"/>
        </w:rPr>
        <w:t>找尋可比較對象</w:t>
      </w:r>
      <w:r w:rsidRPr="00D742A9">
        <w:rPr>
          <w:rFonts w:hint="eastAsia"/>
          <w:szCs w:val="26"/>
        </w:rPr>
        <w:t>。</w:t>
      </w:r>
    </w:p>
    <w:p w:rsidR="004C5A82" w:rsidRDefault="00F70BB6" w:rsidP="00D82424">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資料庫</w:t>
      </w:r>
      <w:r w:rsidRPr="00EA272E">
        <w:rPr>
          <w:rFonts w:ascii="Times New Roman" w:eastAsia="標楷體" w:hAnsi="Times New Roman" w:hint="eastAsia"/>
          <w:sz w:val="36"/>
          <w:szCs w:val="40"/>
        </w:rPr>
        <w:t>簡介</w:t>
      </w:r>
    </w:p>
    <w:p w:rsidR="004C5A82" w:rsidRDefault="00776F00" w:rsidP="00D82424">
      <w:pPr>
        <w:pStyle w:val="3"/>
        <w:numPr>
          <w:ilvl w:val="0"/>
          <w:numId w:val="18"/>
        </w:numPr>
        <w:spacing w:beforeLines="50" w:before="120" w:afterLines="50" w:after="120" w:line="360" w:lineRule="auto"/>
        <w:ind w:leftChars="100" w:left="720"/>
        <w:jc w:val="both"/>
        <w:rPr>
          <w:rFonts w:ascii="Times New Roman" w:eastAsia="標楷體" w:hAnsi="Times New Roman"/>
          <w:sz w:val="32"/>
        </w:rPr>
      </w:pPr>
      <w:r w:rsidRPr="00776F00">
        <w:rPr>
          <w:rFonts w:ascii="Times New Roman" w:eastAsia="標楷體" w:hAnsi="Times New Roman"/>
          <w:sz w:val="32"/>
        </w:rPr>
        <w:t>ONESOURCE</w:t>
      </w:r>
      <w:r w:rsidRPr="00776F00">
        <w:rPr>
          <w:rFonts w:ascii="Times New Roman" w:eastAsia="標楷體" w:hAnsi="Times New Roman" w:hint="eastAsia"/>
          <w:sz w:val="32"/>
        </w:rPr>
        <w:t>資料庫</w:t>
      </w:r>
    </w:p>
    <w:p w:rsidR="004C5A82" w:rsidRDefault="00FB6B09" w:rsidP="00D82424">
      <w:pPr>
        <w:pStyle w:val="33"/>
        <w:spacing w:beforeLines="50" w:before="120" w:afterLines="50" w:after="120" w:line="360" w:lineRule="auto"/>
        <w:ind w:firstLineChars="200" w:firstLine="520"/>
        <w:jc w:val="both"/>
        <w:rPr>
          <w:szCs w:val="26"/>
        </w:rPr>
      </w:pPr>
      <w:r w:rsidRPr="00FB6B09">
        <w:rPr>
          <w:rFonts w:hint="eastAsia"/>
          <w:szCs w:val="26"/>
        </w:rPr>
        <w:t>本所使用湯森路透公司（</w:t>
      </w:r>
      <w:r w:rsidRPr="00FB6B09">
        <w:rPr>
          <w:szCs w:val="26"/>
        </w:rPr>
        <w:t>Thomson Reuters</w:t>
      </w:r>
      <w:r w:rsidRPr="00FB6B09">
        <w:rPr>
          <w:rFonts w:hint="eastAsia"/>
          <w:szCs w:val="26"/>
        </w:rPr>
        <w:t>）開發之</w:t>
      </w:r>
      <w:r w:rsidRPr="00FB6B09">
        <w:rPr>
          <w:szCs w:val="26"/>
        </w:rPr>
        <w:t>ONESOURCE Transfer Pricing</w:t>
      </w:r>
      <w:r w:rsidRPr="00FB6B09">
        <w:rPr>
          <w:rFonts w:hint="eastAsia"/>
          <w:szCs w:val="26"/>
        </w:rPr>
        <w:t>資料庫，使用該資料庫之原因，除其已為我國財政部採用，作為執行移轉訂價查核之取樣依據外，更因其涵蓋公司數量眾多，可供抽樣之母體夠大，本所認為得自該資料庫之樣本應具代表性。</w:t>
      </w:r>
    </w:p>
    <w:p w:rsidR="004C5A82" w:rsidRDefault="00FB6B09" w:rsidP="00D82424">
      <w:pPr>
        <w:pStyle w:val="33"/>
        <w:spacing w:beforeLines="50" w:before="120" w:afterLines="50" w:after="120" w:line="360" w:lineRule="auto"/>
        <w:ind w:firstLineChars="200" w:firstLine="520"/>
        <w:jc w:val="both"/>
        <w:rPr>
          <w:szCs w:val="26"/>
        </w:rPr>
      </w:pPr>
      <w:r w:rsidRPr="00FB6B09">
        <w:rPr>
          <w:szCs w:val="26"/>
        </w:rPr>
        <w:t>ONESOURCE Transfer Pricing</w:t>
      </w:r>
      <w:r w:rsidRPr="00FB6B09">
        <w:rPr>
          <w:rFonts w:hint="eastAsia"/>
          <w:szCs w:val="26"/>
        </w:rPr>
        <w:t>資料庫收錄所有規模企業的資訊，資料來自湯森路透公司（</w:t>
      </w:r>
      <w:r w:rsidRPr="00FB6B09">
        <w:rPr>
          <w:szCs w:val="26"/>
        </w:rPr>
        <w:t>Thomson Reuters</w:t>
      </w:r>
      <w:r w:rsidRPr="00FB6B09">
        <w:rPr>
          <w:rFonts w:hint="eastAsia"/>
          <w:szCs w:val="26"/>
        </w:rPr>
        <w:t>）的</w:t>
      </w:r>
      <w:r w:rsidRPr="00FB6B09">
        <w:rPr>
          <w:szCs w:val="26"/>
        </w:rPr>
        <w:t xml:space="preserve">Fundamentals Database </w:t>
      </w:r>
      <w:r w:rsidRPr="00FB6B09">
        <w:rPr>
          <w:rFonts w:hint="eastAsia"/>
          <w:szCs w:val="26"/>
        </w:rPr>
        <w:t>和</w:t>
      </w:r>
      <w:r w:rsidRPr="00FB6B09">
        <w:rPr>
          <w:szCs w:val="26"/>
        </w:rPr>
        <w:t xml:space="preserve">European </w:t>
      </w:r>
      <w:proofErr w:type="spellStart"/>
      <w:r w:rsidRPr="00FB6B09">
        <w:rPr>
          <w:szCs w:val="26"/>
        </w:rPr>
        <w:t>Comparables</w:t>
      </w:r>
      <w:proofErr w:type="spellEnd"/>
      <w:r w:rsidRPr="00FB6B09">
        <w:rPr>
          <w:szCs w:val="26"/>
        </w:rPr>
        <w:t xml:space="preserve"> Database</w:t>
      </w:r>
      <w:r w:rsidRPr="00FB6B09">
        <w:rPr>
          <w:rFonts w:hint="eastAsia"/>
          <w:szCs w:val="26"/>
        </w:rPr>
        <w:t>，故能有效協助編製可比較對象財務資料及執行分析。</w:t>
      </w:r>
    </w:p>
    <w:p w:rsidR="004C5A82" w:rsidRDefault="00766B8E" w:rsidP="00D82424">
      <w:pPr>
        <w:widowControl/>
        <w:spacing w:beforeLines="50" w:before="120" w:afterLines="50" w:after="120" w:line="360" w:lineRule="auto"/>
        <w:ind w:firstLine="480"/>
        <w:jc w:val="both"/>
        <w:rPr>
          <w:rFonts w:eastAsia="標楷體"/>
          <w:b/>
          <w:kern w:val="0"/>
          <w:sz w:val="32"/>
          <w:szCs w:val="32"/>
        </w:rPr>
      </w:pPr>
      <w:r w:rsidRPr="00A55D17">
        <w:rPr>
          <w:rFonts w:eastAsia="標楷體" w:hint="eastAsia"/>
          <w:b/>
          <w:kern w:val="0"/>
          <w:sz w:val="32"/>
          <w:szCs w:val="32"/>
        </w:rPr>
        <w:t>(</w:t>
      </w:r>
      <w:r w:rsidRPr="00A55D17">
        <w:rPr>
          <w:rFonts w:eastAsia="標楷體" w:hint="eastAsia"/>
          <w:b/>
          <w:kern w:val="0"/>
          <w:sz w:val="32"/>
          <w:szCs w:val="32"/>
        </w:rPr>
        <w:t>一</w:t>
      </w:r>
      <w:r w:rsidRPr="00A55D17">
        <w:rPr>
          <w:rFonts w:eastAsia="標楷體" w:hint="eastAsia"/>
          <w:b/>
          <w:kern w:val="0"/>
          <w:sz w:val="32"/>
          <w:szCs w:val="32"/>
        </w:rPr>
        <w:t>) Fundamentals Database</w:t>
      </w:r>
    </w:p>
    <w:p w:rsidR="004C5A82" w:rsidRDefault="00766B8E" w:rsidP="00D82424">
      <w:pPr>
        <w:spacing w:beforeLines="50" w:before="120" w:afterLines="50" w:after="120" w:line="360" w:lineRule="auto"/>
        <w:ind w:leftChars="200" w:left="480" w:firstLineChars="200" w:firstLine="512"/>
        <w:jc w:val="both"/>
        <w:rPr>
          <w:rFonts w:eastAsia="標楷體"/>
          <w:spacing w:val="-2"/>
          <w:sz w:val="26"/>
          <w:szCs w:val="26"/>
        </w:rPr>
      </w:pPr>
      <w:r w:rsidRPr="00A55D17">
        <w:rPr>
          <w:rFonts w:eastAsia="標楷體" w:hint="eastAsia"/>
          <w:spacing w:val="-2"/>
          <w:sz w:val="26"/>
          <w:szCs w:val="26"/>
        </w:rPr>
        <w:t>Fundamentals</w:t>
      </w:r>
      <w:r w:rsidRPr="00A55D17">
        <w:rPr>
          <w:rFonts w:eastAsia="標楷體" w:hint="eastAsia"/>
          <w:spacing w:val="-2"/>
          <w:sz w:val="26"/>
          <w:szCs w:val="26"/>
        </w:rPr>
        <w:t>資料庫收錄超過</w:t>
      </w:r>
      <w:r w:rsidRPr="00A55D17">
        <w:rPr>
          <w:rFonts w:eastAsia="標楷體" w:hint="eastAsia"/>
          <w:spacing w:val="-2"/>
          <w:sz w:val="26"/>
          <w:szCs w:val="26"/>
        </w:rPr>
        <w:t>110</w:t>
      </w:r>
      <w:r w:rsidRPr="00A55D17">
        <w:rPr>
          <w:rFonts w:eastAsia="標楷體" w:hint="eastAsia"/>
          <w:spacing w:val="-2"/>
          <w:sz w:val="26"/>
          <w:szCs w:val="26"/>
        </w:rPr>
        <w:t>個國家</w:t>
      </w:r>
      <w:r w:rsidRPr="00A55D17">
        <w:rPr>
          <w:rFonts w:eastAsia="標楷體" w:hint="eastAsia"/>
          <w:spacing w:val="-2"/>
          <w:sz w:val="26"/>
          <w:szCs w:val="26"/>
        </w:rPr>
        <w:t>7</w:t>
      </w:r>
      <w:r w:rsidRPr="00A55D17">
        <w:rPr>
          <w:rFonts w:eastAsia="標楷體" w:hint="eastAsia"/>
          <w:spacing w:val="-2"/>
          <w:sz w:val="26"/>
          <w:szCs w:val="26"/>
        </w:rPr>
        <w:t>萬家以上企業資料。資料庫內容包含直接從企業公告申報資訊和其他公開領域取得的財務資訊。</w:t>
      </w:r>
      <w:r w:rsidRPr="00A55D17">
        <w:rPr>
          <w:rFonts w:eastAsia="標楷體" w:hint="eastAsia"/>
          <w:spacing w:val="-2"/>
          <w:sz w:val="26"/>
          <w:szCs w:val="26"/>
        </w:rPr>
        <w:lastRenderedPageBreak/>
        <w:t>在這涵蓋廣泛的財務資料庫中，每家企業有超過</w:t>
      </w:r>
      <w:r w:rsidRPr="00A55D17">
        <w:rPr>
          <w:rFonts w:eastAsia="標楷體" w:hint="eastAsia"/>
          <w:spacing w:val="-2"/>
          <w:sz w:val="26"/>
          <w:szCs w:val="26"/>
        </w:rPr>
        <w:t>100</w:t>
      </w:r>
      <w:r w:rsidRPr="00A55D17">
        <w:rPr>
          <w:rFonts w:eastAsia="標楷體" w:hint="eastAsia"/>
          <w:spacing w:val="-2"/>
          <w:sz w:val="26"/>
          <w:szCs w:val="26"/>
        </w:rPr>
        <w:t>筆的資訊，並可直接連結至原始資料來源。此外，使用者可取得每天更新的資訊，例如企業最新財務數據，以及詳細的業務活動和部門別資料。</w:t>
      </w:r>
    </w:p>
    <w:p w:rsidR="004C5A82" w:rsidRDefault="00766B8E" w:rsidP="00D82424">
      <w:pPr>
        <w:widowControl/>
        <w:spacing w:beforeLines="50" w:before="120" w:afterLines="50" w:after="120" w:line="360" w:lineRule="auto"/>
        <w:ind w:firstLine="480"/>
        <w:jc w:val="both"/>
        <w:rPr>
          <w:rFonts w:eastAsia="標楷體"/>
          <w:b/>
          <w:kern w:val="0"/>
          <w:sz w:val="32"/>
          <w:szCs w:val="32"/>
        </w:rPr>
      </w:pPr>
      <w:r w:rsidRPr="00A55D17">
        <w:rPr>
          <w:rFonts w:eastAsia="標楷體" w:hint="eastAsia"/>
          <w:b/>
          <w:kern w:val="0"/>
          <w:sz w:val="32"/>
          <w:szCs w:val="32"/>
        </w:rPr>
        <w:t>(</w:t>
      </w:r>
      <w:r w:rsidRPr="00A55D17">
        <w:rPr>
          <w:rFonts w:eastAsia="標楷體" w:hint="eastAsia"/>
          <w:b/>
          <w:kern w:val="0"/>
          <w:sz w:val="32"/>
          <w:szCs w:val="32"/>
        </w:rPr>
        <w:t>二</w:t>
      </w:r>
      <w:r w:rsidRPr="00A55D17">
        <w:rPr>
          <w:rFonts w:eastAsia="標楷體" w:hint="eastAsia"/>
          <w:b/>
          <w:kern w:val="0"/>
          <w:sz w:val="32"/>
          <w:szCs w:val="32"/>
        </w:rPr>
        <w:t xml:space="preserve">) European </w:t>
      </w:r>
      <w:proofErr w:type="spellStart"/>
      <w:r w:rsidRPr="00A55D17">
        <w:rPr>
          <w:rFonts w:eastAsia="標楷體" w:hint="eastAsia"/>
          <w:b/>
          <w:kern w:val="0"/>
          <w:sz w:val="32"/>
          <w:szCs w:val="32"/>
        </w:rPr>
        <w:t>Comparables</w:t>
      </w:r>
      <w:proofErr w:type="spellEnd"/>
      <w:r w:rsidRPr="00A55D17">
        <w:rPr>
          <w:rFonts w:eastAsia="標楷體" w:hint="eastAsia"/>
          <w:b/>
          <w:kern w:val="0"/>
          <w:sz w:val="32"/>
          <w:szCs w:val="32"/>
        </w:rPr>
        <w:t xml:space="preserve"> Database</w:t>
      </w:r>
    </w:p>
    <w:p w:rsidR="004C5A82" w:rsidRDefault="00766B8E" w:rsidP="00D82424">
      <w:pPr>
        <w:spacing w:beforeLines="50" w:before="120" w:afterLines="50" w:after="120" w:line="360" w:lineRule="auto"/>
        <w:ind w:leftChars="200" w:left="480" w:firstLineChars="200" w:firstLine="512"/>
        <w:jc w:val="both"/>
        <w:rPr>
          <w:rFonts w:eastAsia="標楷體"/>
          <w:spacing w:val="-2"/>
          <w:sz w:val="26"/>
          <w:szCs w:val="26"/>
        </w:rPr>
      </w:pPr>
      <w:r w:rsidRPr="00A55D17">
        <w:rPr>
          <w:rFonts w:eastAsia="標楷體" w:hint="eastAsia"/>
          <w:spacing w:val="-2"/>
          <w:sz w:val="26"/>
          <w:szCs w:val="26"/>
        </w:rPr>
        <w:t xml:space="preserve">European </w:t>
      </w:r>
      <w:proofErr w:type="spellStart"/>
      <w:r w:rsidRPr="00A55D17">
        <w:rPr>
          <w:rFonts w:eastAsia="標楷體" w:hint="eastAsia"/>
          <w:spacing w:val="-2"/>
          <w:sz w:val="26"/>
          <w:szCs w:val="26"/>
        </w:rPr>
        <w:t>Comparables</w:t>
      </w:r>
      <w:proofErr w:type="spellEnd"/>
      <w:r w:rsidRPr="00A55D17">
        <w:rPr>
          <w:rFonts w:eastAsia="標楷體" w:hint="eastAsia"/>
          <w:spacing w:val="-2"/>
          <w:sz w:val="26"/>
          <w:szCs w:val="26"/>
        </w:rPr>
        <w:t>資料庫收錄超過</w:t>
      </w:r>
      <w:r w:rsidRPr="00A55D17">
        <w:rPr>
          <w:rFonts w:eastAsia="標楷體" w:hint="eastAsia"/>
          <w:spacing w:val="-2"/>
          <w:sz w:val="26"/>
          <w:szCs w:val="26"/>
        </w:rPr>
        <w:t>120</w:t>
      </w:r>
      <w:r w:rsidRPr="00A55D17">
        <w:rPr>
          <w:rFonts w:eastAsia="標楷體" w:hint="eastAsia"/>
          <w:spacing w:val="-2"/>
          <w:sz w:val="26"/>
          <w:szCs w:val="26"/>
        </w:rPr>
        <w:t>萬家歐洲非公開及公開發行公司的資訊。</w:t>
      </w:r>
    </w:p>
    <w:p w:rsidR="004C5A82" w:rsidRDefault="00766B8E" w:rsidP="00D82424">
      <w:pPr>
        <w:spacing w:beforeLines="50" w:before="120" w:afterLines="50" w:after="120" w:line="360" w:lineRule="auto"/>
        <w:ind w:leftChars="200" w:left="480" w:firstLineChars="200" w:firstLine="520"/>
        <w:jc w:val="both"/>
        <w:rPr>
          <w:rFonts w:eastAsia="標楷體"/>
          <w:sz w:val="26"/>
          <w:szCs w:val="26"/>
        </w:rPr>
      </w:pPr>
      <w:r w:rsidRPr="00AE581A">
        <w:rPr>
          <w:rFonts w:eastAsia="標楷體"/>
          <w:sz w:val="26"/>
          <w:szCs w:val="26"/>
        </w:rPr>
        <w:t>該資料庫收錄完整的公司財務資料及各公司營運部門、經濟產業面、行業等之『企業敘述』（</w:t>
      </w:r>
      <w:r w:rsidRPr="00C5555E">
        <w:rPr>
          <w:rFonts w:eastAsia="標楷體"/>
          <w:sz w:val="26"/>
          <w:szCs w:val="26"/>
        </w:rPr>
        <w:t>Business Descriptions</w:t>
      </w:r>
      <w:r w:rsidRPr="00AE581A">
        <w:rPr>
          <w:rFonts w:eastAsia="標楷體"/>
          <w:sz w:val="26"/>
          <w:szCs w:val="26"/>
        </w:rPr>
        <w:t>）等資訊，透過完整的相關比較資料，本所認為唯有能夠提供質量並重資料之資料庫，才能有助於尋得與各受控交易之可茲比較對象。</w:t>
      </w:r>
    </w:p>
    <w:p w:rsidR="004C5A82" w:rsidRDefault="00FB6B09" w:rsidP="00D82424">
      <w:pPr>
        <w:pStyle w:val="3"/>
        <w:numPr>
          <w:ilvl w:val="0"/>
          <w:numId w:val="18"/>
        </w:numPr>
        <w:spacing w:beforeLines="50" w:before="120" w:afterLines="50" w:after="120" w:line="360" w:lineRule="auto"/>
        <w:ind w:leftChars="100" w:left="720"/>
        <w:jc w:val="both"/>
        <w:rPr>
          <w:rFonts w:ascii="Times New Roman" w:eastAsia="標楷體" w:hAnsi="Times New Roman"/>
          <w:sz w:val="32"/>
        </w:rPr>
      </w:pPr>
      <w:r w:rsidRPr="00776F00">
        <w:rPr>
          <w:rFonts w:ascii="Times New Roman" w:eastAsia="標楷體" w:hAnsi="Times New Roman" w:hint="eastAsia"/>
          <w:sz w:val="32"/>
        </w:rPr>
        <w:t>中華民國台灣地區主要行業財務比率刊冊</w:t>
      </w:r>
    </w:p>
    <w:p w:rsidR="004C5A82" w:rsidRDefault="00F70BB6" w:rsidP="00D82424">
      <w:pPr>
        <w:pStyle w:val="33"/>
        <w:spacing w:beforeLines="50" w:before="120" w:afterLines="50" w:after="120" w:line="360" w:lineRule="auto"/>
        <w:ind w:firstLineChars="200" w:firstLine="520"/>
        <w:jc w:val="both"/>
        <w:rPr>
          <w:szCs w:val="26"/>
        </w:rPr>
      </w:pPr>
      <w:r w:rsidRPr="00676860">
        <w:rPr>
          <w:rFonts w:hint="eastAsia"/>
          <w:szCs w:val="26"/>
        </w:rPr>
        <w:t>財團法人金融聯合徵信中心所</w:t>
      </w:r>
      <w:r w:rsidRPr="00676860">
        <w:rPr>
          <w:szCs w:val="26"/>
        </w:rPr>
        <w:t>發行之</w:t>
      </w:r>
      <w:r>
        <w:rPr>
          <w:rFonts w:hint="eastAsia"/>
          <w:szCs w:val="26"/>
        </w:rPr>
        <w:t>中華民國台灣地區</w:t>
      </w:r>
      <w:r w:rsidRPr="00676860">
        <w:rPr>
          <w:szCs w:val="26"/>
        </w:rPr>
        <w:t>主要行業</w:t>
      </w:r>
      <w:r w:rsidRPr="00676860">
        <w:rPr>
          <w:rFonts w:hint="eastAsia"/>
          <w:szCs w:val="26"/>
        </w:rPr>
        <w:t>財務比率刊冊</w:t>
      </w:r>
      <w:r>
        <w:rPr>
          <w:rFonts w:hint="eastAsia"/>
          <w:szCs w:val="26"/>
        </w:rPr>
        <w:t>（以下簡稱『主要行業財務比率刊冊』）</w:t>
      </w:r>
      <w:r w:rsidRPr="00676860">
        <w:rPr>
          <w:rFonts w:hint="eastAsia"/>
          <w:szCs w:val="26"/>
        </w:rPr>
        <w:t>所</w:t>
      </w:r>
      <w:r w:rsidRPr="00676860">
        <w:rPr>
          <w:szCs w:val="26"/>
        </w:rPr>
        <w:t>選用樣本之財務報表均經會計師查核簽證</w:t>
      </w:r>
      <w:r w:rsidRPr="00676860">
        <w:rPr>
          <w:rFonts w:hint="eastAsia"/>
          <w:szCs w:val="26"/>
        </w:rPr>
        <w:t>、</w:t>
      </w:r>
      <w:r w:rsidRPr="00676860">
        <w:rPr>
          <w:szCs w:val="26"/>
        </w:rPr>
        <w:t>樣本均為國內較具規模且營運正常之企業，以其財務比率據以編製之行業財務比率，應具相當之代表性，可反應該行</w:t>
      </w:r>
      <w:r w:rsidRPr="00A919D4">
        <w:rPr>
          <w:szCs w:val="26"/>
        </w:rPr>
        <w:t>業之實際狀況。</w:t>
      </w:r>
    </w:p>
    <w:p w:rsidR="004C5A82" w:rsidRDefault="001F2BFF" w:rsidP="00D82424">
      <w:pPr>
        <w:pStyle w:val="33"/>
        <w:spacing w:beforeLines="50" w:before="120" w:afterLines="50" w:after="120" w:line="360" w:lineRule="auto"/>
        <w:ind w:firstLineChars="200" w:firstLine="520"/>
        <w:jc w:val="both"/>
        <w:rPr>
          <w:szCs w:val="26"/>
        </w:rPr>
      </w:pPr>
      <w:r w:rsidRPr="001F2BFF">
        <w:rPr>
          <w:rFonts w:hint="eastAsia"/>
          <w:szCs w:val="26"/>
        </w:rPr>
        <w:t>截至本報告出具日，</w:t>
      </w:r>
      <w:r w:rsidR="00DC3359">
        <w:rPr>
          <w:szCs w:val="26"/>
        </w:rPr>
        <w:t>10</w:t>
      </w:r>
      <w:r w:rsidR="00211437">
        <w:rPr>
          <w:rFonts w:hint="eastAsia"/>
          <w:szCs w:val="26"/>
        </w:rPr>
        <w:t>6</w:t>
      </w:r>
      <w:r w:rsidRPr="001F2BFF">
        <w:rPr>
          <w:rFonts w:hint="eastAsia"/>
          <w:szCs w:val="26"/>
        </w:rPr>
        <w:t>年版（內含</w:t>
      </w:r>
      <w:r w:rsidR="00211437">
        <w:rPr>
          <w:szCs w:val="26"/>
        </w:rPr>
        <w:t>105</w:t>
      </w:r>
      <w:r w:rsidRPr="001F2BFF">
        <w:rPr>
          <w:rFonts w:hint="eastAsia"/>
          <w:szCs w:val="26"/>
        </w:rPr>
        <w:t>年度財務比率資料）主要行業財務比率刊冊尚未出版，故本所以</w:t>
      </w:r>
      <w:r w:rsidR="00DC3359">
        <w:rPr>
          <w:szCs w:val="26"/>
        </w:rPr>
        <w:t>1</w:t>
      </w:r>
      <w:r w:rsidR="00211437">
        <w:rPr>
          <w:rFonts w:hint="eastAsia"/>
          <w:szCs w:val="26"/>
        </w:rPr>
        <w:t>03</w:t>
      </w:r>
      <w:r w:rsidRPr="001F2BFF">
        <w:rPr>
          <w:rFonts w:hint="eastAsia"/>
          <w:szCs w:val="26"/>
        </w:rPr>
        <w:t>年版至</w:t>
      </w:r>
      <w:r w:rsidR="00DC3359">
        <w:rPr>
          <w:szCs w:val="26"/>
        </w:rPr>
        <w:t>10</w:t>
      </w:r>
      <w:r w:rsidR="00211437">
        <w:rPr>
          <w:rFonts w:hint="eastAsia"/>
          <w:szCs w:val="26"/>
        </w:rPr>
        <w:t>5</w:t>
      </w:r>
      <w:r w:rsidRPr="001F2BFF">
        <w:rPr>
          <w:rFonts w:hint="eastAsia"/>
          <w:szCs w:val="26"/>
        </w:rPr>
        <w:t>年版（內含</w:t>
      </w:r>
      <w:r w:rsidR="00DC3359">
        <w:rPr>
          <w:szCs w:val="26"/>
        </w:rPr>
        <w:t>10</w:t>
      </w:r>
      <w:r w:rsidR="00211437">
        <w:rPr>
          <w:rFonts w:hint="eastAsia"/>
          <w:szCs w:val="26"/>
        </w:rPr>
        <w:t>2</w:t>
      </w:r>
      <w:r w:rsidRPr="001F2BFF">
        <w:rPr>
          <w:rFonts w:hint="eastAsia"/>
          <w:szCs w:val="26"/>
        </w:rPr>
        <w:t>～</w:t>
      </w:r>
      <w:r w:rsidR="00DC3359">
        <w:rPr>
          <w:szCs w:val="26"/>
        </w:rPr>
        <w:t>10</w:t>
      </w:r>
      <w:r w:rsidR="00211437">
        <w:rPr>
          <w:rFonts w:hint="eastAsia"/>
          <w:szCs w:val="26"/>
        </w:rPr>
        <w:t>4</w:t>
      </w:r>
      <w:r w:rsidRPr="001F2BFF">
        <w:rPr>
          <w:rFonts w:hint="eastAsia"/>
          <w:szCs w:val="26"/>
        </w:rPr>
        <w:t>年度資料）刊冊做為評估標準。</w:t>
      </w:r>
    </w:p>
    <w:p w:rsidR="004C5A82" w:rsidRDefault="00F70BB6" w:rsidP="00D82424">
      <w:pPr>
        <w:pStyle w:val="33"/>
        <w:spacing w:beforeLines="50" w:before="120" w:afterLines="50" w:after="120" w:line="360" w:lineRule="auto"/>
        <w:ind w:firstLineChars="200" w:firstLine="520"/>
        <w:jc w:val="both"/>
        <w:rPr>
          <w:szCs w:val="26"/>
        </w:rPr>
      </w:pPr>
      <w:r w:rsidRPr="00576284">
        <w:rPr>
          <w:szCs w:val="26"/>
        </w:rPr>
        <w:t>主要行業財務比率刊冊對每一行業均以營業收入加以區分級距，最多有</w:t>
      </w:r>
      <w:r w:rsidRPr="00576284">
        <w:rPr>
          <w:rFonts w:hint="eastAsia"/>
          <w:szCs w:val="26"/>
        </w:rPr>
        <w:t>7</w:t>
      </w:r>
      <w:r w:rsidRPr="00576284">
        <w:rPr>
          <w:szCs w:val="26"/>
        </w:rPr>
        <w:t>個級距</w:t>
      </w:r>
      <w:r w:rsidRPr="00576284">
        <w:rPr>
          <w:rFonts w:hint="eastAsia"/>
          <w:szCs w:val="26"/>
        </w:rPr>
        <w:t>，若級距內無樣本企業或僅一家並屬非公開發行公司者，則</w:t>
      </w:r>
      <w:r w:rsidR="004979A3">
        <w:rPr>
          <w:rFonts w:hint="eastAsia"/>
          <w:szCs w:val="26"/>
        </w:rPr>
        <w:t>不予揭露</w:t>
      </w:r>
      <w:r w:rsidRPr="00576284">
        <w:rPr>
          <w:rFonts w:hint="eastAsia"/>
          <w:szCs w:val="26"/>
        </w:rPr>
        <w:t>該級距內各項比率</w:t>
      </w:r>
      <w:r w:rsidRPr="00676860">
        <w:rPr>
          <w:szCs w:val="26"/>
        </w:rPr>
        <w:t>。每一級距之財務比率均以六項統計數值分別列示，包括簡單算術平均數、綜合平均數、</w:t>
      </w:r>
      <w:r w:rsidRPr="00676860">
        <w:rPr>
          <w:rFonts w:hint="eastAsia"/>
          <w:szCs w:val="26"/>
        </w:rPr>
        <w:t>上四分位數、</w:t>
      </w:r>
      <w:r w:rsidRPr="00676860">
        <w:rPr>
          <w:szCs w:val="26"/>
        </w:rPr>
        <w:t>中位數、下四分位數及標準</w:t>
      </w:r>
      <w:r w:rsidRPr="00676860">
        <w:rPr>
          <w:szCs w:val="26"/>
        </w:rPr>
        <w:lastRenderedPageBreak/>
        <w:t>差。移轉訂價查核準則第</w:t>
      </w:r>
      <w:r w:rsidRPr="00676860">
        <w:rPr>
          <w:szCs w:val="26"/>
        </w:rPr>
        <w:t>7</w:t>
      </w:r>
      <w:r w:rsidRPr="00676860">
        <w:rPr>
          <w:szCs w:val="26"/>
        </w:rPr>
        <w:t>條第</w:t>
      </w:r>
      <w:r w:rsidRPr="00676860">
        <w:rPr>
          <w:szCs w:val="26"/>
        </w:rPr>
        <w:t>5</w:t>
      </w:r>
      <w:r w:rsidRPr="00676860">
        <w:rPr>
          <w:szCs w:val="26"/>
        </w:rPr>
        <w:t>款第</w:t>
      </w:r>
      <w:r w:rsidRPr="00676860">
        <w:rPr>
          <w:szCs w:val="26"/>
        </w:rPr>
        <w:t>1</w:t>
      </w:r>
      <w:r w:rsidRPr="00676860">
        <w:rPr>
          <w:szCs w:val="26"/>
        </w:rPr>
        <w:t>及</w:t>
      </w:r>
      <w:r w:rsidRPr="00676860">
        <w:rPr>
          <w:szCs w:val="26"/>
        </w:rPr>
        <w:t>2</w:t>
      </w:r>
      <w:r w:rsidRPr="00676860">
        <w:rPr>
          <w:szCs w:val="26"/>
        </w:rPr>
        <w:t>目規定，所稱『常規交易範圍』，指二個或二個以上之可比較未受控交易，適用相同之常規交易方法所產生常規交易結果之範圍。可比較未受控交易之資料如未臻完整，致無法確認其與受控交易間之差異，或無法進行調整以消除該等差異對交易結果所產生之影響者，以可比較未受控交易結果之第二十五百分位數至第七十五百分位數之區間為常規交易範圍。</w:t>
      </w:r>
      <w:r w:rsidRPr="00676860">
        <w:rPr>
          <w:rFonts w:hint="eastAsia"/>
          <w:szCs w:val="26"/>
        </w:rPr>
        <w:t>該主要行業財務比率</w:t>
      </w:r>
      <w:r w:rsidRPr="00676860">
        <w:rPr>
          <w:szCs w:val="26"/>
        </w:rPr>
        <w:t>刊冊提供之統計數值，正呼應移轉訂價查核準則對於常規交易範圍之規定。</w:t>
      </w:r>
    </w:p>
    <w:p w:rsidR="004C5A82" w:rsidRDefault="00F70BB6" w:rsidP="00D82424">
      <w:pPr>
        <w:pStyle w:val="33"/>
        <w:spacing w:beforeLines="50" w:before="120" w:afterLines="50" w:after="120" w:line="360" w:lineRule="auto"/>
        <w:ind w:firstLineChars="200" w:firstLine="520"/>
        <w:jc w:val="both"/>
        <w:rPr>
          <w:szCs w:val="26"/>
        </w:rPr>
      </w:pPr>
      <w:r w:rsidRPr="00676860">
        <w:rPr>
          <w:rFonts w:hint="eastAsia"/>
          <w:szCs w:val="26"/>
        </w:rPr>
        <w:t>本所於檢視主要行業財務比率刊冊內所分類之行業代號後，依據</w:t>
      </w:r>
      <w:r w:rsidR="00A919D4" w:rsidRPr="0057345F">
        <w:rPr>
          <w:rFonts w:hint="eastAsia"/>
          <w:szCs w:val="26"/>
        </w:rPr>
        <w:t>瀚昌公司</w:t>
      </w:r>
      <w:r w:rsidRPr="00676860">
        <w:rPr>
          <w:rFonts w:hint="eastAsia"/>
          <w:szCs w:val="26"/>
        </w:rPr>
        <w:t>之營業性質</w:t>
      </w:r>
      <w:r>
        <w:rPr>
          <w:rFonts w:hint="eastAsia"/>
          <w:szCs w:val="26"/>
        </w:rPr>
        <w:t>、執行之功能及營收級距等為其找尋可比較對象。</w:t>
      </w:r>
    </w:p>
    <w:p w:rsidR="004C5A82" w:rsidRDefault="00F70BB6" w:rsidP="00D82424">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w:t>
      </w:r>
      <w:r>
        <w:rPr>
          <w:rFonts w:ascii="Times New Roman" w:eastAsia="標楷體" w:hAnsi="Times New Roman" w:hint="eastAsia"/>
          <w:sz w:val="36"/>
          <w:szCs w:val="40"/>
        </w:rPr>
        <w:t>選擇過程</w:t>
      </w:r>
    </w:p>
    <w:p w:rsidR="004C5A82" w:rsidRDefault="00A919D4" w:rsidP="00D82424">
      <w:pPr>
        <w:pStyle w:val="a5"/>
        <w:spacing w:beforeLines="50" w:before="120" w:afterLines="50" w:after="120" w:line="360" w:lineRule="auto"/>
        <w:ind w:firstLineChars="200" w:firstLine="512"/>
        <w:jc w:val="both"/>
        <w:rPr>
          <w:rFonts w:eastAsia="標楷體"/>
          <w:spacing w:val="-2"/>
          <w:sz w:val="26"/>
          <w:szCs w:val="26"/>
        </w:rPr>
      </w:pPr>
      <w:r w:rsidRPr="00EA272E">
        <w:rPr>
          <w:rFonts w:eastAsia="標楷體"/>
          <w:spacing w:val="-2"/>
          <w:sz w:val="26"/>
          <w:szCs w:val="26"/>
        </w:rPr>
        <w:t>根據移轉訂價查核準則第</w:t>
      </w:r>
      <w:r w:rsidRPr="00EA272E">
        <w:rPr>
          <w:rFonts w:eastAsia="標楷體"/>
          <w:spacing w:val="-2"/>
          <w:sz w:val="26"/>
          <w:szCs w:val="26"/>
        </w:rPr>
        <w:t>8</w:t>
      </w:r>
      <w:r w:rsidRPr="00EA272E">
        <w:rPr>
          <w:rFonts w:eastAsia="標楷體"/>
          <w:spacing w:val="-2"/>
          <w:sz w:val="26"/>
          <w:szCs w:val="26"/>
        </w:rPr>
        <w:t>條規定，決定營利事業與非關係人之情況，或其所從事之受控交易與未受控交易是否相同或類似及</w:t>
      </w:r>
      <w:r w:rsidRPr="00EA272E">
        <w:rPr>
          <w:rFonts w:eastAsia="標楷體" w:hint="eastAsia"/>
          <w:spacing w:val="-2"/>
          <w:sz w:val="26"/>
          <w:szCs w:val="26"/>
        </w:rPr>
        <w:t>其</w:t>
      </w:r>
      <w:r w:rsidRPr="00EA272E">
        <w:rPr>
          <w:rFonts w:eastAsia="標楷體"/>
          <w:spacing w:val="-2"/>
          <w:sz w:val="26"/>
          <w:szCs w:val="26"/>
        </w:rPr>
        <w:t>可比較程度時，應考量包括交易標的</w:t>
      </w:r>
      <w:r w:rsidRPr="00EA272E">
        <w:rPr>
          <w:rFonts w:eastAsia="標楷體" w:hint="eastAsia"/>
          <w:spacing w:val="-2"/>
          <w:sz w:val="26"/>
          <w:szCs w:val="26"/>
        </w:rPr>
        <w:t>資產</w:t>
      </w:r>
      <w:r w:rsidRPr="00EA272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EA272E">
        <w:rPr>
          <w:rFonts w:eastAsia="標楷體"/>
          <w:spacing w:val="-2"/>
          <w:sz w:val="26"/>
          <w:szCs w:val="26"/>
        </w:rPr>
        <w:t>8</w:t>
      </w:r>
      <w:r w:rsidRPr="00EA272E">
        <w:rPr>
          <w:rFonts w:eastAsia="標楷體"/>
          <w:spacing w:val="-2"/>
          <w:sz w:val="26"/>
          <w:szCs w:val="26"/>
        </w:rPr>
        <w:t>條之規定。</w:t>
      </w:r>
    </w:p>
    <w:p w:rsidR="004C5A82" w:rsidRDefault="00A919D4" w:rsidP="00D82424">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本所根據下列條件進行篩選，選出與</w:t>
      </w:r>
      <w:r>
        <w:rPr>
          <w:rFonts w:eastAsia="標楷體" w:hint="eastAsia"/>
          <w:sz w:val="26"/>
          <w:szCs w:val="26"/>
        </w:rPr>
        <w:t>瀚昌公司</w:t>
      </w:r>
      <w:r w:rsidRPr="006B74CC">
        <w:rPr>
          <w:rFonts w:eastAsia="標楷體" w:hint="eastAsia"/>
          <w:sz w:val="26"/>
          <w:szCs w:val="26"/>
        </w:rPr>
        <w:t>可資比較對象：</w:t>
      </w:r>
    </w:p>
    <w:p w:rsidR="004C5A82" w:rsidRDefault="00F70BB6" w:rsidP="00D82424">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397F28">
        <w:rPr>
          <w:rFonts w:ascii="Times New Roman" w:eastAsia="標楷體" w:hAnsi="Times New Roman" w:hint="eastAsia"/>
          <w:sz w:val="32"/>
        </w:rPr>
        <w:t>執行之功能及產品種類</w:t>
      </w:r>
    </w:p>
    <w:p w:rsidR="004C5A82" w:rsidRDefault="00F70BB6" w:rsidP="00D82424">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依據移轉訂價查核準則第</w:t>
      </w:r>
      <w:r w:rsidRPr="00137E06">
        <w:rPr>
          <w:rFonts w:eastAsia="標楷體" w:hint="eastAsia"/>
          <w:sz w:val="26"/>
          <w:szCs w:val="26"/>
        </w:rPr>
        <w:t>8</w:t>
      </w:r>
      <w:r w:rsidRPr="00137E06">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137E06">
        <w:rPr>
          <w:rFonts w:eastAsia="標楷體"/>
          <w:sz w:val="26"/>
          <w:szCs w:val="26"/>
        </w:rPr>
        <w:t>選出樣本所執行之功能若與</w:t>
      </w:r>
      <w:r w:rsidRPr="00137E06">
        <w:rPr>
          <w:rFonts w:eastAsia="標楷體" w:hint="eastAsia"/>
          <w:sz w:val="26"/>
          <w:szCs w:val="26"/>
        </w:rPr>
        <w:t>受測個體</w:t>
      </w:r>
      <w:r w:rsidRPr="00137E06">
        <w:rPr>
          <w:rFonts w:eastAsia="標楷體"/>
          <w:sz w:val="26"/>
          <w:szCs w:val="26"/>
        </w:rPr>
        <w:t>所執行之功能越相似者越佳，此步驟在於增加可比較程度，使比較之結果更為精</w:t>
      </w:r>
      <w:r w:rsidRPr="00137E06">
        <w:rPr>
          <w:rFonts w:eastAsia="標楷體"/>
          <w:sz w:val="26"/>
          <w:szCs w:val="26"/>
        </w:rPr>
        <w:lastRenderedPageBreak/>
        <w:t>密。</w:t>
      </w:r>
    </w:p>
    <w:p w:rsidR="004C5A82" w:rsidRDefault="00F70BB6" w:rsidP="00D82424">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397F28">
        <w:rPr>
          <w:rFonts w:ascii="Times New Roman" w:eastAsia="標楷體" w:hAnsi="Times New Roman" w:hint="eastAsia"/>
          <w:sz w:val="32"/>
        </w:rPr>
        <w:t>檢視財務資料充分性及可用性</w:t>
      </w:r>
    </w:p>
    <w:p w:rsidR="004C5A82" w:rsidRDefault="00335DA9" w:rsidP="00D82424">
      <w:pPr>
        <w:spacing w:beforeLines="50" w:before="120" w:afterLines="50" w:after="120" w:line="360" w:lineRule="auto"/>
        <w:ind w:leftChars="200" w:left="480" w:firstLineChars="200" w:firstLine="520"/>
        <w:jc w:val="both"/>
        <w:rPr>
          <w:rFonts w:eastAsia="標楷體"/>
          <w:sz w:val="26"/>
          <w:szCs w:val="26"/>
        </w:rPr>
      </w:pPr>
      <w:r w:rsidRPr="0057345F">
        <w:rPr>
          <w:rFonts w:eastAsia="標楷體" w:hint="eastAsia"/>
          <w:sz w:val="26"/>
          <w:szCs w:val="26"/>
        </w:rPr>
        <w:t>選出之樣本若無法提供充分之財務資料，便無法被運用為求出常規交易結果範圍，是故不列入考量。由本文據第陸章得知，用於評估『有形資產之移轉－銷貨』受控交易之最適常規交易方法為『成本加價法』，</w:t>
      </w:r>
      <w:r>
        <w:rPr>
          <w:rFonts w:eastAsia="標楷體" w:hint="eastAsia"/>
          <w:sz w:val="26"/>
          <w:szCs w:val="26"/>
        </w:rPr>
        <w:t>以</w:t>
      </w:r>
      <w:r w:rsidRPr="0057345F">
        <w:rPr>
          <w:rFonts w:eastAsia="標楷體" w:hint="eastAsia"/>
          <w:sz w:val="26"/>
          <w:szCs w:val="26"/>
        </w:rPr>
        <w:t>『成本加價率』</w:t>
      </w:r>
      <w:r>
        <w:rPr>
          <w:rFonts w:eastAsia="標楷體" w:hint="eastAsia"/>
          <w:sz w:val="26"/>
          <w:szCs w:val="26"/>
        </w:rPr>
        <w:t>作為衡量標準</w:t>
      </w:r>
      <w:r w:rsidRPr="0057345F">
        <w:rPr>
          <w:rFonts w:eastAsia="標楷體" w:hint="eastAsia"/>
          <w:sz w:val="26"/>
          <w:szCs w:val="26"/>
        </w:rPr>
        <w:t>。</w:t>
      </w:r>
    </w:p>
    <w:p w:rsidR="004C5A82" w:rsidRDefault="00335DA9" w:rsidP="00D82424">
      <w:pPr>
        <w:spacing w:beforeLines="50" w:before="120" w:afterLines="50" w:after="120" w:line="360" w:lineRule="auto"/>
        <w:ind w:leftChars="200" w:left="480" w:firstLineChars="200" w:firstLine="520"/>
        <w:jc w:val="both"/>
        <w:rPr>
          <w:rFonts w:eastAsia="標楷體"/>
          <w:sz w:val="26"/>
          <w:szCs w:val="26"/>
        </w:rPr>
      </w:pPr>
      <w:r w:rsidRPr="003812BF">
        <w:rPr>
          <w:rFonts w:eastAsia="標楷體" w:hint="eastAsia"/>
          <w:sz w:val="26"/>
          <w:szCs w:val="26"/>
        </w:rPr>
        <w:t>依</w:t>
      </w:r>
      <w:r w:rsidRPr="003812BF">
        <w:rPr>
          <w:rFonts w:eastAsia="標楷體"/>
          <w:sz w:val="26"/>
          <w:szCs w:val="26"/>
        </w:rPr>
        <w:t>移轉訂價查核準則第</w:t>
      </w:r>
      <w:r w:rsidRPr="003812BF">
        <w:rPr>
          <w:rFonts w:eastAsia="標楷體"/>
          <w:sz w:val="26"/>
          <w:szCs w:val="26"/>
        </w:rPr>
        <w:t>7</w:t>
      </w:r>
      <w:r w:rsidRPr="003812BF">
        <w:rPr>
          <w:rFonts w:eastAsia="標楷體"/>
          <w:sz w:val="26"/>
          <w:szCs w:val="26"/>
        </w:rPr>
        <w:t>條第</w:t>
      </w:r>
      <w:r w:rsidRPr="003812BF">
        <w:rPr>
          <w:rFonts w:eastAsia="標楷體"/>
          <w:sz w:val="26"/>
          <w:szCs w:val="26"/>
        </w:rPr>
        <w:t>4</w:t>
      </w:r>
      <w:r w:rsidRPr="003812BF">
        <w:rPr>
          <w:rFonts w:eastAsia="標楷體"/>
          <w:sz w:val="26"/>
          <w:szCs w:val="26"/>
        </w:rPr>
        <w:t>款第</w:t>
      </w:r>
      <w:r w:rsidRPr="003812BF">
        <w:rPr>
          <w:rFonts w:eastAsia="標楷體" w:hint="eastAsia"/>
          <w:sz w:val="26"/>
          <w:szCs w:val="26"/>
        </w:rPr>
        <w:t>2</w:t>
      </w:r>
      <w:r w:rsidRPr="003812BF">
        <w:rPr>
          <w:rFonts w:eastAsia="標楷體"/>
          <w:sz w:val="26"/>
          <w:szCs w:val="26"/>
        </w:rPr>
        <w:t>目規定，</w:t>
      </w:r>
      <w:r w:rsidR="00484CD5" w:rsidRPr="00595156">
        <w:rPr>
          <w:rFonts w:eastAsia="標楷體" w:hint="eastAsia"/>
          <w:sz w:val="26"/>
          <w:szCs w:val="26"/>
        </w:rPr>
        <w:t>當年度之可比較未受控交易財務報表資料，營利事業於辦理交易當年度營利事業所得稅結算申報時未能取得者，得以可比較未受控交易之連續前三年度平均數代替之，故本所復設定可比較對象必須具備連續前三年營業毛利率</w:t>
      </w:r>
      <w:r w:rsidR="00484CD5" w:rsidRPr="00BB44F9">
        <w:rPr>
          <w:rFonts w:eastAsia="標楷體" w:hint="eastAsia"/>
          <w:sz w:val="26"/>
          <w:szCs w:val="26"/>
        </w:rPr>
        <w:t>為篩選條件</w:t>
      </w:r>
      <w:r w:rsidR="00484CD5" w:rsidRPr="006F67A3">
        <w:rPr>
          <w:rFonts w:eastAsia="標楷體" w:hint="eastAsia"/>
          <w:sz w:val="26"/>
          <w:szCs w:val="26"/>
        </w:rPr>
        <w:t>。</w:t>
      </w:r>
    </w:p>
    <w:p w:rsidR="004C5A82" w:rsidRDefault="00F70BB6" w:rsidP="00D82424">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篩選過程</w:t>
      </w:r>
    </w:p>
    <w:p w:rsidR="004C5A82" w:rsidRDefault="008C0764" w:rsidP="00D82424">
      <w:pPr>
        <w:pStyle w:val="3"/>
        <w:numPr>
          <w:ilvl w:val="0"/>
          <w:numId w:val="20"/>
        </w:numPr>
        <w:spacing w:beforeLines="50" w:before="120" w:afterLines="50" w:after="120" w:line="360" w:lineRule="auto"/>
        <w:ind w:leftChars="100" w:left="720"/>
        <w:jc w:val="both"/>
        <w:rPr>
          <w:rFonts w:ascii="Times New Roman" w:eastAsia="標楷體" w:hAnsi="Times New Roman"/>
          <w:sz w:val="32"/>
        </w:rPr>
      </w:pPr>
      <w:r w:rsidRPr="0057345F">
        <w:rPr>
          <w:rFonts w:ascii="Times New Roman" w:eastAsia="標楷體" w:hAnsi="Times New Roman" w:hint="eastAsia"/>
          <w:sz w:val="32"/>
        </w:rPr>
        <w:t>有形資產之移轉－銷貨</w:t>
      </w:r>
    </w:p>
    <w:p w:rsidR="004C5A82" w:rsidRDefault="00245BD4" w:rsidP="00D82424">
      <w:pPr>
        <w:numPr>
          <w:ilvl w:val="0"/>
          <w:numId w:val="21"/>
        </w:numPr>
        <w:tabs>
          <w:tab w:val="left" w:pos="1134"/>
        </w:tabs>
        <w:spacing w:beforeLines="50" w:before="120" w:afterLines="50" w:after="120" w:line="360" w:lineRule="auto"/>
        <w:ind w:leftChars="250" w:left="1080"/>
        <w:jc w:val="both"/>
        <w:rPr>
          <w:rFonts w:eastAsia="標楷體"/>
          <w:b/>
          <w:sz w:val="28"/>
          <w:szCs w:val="26"/>
        </w:rPr>
      </w:pPr>
      <w:r>
        <w:rPr>
          <w:rFonts w:eastAsia="標楷體"/>
          <w:b/>
          <w:sz w:val="28"/>
          <w:szCs w:val="26"/>
        </w:rPr>
        <w:t>ONESOURCE</w:t>
      </w:r>
      <w:r>
        <w:rPr>
          <w:rFonts w:eastAsia="標楷體"/>
          <w:b/>
          <w:sz w:val="28"/>
          <w:szCs w:val="26"/>
        </w:rPr>
        <w:t>資料庫</w:t>
      </w:r>
    </w:p>
    <w:p w:rsidR="004C5A82" w:rsidRDefault="008C0764" w:rsidP="00D82424">
      <w:pPr>
        <w:spacing w:beforeLines="50" w:before="120" w:afterLines="50" w:after="120" w:line="360" w:lineRule="auto"/>
        <w:ind w:leftChars="300" w:left="720" w:firstLineChars="200" w:firstLine="520"/>
        <w:jc w:val="both"/>
        <w:rPr>
          <w:rFonts w:eastAsia="標楷體"/>
          <w:sz w:val="26"/>
          <w:szCs w:val="26"/>
        </w:rPr>
      </w:pPr>
      <w:r w:rsidRPr="0057345F">
        <w:rPr>
          <w:rFonts w:eastAsia="標楷體"/>
          <w:sz w:val="26"/>
          <w:szCs w:val="26"/>
        </w:rPr>
        <w:t>本所使用</w:t>
      </w:r>
      <w:r w:rsidR="00FB6B09" w:rsidRPr="00FB6B09">
        <w:rPr>
          <w:rFonts w:eastAsia="標楷體"/>
          <w:sz w:val="26"/>
          <w:szCs w:val="26"/>
        </w:rPr>
        <w:t>ONESOURCE</w:t>
      </w:r>
      <w:r w:rsidRPr="0057345F">
        <w:rPr>
          <w:rFonts w:eastAsia="標楷體"/>
          <w:sz w:val="26"/>
          <w:szCs w:val="26"/>
        </w:rPr>
        <w:t>資料庫</w:t>
      </w:r>
      <w:r w:rsidR="00E36FF3" w:rsidRPr="00595156">
        <w:rPr>
          <w:rFonts w:eastAsia="標楷體" w:hint="eastAsia"/>
          <w:sz w:val="26"/>
          <w:szCs w:val="26"/>
        </w:rPr>
        <w:t>201</w:t>
      </w:r>
      <w:r w:rsidR="004728D7">
        <w:rPr>
          <w:rFonts w:eastAsia="標楷體" w:hint="eastAsia"/>
          <w:sz w:val="26"/>
          <w:szCs w:val="26"/>
        </w:rPr>
        <w:t>6</w:t>
      </w:r>
      <w:r w:rsidR="00E36FF3" w:rsidRPr="00595156">
        <w:rPr>
          <w:rFonts w:eastAsia="標楷體"/>
          <w:sz w:val="26"/>
          <w:szCs w:val="26"/>
        </w:rPr>
        <w:t>年</w:t>
      </w:r>
      <w:r w:rsidR="00E36FF3">
        <w:rPr>
          <w:rFonts w:eastAsia="標楷體" w:hint="eastAsia"/>
          <w:sz w:val="26"/>
          <w:szCs w:val="26"/>
        </w:rPr>
        <w:t>12</w:t>
      </w:r>
      <w:r w:rsidR="00E36FF3" w:rsidRPr="00595156">
        <w:rPr>
          <w:rFonts w:eastAsia="標楷體"/>
          <w:sz w:val="26"/>
          <w:szCs w:val="26"/>
        </w:rPr>
        <w:t>月</w:t>
      </w:r>
      <w:r w:rsidR="00E36FF3">
        <w:rPr>
          <w:rFonts w:eastAsia="標楷體" w:hint="eastAsia"/>
          <w:sz w:val="26"/>
          <w:szCs w:val="26"/>
        </w:rPr>
        <w:t>版本資料</w:t>
      </w:r>
      <w:r w:rsidR="00E36FF3" w:rsidRPr="001E4E37">
        <w:rPr>
          <w:rFonts w:eastAsia="標楷體"/>
          <w:sz w:val="26"/>
          <w:szCs w:val="26"/>
        </w:rPr>
        <w:t>為</w:t>
      </w:r>
      <w:r w:rsidR="00E36FF3" w:rsidRPr="006B3AF5">
        <w:rPr>
          <w:rFonts w:eastAsia="標楷體"/>
          <w:sz w:val="26"/>
          <w:szCs w:val="26"/>
        </w:rPr>
        <w:t>受測個體蒐尋可比較對象。</w:t>
      </w:r>
    </w:p>
    <w:p w:rsidR="004C5A82" w:rsidRDefault="008C0764" w:rsidP="00D82424">
      <w:pPr>
        <w:numPr>
          <w:ilvl w:val="0"/>
          <w:numId w:val="22"/>
        </w:numPr>
        <w:tabs>
          <w:tab w:val="left" w:pos="1560"/>
        </w:tabs>
        <w:spacing w:beforeLines="50" w:before="120" w:afterLines="50" w:after="120" w:line="360" w:lineRule="auto"/>
        <w:ind w:leftChars="350" w:left="1320"/>
        <w:jc w:val="both"/>
        <w:rPr>
          <w:rFonts w:eastAsia="標楷體"/>
          <w:sz w:val="26"/>
          <w:szCs w:val="26"/>
        </w:rPr>
      </w:pPr>
      <w:r w:rsidRPr="0057345F">
        <w:rPr>
          <w:rFonts w:eastAsia="標楷體"/>
          <w:sz w:val="26"/>
          <w:szCs w:val="26"/>
        </w:rPr>
        <w:t>受測個體執行之功能及產品種類</w:t>
      </w:r>
    </w:p>
    <w:p w:rsidR="004C5A82" w:rsidRDefault="008C0764" w:rsidP="00D82424">
      <w:pPr>
        <w:tabs>
          <w:tab w:val="left" w:pos="1134"/>
        </w:tabs>
        <w:spacing w:beforeLines="50" w:before="120" w:afterLines="50" w:after="120" w:line="360" w:lineRule="auto"/>
        <w:ind w:leftChars="400" w:left="960" w:firstLineChars="200" w:firstLine="520"/>
        <w:jc w:val="both"/>
        <w:rPr>
          <w:rFonts w:eastAsia="標楷體"/>
          <w:sz w:val="26"/>
          <w:szCs w:val="26"/>
        </w:rPr>
      </w:pPr>
      <w:r w:rsidRPr="0057345F">
        <w:rPr>
          <w:rFonts w:eastAsia="標楷體" w:hint="eastAsia"/>
          <w:sz w:val="26"/>
          <w:szCs w:val="26"/>
        </w:rPr>
        <w:t>瀚昌公司為布料貿易商，故本所認為自下列</w:t>
      </w:r>
      <w:r w:rsidRPr="0057345F">
        <w:rPr>
          <w:rFonts w:eastAsia="標楷體" w:hint="eastAsia"/>
          <w:sz w:val="26"/>
          <w:szCs w:val="26"/>
        </w:rPr>
        <w:t>SIC Codes</w:t>
      </w:r>
      <w:r w:rsidRPr="0057345F">
        <w:rPr>
          <w:rFonts w:eastAsia="標楷體" w:hint="eastAsia"/>
          <w:sz w:val="26"/>
          <w:szCs w:val="26"/>
        </w:rPr>
        <w:t>及</w:t>
      </w:r>
      <w:r w:rsidR="00267176">
        <w:rPr>
          <w:rFonts w:eastAsia="標楷體" w:hint="eastAsia"/>
          <w:sz w:val="26"/>
          <w:szCs w:val="26"/>
        </w:rPr>
        <w:t>其</w:t>
      </w:r>
      <w:r w:rsidRPr="0057345F">
        <w:rPr>
          <w:rFonts w:eastAsia="標楷體" w:hint="eastAsia"/>
          <w:sz w:val="26"/>
          <w:szCs w:val="26"/>
        </w:rPr>
        <w:t>細項分類中最可能找出與瀚昌公司銷貨執行之功能及產品種類相似之樣本。</w:t>
      </w:r>
    </w:p>
    <w:p w:rsidR="004C5A82" w:rsidRDefault="004C5A82" w:rsidP="00D82424">
      <w:pPr>
        <w:tabs>
          <w:tab w:val="left" w:pos="1134"/>
        </w:tabs>
        <w:spacing w:beforeLines="50" w:before="120" w:afterLines="50" w:after="120" w:line="360" w:lineRule="auto"/>
        <w:ind w:leftChars="400" w:left="960" w:firstLineChars="200" w:firstLine="520"/>
        <w:jc w:val="both"/>
        <w:rPr>
          <w:rFonts w:eastAsia="標楷體"/>
          <w:sz w:val="26"/>
          <w:szCs w:val="26"/>
        </w:rPr>
      </w:pP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432328" w:rsidRPr="00667515" w:rsidTr="00F874CB">
        <w:trPr>
          <w:trHeight w:val="637"/>
          <w:tblHeader/>
        </w:trPr>
        <w:tc>
          <w:tcPr>
            <w:tcW w:w="1558" w:type="dxa"/>
            <w:shd w:val="clear" w:color="auto" w:fill="4F81BD"/>
            <w:vAlign w:val="center"/>
          </w:tcPr>
          <w:p w:rsidR="004C5A82" w:rsidRDefault="00432328" w:rsidP="00D82424">
            <w:pPr>
              <w:tabs>
                <w:tab w:val="left" w:pos="1134"/>
              </w:tabs>
              <w:spacing w:beforeLines="50" w:before="120" w:afterLines="50" w:after="120"/>
              <w:jc w:val="center"/>
              <w:rPr>
                <w:rFonts w:eastAsia="標楷體"/>
                <w:color w:val="FFFFFF"/>
                <w:sz w:val="26"/>
                <w:szCs w:val="26"/>
              </w:rPr>
            </w:pPr>
            <w:r w:rsidRPr="00667515">
              <w:rPr>
                <w:rFonts w:eastAsia="標楷體" w:hint="eastAsia"/>
                <w:color w:val="FFFFFF"/>
                <w:sz w:val="26"/>
                <w:szCs w:val="26"/>
              </w:rPr>
              <w:lastRenderedPageBreak/>
              <w:t>SIC Codes</w:t>
            </w:r>
          </w:p>
        </w:tc>
        <w:tc>
          <w:tcPr>
            <w:tcW w:w="6157" w:type="dxa"/>
            <w:shd w:val="clear" w:color="auto" w:fill="4F81BD"/>
            <w:vAlign w:val="center"/>
          </w:tcPr>
          <w:p w:rsidR="004C5A82" w:rsidRDefault="00432328" w:rsidP="00D82424">
            <w:pPr>
              <w:tabs>
                <w:tab w:val="left" w:pos="1134"/>
              </w:tabs>
              <w:spacing w:beforeLines="50" w:before="120" w:afterLines="50" w:after="120"/>
              <w:jc w:val="center"/>
              <w:rPr>
                <w:rFonts w:eastAsia="標楷體"/>
                <w:color w:val="FFFFFF"/>
                <w:sz w:val="26"/>
                <w:szCs w:val="26"/>
              </w:rPr>
            </w:pPr>
            <w:r w:rsidRPr="00667515">
              <w:rPr>
                <w:rFonts w:eastAsia="標楷體" w:hint="eastAsia"/>
                <w:color w:val="FFFFFF"/>
                <w:sz w:val="26"/>
                <w:szCs w:val="26"/>
              </w:rPr>
              <w:t>說明</w:t>
            </w:r>
          </w:p>
        </w:tc>
      </w:tr>
      <w:tr w:rsidR="00432328" w:rsidRPr="00667515" w:rsidTr="00F874CB">
        <w:trPr>
          <w:trHeight w:val="637"/>
        </w:trPr>
        <w:tc>
          <w:tcPr>
            <w:tcW w:w="1558" w:type="dxa"/>
            <w:vAlign w:val="center"/>
          </w:tcPr>
          <w:p w:rsidR="00432328" w:rsidRPr="00776F00" w:rsidRDefault="00267176" w:rsidP="00484CD5">
            <w:pPr>
              <w:tabs>
                <w:tab w:val="left" w:pos="1134"/>
              </w:tabs>
              <w:jc w:val="center"/>
              <w:rPr>
                <w:rFonts w:eastAsia="標楷體"/>
                <w:sz w:val="26"/>
                <w:szCs w:val="26"/>
              </w:rPr>
            </w:pPr>
            <w:r w:rsidRPr="00776F00">
              <w:rPr>
                <w:rFonts w:eastAsia="標楷體" w:hint="eastAsia"/>
                <w:sz w:val="26"/>
                <w:szCs w:val="26"/>
              </w:rPr>
              <w:t>2253</w:t>
            </w:r>
          </w:p>
        </w:tc>
        <w:tc>
          <w:tcPr>
            <w:tcW w:w="6157" w:type="dxa"/>
            <w:vAlign w:val="center"/>
          </w:tcPr>
          <w:p w:rsidR="00267176" w:rsidRPr="00BC4636" w:rsidRDefault="00267176" w:rsidP="00917300">
            <w:pPr>
              <w:tabs>
                <w:tab w:val="num" w:pos="960"/>
                <w:tab w:val="left" w:pos="1134"/>
              </w:tabs>
              <w:jc w:val="both"/>
              <w:rPr>
                <w:rFonts w:eastAsia="標楷體"/>
                <w:sz w:val="26"/>
                <w:szCs w:val="26"/>
              </w:rPr>
            </w:pPr>
            <w:r w:rsidRPr="00267176">
              <w:rPr>
                <w:rFonts w:eastAsia="標楷體"/>
                <w:sz w:val="26"/>
                <w:szCs w:val="26"/>
              </w:rPr>
              <w:t>Knit Outerwear Mills</w:t>
            </w:r>
            <w:r w:rsidR="00917300">
              <w:rPr>
                <w:rFonts w:eastAsia="標楷體" w:hint="eastAsia"/>
                <w:sz w:val="26"/>
                <w:szCs w:val="26"/>
              </w:rPr>
              <w:t xml:space="preserve"> </w:t>
            </w:r>
            <w:r w:rsidR="004E719F">
              <w:rPr>
                <w:rFonts w:eastAsia="標楷體"/>
                <w:sz w:val="26"/>
                <w:szCs w:val="26"/>
              </w:rPr>
              <w:br/>
            </w:r>
            <w:r>
              <w:rPr>
                <w:rFonts w:eastAsia="標楷體" w:hint="eastAsia"/>
                <w:sz w:val="26"/>
                <w:szCs w:val="26"/>
              </w:rPr>
              <w:t>(</w:t>
            </w:r>
            <w:r>
              <w:rPr>
                <w:rFonts w:eastAsia="標楷體" w:hint="eastAsia"/>
                <w:sz w:val="26"/>
                <w:szCs w:val="26"/>
              </w:rPr>
              <w:t>針織外套</w:t>
            </w:r>
            <w:r>
              <w:rPr>
                <w:rFonts w:eastAsia="標楷體" w:hint="eastAsia"/>
                <w:sz w:val="26"/>
                <w:szCs w:val="26"/>
              </w:rPr>
              <w:t>)</w:t>
            </w:r>
          </w:p>
        </w:tc>
      </w:tr>
      <w:tr w:rsidR="00267176" w:rsidRPr="00667515" w:rsidTr="00F874CB">
        <w:trPr>
          <w:trHeight w:val="637"/>
        </w:trPr>
        <w:tc>
          <w:tcPr>
            <w:tcW w:w="1558" w:type="dxa"/>
            <w:vAlign w:val="center"/>
          </w:tcPr>
          <w:p w:rsidR="00267176" w:rsidRPr="00667515" w:rsidRDefault="00267176" w:rsidP="00484CD5">
            <w:pPr>
              <w:tabs>
                <w:tab w:val="left" w:pos="1134"/>
              </w:tabs>
              <w:jc w:val="center"/>
              <w:rPr>
                <w:rFonts w:eastAsia="標楷體"/>
                <w:sz w:val="26"/>
                <w:szCs w:val="26"/>
              </w:rPr>
            </w:pPr>
            <w:r>
              <w:rPr>
                <w:rFonts w:eastAsia="標楷體" w:hint="eastAsia"/>
                <w:sz w:val="26"/>
                <w:szCs w:val="26"/>
              </w:rPr>
              <w:t>2311</w:t>
            </w:r>
          </w:p>
        </w:tc>
        <w:tc>
          <w:tcPr>
            <w:tcW w:w="6157" w:type="dxa"/>
            <w:vAlign w:val="center"/>
          </w:tcPr>
          <w:p w:rsidR="00267176" w:rsidRPr="00BC4636" w:rsidRDefault="00267176" w:rsidP="00917300">
            <w:pPr>
              <w:tabs>
                <w:tab w:val="num" w:pos="960"/>
                <w:tab w:val="left" w:pos="1134"/>
              </w:tabs>
              <w:jc w:val="both"/>
              <w:rPr>
                <w:rFonts w:eastAsia="標楷體"/>
                <w:sz w:val="26"/>
                <w:szCs w:val="26"/>
              </w:rPr>
            </w:pPr>
            <w:r w:rsidRPr="00267176">
              <w:rPr>
                <w:rFonts w:eastAsia="標楷體"/>
                <w:sz w:val="26"/>
                <w:szCs w:val="26"/>
              </w:rPr>
              <w:t>Men's &amp; Boys' Suits &amp; Coats</w:t>
            </w:r>
            <w:r w:rsidR="004E719F">
              <w:rPr>
                <w:rFonts w:eastAsia="標楷體" w:hint="eastAsia"/>
                <w:sz w:val="26"/>
                <w:szCs w:val="26"/>
              </w:rPr>
              <w:br/>
            </w:r>
            <w:r>
              <w:rPr>
                <w:rFonts w:eastAsia="標楷體" w:hint="eastAsia"/>
                <w:sz w:val="26"/>
                <w:szCs w:val="26"/>
              </w:rPr>
              <w:t>(</w:t>
            </w:r>
            <w:r>
              <w:rPr>
                <w:rFonts w:eastAsia="標楷體" w:hint="eastAsia"/>
                <w:sz w:val="26"/>
                <w:szCs w:val="26"/>
              </w:rPr>
              <w:t>男裝服飾及大衣</w:t>
            </w:r>
            <w:r>
              <w:rPr>
                <w:rFonts w:eastAsia="標楷體" w:hint="eastAsia"/>
                <w:sz w:val="26"/>
                <w:szCs w:val="26"/>
              </w:rPr>
              <w:t>)</w:t>
            </w:r>
          </w:p>
        </w:tc>
      </w:tr>
      <w:tr w:rsidR="00267176" w:rsidRPr="00667515" w:rsidTr="00F874CB">
        <w:trPr>
          <w:trHeight w:val="637"/>
        </w:trPr>
        <w:tc>
          <w:tcPr>
            <w:tcW w:w="1558" w:type="dxa"/>
            <w:vAlign w:val="center"/>
          </w:tcPr>
          <w:p w:rsidR="00267176" w:rsidRPr="00667515" w:rsidRDefault="00267176" w:rsidP="00484CD5">
            <w:pPr>
              <w:tabs>
                <w:tab w:val="left" w:pos="1134"/>
              </w:tabs>
              <w:jc w:val="center"/>
              <w:rPr>
                <w:rFonts w:eastAsia="標楷體"/>
                <w:sz w:val="26"/>
                <w:szCs w:val="26"/>
              </w:rPr>
            </w:pPr>
            <w:r>
              <w:rPr>
                <w:rFonts w:eastAsia="標楷體" w:hint="eastAsia"/>
                <w:sz w:val="26"/>
                <w:szCs w:val="26"/>
              </w:rPr>
              <w:t>2339</w:t>
            </w:r>
          </w:p>
        </w:tc>
        <w:tc>
          <w:tcPr>
            <w:tcW w:w="6157" w:type="dxa"/>
            <w:vAlign w:val="center"/>
          </w:tcPr>
          <w:p w:rsidR="00267176" w:rsidRPr="00BC4636" w:rsidRDefault="00267176" w:rsidP="00917300">
            <w:pPr>
              <w:tabs>
                <w:tab w:val="num" w:pos="960"/>
                <w:tab w:val="left" w:pos="1134"/>
              </w:tabs>
              <w:jc w:val="both"/>
              <w:rPr>
                <w:rFonts w:eastAsia="標楷體"/>
                <w:sz w:val="26"/>
                <w:szCs w:val="26"/>
              </w:rPr>
            </w:pPr>
            <w:r w:rsidRPr="00267176">
              <w:rPr>
                <w:rFonts w:eastAsia="標楷體"/>
                <w:sz w:val="26"/>
                <w:szCs w:val="26"/>
              </w:rPr>
              <w:t xml:space="preserve">Women's &amp; Misses' Outerwear, </w:t>
            </w:r>
            <w:proofErr w:type="spellStart"/>
            <w:r w:rsidRPr="00267176">
              <w:rPr>
                <w:rFonts w:eastAsia="標楷體"/>
                <w:sz w:val="26"/>
                <w:szCs w:val="26"/>
              </w:rPr>
              <w:t>nec</w:t>
            </w:r>
            <w:proofErr w:type="spellEnd"/>
            <w:r w:rsidR="00917300">
              <w:rPr>
                <w:rFonts w:eastAsia="標楷體" w:hint="eastAsia"/>
                <w:sz w:val="26"/>
                <w:szCs w:val="26"/>
              </w:rPr>
              <w:t xml:space="preserve"> </w:t>
            </w:r>
            <w:r w:rsidR="004E719F">
              <w:rPr>
                <w:rFonts w:eastAsia="標楷體"/>
                <w:sz w:val="26"/>
                <w:szCs w:val="26"/>
              </w:rPr>
              <w:br/>
            </w:r>
            <w:r>
              <w:rPr>
                <w:rFonts w:eastAsia="標楷體" w:hint="eastAsia"/>
                <w:sz w:val="26"/>
                <w:szCs w:val="26"/>
              </w:rPr>
              <w:t>(</w:t>
            </w:r>
            <w:r>
              <w:rPr>
                <w:rFonts w:eastAsia="標楷體" w:hint="eastAsia"/>
                <w:sz w:val="26"/>
                <w:szCs w:val="26"/>
              </w:rPr>
              <w:t>女裝服飾及大衣</w:t>
            </w:r>
            <w:r>
              <w:rPr>
                <w:rFonts w:eastAsia="標楷體" w:hint="eastAsia"/>
                <w:sz w:val="26"/>
                <w:szCs w:val="26"/>
              </w:rPr>
              <w:t>)</w:t>
            </w:r>
          </w:p>
        </w:tc>
      </w:tr>
      <w:tr w:rsidR="00267176" w:rsidRPr="00667515" w:rsidTr="00F874CB">
        <w:trPr>
          <w:trHeight w:val="637"/>
        </w:trPr>
        <w:tc>
          <w:tcPr>
            <w:tcW w:w="1558" w:type="dxa"/>
            <w:vAlign w:val="center"/>
          </w:tcPr>
          <w:p w:rsidR="00267176" w:rsidRPr="00667515" w:rsidRDefault="00267176" w:rsidP="00484CD5">
            <w:pPr>
              <w:tabs>
                <w:tab w:val="left" w:pos="1134"/>
              </w:tabs>
              <w:jc w:val="center"/>
              <w:rPr>
                <w:rFonts w:eastAsia="標楷體"/>
                <w:sz w:val="26"/>
                <w:szCs w:val="26"/>
              </w:rPr>
            </w:pPr>
            <w:r>
              <w:rPr>
                <w:rFonts w:eastAsia="標楷體" w:hint="eastAsia"/>
                <w:sz w:val="26"/>
                <w:szCs w:val="26"/>
              </w:rPr>
              <w:t>2341</w:t>
            </w:r>
          </w:p>
        </w:tc>
        <w:tc>
          <w:tcPr>
            <w:tcW w:w="6157" w:type="dxa"/>
            <w:vAlign w:val="center"/>
          </w:tcPr>
          <w:p w:rsidR="00267176" w:rsidRPr="00BC4636" w:rsidRDefault="00267176" w:rsidP="00917300">
            <w:pPr>
              <w:tabs>
                <w:tab w:val="num" w:pos="960"/>
                <w:tab w:val="left" w:pos="1134"/>
              </w:tabs>
              <w:jc w:val="both"/>
              <w:rPr>
                <w:rFonts w:eastAsia="標楷體"/>
                <w:sz w:val="26"/>
                <w:szCs w:val="26"/>
              </w:rPr>
            </w:pPr>
            <w:r w:rsidRPr="00267176">
              <w:rPr>
                <w:rFonts w:eastAsia="標楷體"/>
                <w:sz w:val="26"/>
                <w:szCs w:val="26"/>
              </w:rPr>
              <w:t>Women's &amp; Children's Underwear</w:t>
            </w:r>
            <w:r w:rsidR="004E719F">
              <w:rPr>
                <w:rFonts w:eastAsia="標楷體" w:hint="eastAsia"/>
                <w:sz w:val="26"/>
                <w:szCs w:val="26"/>
              </w:rPr>
              <w:br/>
            </w:r>
            <w:r>
              <w:rPr>
                <w:rFonts w:eastAsia="標楷體" w:hint="eastAsia"/>
                <w:sz w:val="26"/>
                <w:szCs w:val="26"/>
              </w:rPr>
              <w:t>(</w:t>
            </w:r>
            <w:r>
              <w:rPr>
                <w:rFonts w:eastAsia="標楷體" w:hint="eastAsia"/>
                <w:sz w:val="26"/>
                <w:szCs w:val="26"/>
              </w:rPr>
              <w:t>婦女及幼童內衣</w:t>
            </w:r>
            <w:r>
              <w:rPr>
                <w:rFonts w:eastAsia="標楷體" w:hint="eastAsia"/>
                <w:sz w:val="26"/>
                <w:szCs w:val="26"/>
              </w:rPr>
              <w:t>)</w:t>
            </w:r>
          </w:p>
        </w:tc>
      </w:tr>
      <w:tr w:rsidR="00267176" w:rsidRPr="00667515" w:rsidTr="00F874CB">
        <w:trPr>
          <w:trHeight w:val="637"/>
        </w:trPr>
        <w:tc>
          <w:tcPr>
            <w:tcW w:w="1558" w:type="dxa"/>
            <w:vAlign w:val="center"/>
          </w:tcPr>
          <w:p w:rsidR="00267176" w:rsidRPr="00667515" w:rsidRDefault="00267176" w:rsidP="00484CD5">
            <w:pPr>
              <w:tabs>
                <w:tab w:val="left" w:pos="1134"/>
              </w:tabs>
              <w:jc w:val="center"/>
              <w:rPr>
                <w:rFonts w:eastAsia="標楷體"/>
                <w:sz w:val="26"/>
                <w:szCs w:val="26"/>
              </w:rPr>
            </w:pPr>
            <w:r w:rsidRPr="00667515">
              <w:rPr>
                <w:rFonts w:eastAsia="標楷體" w:hint="eastAsia"/>
                <w:sz w:val="26"/>
                <w:szCs w:val="26"/>
              </w:rPr>
              <w:t>5</w:t>
            </w:r>
            <w:r>
              <w:rPr>
                <w:rFonts w:eastAsia="標楷體" w:hint="eastAsia"/>
                <w:sz w:val="26"/>
                <w:szCs w:val="26"/>
              </w:rPr>
              <w:t>131</w:t>
            </w:r>
          </w:p>
        </w:tc>
        <w:tc>
          <w:tcPr>
            <w:tcW w:w="6157" w:type="dxa"/>
            <w:vAlign w:val="center"/>
          </w:tcPr>
          <w:p w:rsidR="00267176" w:rsidRDefault="00267176" w:rsidP="00267176">
            <w:pPr>
              <w:tabs>
                <w:tab w:val="num" w:pos="960"/>
                <w:tab w:val="left" w:pos="1134"/>
              </w:tabs>
              <w:jc w:val="both"/>
              <w:rPr>
                <w:rFonts w:eastAsia="標楷體"/>
                <w:sz w:val="26"/>
                <w:szCs w:val="26"/>
              </w:rPr>
            </w:pPr>
            <w:r w:rsidRPr="00BC4636">
              <w:rPr>
                <w:rFonts w:eastAsia="標楷體" w:hint="eastAsia"/>
                <w:sz w:val="26"/>
                <w:szCs w:val="26"/>
              </w:rPr>
              <w:t>Piece Goods, Notions, and Other Dry Good</w:t>
            </w:r>
          </w:p>
          <w:p w:rsidR="00267176" w:rsidRPr="00BC4636" w:rsidRDefault="004E719F" w:rsidP="004E719F">
            <w:pPr>
              <w:tabs>
                <w:tab w:val="num" w:pos="960"/>
                <w:tab w:val="left" w:pos="1134"/>
              </w:tabs>
              <w:jc w:val="both"/>
              <w:rPr>
                <w:rFonts w:eastAsia="標楷體"/>
                <w:sz w:val="26"/>
                <w:szCs w:val="26"/>
              </w:rPr>
            </w:pPr>
            <w:r>
              <w:rPr>
                <w:rFonts w:eastAsia="標楷體" w:hint="eastAsia"/>
                <w:sz w:val="26"/>
                <w:szCs w:val="26"/>
              </w:rPr>
              <w:t>(</w:t>
            </w:r>
            <w:r w:rsidR="00267176">
              <w:rPr>
                <w:rFonts w:eastAsia="標楷體" w:hint="eastAsia"/>
                <w:sz w:val="26"/>
                <w:szCs w:val="26"/>
              </w:rPr>
              <w:t>布匹、鈕扣及紡織品</w:t>
            </w:r>
            <w:r>
              <w:rPr>
                <w:rFonts w:eastAsia="標楷體" w:hint="eastAsia"/>
                <w:sz w:val="26"/>
                <w:szCs w:val="26"/>
              </w:rPr>
              <w:t>)</w:t>
            </w:r>
          </w:p>
        </w:tc>
      </w:tr>
      <w:tr w:rsidR="00267176" w:rsidRPr="00667515" w:rsidTr="00F874CB">
        <w:trPr>
          <w:trHeight w:val="637"/>
        </w:trPr>
        <w:tc>
          <w:tcPr>
            <w:tcW w:w="1558" w:type="dxa"/>
            <w:vAlign w:val="center"/>
          </w:tcPr>
          <w:p w:rsidR="00267176" w:rsidRPr="00667515" w:rsidRDefault="00267176" w:rsidP="00484CD5">
            <w:pPr>
              <w:tabs>
                <w:tab w:val="left" w:pos="1134"/>
              </w:tabs>
              <w:jc w:val="center"/>
              <w:rPr>
                <w:rFonts w:eastAsia="標楷體"/>
                <w:sz w:val="26"/>
                <w:szCs w:val="26"/>
              </w:rPr>
            </w:pPr>
            <w:r>
              <w:rPr>
                <w:rFonts w:eastAsia="標楷體" w:hint="eastAsia"/>
                <w:sz w:val="26"/>
                <w:szCs w:val="26"/>
              </w:rPr>
              <w:t>5137</w:t>
            </w:r>
          </w:p>
        </w:tc>
        <w:tc>
          <w:tcPr>
            <w:tcW w:w="6157" w:type="dxa"/>
            <w:vAlign w:val="center"/>
          </w:tcPr>
          <w:p w:rsidR="00267176" w:rsidRDefault="00267176" w:rsidP="00484CD5">
            <w:pPr>
              <w:tabs>
                <w:tab w:val="num" w:pos="960"/>
                <w:tab w:val="left" w:pos="1134"/>
              </w:tabs>
              <w:jc w:val="both"/>
              <w:rPr>
                <w:rFonts w:eastAsia="標楷體"/>
                <w:sz w:val="26"/>
                <w:szCs w:val="26"/>
              </w:rPr>
            </w:pPr>
            <w:r w:rsidRPr="00267176">
              <w:rPr>
                <w:rFonts w:eastAsia="標楷體"/>
                <w:sz w:val="26"/>
                <w:szCs w:val="26"/>
              </w:rPr>
              <w:t>Women's &amp; Children's Clothing</w:t>
            </w:r>
          </w:p>
          <w:p w:rsidR="00267176" w:rsidRPr="00BC4636" w:rsidRDefault="00267176" w:rsidP="00267176">
            <w:pPr>
              <w:tabs>
                <w:tab w:val="num" w:pos="960"/>
                <w:tab w:val="left" w:pos="1134"/>
              </w:tabs>
              <w:jc w:val="both"/>
              <w:rPr>
                <w:rFonts w:eastAsia="標楷體"/>
                <w:sz w:val="26"/>
                <w:szCs w:val="26"/>
              </w:rPr>
            </w:pPr>
            <w:r>
              <w:rPr>
                <w:rFonts w:eastAsia="標楷體" w:hint="eastAsia"/>
                <w:sz w:val="26"/>
                <w:szCs w:val="26"/>
              </w:rPr>
              <w:t>(</w:t>
            </w:r>
            <w:r>
              <w:rPr>
                <w:rFonts w:eastAsia="標楷體" w:hint="eastAsia"/>
                <w:sz w:val="26"/>
                <w:szCs w:val="26"/>
              </w:rPr>
              <w:t>婦幼服飾</w:t>
            </w:r>
            <w:r>
              <w:rPr>
                <w:rFonts w:eastAsia="標楷體" w:hint="eastAsia"/>
                <w:sz w:val="26"/>
                <w:szCs w:val="26"/>
              </w:rPr>
              <w:t>)</w:t>
            </w:r>
          </w:p>
        </w:tc>
      </w:tr>
    </w:tbl>
    <w:p w:rsidR="004C5A82" w:rsidRDefault="00432328" w:rsidP="00D82424">
      <w:pPr>
        <w:numPr>
          <w:ilvl w:val="0"/>
          <w:numId w:val="22"/>
        </w:numPr>
        <w:tabs>
          <w:tab w:val="left" w:pos="1560"/>
        </w:tabs>
        <w:spacing w:beforeLines="50" w:before="120" w:afterLines="50" w:after="120" w:line="360" w:lineRule="auto"/>
        <w:ind w:leftChars="350" w:left="1320"/>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4C5A82" w:rsidRDefault="00432328" w:rsidP="00D82424">
      <w:pPr>
        <w:tabs>
          <w:tab w:val="left" w:pos="1134"/>
        </w:tabs>
        <w:spacing w:beforeLines="50" w:before="120" w:afterLines="50" w:after="120" w:line="360" w:lineRule="auto"/>
        <w:ind w:leftChars="400" w:left="960" w:firstLineChars="200" w:firstLine="520"/>
        <w:jc w:val="both"/>
        <w:rPr>
          <w:rFonts w:eastAsia="標楷體"/>
          <w:sz w:val="26"/>
          <w:szCs w:val="26"/>
        </w:rPr>
      </w:pPr>
      <w:r w:rsidRPr="004A30D6">
        <w:rPr>
          <w:rFonts w:eastAsia="標楷體" w:hint="eastAsia"/>
          <w:sz w:val="26"/>
          <w:szCs w:val="26"/>
        </w:rPr>
        <w:t>截至本文據出具日，仍有部份樣本未將</w:t>
      </w:r>
      <w:r>
        <w:rPr>
          <w:rFonts w:eastAsia="標楷體" w:hint="eastAsia"/>
          <w:sz w:val="26"/>
          <w:szCs w:val="26"/>
        </w:rPr>
        <w:t>10</w:t>
      </w:r>
      <w:r w:rsidR="001A267E">
        <w:rPr>
          <w:rFonts w:eastAsia="標楷體" w:hint="eastAsia"/>
          <w:sz w:val="26"/>
          <w:szCs w:val="26"/>
        </w:rPr>
        <w:t>5</w:t>
      </w:r>
      <w:r w:rsidRPr="004A30D6">
        <w:rPr>
          <w:rFonts w:eastAsia="標楷體" w:hint="eastAsia"/>
          <w:sz w:val="26"/>
          <w:szCs w:val="26"/>
        </w:rPr>
        <w:t>年度財務資料上傳至</w:t>
      </w:r>
      <w:r w:rsidR="00267176" w:rsidRPr="00E36FF3">
        <w:rPr>
          <w:rFonts w:eastAsia="標楷體"/>
          <w:sz w:val="26"/>
          <w:szCs w:val="26"/>
        </w:rPr>
        <w:t>ONESOURCE</w:t>
      </w:r>
      <w:r w:rsidR="00267176" w:rsidRPr="0057345F">
        <w:rPr>
          <w:rFonts w:eastAsia="標楷體"/>
          <w:sz w:val="26"/>
          <w:szCs w:val="26"/>
        </w:rPr>
        <w:t>資料庫</w:t>
      </w:r>
      <w:r w:rsidRPr="004A30D6">
        <w:rPr>
          <w:rFonts w:eastAsia="標楷體" w:hint="eastAsia"/>
          <w:sz w:val="26"/>
          <w:szCs w:val="26"/>
        </w:rPr>
        <w:t>，為避免樣本不足，本所要求樣本需具</w:t>
      </w:r>
      <w:r w:rsidR="00267176">
        <w:rPr>
          <w:rFonts w:eastAsia="標楷體" w:hint="eastAsia"/>
          <w:sz w:val="26"/>
          <w:szCs w:val="26"/>
        </w:rPr>
        <w:t>10</w:t>
      </w:r>
      <w:r w:rsidR="001A267E">
        <w:rPr>
          <w:rFonts w:eastAsia="標楷體" w:hint="eastAsia"/>
          <w:sz w:val="26"/>
          <w:szCs w:val="26"/>
        </w:rPr>
        <w:t>2</w:t>
      </w:r>
      <w:r w:rsidRPr="004A30D6">
        <w:rPr>
          <w:rFonts w:eastAsia="標楷體" w:hint="eastAsia"/>
          <w:sz w:val="26"/>
          <w:szCs w:val="26"/>
        </w:rPr>
        <w:t>至</w:t>
      </w:r>
      <w:r w:rsidR="00277A69">
        <w:rPr>
          <w:rFonts w:eastAsia="標楷體" w:hint="eastAsia"/>
          <w:sz w:val="26"/>
          <w:szCs w:val="26"/>
        </w:rPr>
        <w:t>10</w:t>
      </w:r>
      <w:r w:rsidR="001A267E">
        <w:rPr>
          <w:rFonts w:eastAsia="標楷體" w:hint="eastAsia"/>
          <w:sz w:val="26"/>
          <w:szCs w:val="26"/>
        </w:rPr>
        <w:t>4</w:t>
      </w:r>
      <w:r w:rsidRPr="004A30D6">
        <w:rPr>
          <w:rFonts w:eastAsia="標楷體" w:hint="eastAsia"/>
          <w:sz w:val="26"/>
          <w:szCs w:val="26"/>
        </w:rPr>
        <w:t>年度</w:t>
      </w:r>
      <w:r w:rsidR="00917300" w:rsidRPr="00331BC4">
        <w:rPr>
          <w:rFonts w:eastAsia="標楷體" w:hint="eastAsia"/>
          <w:bCs/>
          <w:sz w:val="26"/>
          <w:szCs w:val="26"/>
        </w:rPr>
        <w:t>財務資訊。</w:t>
      </w:r>
      <w:r w:rsidR="00267176" w:rsidRPr="00331BC4">
        <w:rPr>
          <w:rFonts w:eastAsia="標楷體" w:hint="eastAsia"/>
          <w:bCs/>
          <w:sz w:val="26"/>
          <w:szCs w:val="26"/>
        </w:rPr>
        <w:t>樣本財務資</w:t>
      </w:r>
      <w:r w:rsidR="00917300">
        <w:rPr>
          <w:rFonts w:eastAsia="標楷體" w:hint="eastAsia"/>
          <w:bCs/>
          <w:sz w:val="26"/>
          <w:szCs w:val="26"/>
        </w:rPr>
        <w:t>訊</w:t>
      </w:r>
      <w:r w:rsidR="00267176" w:rsidRPr="00331BC4">
        <w:rPr>
          <w:rFonts w:eastAsia="標楷體" w:hint="eastAsia"/>
          <w:bCs/>
          <w:sz w:val="26"/>
          <w:szCs w:val="26"/>
        </w:rPr>
        <w:t>之年度認定係以會計年度結束日為</w:t>
      </w:r>
      <w:r w:rsidR="00267176" w:rsidRPr="00331BC4">
        <w:rPr>
          <w:rFonts w:eastAsia="標楷體"/>
          <w:bCs/>
          <w:sz w:val="26"/>
          <w:szCs w:val="26"/>
        </w:rPr>
        <w:t>10</w:t>
      </w:r>
      <w:r w:rsidR="001A267E">
        <w:rPr>
          <w:rFonts w:eastAsia="標楷體" w:hint="eastAsia"/>
          <w:bCs/>
          <w:sz w:val="26"/>
          <w:szCs w:val="26"/>
        </w:rPr>
        <w:t>4</w:t>
      </w:r>
      <w:r w:rsidR="00267176" w:rsidRPr="00331BC4">
        <w:rPr>
          <w:rFonts w:eastAsia="標楷體" w:hint="eastAsia"/>
          <w:bCs/>
          <w:sz w:val="26"/>
          <w:szCs w:val="26"/>
        </w:rPr>
        <w:t>年</w:t>
      </w:r>
      <w:r w:rsidR="00267176" w:rsidRPr="00331BC4">
        <w:rPr>
          <w:rFonts w:eastAsia="標楷體"/>
          <w:bCs/>
          <w:sz w:val="26"/>
          <w:szCs w:val="26"/>
        </w:rPr>
        <w:t>12</w:t>
      </w:r>
      <w:r w:rsidR="00267176" w:rsidRPr="00331BC4">
        <w:rPr>
          <w:rFonts w:eastAsia="標楷體" w:hint="eastAsia"/>
          <w:bCs/>
          <w:sz w:val="26"/>
          <w:szCs w:val="26"/>
        </w:rPr>
        <w:t>月之前後半年為基準。</w:t>
      </w:r>
    </w:p>
    <w:p w:rsidR="004C5A82" w:rsidRDefault="00432328" w:rsidP="00D82424">
      <w:pPr>
        <w:numPr>
          <w:ilvl w:val="0"/>
          <w:numId w:val="22"/>
        </w:numPr>
        <w:tabs>
          <w:tab w:val="left" w:pos="1560"/>
        </w:tabs>
        <w:spacing w:beforeLines="50" w:before="120" w:afterLines="50" w:after="120" w:line="360" w:lineRule="auto"/>
        <w:ind w:leftChars="350" w:left="1320"/>
        <w:jc w:val="both"/>
        <w:rPr>
          <w:rFonts w:eastAsia="標楷體"/>
          <w:sz w:val="26"/>
          <w:szCs w:val="26"/>
        </w:rPr>
      </w:pPr>
      <w:r w:rsidRPr="00397F28">
        <w:rPr>
          <w:rFonts w:eastAsia="標楷體" w:hint="eastAsia"/>
          <w:sz w:val="26"/>
          <w:szCs w:val="26"/>
        </w:rPr>
        <w:t>關鍵字篩選</w:t>
      </w:r>
    </w:p>
    <w:p w:rsidR="004C5A82" w:rsidRDefault="00432328" w:rsidP="00D82424">
      <w:pPr>
        <w:tabs>
          <w:tab w:val="left" w:pos="1134"/>
        </w:tabs>
        <w:spacing w:beforeLines="50" w:before="120" w:afterLines="50" w:after="120" w:line="360" w:lineRule="auto"/>
        <w:ind w:leftChars="400" w:left="960" w:firstLineChars="200" w:firstLine="520"/>
        <w:jc w:val="both"/>
        <w:rPr>
          <w:rFonts w:eastAsia="標楷體"/>
          <w:sz w:val="26"/>
          <w:szCs w:val="26"/>
        </w:rPr>
      </w:pPr>
      <w:r w:rsidRPr="00236344">
        <w:rPr>
          <w:rFonts w:eastAsia="標楷體" w:hint="eastAsia"/>
          <w:bCs/>
          <w:sz w:val="26"/>
          <w:szCs w:val="26"/>
        </w:rPr>
        <w:t>瀚昌公司為</w:t>
      </w:r>
      <w:r w:rsidRPr="00236344">
        <w:rPr>
          <w:rFonts w:eastAsia="標楷體"/>
          <w:bCs/>
          <w:sz w:val="26"/>
          <w:szCs w:val="26"/>
        </w:rPr>
        <w:t>布料貿易商</w:t>
      </w:r>
      <w:r w:rsidRPr="00236344">
        <w:rPr>
          <w:rFonts w:eastAsia="標楷體" w:hint="eastAsia"/>
          <w:bCs/>
          <w:sz w:val="26"/>
          <w:szCs w:val="26"/>
        </w:rPr>
        <w:t>，銷售</w:t>
      </w:r>
      <w:r w:rsidRPr="00236344">
        <w:rPr>
          <w:rFonts w:eastAsia="標楷體"/>
          <w:bCs/>
          <w:sz w:val="26"/>
          <w:szCs w:val="26"/>
        </w:rPr>
        <w:t>布料及</w:t>
      </w:r>
      <w:r w:rsidRPr="00236344">
        <w:rPr>
          <w:rFonts w:eastAsia="標楷體" w:hint="eastAsia"/>
          <w:bCs/>
          <w:sz w:val="26"/>
          <w:szCs w:val="26"/>
        </w:rPr>
        <w:t>所需副料</w:t>
      </w:r>
      <w:r w:rsidRPr="00236344">
        <w:rPr>
          <w:rFonts w:eastAsia="標楷體"/>
          <w:bCs/>
          <w:sz w:val="26"/>
          <w:szCs w:val="26"/>
        </w:rPr>
        <w:t>（</w:t>
      </w:r>
      <w:r w:rsidRPr="00236344">
        <w:rPr>
          <w:rFonts w:eastAsia="標楷體" w:hint="eastAsia"/>
          <w:bCs/>
          <w:sz w:val="26"/>
          <w:szCs w:val="26"/>
        </w:rPr>
        <w:t>如</w:t>
      </w:r>
      <w:r w:rsidRPr="00236344">
        <w:rPr>
          <w:rFonts w:eastAsia="標楷體"/>
          <w:bCs/>
          <w:sz w:val="26"/>
          <w:szCs w:val="26"/>
        </w:rPr>
        <w:t>鈕釦</w:t>
      </w:r>
      <w:r w:rsidRPr="00236344">
        <w:rPr>
          <w:rFonts w:eastAsia="標楷體" w:hint="eastAsia"/>
          <w:bCs/>
          <w:sz w:val="26"/>
          <w:szCs w:val="26"/>
        </w:rPr>
        <w:t>等</w:t>
      </w:r>
      <w:r w:rsidRPr="00236344">
        <w:rPr>
          <w:rFonts w:eastAsia="標楷體"/>
          <w:bCs/>
          <w:sz w:val="26"/>
          <w:szCs w:val="26"/>
        </w:rPr>
        <w:t>）</w:t>
      </w:r>
      <w:r>
        <w:rPr>
          <w:rFonts w:eastAsia="標楷體" w:hint="eastAsia"/>
          <w:bCs/>
          <w:sz w:val="26"/>
          <w:szCs w:val="26"/>
        </w:rPr>
        <w:t>，</w:t>
      </w:r>
      <w:r w:rsidRPr="006B74CC">
        <w:rPr>
          <w:rFonts w:eastAsia="標楷體" w:hint="eastAsia"/>
          <w:bCs/>
          <w:sz w:val="26"/>
          <w:szCs w:val="26"/>
        </w:rPr>
        <w:t>為確定選出樣本之可比較性</w:t>
      </w:r>
      <w:r w:rsidRPr="00E91C7B">
        <w:rPr>
          <w:rFonts w:eastAsia="標楷體" w:hint="eastAsia"/>
          <w:bCs/>
          <w:sz w:val="26"/>
          <w:szCs w:val="26"/>
        </w:rPr>
        <w:t>，故</w:t>
      </w:r>
      <w:r w:rsidRPr="006B74CC">
        <w:rPr>
          <w:rFonts w:eastAsia="標楷體" w:hint="eastAsia"/>
          <w:bCs/>
          <w:sz w:val="26"/>
          <w:szCs w:val="26"/>
        </w:rPr>
        <w:t>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432328" w:rsidRPr="00BB4352" w:rsidTr="00F874CB">
        <w:trPr>
          <w:trHeight w:val="581"/>
        </w:trPr>
        <w:tc>
          <w:tcPr>
            <w:tcW w:w="3756" w:type="dxa"/>
            <w:shd w:val="clear" w:color="auto" w:fill="4F81BD"/>
            <w:vAlign w:val="center"/>
          </w:tcPr>
          <w:p w:rsidR="00432328" w:rsidRPr="00BB4352" w:rsidRDefault="00432328" w:rsidP="00F874CB">
            <w:pPr>
              <w:jc w:val="center"/>
              <w:rPr>
                <w:rFonts w:eastAsia="標楷體"/>
                <w:bCs/>
                <w:color w:val="FFFFFF"/>
                <w:sz w:val="26"/>
                <w:szCs w:val="26"/>
              </w:rPr>
            </w:pPr>
            <w:r w:rsidRPr="00BB4352">
              <w:rPr>
                <w:rFonts w:eastAsia="標楷體" w:hint="eastAsia"/>
                <w:bCs/>
                <w:color w:val="FFFFFF"/>
                <w:sz w:val="26"/>
                <w:szCs w:val="26"/>
              </w:rPr>
              <w:t>關鍵字</w:t>
            </w:r>
          </w:p>
        </w:tc>
        <w:tc>
          <w:tcPr>
            <w:tcW w:w="3756" w:type="dxa"/>
            <w:shd w:val="clear" w:color="auto" w:fill="4F81BD"/>
            <w:vAlign w:val="center"/>
          </w:tcPr>
          <w:p w:rsidR="0098077F" w:rsidRDefault="00432328">
            <w:pPr>
              <w:jc w:val="center"/>
              <w:rPr>
                <w:rFonts w:eastAsia="標楷體"/>
                <w:bCs/>
                <w:color w:val="FFFFFF"/>
                <w:sz w:val="26"/>
                <w:szCs w:val="26"/>
              </w:rPr>
            </w:pPr>
            <w:r w:rsidRPr="00BB4352">
              <w:rPr>
                <w:rFonts w:eastAsia="標楷體" w:hint="eastAsia"/>
                <w:bCs/>
                <w:color w:val="FFFFFF"/>
                <w:sz w:val="26"/>
                <w:szCs w:val="26"/>
              </w:rPr>
              <w:t>選擇原因</w:t>
            </w:r>
          </w:p>
        </w:tc>
      </w:tr>
      <w:tr w:rsidR="00432328" w:rsidRPr="00667515" w:rsidTr="00F874CB">
        <w:trPr>
          <w:trHeight w:val="559"/>
        </w:trPr>
        <w:tc>
          <w:tcPr>
            <w:tcW w:w="3756" w:type="dxa"/>
            <w:vAlign w:val="center"/>
          </w:tcPr>
          <w:p w:rsidR="00432328" w:rsidRPr="00236344" w:rsidRDefault="00432328" w:rsidP="00F874CB">
            <w:pPr>
              <w:jc w:val="center"/>
              <w:rPr>
                <w:rFonts w:eastAsia="標楷體"/>
                <w:bCs/>
                <w:sz w:val="26"/>
                <w:szCs w:val="26"/>
              </w:rPr>
            </w:pPr>
            <w:r w:rsidRPr="00236344">
              <w:rPr>
                <w:rFonts w:eastAsia="標楷體"/>
                <w:bCs/>
                <w:sz w:val="26"/>
                <w:szCs w:val="26"/>
              </w:rPr>
              <w:t>Fabric</w:t>
            </w:r>
            <w:r w:rsidRPr="00236344">
              <w:rPr>
                <w:rFonts w:eastAsia="標楷體" w:hint="eastAsia"/>
                <w:bCs/>
                <w:sz w:val="26"/>
                <w:szCs w:val="26"/>
              </w:rPr>
              <w:t>(</w:t>
            </w:r>
            <w:r w:rsidRPr="00236344">
              <w:rPr>
                <w:rFonts w:eastAsia="標楷體" w:hint="eastAsia"/>
                <w:bCs/>
                <w:sz w:val="26"/>
                <w:szCs w:val="26"/>
              </w:rPr>
              <w:t>布</w:t>
            </w:r>
            <w:r w:rsidRPr="00236344">
              <w:rPr>
                <w:rFonts w:eastAsia="標楷體" w:hint="eastAsia"/>
                <w:bCs/>
                <w:sz w:val="26"/>
                <w:szCs w:val="26"/>
              </w:rPr>
              <w:t>)</w:t>
            </w:r>
          </w:p>
        </w:tc>
        <w:tc>
          <w:tcPr>
            <w:tcW w:w="3756" w:type="dxa"/>
            <w:vAlign w:val="center"/>
          </w:tcPr>
          <w:p w:rsidR="0098077F" w:rsidRDefault="00432328">
            <w:pPr>
              <w:jc w:val="center"/>
              <w:rPr>
                <w:rFonts w:eastAsia="標楷體"/>
                <w:bCs/>
                <w:color w:val="000000"/>
                <w:sz w:val="26"/>
                <w:szCs w:val="26"/>
              </w:rPr>
            </w:pPr>
            <w:r>
              <w:rPr>
                <w:rFonts w:eastAsia="標楷體" w:hint="eastAsia"/>
                <w:bCs/>
                <w:color w:val="000000"/>
                <w:sz w:val="26"/>
                <w:szCs w:val="26"/>
              </w:rPr>
              <w:t>與銷售商品相關</w:t>
            </w:r>
          </w:p>
        </w:tc>
      </w:tr>
      <w:tr w:rsidR="00432328" w:rsidRPr="00667515" w:rsidTr="00F874CB">
        <w:trPr>
          <w:trHeight w:val="541"/>
        </w:trPr>
        <w:tc>
          <w:tcPr>
            <w:tcW w:w="3756" w:type="dxa"/>
            <w:vAlign w:val="center"/>
          </w:tcPr>
          <w:p w:rsidR="00432328" w:rsidRPr="00236344" w:rsidRDefault="009873DB" w:rsidP="00F874CB">
            <w:pPr>
              <w:jc w:val="center"/>
              <w:rPr>
                <w:rFonts w:eastAsia="標楷體"/>
                <w:bCs/>
                <w:sz w:val="26"/>
                <w:szCs w:val="26"/>
              </w:rPr>
            </w:pPr>
            <w:r>
              <w:rPr>
                <w:rFonts w:eastAsia="標楷體" w:hint="eastAsia"/>
                <w:bCs/>
                <w:sz w:val="26"/>
                <w:szCs w:val="26"/>
              </w:rPr>
              <w:t>C</w:t>
            </w:r>
            <w:r w:rsidR="00432328" w:rsidRPr="00236344">
              <w:rPr>
                <w:rFonts w:eastAsia="標楷體"/>
                <w:bCs/>
                <w:sz w:val="26"/>
                <w:szCs w:val="26"/>
              </w:rPr>
              <w:t>loth</w:t>
            </w:r>
            <w:r w:rsidR="00432328" w:rsidRPr="00236344">
              <w:rPr>
                <w:rFonts w:eastAsia="標楷體" w:hint="eastAsia"/>
                <w:bCs/>
                <w:sz w:val="26"/>
                <w:szCs w:val="26"/>
              </w:rPr>
              <w:t>(</w:t>
            </w:r>
            <w:r w:rsidR="00432328" w:rsidRPr="00236344">
              <w:rPr>
                <w:rFonts w:eastAsia="標楷體" w:hint="eastAsia"/>
                <w:bCs/>
                <w:sz w:val="26"/>
                <w:szCs w:val="26"/>
              </w:rPr>
              <w:t>布</w:t>
            </w:r>
            <w:r w:rsidR="00432328" w:rsidRPr="00236344">
              <w:rPr>
                <w:rFonts w:eastAsia="標楷體" w:hint="eastAsia"/>
                <w:bCs/>
                <w:sz w:val="26"/>
                <w:szCs w:val="26"/>
              </w:rPr>
              <w:t>)</w:t>
            </w:r>
          </w:p>
        </w:tc>
        <w:tc>
          <w:tcPr>
            <w:tcW w:w="3756" w:type="dxa"/>
            <w:vAlign w:val="center"/>
          </w:tcPr>
          <w:p w:rsidR="0098077F" w:rsidRDefault="00432328">
            <w:pPr>
              <w:jc w:val="center"/>
              <w:rPr>
                <w:rFonts w:eastAsia="標楷體"/>
                <w:bCs/>
                <w:sz w:val="26"/>
                <w:szCs w:val="26"/>
              </w:rPr>
            </w:pPr>
            <w:r w:rsidRPr="00484CD5">
              <w:rPr>
                <w:rFonts w:eastAsia="標楷體" w:hint="eastAsia"/>
                <w:bCs/>
                <w:sz w:val="26"/>
                <w:szCs w:val="26"/>
              </w:rPr>
              <w:t>與銷售商品相關</w:t>
            </w:r>
          </w:p>
        </w:tc>
      </w:tr>
      <w:tr w:rsidR="00432328" w:rsidRPr="00667515" w:rsidTr="00F874CB">
        <w:trPr>
          <w:trHeight w:val="563"/>
        </w:trPr>
        <w:tc>
          <w:tcPr>
            <w:tcW w:w="3756" w:type="dxa"/>
            <w:vAlign w:val="center"/>
          </w:tcPr>
          <w:p w:rsidR="00432328" w:rsidRPr="00236344" w:rsidRDefault="009873DB" w:rsidP="00F874CB">
            <w:pPr>
              <w:jc w:val="center"/>
              <w:rPr>
                <w:rFonts w:eastAsia="標楷體"/>
                <w:bCs/>
                <w:sz w:val="26"/>
                <w:szCs w:val="26"/>
              </w:rPr>
            </w:pPr>
            <w:r>
              <w:rPr>
                <w:rFonts w:eastAsia="標楷體" w:hint="eastAsia"/>
                <w:bCs/>
                <w:sz w:val="26"/>
                <w:szCs w:val="26"/>
              </w:rPr>
              <w:t>T</w:t>
            </w:r>
            <w:r w:rsidR="00432328" w:rsidRPr="00236344">
              <w:rPr>
                <w:rFonts w:eastAsia="標楷體"/>
                <w:bCs/>
                <w:sz w:val="26"/>
                <w:szCs w:val="26"/>
              </w:rPr>
              <w:t>extile</w:t>
            </w:r>
            <w:r w:rsidR="00432328" w:rsidRPr="00236344">
              <w:rPr>
                <w:rFonts w:eastAsia="標楷體" w:hint="eastAsia"/>
                <w:bCs/>
                <w:sz w:val="26"/>
                <w:szCs w:val="26"/>
              </w:rPr>
              <w:t>(</w:t>
            </w:r>
            <w:r w:rsidR="00432328" w:rsidRPr="00236344">
              <w:rPr>
                <w:rFonts w:eastAsia="標楷體" w:hint="eastAsia"/>
                <w:bCs/>
                <w:sz w:val="26"/>
                <w:szCs w:val="26"/>
              </w:rPr>
              <w:t>紡織品</w:t>
            </w:r>
            <w:r w:rsidR="00432328" w:rsidRPr="00236344">
              <w:rPr>
                <w:rFonts w:eastAsia="標楷體" w:hint="eastAsia"/>
                <w:bCs/>
                <w:sz w:val="26"/>
                <w:szCs w:val="26"/>
              </w:rPr>
              <w:t>)</w:t>
            </w:r>
          </w:p>
        </w:tc>
        <w:tc>
          <w:tcPr>
            <w:tcW w:w="3756" w:type="dxa"/>
            <w:vAlign w:val="center"/>
          </w:tcPr>
          <w:p w:rsidR="0098077F" w:rsidRDefault="00432328">
            <w:pPr>
              <w:jc w:val="center"/>
              <w:rPr>
                <w:rFonts w:eastAsia="標楷體"/>
                <w:bCs/>
                <w:sz w:val="26"/>
                <w:szCs w:val="26"/>
              </w:rPr>
            </w:pPr>
            <w:r w:rsidRPr="00484CD5">
              <w:rPr>
                <w:rFonts w:eastAsia="標楷體" w:hint="eastAsia"/>
                <w:bCs/>
                <w:sz w:val="26"/>
                <w:szCs w:val="26"/>
              </w:rPr>
              <w:t>與銷售商品相關</w:t>
            </w:r>
          </w:p>
        </w:tc>
      </w:tr>
      <w:tr w:rsidR="00432328" w:rsidRPr="00667515" w:rsidTr="00F874CB">
        <w:trPr>
          <w:trHeight w:val="557"/>
        </w:trPr>
        <w:tc>
          <w:tcPr>
            <w:tcW w:w="3756" w:type="dxa"/>
            <w:vAlign w:val="center"/>
          </w:tcPr>
          <w:p w:rsidR="00432328" w:rsidRPr="00236344" w:rsidRDefault="00432328" w:rsidP="00F874CB">
            <w:pPr>
              <w:jc w:val="center"/>
              <w:rPr>
                <w:rFonts w:eastAsia="標楷體"/>
                <w:bCs/>
                <w:sz w:val="26"/>
                <w:szCs w:val="26"/>
              </w:rPr>
            </w:pPr>
            <w:r w:rsidRPr="00236344">
              <w:rPr>
                <w:rFonts w:eastAsia="標楷體"/>
                <w:bCs/>
                <w:sz w:val="26"/>
                <w:szCs w:val="26"/>
              </w:rPr>
              <w:t>Button</w:t>
            </w:r>
            <w:r w:rsidRPr="00236344">
              <w:rPr>
                <w:rFonts w:eastAsia="標楷體" w:hint="eastAsia"/>
                <w:bCs/>
                <w:sz w:val="26"/>
                <w:szCs w:val="26"/>
              </w:rPr>
              <w:t>(</w:t>
            </w:r>
            <w:r w:rsidRPr="00236344">
              <w:rPr>
                <w:rFonts w:eastAsia="標楷體" w:hint="eastAsia"/>
                <w:bCs/>
                <w:sz w:val="26"/>
                <w:szCs w:val="26"/>
              </w:rPr>
              <w:t>鈕扣</w:t>
            </w:r>
            <w:r w:rsidRPr="00236344">
              <w:rPr>
                <w:rFonts w:eastAsia="標楷體" w:hint="eastAsia"/>
                <w:bCs/>
                <w:sz w:val="26"/>
                <w:szCs w:val="26"/>
              </w:rPr>
              <w:t>)</w:t>
            </w:r>
          </w:p>
        </w:tc>
        <w:tc>
          <w:tcPr>
            <w:tcW w:w="3756" w:type="dxa"/>
            <w:vAlign w:val="center"/>
          </w:tcPr>
          <w:p w:rsidR="0098077F" w:rsidRDefault="00432328">
            <w:pPr>
              <w:jc w:val="center"/>
              <w:rPr>
                <w:rFonts w:eastAsia="標楷體"/>
                <w:bCs/>
                <w:sz w:val="26"/>
                <w:szCs w:val="26"/>
              </w:rPr>
            </w:pPr>
            <w:r w:rsidRPr="00484CD5">
              <w:rPr>
                <w:rFonts w:eastAsia="標楷體" w:hint="eastAsia"/>
                <w:bCs/>
                <w:sz w:val="26"/>
                <w:szCs w:val="26"/>
              </w:rPr>
              <w:t>與銷售商品相關</w:t>
            </w:r>
          </w:p>
        </w:tc>
      </w:tr>
    </w:tbl>
    <w:p w:rsidR="00432328" w:rsidRPr="00714A2A" w:rsidRDefault="00432328" w:rsidP="00D82424">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714A2A">
        <w:rPr>
          <w:rFonts w:eastAsia="標楷體" w:hint="eastAsia"/>
          <w:bCs/>
          <w:sz w:val="26"/>
          <w:szCs w:val="26"/>
        </w:rPr>
        <w:t>以上述關鍵字聯集為條件，剔除企業敍述不含上述關鍵字之樣</w:t>
      </w:r>
      <w:r w:rsidRPr="00714A2A">
        <w:rPr>
          <w:rFonts w:eastAsia="標楷體" w:hint="eastAsia"/>
          <w:bCs/>
          <w:sz w:val="26"/>
          <w:szCs w:val="26"/>
        </w:rPr>
        <w:lastRenderedPageBreak/>
        <w:t>本，得出</w:t>
      </w:r>
      <w:r w:rsidR="00860517">
        <w:rPr>
          <w:rFonts w:eastAsia="標楷體" w:hint="eastAsia"/>
          <w:bCs/>
          <w:sz w:val="26"/>
          <w:szCs w:val="26"/>
        </w:rPr>
        <w:t>5</w:t>
      </w:r>
      <w:r w:rsidR="00025E6F">
        <w:rPr>
          <w:rFonts w:eastAsia="標楷體" w:hint="eastAsia"/>
          <w:bCs/>
          <w:sz w:val="26"/>
          <w:szCs w:val="26"/>
        </w:rPr>
        <w:t>4</w:t>
      </w:r>
      <w:r w:rsidRPr="00714A2A">
        <w:rPr>
          <w:rFonts w:eastAsia="標楷體" w:hint="eastAsia"/>
          <w:bCs/>
          <w:sz w:val="26"/>
          <w:szCs w:val="26"/>
        </w:rPr>
        <w:t>家樣本。</w:t>
      </w:r>
    </w:p>
    <w:p w:rsidR="004C5A82" w:rsidRDefault="00432328" w:rsidP="00D82424">
      <w:pPr>
        <w:numPr>
          <w:ilvl w:val="0"/>
          <w:numId w:val="22"/>
        </w:numPr>
        <w:tabs>
          <w:tab w:val="left" w:pos="1560"/>
        </w:tabs>
        <w:spacing w:beforeLines="50" w:before="120" w:afterLines="50" w:after="120" w:line="360" w:lineRule="auto"/>
        <w:ind w:leftChars="350" w:left="1320"/>
        <w:jc w:val="both"/>
        <w:rPr>
          <w:rFonts w:eastAsia="標楷體"/>
          <w:sz w:val="26"/>
          <w:szCs w:val="26"/>
        </w:rPr>
      </w:pPr>
      <w:r w:rsidRPr="00397F28">
        <w:rPr>
          <w:rFonts w:eastAsia="標楷體"/>
          <w:sz w:val="26"/>
          <w:szCs w:val="26"/>
        </w:rPr>
        <w:t>企業敘述篩選</w:t>
      </w:r>
    </w:p>
    <w:p w:rsidR="004C5A82" w:rsidRDefault="00432328" w:rsidP="00D82424">
      <w:pPr>
        <w:tabs>
          <w:tab w:val="left" w:pos="1134"/>
        </w:tabs>
        <w:spacing w:beforeLines="50" w:before="120" w:afterLines="50" w:after="120" w:line="360" w:lineRule="auto"/>
        <w:ind w:leftChars="400" w:left="960" w:firstLineChars="200" w:firstLine="520"/>
        <w:jc w:val="both"/>
        <w:rPr>
          <w:rFonts w:eastAsia="標楷體"/>
          <w:sz w:val="26"/>
          <w:szCs w:val="26"/>
        </w:rPr>
      </w:pPr>
      <w:r w:rsidRPr="004A30D6">
        <w:rPr>
          <w:rFonts w:eastAsia="標楷體"/>
          <w:sz w:val="26"/>
          <w:szCs w:val="26"/>
        </w:rPr>
        <w:t>本所復檢視上述步驟選出樣本在</w:t>
      </w:r>
      <w:r w:rsidR="00607B14">
        <w:rPr>
          <w:rFonts w:eastAsia="標楷體" w:hint="eastAsia"/>
          <w:sz w:val="26"/>
          <w:szCs w:val="26"/>
        </w:rPr>
        <w:t>ONESOURCE</w:t>
      </w:r>
      <w:r w:rsidR="00607B14" w:rsidRPr="00595156">
        <w:rPr>
          <w:rFonts w:eastAsia="標楷體"/>
          <w:sz w:val="26"/>
          <w:szCs w:val="26"/>
        </w:rPr>
        <w:t>資料庫</w:t>
      </w:r>
      <w:r w:rsidRPr="004A30D6">
        <w:rPr>
          <w:rFonts w:eastAsia="標楷體"/>
          <w:sz w:val="26"/>
          <w:szCs w:val="26"/>
        </w:rPr>
        <w:t>中之企業敘</w:t>
      </w:r>
      <w:r w:rsidR="007B5DC7" w:rsidRPr="004A30D6">
        <w:rPr>
          <w:rFonts w:eastAsia="標楷體"/>
          <w:sz w:val="26"/>
          <w:szCs w:val="26"/>
        </w:rPr>
        <w:t>述，</w:t>
      </w:r>
      <w:r w:rsidR="007B5DC7" w:rsidRPr="004A30D6">
        <w:rPr>
          <w:rFonts w:eastAsia="標楷體" w:hint="eastAsia"/>
          <w:sz w:val="26"/>
          <w:szCs w:val="26"/>
        </w:rPr>
        <w:t>分別</w:t>
      </w:r>
      <w:r w:rsidR="007B5DC7" w:rsidRPr="004A30D6">
        <w:rPr>
          <w:rFonts w:eastAsia="標楷體"/>
          <w:sz w:val="26"/>
          <w:szCs w:val="26"/>
        </w:rPr>
        <w:t>剔除執</w:t>
      </w:r>
      <w:r w:rsidR="007B5DC7" w:rsidRPr="0071703A">
        <w:rPr>
          <w:rFonts w:eastAsia="標楷體"/>
          <w:sz w:val="26"/>
          <w:szCs w:val="26"/>
        </w:rPr>
        <w:t>行功能、產品</w:t>
      </w:r>
      <w:r w:rsidR="007B5DC7" w:rsidRPr="0071703A">
        <w:rPr>
          <w:rFonts w:eastAsia="標楷體" w:hint="eastAsia"/>
          <w:sz w:val="26"/>
          <w:szCs w:val="26"/>
        </w:rPr>
        <w:t>及</w:t>
      </w:r>
      <w:r w:rsidR="007B5DC7" w:rsidRPr="0071703A">
        <w:rPr>
          <w:rFonts w:eastAsia="標楷體"/>
          <w:sz w:val="26"/>
          <w:szCs w:val="26"/>
        </w:rPr>
        <w:t>企業定位與</w:t>
      </w:r>
      <w:r w:rsidR="007B5DC7" w:rsidRPr="0071703A">
        <w:rPr>
          <w:rFonts w:eastAsia="標楷體" w:hint="eastAsia"/>
          <w:sz w:val="26"/>
          <w:szCs w:val="26"/>
        </w:rPr>
        <w:t>瀚昌公司</w:t>
      </w:r>
      <w:r w:rsidR="007B5DC7" w:rsidRPr="0071703A">
        <w:rPr>
          <w:rFonts w:eastAsia="標楷體"/>
          <w:sz w:val="26"/>
          <w:szCs w:val="26"/>
        </w:rPr>
        <w:t>差異太大</w:t>
      </w:r>
      <w:r w:rsidR="007B5DC7" w:rsidRPr="0071703A">
        <w:rPr>
          <w:rFonts w:eastAsia="標楷體" w:hint="eastAsia"/>
          <w:sz w:val="26"/>
          <w:szCs w:val="26"/>
        </w:rPr>
        <w:t>者</w:t>
      </w:r>
      <w:r w:rsidR="007B5DC7" w:rsidRPr="0071703A">
        <w:rPr>
          <w:rFonts w:eastAsia="標楷體"/>
          <w:sz w:val="26"/>
          <w:szCs w:val="26"/>
        </w:rPr>
        <w:t>，最後得</w:t>
      </w:r>
      <w:r w:rsidR="007B5DC7" w:rsidRPr="00EC0590">
        <w:rPr>
          <w:rFonts w:eastAsia="標楷體"/>
          <w:sz w:val="26"/>
          <w:szCs w:val="26"/>
        </w:rPr>
        <w:t>出</w:t>
      </w:r>
      <w:r w:rsidR="00025E6F">
        <w:rPr>
          <w:rFonts w:eastAsia="標楷體" w:hint="eastAsia"/>
          <w:sz w:val="26"/>
          <w:szCs w:val="26"/>
        </w:rPr>
        <w:t>9</w:t>
      </w:r>
      <w:r w:rsidR="007B5DC7" w:rsidRPr="0071703A">
        <w:rPr>
          <w:rFonts w:eastAsia="標楷體" w:hint="eastAsia"/>
          <w:sz w:val="26"/>
          <w:szCs w:val="26"/>
        </w:rPr>
        <w:t>家</w:t>
      </w:r>
      <w:r w:rsidR="007B5DC7" w:rsidRPr="0071703A">
        <w:rPr>
          <w:rFonts w:eastAsia="標楷體"/>
          <w:sz w:val="26"/>
          <w:szCs w:val="26"/>
        </w:rPr>
        <w:t>可比較對象</w:t>
      </w:r>
      <w:r w:rsidR="008118C7" w:rsidRPr="0071703A">
        <w:rPr>
          <w:rFonts w:eastAsia="標楷體" w:hint="eastAsia"/>
          <w:sz w:val="26"/>
          <w:szCs w:val="26"/>
        </w:rPr>
        <w:t>（</w:t>
      </w:r>
      <w:r w:rsidR="008118C7" w:rsidRPr="0071703A">
        <w:rPr>
          <w:rFonts w:eastAsia="標楷體"/>
          <w:sz w:val="26"/>
          <w:szCs w:val="26"/>
        </w:rPr>
        <w:t>拒絕原因</w:t>
      </w:r>
      <w:r w:rsidR="008118C7" w:rsidRPr="0071703A">
        <w:rPr>
          <w:rFonts w:eastAsia="標楷體" w:hint="eastAsia"/>
          <w:sz w:val="26"/>
          <w:szCs w:val="26"/>
        </w:rPr>
        <w:t>列表</w:t>
      </w:r>
      <w:r w:rsidR="008118C7" w:rsidRPr="0071703A">
        <w:rPr>
          <w:rFonts w:eastAsia="標楷體"/>
          <w:sz w:val="26"/>
          <w:szCs w:val="26"/>
        </w:rPr>
        <w:t>請見附件</w:t>
      </w:r>
      <w:r w:rsidR="008118C7" w:rsidRPr="0071703A">
        <w:rPr>
          <w:rFonts w:eastAsia="標楷體" w:hint="eastAsia"/>
          <w:sz w:val="26"/>
          <w:szCs w:val="26"/>
        </w:rPr>
        <w:t>B</w:t>
      </w:r>
      <w:r w:rsidR="008118C7" w:rsidRPr="0071703A">
        <w:rPr>
          <w:rFonts w:eastAsia="標楷體" w:hint="eastAsia"/>
          <w:sz w:val="26"/>
          <w:szCs w:val="26"/>
        </w:rPr>
        <w:t>）</w:t>
      </w:r>
      <w:r w:rsidR="007B5DC7" w:rsidRPr="0071703A">
        <w:rPr>
          <w:rFonts w:eastAsia="標楷體"/>
          <w:sz w:val="26"/>
          <w:szCs w:val="26"/>
        </w:rPr>
        <w:t>。</w:t>
      </w:r>
    </w:p>
    <w:p w:rsidR="004C5A82" w:rsidRDefault="007B5DC7" w:rsidP="00D82424">
      <w:pPr>
        <w:tabs>
          <w:tab w:val="left" w:pos="1134"/>
        </w:tabs>
        <w:spacing w:beforeLines="50" w:before="120" w:afterLines="50" w:after="120" w:line="360" w:lineRule="auto"/>
        <w:ind w:leftChars="400" w:left="960" w:firstLineChars="200" w:firstLine="520"/>
        <w:jc w:val="both"/>
        <w:rPr>
          <w:rFonts w:eastAsia="標楷體"/>
          <w:sz w:val="26"/>
          <w:szCs w:val="26"/>
        </w:rPr>
      </w:pPr>
      <w:r w:rsidRPr="0071703A">
        <w:rPr>
          <w:rFonts w:eastAsia="標楷體" w:hint="eastAsia"/>
          <w:sz w:val="26"/>
          <w:szCs w:val="26"/>
        </w:rPr>
        <w:t>因</w:t>
      </w:r>
      <w:r w:rsidRPr="0071703A">
        <w:rPr>
          <w:rFonts w:eastAsia="標楷體"/>
          <w:sz w:val="26"/>
          <w:szCs w:val="26"/>
        </w:rPr>
        <w:t>每一家公司都是獨一無二的，所以選擇下</w:t>
      </w:r>
      <w:r w:rsidRPr="0071703A">
        <w:rPr>
          <w:rFonts w:eastAsia="標楷體" w:hint="eastAsia"/>
          <w:sz w:val="26"/>
          <w:szCs w:val="26"/>
        </w:rPr>
        <w:t>列</w:t>
      </w:r>
      <w:r w:rsidR="00025E6F">
        <w:rPr>
          <w:rFonts w:eastAsia="標楷體" w:hint="eastAsia"/>
          <w:sz w:val="26"/>
          <w:szCs w:val="26"/>
        </w:rPr>
        <w:t>9</w:t>
      </w:r>
      <w:r w:rsidRPr="004A30D6">
        <w:rPr>
          <w:rFonts w:eastAsia="標楷體"/>
          <w:sz w:val="26"/>
          <w:szCs w:val="26"/>
        </w:rPr>
        <w:t>家公司作為可比較對象之原因如下</w:t>
      </w:r>
      <w:r w:rsidR="008118C7" w:rsidRPr="004A30D6">
        <w:rPr>
          <w:rFonts w:eastAsia="標楷體" w:hint="eastAsia"/>
          <w:sz w:val="26"/>
          <w:szCs w:val="26"/>
        </w:rPr>
        <w:t>（</w:t>
      </w:r>
      <w:r w:rsidR="008118C7" w:rsidRPr="004A30D6">
        <w:rPr>
          <w:rFonts w:eastAsia="標楷體"/>
          <w:sz w:val="26"/>
          <w:szCs w:val="26"/>
        </w:rPr>
        <w:t>可比較對象之企業敍述請見附件</w:t>
      </w:r>
      <w:r w:rsidR="008118C7">
        <w:rPr>
          <w:rFonts w:eastAsia="標楷體" w:hint="eastAsia"/>
          <w:sz w:val="26"/>
          <w:szCs w:val="26"/>
        </w:rPr>
        <w:t>C</w:t>
      </w:r>
      <w:r w:rsidR="008118C7" w:rsidRPr="004A30D6">
        <w:rPr>
          <w:rFonts w:eastAsia="標楷體" w:hint="eastAsia"/>
          <w:sz w:val="26"/>
          <w:szCs w:val="26"/>
        </w:rPr>
        <w:t>）</w:t>
      </w:r>
      <w:r w:rsidR="008118C7" w:rsidRPr="004A30D6">
        <w:rPr>
          <w:rFonts w:eastAsia="標楷體"/>
          <w:sz w:val="26"/>
          <w:szCs w:val="26"/>
        </w:rPr>
        <w:t>：</w:t>
      </w:r>
    </w:p>
    <w:tbl>
      <w:tblPr>
        <w:tblW w:w="7609" w:type="dxa"/>
        <w:tblInd w:w="8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850"/>
        <w:gridCol w:w="2979"/>
        <w:gridCol w:w="3780"/>
      </w:tblGrid>
      <w:tr w:rsidR="007B5DC7" w:rsidRPr="006B3AF5" w:rsidTr="00D66EF3">
        <w:trPr>
          <w:trHeight w:val="680"/>
          <w:tblHeader/>
        </w:trPr>
        <w:tc>
          <w:tcPr>
            <w:tcW w:w="850" w:type="dxa"/>
            <w:tcBorders>
              <w:bottom w:val="double" w:sz="4" w:space="0" w:color="auto"/>
            </w:tcBorders>
            <w:shd w:val="clear" w:color="auto" w:fill="4F81BD"/>
            <w:vAlign w:val="center"/>
          </w:tcPr>
          <w:p w:rsidR="007B5DC7" w:rsidRPr="006B3AF5" w:rsidRDefault="007B5DC7" w:rsidP="00403BF7">
            <w:pPr>
              <w:pStyle w:val="a3"/>
              <w:spacing w:after="0" w:line="0" w:lineRule="atLeast"/>
              <w:ind w:leftChars="0" w:left="0"/>
              <w:jc w:val="center"/>
              <w:rPr>
                <w:rFonts w:eastAsia="標楷體"/>
                <w:color w:val="FFFFFF"/>
                <w:sz w:val="26"/>
                <w:szCs w:val="26"/>
              </w:rPr>
            </w:pPr>
            <w:r w:rsidRPr="006B3AF5">
              <w:rPr>
                <w:rFonts w:eastAsia="標楷體"/>
                <w:color w:val="FFFFFF"/>
                <w:sz w:val="26"/>
                <w:szCs w:val="26"/>
              </w:rPr>
              <w:t>編號</w:t>
            </w:r>
          </w:p>
        </w:tc>
        <w:tc>
          <w:tcPr>
            <w:tcW w:w="2979" w:type="dxa"/>
            <w:tcBorders>
              <w:bottom w:val="double" w:sz="4" w:space="0" w:color="auto"/>
            </w:tcBorders>
            <w:shd w:val="clear" w:color="auto" w:fill="4F81BD"/>
            <w:vAlign w:val="center"/>
          </w:tcPr>
          <w:p w:rsidR="007B5DC7" w:rsidRPr="006B3AF5" w:rsidRDefault="007B5DC7" w:rsidP="00403BF7">
            <w:pPr>
              <w:pStyle w:val="a3"/>
              <w:spacing w:after="0" w:line="0" w:lineRule="atLeast"/>
              <w:ind w:leftChars="0" w:left="0"/>
              <w:jc w:val="center"/>
              <w:rPr>
                <w:rFonts w:eastAsia="標楷體"/>
                <w:color w:val="FFFFFF"/>
                <w:sz w:val="26"/>
                <w:szCs w:val="26"/>
              </w:rPr>
            </w:pPr>
            <w:r w:rsidRPr="006B3AF5">
              <w:rPr>
                <w:rFonts w:eastAsia="標楷體"/>
                <w:color w:val="FFFFFF"/>
                <w:sz w:val="26"/>
                <w:szCs w:val="26"/>
              </w:rPr>
              <w:t>公司名稱</w:t>
            </w:r>
          </w:p>
        </w:tc>
        <w:tc>
          <w:tcPr>
            <w:tcW w:w="3780" w:type="dxa"/>
            <w:tcBorders>
              <w:bottom w:val="double" w:sz="4" w:space="0" w:color="auto"/>
            </w:tcBorders>
            <w:shd w:val="clear" w:color="auto" w:fill="4F81BD"/>
            <w:vAlign w:val="center"/>
          </w:tcPr>
          <w:p w:rsidR="007B5DC7" w:rsidRPr="006B3AF5" w:rsidRDefault="007B5DC7" w:rsidP="00403BF7">
            <w:pPr>
              <w:pStyle w:val="a3"/>
              <w:spacing w:after="0" w:line="0" w:lineRule="atLeast"/>
              <w:ind w:leftChars="0" w:left="0"/>
              <w:jc w:val="center"/>
              <w:rPr>
                <w:rFonts w:eastAsia="標楷體"/>
                <w:color w:val="FFFFFF"/>
                <w:sz w:val="26"/>
                <w:szCs w:val="26"/>
              </w:rPr>
            </w:pPr>
            <w:r w:rsidRPr="006B3AF5">
              <w:rPr>
                <w:rFonts w:eastAsia="標楷體" w:hint="eastAsia"/>
                <w:color w:val="FFFFFF"/>
                <w:sz w:val="26"/>
                <w:szCs w:val="26"/>
              </w:rPr>
              <w:t>接受原因</w:t>
            </w:r>
          </w:p>
        </w:tc>
      </w:tr>
      <w:tr w:rsidR="00607B14" w:rsidRPr="00EA272E" w:rsidTr="00D66EF3">
        <w:trPr>
          <w:trHeight w:val="680"/>
        </w:trPr>
        <w:tc>
          <w:tcPr>
            <w:tcW w:w="850" w:type="dxa"/>
            <w:tcBorders>
              <w:top w:val="single" w:sz="8" w:space="0" w:color="auto"/>
            </w:tcBorders>
            <w:vAlign w:val="center"/>
          </w:tcPr>
          <w:p w:rsidR="00607B14" w:rsidRPr="00EA272E" w:rsidRDefault="003566F9" w:rsidP="00403BF7">
            <w:pPr>
              <w:spacing w:line="0" w:lineRule="atLeast"/>
              <w:jc w:val="center"/>
              <w:rPr>
                <w:rFonts w:eastAsia="標楷體"/>
                <w:sz w:val="26"/>
                <w:szCs w:val="26"/>
              </w:rPr>
            </w:pPr>
            <w:r>
              <w:rPr>
                <w:rFonts w:eastAsia="標楷體" w:hint="eastAsia"/>
                <w:sz w:val="26"/>
                <w:szCs w:val="26"/>
              </w:rPr>
              <w:t>1</w:t>
            </w:r>
          </w:p>
        </w:tc>
        <w:tc>
          <w:tcPr>
            <w:tcW w:w="2979" w:type="dxa"/>
            <w:tcBorders>
              <w:top w:val="single" w:sz="8" w:space="0" w:color="auto"/>
            </w:tcBorders>
            <w:vAlign w:val="center"/>
          </w:tcPr>
          <w:p w:rsidR="00065927" w:rsidRPr="003566F9" w:rsidRDefault="003566F9">
            <w:pPr>
              <w:rPr>
                <w:color w:val="000000"/>
                <w:sz w:val="26"/>
                <w:szCs w:val="26"/>
              </w:rPr>
            </w:pPr>
            <w:proofErr w:type="spellStart"/>
            <w:r w:rsidRPr="003566F9">
              <w:rPr>
                <w:color w:val="000000"/>
                <w:sz w:val="26"/>
                <w:szCs w:val="26"/>
              </w:rPr>
              <w:t>Aaswa</w:t>
            </w:r>
            <w:proofErr w:type="spellEnd"/>
            <w:r w:rsidRPr="003566F9">
              <w:rPr>
                <w:color w:val="000000"/>
                <w:sz w:val="26"/>
                <w:szCs w:val="26"/>
              </w:rPr>
              <w:t xml:space="preserve"> Trading And Exports Ltd</w:t>
            </w:r>
          </w:p>
        </w:tc>
        <w:tc>
          <w:tcPr>
            <w:tcW w:w="3780" w:type="dxa"/>
            <w:tcBorders>
              <w:top w:val="single" w:sz="8" w:space="0" w:color="auto"/>
            </w:tcBorders>
            <w:vAlign w:val="center"/>
          </w:tcPr>
          <w:p w:rsidR="00065927" w:rsidRDefault="003566F9">
            <w:pPr>
              <w:rPr>
                <w:rFonts w:ascii="標楷體" w:eastAsia="標楷體" w:hAnsi="標楷體"/>
                <w:sz w:val="26"/>
                <w:szCs w:val="26"/>
              </w:rPr>
            </w:pPr>
            <w:r>
              <w:rPr>
                <w:rFonts w:ascii="標楷體" w:eastAsia="標楷體" w:hAnsi="標楷體" w:hint="eastAsia"/>
                <w:sz w:val="26"/>
                <w:szCs w:val="26"/>
              </w:rPr>
              <w:t>紡織品貿易</w:t>
            </w:r>
            <w:r w:rsidRPr="003A4E40">
              <w:rPr>
                <w:rFonts w:ascii="標楷體" w:eastAsia="標楷體" w:hAnsi="標楷體" w:hint="eastAsia"/>
                <w:sz w:val="26"/>
                <w:szCs w:val="26"/>
              </w:rPr>
              <w:t>商</w:t>
            </w:r>
          </w:p>
        </w:tc>
      </w:tr>
      <w:tr w:rsidR="003566F9" w:rsidRPr="00EA272E" w:rsidTr="00D66EF3">
        <w:trPr>
          <w:trHeight w:val="680"/>
        </w:trPr>
        <w:tc>
          <w:tcPr>
            <w:tcW w:w="850" w:type="dxa"/>
            <w:vAlign w:val="center"/>
          </w:tcPr>
          <w:p w:rsidR="003566F9" w:rsidRDefault="003566F9" w:rsidP="00403BF7">
            <w:pPr>
              <w:spacing w:line="0" w:lineRule="atLeast"/>
              <w:jc w:val="center"/>
              <w:rPr>
                <w:rFonts w:eastAsia="標楷體"/>
                <w:sz w:val="26"/>
                <w:szCs w:val="26"/>
              </w:rPr>
            </w:pPr>
            <w:r>
              <w:rPr>
                <w:rFonts w:eastAsia="標楷體" w:hint="eastAsia"/>
                <w:sz w:val="26"/>
                <w:szCs w:val="26"/>
              </w:rPr>
              <w:t>2</w:t>
            </w:r>
          </w:p>
        </w:tc>
        <w:tc>
          <w:tcPr>
            <w:tcW w:w="2979" w:type="dxa"/>
            <w:vAlign w:val="center"/>
          </w:tcPr>
          <w:p w:rsidR="003566F9" w:rsidRPr="00FB6B09" w:rsidRDefault="003566F9" w:rsidP="00E962BF">
            <w:pPr>
              <w:rPr>
                <w:color w:val="000000"/>
                <w:sz w:val="26"/>
                <w:szCs w:val="26"/>
              </w:rPr>
            </w:pPr>
            <w:proofErr w:type="spellStart"/>
            <w:r w:rsidRPr="003566F9">
              <w:rPr>
                <w:color w:val="000000"/>
                <w:sz w:val="26"/>
                <w:szCs w:val="26"/>
              </w:rPr>
              <w:t>Divinus</w:t>
            </w:r>
            <w:proofErr w:type="spellEnd"/>
            <w:r w:rsidRPr="003566F9">
              <w:rPr>
                <w:color w:val="000000"/>
                <w:sz w:val="26"/>
                <w:szCs w:val="26"/>
              </w:rPr>
              <w:t xml:space="preserve"> Fabrics Ltd</w:t>
            </w:r>
          </w:p>
        </w:tc>
        <w:tc>
          <w:tcPr>
            <w:tcW w:w="3780" w:type="dxa"/>
            <w:vAlign w:val="center"/>
          </w:tcPr>
          <w:p w:rsidR="003566F9" w:rsidRPr="003A4E40" w:rsidRDefault="003566F9" w:rsidP="00E962BF">
            <w:pPr>
              <w:rPr>
                <w:rFonts w:ascii="標楷體" w:eastAsia="標楷體" w:hAnsi="標楷體"/>
                <w:sz w:val="26"/>
                <w:szCs w:val="26"/>
              </w:rPr>
            </w:pPr>
            <w:r>
              <w:rPr>
                <w:rFonts w:ascii="標楷體" w:eastAsia="標楷體" w:hAnsi="標楷體" w:hint="eastAsia"/>
                <w:sz w:val="26"/>
                <w:szCs w:val="26"/>
              </w:rPr>
              <w:t>紡織品貿易</w:t>
            </w:r>
            <w:r w:rsidRPr="003A4E40">
              <w:rPr>
                <w:rFonts w:ascii="標楷體" w:eastAsia="標楷體" w:hAnsi="標楷體" w:hint="eastAsia"/>
                <w:sz w:val="26"/>
                <w:szCs w:val="26"/>
              </w:rPr>
              <w:t>商</w:t>
            </w:r>
          </w:p>
        </w:tc>
      </w:tr>
      <w:tr w:rsidR="003566F9" w:rsidRPr="00EA272E" w:rsidTr="00D66EF3">
        <w:trPr>
          <w:trHeight w:val="680"/>
        </w:trPr>
        <w:tc>
          <w:tcPr>
            <w:tcW w:w="850" w:type="dxa"/>
            <w:vAlign w:val="center"/>
          </w:tcPr>
          <w:p w:rsidR="003566F9" w:rsidRPr="00EA272E" w:rsidRDefault="003566F9" w:rsidP="00403BF7">
            <w:pPr>
              <w:spacing w:line="0" w:lineRule="atLeast"/>
              <w:jc w:val="center"/>
              <w:rPr>
                <w:rFonts w:eastAsia="標楷體"/>
                <w:sz w:val="26"/>
                <w:szCs w:val="26"/>
              </w:rPr>
            </w:pPr>
            <w:r>
              <w:rPr>
                <w:rFonts w:eastAsia="標楷體" w:hint="eastAsia"/>
                <w:sz w:val="26"/>
                <w:szCs w:val="26"/>
              </w:rPr>
              <w:t>3</w:t>
            </w:r>
          </w:p>
        </w:tc>
        <w:tc>
          <w:tcPr>
            <w:tcW w:w="2979" w:type="dxa"/>
            <w:vAlign w:val="center"/>
          </w:tcPr>
          <w:p w:rsidR="003566F9" w:rsidRDefault="003566F9" w:rsidP="00E962BF">
            <w:pPr>
              <w:rPr>
                <w:rFonts w:eastAsia="標楷體"/>
                <w:sz w:val="26"/>
                <w:szCs w:val="26"/>
              </w:rPr>
            </w:pPr>
            <w:r w:rsidRPr="00FB6B09">
              <w:rPr>
                <w:color w:val="000000"/>
                <w:sz w:val="26"/>
                <w:szCs w:val="26"/>
              </w:rPr>
              <w:t xml:space="preserve">GSI </w:t>
            </w:r>
            <w:proofErr w:type="spellStart"/>
            <w:r w:rsidRPr="00FB6B09">
              <w:rPr>
                <w:color w:val="000000"/>
                <w:sz w:val="26"/>
                <w:szCs w:val="26"/>
              </w:rPr>
              <w:t>Creos</w:t>
            </w:r>
            <w:proofErr w:type="spellEnd"/>
            <w:r w:rsidRPr="00FB6B09">
              <w:rPr>
                <w:color w:val="000000"/>
                <w:sz w:val="26"/>
                <w:szCs w:val="26"/>
              </w:rPr>
              <w:t xml:space="preserve"> Corporation</w:t>
            </w:r>
          </w:p>
        </w:tc>
        <w:tc>
          <w:tcPr>
            <w:tcW w:w="3780" w:type="dxa"/>
            <w:vAlign w:val="center"/>
          </w:tcPr>
          <w:p w:rsidR="003566F9" w:rsidRDefault="003566F9" w:rsidP="00E962BF">
            <w:pPr>
              <w:rPr>
                <w:rFonts w:ascii="標楷體" w:eastAsia="標楷體" w:hAnsi="標楷體"/>
                <w:sz w:val="26"/>
                <w:szCs w:val="26"/>
              </w:rPr>
            </w:pPr>
            <w:r w:rsidRPr="003A4E40">
              <w:rPr>
                <w:rFonts w:ascii="標楷體" w:eastAsia="標楷體" w:hAnsi="標楷體" w:hint="eastAsia"/>
                <w:sz w:val="26"/>
                <w:szCs w:val="26"/>
              </w:rPr>
              <w:t>紡織品批發商</w:t>
            </w:r>
          </w:p>
        </w:tc>
      </w:tr>
      <w:tr w:rsidR="003566F9" w:rsidRPr="00EA272E" w:rsidTr="00D66EF3">
        <w:trPr>
          <w:trHeight w:val="680"/>
        </w:trPr>
        <w:tc>
          <w:tcPr>
            <w:tcW w:w="850" w:type="dxa"/>
            <w:vAlign w:val="center"/>
          </w:tcPr>
          <w:p w:rsidR="003566F9" w:rsidRPr="00EA272E" w:rsidRDefault="003566F9" w:rsidP="00043046">
            <w:pPr>
              <w:spacing w:line="0" w:lineRule="atLeast"/>
              <w:jc w:val="center"/>
              <w:rPr>
                <w:rFonts w:eastAsia="標楷體"/>
                <w:sz w:val="26"/>
                <w:szCs w:val="26"/>
              </w:rPr>
            </w:pPr>
            <w:r>
              <w:rPr>
                <w:rFonts w:eastAsia="標楷體" w:hint="eastAsia"/>
                <w:sz w:val="26"/>
                <w:szCs w:val="26"/>
              </w:rPr>
              <w:t>4</w:t>
            </w:r>
          </w:p>
        </w:tc>
        <w:tc>
          <w:tcPr>
            <w:tcW w:w="2979" w:type="dxa"/>
            <w:vAlign w:val="center"/>
          </w:tcPr>
          <w:p w:rsidR="003566F9" w:rsidRDefault="003566F9" w:rsidP="00E962BF">
            <w:pPr>
              <w:rPr>
                <w:rFonts w:eastAsia="標楷體"/>
                <w:sz w:val="26"/>
                <w:szCs w:val="26"/>
              </w:rPr>
            </w:pPr>
            <w:r w:rsidRPr="00FB6B09">
              <w:rPr>
                <w:color w:val="000000"/>
                <w:sz w:val="26"/>
                <w:szCs w:val="26"/>
              </w:rPr>
              <w:t xml:space="preserve">Jiangsu </w:t>
            </w:r>
            <w:proofErr w:type="spellStart"/>
            <w:r w:rsidRPr="00FB6B09">
              <w:rPr>
                <w:color w:val="000000"/>
                <w:sz w:val="26"/>
                <w:szCs w:val="26"/>
              </w:rPr>
              <w:t>Guotai</w:t>
            </w:r>
            <w:proofErr w:type="spellEnd"/>
            <w:r w:rsidRPr="00FB6B09">
              <w:rPr>
                <w:color w:val="000000"/>
                <w:sz w:val="26"/>
                <w:szCs w:val="26"/>
              </w:rPr>
              <w:t xml:space="preserve"> Intl Grp </w:t>
            </w:r>
            <w:proofErr w:type="spellStart"/>
            <w:r w:rsidRPr="00FB6B09">
              <w:rPr>
                <w:color w:val="000000"/>
                <w:sz w:val="26"/>
                <w:szCs w:val="26"/>
              </w:rPr>
              <w:t>Guomao</w:t>
            </w:r>
            <w:proofErr w:type="spellEnd"/>
            <w:r w:rsidRPr="00FB6B09">
              <w:rPr>
                <w:color w:val="000000"/>
                <w:sz w:val="26"/>
                <w:szCs w:val="26"/>
              </w:rPr>
              <w:t xml:space="preserve"> Co., Ltd.</w:t>
            </w:r>
          </w:p>
        </w:tc>
        <w:tc>
          <w:tcPr>
            <w:tcW w:w="3780" w:type="dxa"/>
            <w:vAlign w:val="center"/>
          </w:tcPr>
          <w:p w:rsidR="003566F9" w:rsidRDefault="003566F9" w:rsidP="00E962BF">
            <w:pPr>
              <w:rPr>
                <w:rFonts w:ascii="標楷體" w:eastAsia="標楷體" w:hAnsi="標楷體"/>
                <w:sz w:val="26"/>
                <w:szCs w:val="26"/>
              </w:rPr>
            </w:pPr>
            <w:r>
              <w:rPr>
                <w:rFonts w:ascii="標楷體" w:eastAsia="標楷體" w:hAnsi="標楷體" w:hint="eastAsia"/>
                <w:sz w:val="26"/>
                <w:szCs w:val="26"/>
              </w:rPr>
              <w:t>紡織品貿易</w:t>
            </w:r>
            <w:r w:rsidRPr="003A4E40">
              <w:rPr>
                <w:rFonts w:ascii="標楷體" w:eastAsia="標楷體" w:hAnsi="標楷體" w:hint="eastAsia"/>
                <w:sz w:val="26"/>
                <w:szCs w:val="26"/>
              </w:rPr>
              <w:t>商</w:t>
            </w:r>
          </w:p>
        </w:tc>
      </w:tr>
      <w:tr w:rsidR="00607B14" w:rsidRPr="00EA272E" w:rsidTr="00D66EF3">
        <w:trPr>
          <w:trHeight w:val="680"/>
        </w:trPr>
        <w:tc>
          <w:tcPr>
            <w:tcW w:w="850" w:type="dxa"/>
            <w:vAlign w:val="center"/>
          </w:tcPr>
          <w:p w:rsidR="00607B14" w:rsidRPr="00EA272E" w:rsidRDefault="003566F9" w:rsidP="00043046">
            <w:pPr>
              <w:spacing w:line="0" w:lineRule="atLeast"/>
              <w:jc w:val="center"/>
              <w:rPr>
                <w:rFonts w:eastAsia="標楷體"/>
                <w:sz w:val="26"/>
                <w:szCs w:val="26"/>
              </w:rPr>
            </w:pPr>
            <w:r>
              <w:rPr>
                <w:rFonts w:eastAsia="標楷體" w:hint="eastAsia"/>
                <w:sz w:val="26"/>
                <w:szCs w:val="26"/>
              </w:rPr>
              <w:t>5</w:t>
            </w:r>
          </w:p>
        </w:tc>
        <w:tc>
          <w:tcPr>
            <w:tcW w:w="2979" w:type="dxa"/>
            <w:vAlign w:val="center"/>
          </w:tcPr>
          <w:p w:rsidR="00065927" w:rsidRPr="00A63CF7" w:rsidRDefault="00FB6B09" w:rsidP="008509EC">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rsidRPr="00FB6B09">
              <w:rPr>
                <w:color w:val="000000"/>
                <w:sz w:val="26"/>
                <w:szCs w:val="26"/>
              </w:rPr>
              <w:t>Marumitsu</w:t>
            </w:r>
            <w:proofErr w:type="spellEnd"/>
            <w:r w:rsidRPr="00FB6B09">
              <w:rPr>
                <w:color w:val="000000"/>
                <w:sz w:val="26"/>
                <w:szCs w:val="26"/>
              </w:rPr>
              <w:t xml:space="preserve"> Co Ltd</w:t>
            </w:r>
          </w:p>
        </w:tc>
        <w:tc>
          <w:tcPr>
            <w:tcW w:w="3780" w:type="dxa"/>
            <w:vAlign w:val="center"/>
          </w:tcPr>
          <w:p w:rsidR="00065927" w:rsidRPr="00A63CF7" w:rsidRDefault="000C2378" w:rsidP="008509EC">
            <w:pPr>
              <w:spacing w:before="120" w:after="120"/>
              <w:rPr>
                <w:rFonts w:ascii="標楷體" w:eastAsia="標楷體" w:hAnsi="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A4E40">
              <w:rPr>
                <w:rFonts w:ascii="標楷體" w:eastAsia="標楷體" w:hAnsi="標楷體" w:hint="eastAsia"/>
                <w:sz w:val="26"/>
                <w:szCs w:val="26"/>
              </w:rPr>
              <w:t>紡織品批發商</w:t>
            </w:r>
          </w:p>
        </w:tc>
      </w:tr>
      <w:tr w:rsidR="00025E6F" w:rsidRPr="00EA272E" w:rsidTr="00D66EF3">
        <w:trPr>
          <w:trHeight w:val="680"/>
        </w:trPr>
        <w:tc>
          <w:tcPr>
            <w:tcW w:w="850" w:type="dxa"/>
            <w:vAlign w:val="center"/>
          </w:tcPr>
          <w:p w:rsidR="00025E6F" w:rsidRPr="00EA272E" w:rsidRDefault="00025E6F" w:rsidP="00043046">
            <w:pPr>
              <w:spacing w:line="0" w:lineRule="atLeast"/>
              <w:jc w:val="center"/>
              <w:rPr>
                <w:rFonts w:eastAsia="標楷體"/>
                <w:sz w:val="26"/>
                <w:szCs w:val="26"/>
              </w:rPr>
            </w:pPr>
            <w:r>
              <w:rPr>
                <w:rFonts w:eastAsia="標楷體" w:hint="eastAsia"/>
                <w:sz w:val="26"/>
                <w:szCs w:val="26"/>
              </w:rPr>
              <w:t>6</w:t>
            </w:r>
          </w:p>
        </w:tc>
        <w:tc>
          <w:tcPr>
            <w:tcW w:w="2979" w:type="dxa"/>
            <w:vAlign w:val="center"/>
          </w:tcPr>
          <w:p w:rsidR="00025E6F" w:rsidRPr="003566F9" w:rsidRDefault="00025E6F" w:rsidP="00E962BF">
            <w:pPr>
              <w:rPr>
                <w:color w:val="000000"/>
                <w:sz w:val="26"/>
                <w:szCs w:val="26"/>
              </w:rPr>
            </w:pPr>
            <w:r w:rsidRPr="00FB6B09">
              <w:rPr>
                <w:color w:val="000000"/>
                <w:sz w:val="26"/>
                <w:szCs w:val="26"/>
              </w:rPr>
              <w:t xml:space="preserve">NJ Textiles Import &amp; Export </w:t>
            </w:r>
            <w:proofErr w:type="spellStart"/>
            <w:r w:rsidRPr="00FB6B09">
              <w:rPr>
                <w:color w:val="000000"/>
                <w:sz w:val="26"/>
                <w:szCs w:val="26"/>
              </w:rPr>
              <w:t>Corp.,Ltd</w:t>
            </w:r>
            <w:proofErr w:type="spellEnd"/>
            <w:r w:rsidRPr="00FB6B09">
              <w:rPr>
                <w:color w:val="000000"/>
                <w:sz w:val="26"/>
                <w:szCs w:val="26"/>
              </w:rPr>
              <w:t>.</w:t>
            </w:r>
          </w:p>
        </w:tc>
        <w:tc>
          <w:tcPr>
            <w:tcW w:w="3780" w:type="dxa"/>
            <w:vAlign w:val="center"/>
          </w:tcPr>
          <w:p w:rsidR="00025E6F" w:rsidRDefault="00025E6F" w:rsidP="00E962BF">
            <w:pPr>
              <w:rPr>
                <w:rFonts w:ascii="標楷體" w:eastAsia="標楷體" w:hAnsi="標楷體"/>
                <w:sz w:val="26"/>
                <w:szCs w:val="26"/>
              </w:rPr>
            </w:pPr>
            <w:r>
              <w:rPr>
                <w:rFonts w:ascii="標楷體" w:eastAsia="標楷體" w:hAnsi="標楷體" w:hint="eastAsia"/>
                <w:sz w:val="26"/>
                <w:szCs w:val="26"/>
              </w:rPr>
              <w:t>紡織品貿易</w:t>
            </w:r>
            <w:r w:rsidRPr="003A4E40">
              <w:rPr>
                <w:rFonts w:ascii="標楷體" w:eastAsia="標楷體" w:hAnsi="標楷體" w:hint="eastAsia"/>
                <w:sz w:val="26"/>
                <w:szCs w:val="26"/>
              </w:rPr>
              <w:t>商</w:t>
            </w:r>
          </w:p>
        </w:tc>
      </w:tr>
      <w:tr w:rsidR="00025E6F" w:rsidRPr="00EA272E" w:rsidTr="00D66EF3">
        <w:trPr>
          <w:trHeight w:val="680"/>
        </w:trPr>
        <w:tc>
          <w:tcPr>
            <w:tcW w:w="850" w:type="dxa"/>
            <w:vAlign w:val="center"/>
          </w:tcPr>
          <w:p w:rsidR="00025E6F" w:rsidRPr="00EA272E" w:rsidRDefault="00025E6F" w:rsidP="00043046">
            <w:pPr>
              <w:spacing w:line="0" w:lineRule="atLeast"/>
              <w:jc w:val="center"/>
              <w:rPr>
                <w:rFonts w:eastAsia="標楷體"/>
                <w:sz w:val="26"/>
                <w:szCs w:val="26"/>
              </w:rPr>
            </w:pPr>
            <w:r>
              <w:rPr>
                <w:rFonts w:eastAsia="標楷體" w:hint="eastAsia"/>
                <w:sz w:val="26"/>
                <w:szCs w:val="26"/>
              </w:rPr>
              <w:t>7</w:t>
            </w:r>
          </w:p>
        </w:tc>
        <w:tc>
          <w:tcPr>
            <w:tcW w:w="2979" w:type="dxa"/>
            <w:vAlign w:val="center"/>
          </w:tcPr>
          <w:p w:rsidR="00025E6F" w:rsidRPr="00A63CF7" w:rsidRDefault="00025E6F"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B6B09">
              <w:rPr>
                <w:color w:val="000000"/>
                <w:sz w:val="26"/>
                <w:szCs w:val="26"/>
              </w:rPr>
              <w:t>Standard Industries Limited</w:t>
            </w:r>
          </w:p>
        </w:tc>
        <w:tc>
          <w:tcPr>
            <w:tcW w:w="3780" w:type="dxa"/>
            <w:vAlign w:val="center"/>
          </w:tcPr>
          <w:p w:rsidR="00025E6F" w:rsidRPr="00A63CF7" w:rsidRDefault="00025E6F" w:rsidP="00E962BF">
            <w:pPr>
              <w:spacing w:before="120" w:after="120"/>
              <w:rPr>
                <w:rFonts w:ascii="標楷體" w:eastAsia="標楷體" w:hAnsi="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標楷體" w:eastAsia="標楷體" w:hAnsi="標楷體" w:hint="eastAsia"/>
                <w:sz w:val="26"/>
                <w:szCs w:val="26"/>
              </w:rPr>
              <w:t>紡織品貿易</w:t>
            </w:r>
            <w:r w:rsidRPr="003A4E40">
              <w:rPr>
                <w:rFonts w:ascii="標楷體" w:eastAsia="標楷體" w:hAnsi="標楷體" w:hint="eastAsia"/>
                <w:sz w:val="26"/>
                <w:szCs w:val="26"/>
              </w:rPr>
              <w:t>商</w:t>
            </w:r>
          </w:p>
        </w:tc>
      </w:tr>
      <w:tr w:rsidR="00025E6F" w:rsidRPr="00EA272E" w:rsidTr="00D66EF3">
        <w:trPr>
          <w:trHeight w:val="680"/>
        </w:trPr>
        <w:tc>
          <w:tcPr>
            <w:tcW w:w="850" w:type="dxa"/>
            <w:vAlign w:val="center"/>
          </w:tcPr>
          <w:p w:rsidR="00025E6F" w:rsidRDefault="00025E6F" w:rsidP="00043046">
            <w:pPr>
              <w:spacing w:line="0" w:lineRule="atLeast"/>
              <w:jc w:val="center"/>
              <w:rPr>
                <w:rFonts w:eastAsia="標楷體"/>
                <w:sz w:val="26"/>
                <w:szCs w:val="26"/>
              </w:rPr>
            </w:pPr>
            <w:r>
              <w:rPr>
                <w:rFonts w:eastAsia="標楷體" w:hint="eastAsia"/>
                <w:sz w:val="26"/>
                <w:szCs w:val="26"/>
              </w:rPr>
              <w:t>8</w:t>
            </w:r>
          </w:p>
        </w:tc>
        <w:tc>
          <w:tcPr>
            <w:tcW w:w="2979" w:type="dxa"/>
            <w:vAlign w:val="center"/>
          </w:tcPr>
          <w:p w:rsidR="00025E6F" w:rsidRPr="00A63CF7" w:rsidRDefault="00025E6F"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rsidRPr="00FB6B09">
              <w:rPr>
                <w:color w:val="000000"/>
                <w:sz w:val="26"/>
                <w:szCs w:val="26"/>
              </w:rPr>
              <w:t>Takihyo</w:t>
            </w:r>
            <w:proofErr w:type="spellEnd"/>
            <w:r w:rsidRPr="00FB6B09">
              <w:rPr>
                <w:color w:val="000000"/>
                <w:sz w:val="26"/>
                <w:szCs w:val="26"/>
              </w:rPr>
              <w:t xml:space="preserve"> Co., Ltd.</w:t>
            </w:r>
          </w:p>
        </w:tc>
        <w:tc>
          <w:tcPr>
            <w:tcW w:w="3780" w:type="dxa"/>
            <w:vAlign w:val="center"/>
          </w:tcPr>
          <w:p w:rsidR="00025E6F" w:rsidRPr="00A63CF7" w:rsidRDefault="00025E6F" w:rsidP="00E962BF">
            <w:pPr>
              <w:spacing w:before="120" w:after="120"/>
              <w:rPr>
                <w:rFonts w:ascii="標楷體" w:eastAsia="標楷體" w:hAnsi="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A4E40">
              <w:rPr>
                <w:rFonts w:ascii="標楷體" w:eastAsia="標楷體" w:hAnsi="標楷體" w:hint="eastAsia"/>
                <w:sz w:val="26"/>
                <w:szCs w:val="26"/>
              </w:rPr>
              <w:t>布料、紡織品貿易商</w:t>
            </w:r>
          </w:p>
        </w:tc>
      </w:tr>
      <w:tr w:rsidR="00025E6F" w:rsidRPr="00EA272E" w:rsidTr="00D66EF3">
        <w:trPr>
          <w:trHeight w:val="680"/>
        </w:trPr>
        <w:tc>
          <w:tcPr>
            <w:tcW w:w="850" w:type="dxa"/>
            <w:vAlign w:val="center"/>
          </w:tcPr>
          <w:p w:rsidR="00025E6F" w:rsidRDefault="00025E6F" w:rsidP="00043046">
            <w:pPr>
              <w:spacing w:line="0" w:lineRule="atLeast"/>
              <w:jc w:val="center"/>
              <w:rPr>
                <w:rFonts w:eastAsia="標楷體"/>
                <w:sz w:val="26"/>
                <w:szCs w:val="26"/>
              </w:rPr>
            </w:pPr>
            <w:r>
              <w:rPr>
                <w:rFonts w:eastAsia="標楷體" w:hint="eastAsia"/>
                <w:sz w:val="26"/>
                <w:szCs w:val="26"/>
              </w:rPr>
              <w:t>9</w:t>
            </w:r>
          </w:p>
        </w:tc>
        <w:tc>
          <w:tcPr>
            <w:tcW w:w="2979" w:type="dxa"/>
            <w:vAlign w:val="center"/>
          </w:tcPr>
          <w:p w:rsidR="00025E6F" w:rsidRPr="00A63CF7" w:rsidRDefault="00025E6F" w:rsidP="008509EC">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B6B09">
              <w:rPr>
                <w:color w:val="000000"/>
                <w:sz w:val="26"/>
                <w:szCs w:val="26"/>
              </w:rPr>
              <w:t>Zhejiang Orient Holdings Co., Ltd</w:t>
            </w:r>
          </w:p>
        </w:tc>
        <w:tc>
          <w:tcPr>
            <w:tcW w:w="3780" w:type="dxa"/>
            <w:vAlign w:val="center"/>
          </w:tcPr>
          <w:p w:rsidR="00025E6F" w:rsidRPr="003A4E40" w:rsidRDefault="00025E6F" w:rsidP="00917300">
            <w:pPr>
              <w:spacing w:before="120" w:after="120"/>
              <w:rPr>
                <w:rFonts w:ascii="標楷體" w:eastAsia="標楷體" w:hAnsi="標楷體"/>
                <w:sz w:val="26"/>
                <w:szCs w:val="26"/>
              </w:rPr>
            </w:pPr>
            <w:r w:rsidRPr="003A4E40">
              <w:rPr>
                <w:rFonts w:ascii="標楷體" w:eastAsia="標楷體" w:hAnsi="標楷體" w:hint="eastAsia"/>
                <w:sz w:val="26"/>
                <w:szCs w:val="26"/>
              </w:rPr>
              <w:t>紡織品批發商</w:t>
            </w:r>
          </w:p>
        </w:tc>
      </w:tr>
    </w:tbl>
    <w:p w:rsidR="004C5A82" w:rsidRDefault="007B5DC7" w:rsidP="00D82424">
      <w:pPr>
        <w:numPr>
          <w:ilvl w:val="0"/>
          <w:numId w:val="21"/>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主要行業財務比率</w:t>
      </w:r>
      <w:r w:rsidRPr="00E91C7B">
        <w:rPr>
          <w:rFonts w:eastAsia="標楷體" w:hint="eastAsia"/>
          <w:b/>
          <w:sz w:val="28"/>
          <w:szCs w:val="26"/>
        </w:rPr>
        <w:t>刊冊</w:t>
      </w:r>
    </w:p>
    <w:p w:rsidR="004C5A82" w:rsidRDefault="007B5DC7" w:rsidP="00D82424">
      <w:pPr>
        <w:spacing w:beforeLines="50" w:before="120" w:afterLines="50" w:after="120" w:line="360" w:lineRule="auto"/>
        <w:ind w:leftChars="300" w:left="720" w:firstLineChars="200" w:firstLine="520"/>
        <w:jc w:val="both"/>
        <w:rPr>
          <w:rFonts w:eastAsia="標楷體"/>
          <w:sz w:val="26"/>
          <w:szCs w:val="26"/>
        </w:rPr>
      </w:pPr>
      <w:r w:rsidRPr="0057345F">
        <w:rPr>
          <w:rFonts w:eastAsia="標楷體" w:hint="eastAsia"/>
          <w:sz w:val="26"/>
          <w:szCs w:val="26"/>
        </w:rPr>
        <w:t>本所於檢視主要行業財務比率刊冊內所分類之行業代號後，依據瀚昌公司之營業性質、產品種類等，以</w:t>
      </w:r>
      <w:r w:rsidRPr="0057345F">
        <w:rPr>
          <w:rFonts w:eastAsia="標楷體"/>
          <w:sz w:val="26"/>
          <w:szCs w:val="26"/>
        </w:rPr>
        <w:t>布疋批發業</w:t>
      </w:r>
      <w:r w:rsidRPr="0057345F">
        <w:rPr>
          <w:rFonts w:eastAsia="標楷體" w:hint="eastAsia"/>
          <w:sz w:val="26"/>
          <w:szCs w:val="26"/>
        </w:rPr>
        <w:t>（</w:t>
      </w:r>
      <w:r w:rsidRPr="0057345F">
        <w:rPr>
          <w:rFonts w:eastAsia="標楷體" w:hint="eastAsia"/>
          <w:sz w:val="26"/>
          <w:szCs w:val="26"/>
        </w:rPr>
        <w:t>G4551</w:t>
      </w:r>
      <w:r w:rsidRPr="0057345F">
        <w:rPr>
          <w:rFonts w:eastAsia="標楷體" w:hint="eastAsia"/>
          <w:sz w:val="26"/>
          <w:szCs w:val="26"/>
        </w:rPr>
        <w:t>）作為比</w:t>
      </w:r>
      <w:r w:rsidRPr="0057345F">
        <w:rPr>
          <w:rFonts w:eastAsia="標楷體" w:hint="eastAsia"/>
          <w:sz w:val="26"/>
          <w:szCs w:val="26"/>
        </w:rPr>
        <w:lastRenderedPageBreak/>
        <w:t>較之參考標準。</w:t>
      </w:r>
      <w:r w:rsidRPr="0057345F">
        <w:rPr>
          <w:rFonts w:eastAsia="標楷體"/>
          <w:sz w:val="26"/>
          <w:szCs w:val="26"/>
        </w:rPr>
        <w:t>而布疋批發業共有</w:t>
      </w:r>
      <w:r w:rsidR="006B3D8D">
        <w:rPr>
          <w:rFonts w:eastAsia="標楷體" w:hint="eastAsia"/>
          <w:sz w:val="26"/>
          <w:szCs w:val="26"/>
        </w:rPr>
        <w:t>五</w:t>
      </w:r>
      <w:r w:rsidRPr="0057345F">
        <w:rPr>
          <w:rFonts w:eastAsia="標楷體"/>
          <w:sz w:val="26"/>
          <w:szCs w:val="26"/>
        </w:rPr>
        <w:t>個營業收入級距</w:t>
      </w:r>
      <w:r w:rsidRPr="0057345F">
        <w:rPr>
          <w:rFonts w:eastAsia="標楷體" w:hint="eastAsia"/>
          <w:sz w:val="26"/>
          <w:szCs w:val="26"/>
        </w:rPr>
        <w:t>：</w:t>
      </w:r>
      <w:r w:rsidR="006B3D8D">
        <w:rPr>
          <w:rFonts w:eastAsia="標楷體" w:hint="eastAsia"/>
          <w:sz w:val="26"/>
          <w:szCs w:val="26"/>
        </w:rPr>
        <w:t>0.4</w:t>
      </w:r>
      <w:r w:rsidR="006B3D8D">
        <w:rPr>
          <w:rFonts w:eastAsia="標楷體" w:hint="eastAsia"/>
          <w:sz w:val="26"/>
          <w:szCs w:val="26"/>
        </w:rPr>
        <w:t>億以下、</w:t>
      </w:r>
      <w:r w:rsidR="006B3D8D">
        <w:rPr>
          <w:rFonts w:eastAsia="標楷體" w:hint="eastAsia"/>
          <w:sz w:val="26"/>
          <w:szCs w:val="26"/>
        </w:rPr>
        <w:t>0</w:t>
      </w:r>
      <w:r w:rsidRPr="0057345F">
        <w:rPr>
          <w:rFonts w:eastAsia="標楷體" w:hint="eastAsia"/>
          <w:sz w:val="26"/>
          <w:szCs w:val="26"/>
        </w:rPr>
        <w:t>.4</w:t>
      </w:r>
      <w:r w:rsidRPr="0057345F">
        <w:rPr>
          <w:rFonts w:eastAsia="標楷體" w:hint="eastAsia"/>
          <w:sz w:val="26"/>
          <w:szCs w:val="26"/>
        </w:rPr>
        <w:t>至</w:t>
      </w:r>
      <w:r w:rsidRPr="0057345F">
        <w:rPr>
          <w:rFonts w:eastAsia="標楷體" w:hint="eastAsia"/>
          <w:sz w:val="26"/>
          <w:szCs w:val="26"/>
        </w:rPr>
        <w:t>1</w:t>
      </w:r>
      <w:r w:rsidRPr="0057345F">
        <w:rPr>
          <w:rFonts w:eastAsia="標楷體" w:hint="eastAsia"/>
          <w:sz w:val="26"/>
          <w:szCs w:val="26"/>
        </w:rPr>
        <w:t>億、</w:t>
      </w:r>
      <w:r w:rsidRPr="0057345F">
        <w:rPr>
          <w:rFonts w:eastAsia="標楷體"/>
          <w:sz w:val="26"/>
          <w:szCs w:val="26"/>
        </w:rPr>
        <w:t>1</w:t>
      </w:r>
      <w:r w:rsidRPr="0057345F">
        <w:rPr>
          <w:rFonts w:eastAsia="標楷體" w:hint="eastAsia"/>
          <w:sz w:val="26"/>
          <w:szCs w:val="26"/>
        </w:rPr>
        <w:t>至</w:t>
      </w:r>
      <w:r w:rsidRPr="0057345F">
        <w:rPr>
          <w:rFonts w:eastAsia="標楷體"/>
          <w:sz w:val="26"/>
          <w:szCs w:val="26"/>
        </w:rPr>
        <w:t>5</w:t>
      </w:r>
      <w:r w:rsidRPr="0057345F">
        <w:rPr>
          <w:rFonts w:eastAsia="標楷體"/>
          <w:sz w:val="26"/>
          <w:szCs w:val="26"/>
        </w:rPr>
        <w:t>億</w:t>
      </w:r>
      <w:r w:rsidRPr="0057345F">
        <w:rPr>
          <w:rFonts w:eastAsia="標楷體" w:hint="eastAsia"/>
          <w:sz w:val="26"/>
          <w:szCs w:val="26"/>
        </w:rPr>
        <w:t>、</w:t>
      </w:r>
      <w:r w:rsidRPr="0057345F">
        <w:rPr>
          <w:rFonts w:eastAsia="標楷體"/>
          <w:sz w:val="26"/>
          <w:szCs w:val="26"/>
        </w:rPr>
        <w:t>5</w:t>
      </w:r>
      <w:r w:rsidRPr="0057345F">
        <w:rPr>
          <w:rFonts w:eastAsia="標楷體" w:hint="eastAsia"/>
          <w:sz w:val="26"/>
          <w:szCs w:val="26"/>
        </w:rPr>
        <w:t>至</w:t>
      </w:r>
      <w:r w:rsidRPr="0057345F">
        <w:rPr>
          <w:rFonts w:eastAsia="標楷體"/>
          <w:sz w:val="26"/>
          <w:szCs w:val="26"/>
        </w:rPr>
        <w:t>10</w:t>
      </w:r>
      <w:r w:rsidRPr="0057345F">
        <w:rPr>
          <w:rFonts w:eastAsia="標楷體"/>
          <w:sz w:val="26"/>
          <w:szCs w:val="26"/>
        </w:rPr>
        <w:t>億</w:t>
      </w:r>
      <w:r w:rsidRPr="0057345F">
        <w:rPr>
          <w:rFonts w:eastAsia="標楷體" w:hint="eastAsia"/>
          <w:sz w:val="26"/>
          <w:szCs w:val="26"/>
        </w:rPr>
        <w:t>及</w:t>
      </w:r>
      <w:r w:rsidRPr="0057345F">
        <w:rPr>
          <w:rFonts w:eastAsia="標楷體"/>
          <w:sz w:val="26"/>
          <w:szCs w:val="26"/>
        </w:rPr>
        <w:t>10</w:t>
      </w:r>
      <w:r w:rsidRPr="0057345F">
        <w:rPr>
          <w:rFonts w:eastAsia="標楷體" w:hint="eastAsia"/>
          <w:sz w:val="26"/>
          <w:szCs w:val="26"/>
        </w:rPr>
        <w:t>至</w:t>
      </w:r>
      <w:r w:rsidRPr="0057345F">
        <w:rPr>
          <w:rFonts w:eastAsia="標楷體"/>
          <w:sz w:val="26"/>
          <w:szCs w:val="26"/>
        </w:rPr>
        <w:t>50</w:t>
      </w:r>
      <w:r w:rsidRPr="0057345F">
        <w:rPr>
          <w:rFonts w:eastAsia="標楷體"/>
          <w:sz w:val="26"/>
          <w:szCs w:val="26"/>
        </w:rPr>
        <w:t>億。</w:t>
      </w:r>
      <w:r w:rsidRPr="0057345F">
        <w:rPr>
          <w:rFonts w:eastAsia="標楷體" w:hint="eastAsia"/>
          <w:sz w:val="26"/>
          <w:szCs w:val="26"/>
        </w:rPr>
        <w:t>瀚昌公司</w:t>
      </w:r>
      <w:r w:rsidR="00211437">
        <w:rPr>
          <w:rFonts w:eastAsia="標楷體" w:hint="eastAsia"/>
          <w:sz w:val="26"/>
          <w:szCs w:val="26"/>
        </w:rPr>
        <w:t>105</w:t>
      </w:r>
      <w:r w:rsidRPr="0057345F">
        <w:rPr>
          <w:rFonts w:eastAsia="標楷體" w:hint="eastAsia"/>
          <w:sz w:val="26"/>
          <w:szCs w:val="26"/>
        </w:rPr>
        <w:t>年度營業收入淨</w:t>
      </w:r>
      <w:r w:rsidRPr="00DA59A9">
        <w:rPr>
          <w:rFonts w:eastAsia="標楷體" w:hint="eastAsia"/>
          <w:sz w:val="26"/>
          <w:szCs w:val="26"/>
        </w:rPr>
        <w:t>額為</w:t>
      </w:r>
      <w:r w:rsidR="000C7B36">
        <w:rPr>
          <w:rFonts w:eastAsia="標楷體" w:hint="eastAsia"/>
          <w:bCs/>
          <w:kern w:val="0"/>
          <w:sz w:val="26"/>
          <w:szCs w:val="26"/>
        </w:rPr>
        <w:t>233,485,250</w:t>
      </w:r>
      <w:r w:rsidRPr="00DA59A9">
        <w:rPr>
          <w:rFonts w:eastAsia="標楷體" w:hint="eastAsia"/>
          <w:sz w:val="26"/>
          <w:szCs w:val="26"/>
        </w:rPr>
        <w:t>元，</w:t>
      </w:r>
      <w:r w:rsidRPr="0057345F">
        <w:rPr>
          <w:rFonts w:eastAsia="標楷體" w:hint="eastAsia"/>
          <w:sz w:val="26"/>
          <w:szCs w:val="26"/>
        </w:rPr>
        <w:t>為其選取位於</w:t>
      </w:r>
      <w:r w:rsidRPr="00643A11">
        <w:rPr>
          <w:rFonts w:eastAsia="標楷體" w:hint="eastAsia"/>
          <w:sz w:val="26"/>
          <w:szCs w:val="26"/>
        </w:rPr>
        <w:t>1-5</w:t>
      </w:r>
      <w:r w:rsidRPr="00643A11">
        <w:rPr>
          <w:rFonts w:eastAsia="標楷體" w:hint="eastAsia"/>
          <w:sz w:val="26"/>
          <w:szCs w:val="26"/>
        </w:rPr>
        <w:t>億</w:t>
      </w:r>
      <w:r w:rsidRPr="0057345F">
        <w:rPr>
          <w:rFonts w:eastAsia="標楷體" w:hint="eastAsia"/>
          <w:sz w:val="26"/>
          <w:szCs w:val="26"/>
        </w:rPr>
        <w:t>級距之樣本做為其可資比較對象。</w:t>
      </w:r>
    </w:p>
    <w:p w:rsidR="003C2511" w:rsidRDefault="003C2511" w:rsidP="00D82424">
      <w:pPr>
        <w:spacing w:beforeLines="50" w:before="120" w:afterLines="50" w:after="120" w:line="360" w:lineRule="auto"/>
        <w:jc w:val="both"/>
        <w:rPr>
          <w:rFonts w:eastAsia="標楷體"/>
          <w:sz w:val="26"/>
          <w:szCs w:val="26"/>
        </w:rPr>
      </w:pPr>
      <w:r>
        <w:rPr>
          <w:rFonts w:eastAsia="標楷體"/>
          <w:sz w:val="26"/>
          <w:szCs w:val="26"/>
        </w:rPr>
        <w:br w:type="page"/>
      </w:r>
    </w:p>
    <w:p w:rsidR="00B30226" w:rsidRPr="00EA272E" w:rsidRDefault="00B30226" w:rsidP="00D82424">
      <w:pPr>
        <w:spacing w:beforeLines="50" w:before="120" w:afterLines="50" w:after="120" w:line="360" w:lineRule="auto"/>
        <w:jc w:val="both"/>
        <w:rPr>
          <w:rFonts w:eastAsia="標楷體"/>
          <w:sz w:val="26"/>
          <w:szCs w:val="26"/>
        </w:rPr>
        <w:sectPr w:rsidR="00B30226" w:rsidRPr="00EA272E" w:rsidSect="00DD5AB2">
          <w:headerReference w:type="even" r:id="rId28"/>
          <w:headerReference w:type="default" r:id="rId29"/>
          <w:footerReference w:type="even" r:id="rId30"/>
          <w:headerReference w:type="first" r:id="rId31"/>
          <w:type w:val="oddPage"/>
          <w:pgSz w:w="11906" w:h="16838" w:code="9"/>
          <w:pgMar w:top="2160" w:right="1440" w:bottom="1814" w:left="1440" w:header="851" w:footer="567" w:gutter="567"/>
          <w:cols w:space="425"/>
          <w:docGrid w:linePitch="360"/>
        </w:sectPr>
      </w:pPr>
      <w:r>
        <w:rPr>
          <w:rFonts w:eastAsia="標楷體"/>
          <w:sz w:val="26"/>
          <w:szCs w:val="26"/>
        </w:rPr>
        <w:lastRenderedPageBreak/>
        <w:br w:type="page"/>
      </w:r>
    </w:p>
    <w:bookmarkStart w:id="115" w:name="_Toc245269230"/>
    <w:bookmarkStart w:id="116" w:name="_Toc245269231"/>
    <w:bookmarkStart w:id="117" w:name="_Toc245269232"/>
    <w:bookmarkStart w:id="118" w:name="_Toc245269233"/>
    <w:bookmarkStart w:id="119" w:name="_Toc245269234"/>
    <w:bookmarkStart w:id="120" w:name="_Toc245269235"/>
    <w:bookmarkStart w:id="121" w:name="_Toc245269236"/>
    <w:bookmarkStart w:id="122" w:name="_Toc253154519"/>
    <w:bookmarkStart w:id="123" w:name="_Toc253154587"/>
    <w:bookmarkStart w:id="124" w:name="_Toc272326018"/>
    <w:bookmarkStart w:id="125" w:name="_Toc272326646"/>
    <w:bookmarkStart w:id="126" w:name="_Toc272326825"/>
    <w:bookmarkStart w:id="127" w:name="_Toc275960658"/>
    <w:bookmarkStart w:id="128" w:name="_Toc449536307"/>
    <w:bookmarkEnd w:id="115"/>
    <w:bookmarkEnd w:id="116"/>
    <w:bookmarkEnd w:id="117"/>
    <w:bookmarkEnd w:id="118"/>
    <w:bookmarkEnd w:id="119"/>
    <w:bookmarkEnd w:id="120"/>
    <w:bookmarkEnd w:id="121"/>
    <w:p w:rsidR="00AF5158" w:rsidRPr="00EA272E" w:rsidRDefault="00A63CF7"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9776" behindDoc="0" locked="0" layoutInCell="1" allowOverlap="1">
                <wp:simplePos x="0" y="0"/>
                <wp:positionH relativeFrom="column">
                  <wp:posOffset>4667250</wp:posOffset>
                </wp:positionH>
                <wp:positionV relativeFrom="paragraph">
                  <wp:posOffset>0</wp:posOffset>
                </wp:positionV>
                <wp:extent cx="720090" cy="720090"/>
                <wp:effectExtent l="7620" t="9525" r="5715" b="13335"/>
                <wp:wrapNone/>
                <wp:docPr id="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FB01FC" w:rsidRDefault="00630BD8" w:rsidP="001E681F">
                            <w:pPr>
                              <w:ind w:leftChars="-52" w:left="-125" w:rightChars="-58" w:right="-139"/>
                              <w:jc w:val="center"/>
                              <w:rPr>
                                <w:sz w:val="52"/>
                                <w:szCs w:val="52"/>
                              </w:rPr>
                            </w:pPr>
                            <w:r w:rsidRPr="00FB01FC">
                              <w:rPr>
                                <w:rFonts w:ascii="微軟正黑體" w:eastAsia="微軟正黑體" w:hAnsi="微軟正黑體"/>
                                <w:b/>
                                <w:sz w:val="52"/>
                                <w:szCs w:val="52"/>
                              </w:rPr>
                              <w:fldChar w:fldCharType="begin"/>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hint="eastAsia"/>
                                <w:b/>
                                <w:sz w:val="52"/>
                                <w:szCs w:val="52"/>
                              </w:rPr>
                              <w:instrText>= 8 \* ROMAN</w:instrText>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b/>
                                <w:sz w:val="52"/>
                                <w:szCs w:val="52"/>
                              </w:rPr>
                              <w:fldChar w:fldCharType="separate"/>
                            </w:r>
                            <w:r w:rsidRPr="00FB01FC">
                              <w:rPr>
                                <w:rFonts w:ascii="微軟正黑體" w:eastAsia="微軟正黑體" w:hAnsi="微軟正黑體"/>
                                <w:b/>
                                <w:noProof/>
                                <w:sz w:val="52"/>
                                <w:szCs w:val="52"/>
                              </w:rPr>
                              <w:t>VIII</w:t>
                            </w:r>
                            <w:r w:rsidRPr="00FB01FC">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75" type="#_x0000_t202" style="position:absolute;left:0;text-align:left;margin-left:367.5pt;margin-top:0;width:56.7pt;height:5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PZC/I0pAgAAWQQAAA4AAAAAAAAAAAAAAAAALgIAAGRycy9l&#10;Mm9Eb2MueG1sUEsBAi0AFAAGAAgAAAAhALiQwT/fAAAACAEAAA8AAAAAAAAAAAAAAAAAgwQAAGRy&#10;cy9kb3ducmV2LnhtbFBLBQYAAAAABAAEAPMAAACPBQAAAAA=&#10;">
                <v:textbox>
                  <w:txbxContent>
                    <w:p w:rsidR="00630BD8" w:rsidRPr="00FB01FC" w:rsidRDefault="00630BD8" w:rsidP="001E681F">
                      <w:pPr>
                        <w:ind w:leftChars="-52" w:left="-125" w:rightChars="-58" w:right="-139"/>
                        <w:jc w:val="center"/>
                        <w:rPr>
                          <w:sz w:val="52"/>
                          <w:szCs w:val="52"/>
                        </w:rPr>
                      </w:pPr>
                      <w:r w:rsidRPr="00FB01FC">
                        <w:rPr>
                          <w:rFonts w:ascii="微軟正黑體" w:eastAsia="微軟正黑體" w:hAnsi="微軟正黑體"/>
                          <w:b/>
                          <w:sz w:val="52"/>
                          <w:szCs w:val="52"/>
                        </w:rPr>
                        <w:fldChar w:fldCharType="begin"/>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hint="eastAsia"/>
                          <w:b/>
                          <w:sz w:val="52"/>
                          <w:szCs w:val="52"/>
                        </w:rPr>
                        <w:instrText>= 8 \* ROMAN</w:instrText>
                      </w:r>
                      <w:r w:rsidRPr="00FB01FC">
                        <w:rPr>
                          <w:rFonts w:ascii="微軟正黑體" w:eastAsia="微軟正黑體" w:hAnsi="微軟正黑體"/>
                          <w:b/>
                          <w:sz w:val="52"/>
                          <w:szCs w:val="52"/>
                        </w:rPr>
                        <w:instrText xml:space="preserve"> </w:instrText>
                      </w:r>
                      <w:r w:rsidRPr="00FB01FC">
                        <w:rPr>
                          <w:rFonts w:ascii="微軟正黑體" w:eastAsia="微軟正黑體" w:hAnsi="微軟正黑體"/>
                          <w:b/>
                          <w:sz w:val="52"/>
                          <w:szCs w:val="52"/>
                        </w:rPr>
                        <w:fldChar w:fldCharType="separate"/>
                      </w:r>
                      <w:r w:rsidRPr="00FB01FC">
                        <w:rPr>
                          <w:rFonts w:ascii="微軟正黑體" w:eastAsia="微軟正黑體" w:hAnsi="微軟正黑體"/>
                          <w:b/>
                          <w:noProof/>
                          <w:sz w:val="52"/>
                          <w:szCs w:val="52"/>
                        </w:rPr>
                        <w:t>VIII</w:t>
                      </w:r>
                      <w:r w:rsidRPr="00FB01FC">
                        <w:rPr>
                          <w:rFonts w:ascii="微軟正黑體" w:eastAsia="微軟正黑體" w:hAnsi="微軟正黑體"/>
                          <w:b/>
                          <w:sz w:val="52"/>
                          <w:szCs w:val="52"/>
                        </w:rPr>
                        <w:fldChar w:fldCharType="end"/>
                      </w:r>
                    </w:p>
                  </w:txbxContent>
                </v:textbox>
              </v:shape>
            </w:pict>
          </mc:Fallback>
        </mc:AlternateContent>
      </w:r>
      <w:bookmarkEnd w:id="122"/>
      <w:bookmarkEnd w:id="123"/>
      <w:bookmarkEnd w:id="124"/>
      <w:bookmarkEnd w:id="125"/>
      <w:bookmarkEnd w:id="126"/>
      <w:bookmarkEnd w:id="127"/>
      <w:bookmarkEnd w:id="128"/>
    </w:p>
    <w:p w:rsidR="00AF5158" w:rsidRPr="00EA272E" w:rsidRDefault="00AF5158" w:rsidP="00AF5158">
      <w:pPr>
        <w:jc w:val="right"/>
        <w:rPr>
          <w:rFonts w:eastAsia="標楷體"/>
        </w:rPr>
      </w:pPr>
    </w:p>
    <w:p w:rsidR="00AF5158" w:rsidRPr="00EA272E" w:rsidRDefault="00AF5158" w:rsidP="00AF5158">
      <w:pPr>
        <w:jc w:val="right"/>
        <w:rPr>
          <w:rFonts w:eastAsia="標楷體"/>
        </w:rPr>
      </w:pPr>
    </w:p>
    <w:p w:rsidR="00567251" w:rsidRPr="000E26E4" w:rsidRDefault="00F9092E"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129" w:name="_Toc449536308"/>
      <w:r w:rsidRPr="000E26E4">
        <w:rPr>
          <w:rFonts w:ascii="Times New Roman" w:eastAsia="標楷體" w:hAnsi="Times New Roman" w:hint="eastAsia"/>
          <w:sz w:val="44"/>
          <w:szCs w:val="46"/>
        </w:rPr>
        <w:t>受控交易評估</w:t>
      </w:r>
      <w:r w:rsidR="00A82581" w:rsidRPr="000E26E4">
        <w:rPr>
          <w:rFonts w:ascii="Times New Roman" w:eastAsia="標楷體" w:hAnsi="Times New Roman" w:hint="eastAsia"/>
          <w:sz w:val="44"/>
          <w:szCs w:val="46"/>
        </w:rPr>
        <w:t>結果</w:t>
      </w:r>
      <w:bookmarkEnd w:id="129"/>
    </w:p>
    <w:p w:rsidR="004C5A82" w:rsidRDefault="00DE220A" w:rsidP="00D82424">
      <w:pPr>
        <w:spacing w:beforeLines="50" w:before="120" w:afterLines="50" w:after="120" w:line="360" w:lineRule="auto"/>
        <w:ind w:firstLineChars="200" w:firstLine="520"/>
        <w:jc w:val="both"/>
        <w:rPr>
          <w:rFonts w:eastAsia="標楷體"/>
          <w:sz w:val="26"/>
          <w:szCs w:val="26"/>
        </w:rPr>
      </w:pPr>
      <w:r w:rsidRPr="0057345F">
        <w:rPr>
          <w:rFonts w:eastAsia="標楷體" w:hint="eastAsia"/>
          <w:sz w:val="26"/>
          <w:szCs w:val="26"/>
        </w:rPr>
        <w:t>由本文據第陸章得知，『成本加價法』為評估瀚昌公司『有形資產之移轉－銷貨』受控交易是否符合常規之最適常規方法。</w:t>
      </w:r>
    </w:p>
    <w:p w:rsidR="004C5A82" w:rsidRDefault="00754070" w:rsidP="00D82424">
      <w:pPr>
        <w:pStyle w:val="2"/>
        <w:numPr>
          <w:ilvl w:val="1"/>
          <w:numId w:val="19"/>
        </w:numPr>
        <w:tabs>
          <w:tab w:val="left" w:pos="756"/>
        </w:tabs>
        <w:spacing w:beforeLines="100" w:before="240" w:afterLines="100" w:after="240" w:line="360" w:lineRule="auto"/>
        <w:ind w:left="840" w:hangingChars="233" w:hanging="840"/>
        <w:rPr>
          <w:rFonts w:ascii="Times New Roman" w:eastAsia="標楷體" w:hAnsi="Times New Roman"/>
          <w:sz w:val="36"/>
          <w:szCs w:val="40"/>
        </w:rPr>
      </w:pPr>
      <w:r w:rsidRPr="00754070">
        <w:rPr>
          <w:rFonts w:ascii="Times New Roman" w:eastAsia="標楷體" w:hAnsi="Times New Roman" w:hint="eastAsia"/>
          <w:sz w:val="36"/>
          <w:szCs w:val="40"/>
        </w:rPr>
        <w:t>採用「成本加價法」為最適常規交易方法</w:t>
      </w:r>
    </w:p>
    <w:p w:rsidR="004C5A82" w:rsidRDefault="00754070" w:rsidP="00D82424">
      <w:pPr>
        <w:spacing w:beforeLines="50" w:before="120" w:afterLines="50" w:after="120" w:line="360" w:lineRule="auto"/>
        <w:ind w:firstLineChars="250" w:firstLine="650"/>
        <w:rPr>
          <w:rFonts w:eastAsia="標楷體"/>
          <w:sz w:val="26"/>
          <w:szCs w:val="26"/>
        </w:rPr>
      </w:pPr>
      <w:r w:rsidRPr="00754070">
        <w:rPr>
          <w:rFonts w:eastAsia="標楷體" w:hint="eastAsia"/>
          <w:sz w:val="26"/>
          <w:szCs w:val="26"/>
        </w:rPr>
        <w:t>『成本加價法』為評估瀚昌公司『有形資產之移轉－銷貨』受控交易是否符合常規之最適常規方法。依移轉訂價查核準則第</w:t>
      </w:r>
      <w:r w:rsidRPr="00754070">
        <w:rPr>
          <w:rFonts w:eastAsia="標楷體" w:hint="eastAsia"/>
          <w:sz w:val="26"/>
          <w:szCs w:val="26"/>
        </w:rPr>
        <w:t>17</w:t>
      </w:r>
      <w:r w:rsidRPr="00754070">
        <w:rPr>
          <w:rFonts w:eastAsia="標楷體" w:hint="eastAsia"/>
          <w:sz w:val="26"/>
          <w:szCs w:val="26"/>
        </w:rPr>
        <w:t>條規定，</w:t>
      </w:r>
      <w:r w:rsidRPr="00754070">
        <w:rPr>
          <w:rFonts w:eastAsia="標楷體"/>
          <w:sz w:val="26"/>
          <w:szCs w:val="26"/>
        </w:rPr>
        <w:t>以</w:t>
      </w:r>
      <w:r w:rsidRPr="00754070">
        <w:rPr>
          <w:rFonts w:eastAsia="標楷體" w:hint="eastAsia"/>
          <w:sz w:val="26"/>
          <w:szCs w:val="26"/>
        </w:rPr>
        <w:t>成本加價</w:t>
      </w:r>
      <w:r w:rsidRPr="00754070">
        <w:rPr>
          <w:rFonts w:eastAsia="標楷體"/>
          <w:sz w:val="26"/>
          <w:szCs w:val="26"/>
        </w:rPr>
        <w:t>法進行評估時，除應考量查核準則第</w:t>
      </w:r>
      <w:r w:rsidRPr="00754070">
        <w:rPr>
          <w:rFonts w:eastAsia="標楷體"/>
          <w:sz w:val="26"/>
          <w:szCs w:val="26"/>
        </w:rPr>
        <w:t>8</w:t>
      </w:r>
      <w:r w:rsidRPr="00754070">
        <w:rPr>
          <w:rFonts w:eastAsia="標楷體"/>
          <w:sz w:val="26"/>
          <w:szCs w:val="26"/>
        </w:rPr>
        <w:t>條第</w:t>
      </w:r>
      <w:r w:rsidRPr="00754070">
        <w:rPr>
          <w:rFonts w:eastAsia="標楷體"/>
          <w:sz w:val="26"/>
          <w:szCs w:val="26"/>
        </w:rPr>
        <w:t>1</w:t>
      </w:r>
      <w:r w:rsidRPr="00754070">
        <w:rPr>
          <w:rFonts w:eastAsia="標楷體"/>
          <w:sz w:val="26"/>
          <w:szCs w:val="26"/>
        </w:rPr>
        <w:t>項規定外，還須考量影響毛利率之因素，包含：執行之功能、承擔之風險、</w:t>
      </w:r>
      <w:r w:rsidRPr="00754070">
        <w:rPr>
          <w:rFonts w:eastAsia="標楷體" w:hint="eastAsia"/>
          <w:sz w:val="26"/>
          <w:szCs w:val="26"/>
        </w:rPr>
        <w:t>契約條款</w:t>
      </w:r>
      <w:r w:rsidRPr="00754070">
        <w:rPr>
          <w:rFonts w:eastAsia="標楷體"/>
          <w:sz w:val="26"/>
          <w:szCs w:val="26"/>
        </w:rPr>
        <w:t>、交易內容是否包含無形資產、成本結構、商業經驗、管理效率及會計處理之ㄧ致性等。若有因上述情況所造成之差異，將嚴重影響</w:t>
      </w:r>
      <w:r w:rsidRPr="00754070">
        <w:rPr>
          <w:rFonts w:eastAsia="標楷體" w:hint="eastAsia"/>
          <w:sz w:val="26"/>
          <w:szCs w:val="26"/>
        </w:rPr>
        <w:t>成本加價</w:t>
      </w:r>
      <w:r w:rsidRPr="00754070">
        <w:rPr>
          <w:rFonts w:eastAsia="標楷體"/>
          <w:sz w:val="26"/>
          <w:szCs w:val="26"/>
        </w:rPr>
        <w:t>率之可比較性。</w:t>
      </w:r>
    </w:p>
    <w:p w:rsidR="004C5A82" w:rsidRDefault="00754070" w:rsidP="00D82424">
      <w:pPr>
        <w:spacing w:beforeLines="50" w:before="120" w:afterLines="50" w:after="120" w:line="360" w:lineRule="auto"/>
        <w:ind w:firstLineChars="250" w:firstLine="650"/>
        <w:rPr>
          <w:rFonts w:eastAsia="標楷體"/>
          <w:sz w:val="26"/>
          <w:szCs w:val="26"/>
        </w:rPr>
      </w:pPr>
      <w:r w:rsidRPr="00754070">
        <w:rPr>
          <w:rFonts w:eastAsia="標楷體"/>
          <w:sz w:val="26"/>
          <w:szCs w:val="26"/>
        </w:rPr>
        <w:t>本</w:t>
      </w:r>
      <w:r w:rsidRPr="00754070">
        <w:rPr>
          <w:rFonts w:eastAsia="標楷體" w:hint="eastAsia"/>
          <w:sz w:val="26"/>
          <w:szCs w:val="26"/>
        </w:rPr>
        <w:t>報告於</w:t>
      </w:r>
      <w:r w:rsidRPr="00754070">
        <w:rPr>
          <w:rFonts w:eastAsia="標楷體"/>
          <w:sz w:val="26"/>
          <w:szCs w:val="26"/>
        </w:rPr>
        <w:t>第</w:t>
      </w:r>
      <w:r w:rsidR="00791D14">
        <w:rPr>
          <w:rFonts w:eastAsia="標楷體" w:hint="eastAsia"/>
          <w:sz w:val="26"/>
          <w:szCs w:val="26"/>
        </w:rPr>
        <w:t>柒</w:t>
      </w:r>
      <w:r w:rsidRPr="00754070">
        <w:rPr>
          <w:rFonts w:eastAsia="標楷體"/>
          <w:sz w:val="26"/>
          <w:szCs w:val="26"/>
        </w:rPr>
        <w:t>章已說明可比較對象經過重重篩選所以勝出之原因。由於每一公司都是獨一無二，實際上無法找出與</w:t>
      </w:r>
      <w:r w:rsidRPr="00754070">
        <w:rPr>
          <w:rFonts w:eastAsia="標楷體" w:hint="eastAsia"/>
          <w:sz w:val="26"/>
          <w:szCs w:val="26"/>
        </w:rPr>
        <w:t>瀚昌公司</w:t>
      </w:r>
      <w:r w:rsidRPr="00754070">
        <w:rPr>
          <w:rFonts w:eastAsia="標楷體"/>
          <w:sz w:val="26"/>
          <w:szCs w:val="26"/>
        </w:rPr>
        <w:t>百分之百相同之公司，最後</w:t>
      </w:r>
      <w:r w:rsidR="004E719F">
        <w:rPr>
          <w:rFonts w:eastAsia="標楷體" w:hint="eastAsia"/>
          <w:sz w:val="26"/>
          <w:szCs w:val="26"/>
        </w:rPr>
        <w:t>9</w:t>
      </w:r>
      <w:r w:rsidRPr="00754070">
        <w:rPr>
          <w:rFonts w:eastAsia="標楷體"/>
          <w:sz w:val="26"/>
          <w:szCs w:val="26"/>
        </w:rPr>
        <w:t>家公司所以被接受之原因在於其與</w:t>
      </w:r>
      <w:r w:rsidRPr="00754070">
        <w:rPr>
          <w:rFonts w:eastAsia="標楷體" w:hint="eastAsia"/>
          <w:sz w:val="26"/>
          <w:szCs w:val="26"/>
        </w:rPr>
        <w:t>瀚昌公司</w:t>
      </w:r>
      <w:r w:rsidRPr="00754070">
        <w:rPr>
          <w:rFonts w:eastAsia="標楷體"/>
          <w:sz w:val="26"/>
          <w:szCs w:val="26"/>
        </w:rPr>
        <w:t>執行之功能及所售商品相似所致。</w:t>
      </w:r>
    </w:p>
    <w:p w:rsidR="004C5A82" w:rsidRDefault="00754070" w:rsidP="00D82424">
      <w:pPr>
        <w:pStyle w:val="33"/>
        <w:spacing w:beforeLines="50" w:before="120" w:afterLines="50" w:after="120" w:line="360" w:lineRule="auto"/>
        <w:ind w:firstLineChars="200" w:firstLine="520"/>
        <w:jc w:val="both"/>
        <w:rPr>
          <w:szCs w:val="26"/>
        </w:rPr>
      </w:pPr>
      <w:r w:rsidRPr="00754070">
        <w:rPr>
          <w:szCs w:val="26"/>
        </w:rPr>
        <w:t>相同的資產或服務常因其所面臨之市場或經濟環境不同，而產生不同之常規交易價格。因此在判斷可比較程度時，應考量受控交易及未受控交易所面臨之經濟及市場情況是否相似。若兩者所處之市場有差異，其差異應微小至對價格未產生實質影響，或雖有影響，</w:t>
      </w:r>
      <w:r w:rsidRPr="00754070">
        <w:rPr>
          <w:rFonts w:hint="eastAsia"/>
          <w:szCs w:val="26"/>
        </w:rPr>
        <w:t>但</w:t>
      </w:r>
      <w:r w:rsidRPr="00754070">
        <w:rPr>
          <w:szCs w:val="26"/>
        </w:rPr>
        <w:t>可經適當之調整以消除該差異。</w:t>
      </w:r>
    </w:p>
    <w:p w:rsidR="004C5A82" w:rsidRDefault="00876C5E" w:rsidP="00D82424">
      <w:pPr>
        <w:pStyle w:val="2"/>
        <w:numPr>
          <w:ilvl w:val="1"/>
          <w:numId w:val="19"/>
        </w:numPr>
        <w:tabs>
          <w:tab w:val="left" w:pos="756"/>
        </w:tabs>
        <w:spacing w:beforeLines="100" w:before="240" w:afterLines="100" w:after="240" w:line="360" w:lineRule="auto"/>
        <w:ind w:left="0" w:firstLine="0"/>
        <w:rPr>
          <w:rFonts w:ascii="Times New Roman" w:eastAsia="標楷體" w:hAnsi="Times New Roman"/>
          <w:sz w:val="36"/>
          <w:szCs w:val="40"/>
        </w:rPr>
      </w:pPr>
      <w:r w:rsidRPr="00C727A6">
        <w:rPr>
          <w:rFonts w:ascii="Times New Roman" w:eastAsia="標楷體" w:hAnsi="Times New Roman" w:hint="eastAsia"/>
          <w:sz w:val="36"/>
          <w:szCs w:val="40"/>
        </w:rPr>
        <w:lastRenderedPageBreak/>
        <w:t>差異調整</w:t>
      </w:r>
    </w:p>
    <w:p w:rsidR="004C5A82" w:rsidRDefault="00876C5E" w:rsidP="00D82424">
      <w:pPr>
        <w:pStyle w:val="3"/>
        <w:numPr>
          <w:ilvl w:val="0"/>
          <w:numId w:val="37"/>
        </w:numPr>
        <w:spacing w:beforeLines="50" w:before="120" w:afterLines="50" w:after="120" w:line="360" w:lineRule="auto"/>
        <w:ind w:leftChars="100" w:left="720"/>
        <w:jc w:val="both"/>
        <w:rPr>
          <w:rFonts w:ascii="Times New Roman" w:eastAsia="標楷體" w:hAnsi="Times New Roman"/>
          <w:sz w:val="32"/>
          <w:szCs w:val="26"/>
        </w:rPr>
      </w:pPr>
      <w:r w:rsidRPr="00C727A6">
        <w:rPr>
          <w:rFonts w:ascii="Times New Roman" w:eastAsia="標楷體" w:hAnsi="Times New Roman" w:hint="eastAsia"/>
          <w:sz w:val="32"/>
          <w:szCs w:val="26"/>
        </w:rPr>
        <w:t>會計處理的調整</w:t>
      </w:r>
    </w:p>
    <w:p w:rsidR="004C5A82" w:rsidRDefault="00876C5E" w:rsidP="00D82424">
      <w:pPr>
        <w:spacing w:beforeLines="50" w:before="120" w:afterLines="50" w:after="120" w:line="360" w:lineRule="auto"/>
        <w:ind w:leftChars="200" w:left="480" w:firstLineChars="200" w:firstLine="520"/>
        <w:jc w:val="both"/>
        <w:rPr>
          <w:rFonts w:eastAsia="標楷體"/>
          <w:sz w:val="26"/>
          <w:szCs w:val="26"/>
        </w:rPr>
      </w:pPr>
      <w:r w:rsidRPr="009F456B">
        <w:rPr>
          <w:rFonts w:eastAsia="標楷體" w:hint="eastAsia"/>
          <w:sz w:val="26"/>
          <w:szCs w:val="26"/>
        </w:rPr>
        <w:t>來自</w:t>
      </w:r>
      <w:r w:rsidR="00245BD4">
        <w:rPr>
          <w:rFonts w:eastAsia="標楷體" w:hint="eastAsia"/>
          <w:sz w:val="26"/>
          <w:szCs w:val="26"/>
        </w:rPr>
        <w:t>ONESOURCE</w:t>
      </w:r>
      <w:r w:rsidR="00245BD4">
        <w:rPr>
          <w:rFonts w:eastAsia="標楷體" w:hint="eastAsia"/>
          <w:sz w:val="26"/>
          <w:szCs w:val="26"/>
        </w:rPr>
        <w:t>資料庫</w:t>
      </w:r>
      <w:r w:rsidRPr="009F456B">
        <w:rPr>
          <w:rFonts w:eastAsia="標楷體" w:hint="eastAsia"/>
          <w:sz w:val="26"/>
          <w:szCs w:val="26"/>
        </w:rPr>
        <w:t>之可比較對象財務資料，</w:t>
      </w:r>
      <w:r>
        <w:rPr>
          <w:rFonts w:eastAsia="標楷體" w:hint="eastAsia"/>
          <w:sz w:val="26"/>
          <w:szCs w:val="26"/>
        </w:rPr>
        <w:t>在本所</w:t>
      </w:r>
      <w:r w:rsidRPr="009F456B">
        <w:rPr>
          <w:rFonts w:eastAsia="標楷體" w:hint="eastAsia"/>
          <w:sz w:val="26"/>
          <w:szCs w:val="26"/>
        </w:rPr>
        <w:t>無法</w:t>
      </w:r>
      <w:r>
        <w:rPr>
          <w:rFonts w:eastAsia="標楷體" w:hint="eastAsia"/>
          <w:sz w:val="26"/>
          <w:szCs w:val="26"/>
        </w:rPr>
        <w:t>確定</w:t>
      </w:r>
      <w:r w:rsidRPr="009F456B">
        <w:rPr>
          <w:rFonts w:eastAsia="標楷體" w:hint="eastAsia"/>
          <w:sz w:val="26"/>
          <w:szCs w:val="26"/>
        </w:rPr>
        <w:t>各可比較對象與受測個體</w:t>
      </w:r>
      <w:r>
        <w:rPr>
          <w:rFonts w:eastAsia="標楷體" w:hint="eastAsia"/>
          <w:sz w:val="26"/>
          <w:szCs w:val="26"/>
        </w:rPr>
        <w:t>間之</w:t>
      </w:r>
      <w:r w:rsidRPr="009F456B">
        <w:rPr>
          <w:rFonts w:eastAsia="標楷體" w:hint="eastAsia"/>
          <w:sz w:val="26"/>
          <w:szCs w:val="26"/>
        </w:rPr>
        <w:t>會計處理</w:t>
      </w:r>
      <w:r>
        <w:rPr>
          <w:rFonts w:eastAsia="標楷體" w:hint="eastAsia"/>
          <w:sz w:val="26"/>
          <w:szCs w:val="26"/>
        </w:rPr>
        <w:t>是否存有差異及其是否帶來</w:t>
      </w:r>
      <w:r w:rsidRPr="009F456B">
        <w:rPr>
          <w:rFonts w:eastAsia="標楷體" w:hint="eastAsia"/>
          <w:sz w:val="26"/>
          <w:szCs w:val="26"/>
        </w:rPr>
        <w:t>實質影響</w:t>
      </w:r>
      <w:r>
        <w:rPr>
          <w:rFonts w:eastAsia="標楷體" w:hint="eastAsia"/>
          <w:sz w:val="26"/>
          <w:szCs w:val="26"/>
        </w:rPr>
        <w:t>下</w:t>
      </w:r>
      <w:r w:rsidRPr="009F456B">
        <w:rPr>
          <w:rFonts w:eastAsia="標楷體" w:hint="eastAsia"/>
          <w:sz w:val="26"/>
          <w:szCs w:val="26"/>
        </w:rPr>
        <w:t>，</w:t>
      </w:r>
      <w:r>
        <w:rPr>
          <w:rFonts w:eastAsia="標楷體" w:hint="eastAsia"/>
          <w:sz w:val="26"/>
          <w:szCs w:val="26"/>
        </w:rPr>
        <w:t>因缺乏</w:t>
      </w:r>
      <w:r w:rsidRPr="009F456B">
        <w:rPr>
          <w:rFonts w:eastAsia="標楷體" w:hint="eastAsia"/>
          <w:sz w:val="26"/>
          <w:szCs w:val="26"/>
        </w:rPr>
        <w:t>會計調整</w:t>
      </w:r>
      <w:r>
        <w:rPr>
          <w:rFonts w:eastAsia="標楷體" w:hint="eastAsia"/>
          <w:sz w:val="26"/>
          <w:szCs w:val="26"/>
        </w:rPr>
        <w:t>之</w:t>
      </w:r>
      <w:r w:rsidRPr="009F456B">
        <w:rPr>
          <w:rFonts w:eastAsia="標楷體" w:hint="eastAsia"/>
          <w:sz w:val="26"/>
          <w:szCs w:val="26"/>
        </w:rPr>
        <w:t>依據，</w:t>
      </w:r>
      <w:r>
        <w:rPr>
          <w:rFonts w:eastAsia="標楷體" w:hint="eastAsia"/>
          <w:sz w:val="26"/>
          <w:szCs w:val="26"/>
        </w:rPr>
        <w:t>故</w:t>
      </w:r>
      <w:r w:rsidRPr="009F456B">
        <w:rPr>
          <w:rFonts w:eastAsia="標楷體" w:hint="eastAsia"/>
          <w:sz w:val="26"/>
          <w:szCs w:val="26"/>
        </w:rPr>
        <w:t>不對可比較對象的財務資料</w:t>
      </w:r>
      <w:r>
        <w:rPr>
          <w:rFonts w:eastAsia="標楷體" w:hint="eastAsia"/>
          <w:sz w:val="26"/>
          <w:szCs w:val="26"/>
        </w:rPr>
        <w:t>進行</w:t>
      </w:r>
      <w:r w:rsidRPr="009F456B">
        <w:rPr>
          <w:rFonts w:eastAsia="標楷體" w:hint="eastAsia"/>
          <w:sz w:val="26"/>
          <w:szCs w:val="26"/>
        </w:rPr>
        <w:t>任何會計處理調整。</w:t>
      </w:r>
    </w:p>
    <w:p w:rsidR="004C5A82" w:rsidRDefault="00876C5E" w:rsidP="00D82424">
      <w:pPr>
        <w:pStyle w:val="3"/>
        <w:numPr>
          <w:ilvl w:val="0"/>
          <w:numId w:val="37"/>
        </w:numPr>
        <w:spacing w:beforeLines="50" w:before="120" w:afterLines="50" w:after="120" w:line="360" w:lineRule="auto"/>
        <w:ind w:leftChars="100" w:left="720"/>
        <w:jc w:val="both"/>
        <w:rPr>
          <w:rFonts w:ascii="Times New Roman" w:eastAsia="標楷體" w:hAnsi="Times New Roman"/>
          <w:sz w:val="32"/>
          <w:szCs w:val="26"/>
        </w:rPr>
      </w:pPr>
      <w:r w:rsidRPr="00C0551B">
        <w:rPr>
          <w:rFonts w:ascii="Times New Roman" w:eastAsia="標楷體" w:hAnsi="Times New Roman" w:hint="eastAsia"/>
          <w:sz w:val="32"/>
          <w:szCs w:val="26"/>
        </w:rPr>
        <w:t>資本性調整</w:t>
      </w:r>
    </w:p>
    <w:p w:rsidR="004C5A82" w:rsidRDefault="00876C5E" w:rsidP="00D82424">
      <w:pPr>
        <w:spacing w:beforeLines="50" w:before="120" w:afterLines="50" w:after="120" w:line="360" w:lineRule="auto"/>
        <w:ind w:leftChars="200" w:left="480" w:firstLineChars="200" w:firstLine="520"/>
        <w:jc w:val="both"/>
        <w:rPr>
          <w:rFonts w:eastAsia="標楷體"/>
          <w:sz w:val="26"/>
          <w:szCs w:val="26"/>
        </w:rPr>
      </w:pPr>
      <w:r w:rsidRPr="00C0551B">
        <w:rPr>
          <w:rFonts w:eastAsia="標楷體"/>
          <w:sz w:val="26"/>
          <w:szCs w:val="26"/>
        </w:rPr>
        <w:t>根據移轉訂價查核準則第</w:t>
      </w:r>
      <w:r w:rsidRPr="00C0551B">
        <w:rPr>
          <w:rFonts w:eastAsia="標楷體"/>
          <w:sz w:val="26"/>
          <w:szCs w:val="26"/>
        </w:rPr>
        <w:t>8</w:t>
      </w:r>
      <w:r w:rsidRPr="00C0551B">
        <w:rPr>
          <w:rFonts w:eastAsia="標楷體"/>
          <w:sz w:val="26"/>
          <w:szCs w:val="26"/>
        </w:rPr>
        <w:t>條規定，</w:t>
      </w:r>
      <w:r w:rsidRPr="00C0551B">
        <w:rPr>
          <w:rFonts w:eastAsia="標楷體" w:hint="eastAsia"/>
          <w:sz w:val="26"/>
          <w:szCs w:val="26"/>
        </w:rPr>
        <w:t>營利事業與非關係人之情況，或其所從事之受控交易與未受控交易間，如存在價格或利潤等因素之顯著差異，應就該等差異所造成之影響進行合理之調整。因此，在進行可比較公司的財務數字比較時，必須進行「資本性調整」，排除營運資本中的隱藏利息部分，將可比較公司的存貨，進貨條件和銷貨條件調整至同一基準點上，以提升營利事業與非關係人間所從事之未受控交易之可比較程度。</w:t>
      </w:r>
    </w:p>
    <w:p w:rsidR="004C5A82" w:rsidRDefault="00876C5E" w:rsidP="00D82424">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茲先行將下述調整</w:t>
      </w:r>
      <w:r w:rsidRPr="00EA272E">
        <w:rPr>
          <w:rFonts w:eastAsia="標楷體"/>
          <w:sz w:val="26"/>
          <w:szCs w:val="26"/>
        </w:rPr>
        <w:t>公式所運用之變數定義如下：</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8B6EE5">
        <w:rPr>
          <w:rFonts w:eastAsia="標楷體" w:hint="eastAsia"/>
          <w:sz w:val="26"/>
          <w:szCs w:val="26"/>
        </w:rPr>
        <w:t>AAR=</w:t>
      </w:r>
      <w:r w:rsidRPr="008B6EE5">
        <w:rPr>
          <w:rFonts w:eastAsia="標楷體" w:hint="eastAsia"/>
          <w:sz w:val="26"/>
          <w:szCs w:val="26"/>
        </w:rPr>
        <w:t>平均應收帳款（</w:t>
      </w:r>
      <w:r w:rsidRPr="008B6EE5">
        <w:rPr>
          <w:rFonts w:eastAsia="標楷體" w:hint="eastAsia"/>
          <w:sz w:val="26"/>
          <w:szCs w:val="26"/>
        </w:rPr>
        <w:t>Average Accounts Receivable</w:t>
      </w:r>
      <w:r w:rsidRPr="008B6EE5">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8B6EE5">
        <w:rPr>
          <w:rFonts w:eastAsia="標楷體" w:hint="eastAsia"/>
          <w:sz w:val="26"/>
          <w:szCs w:val="26"/>
        </w:rPr>
        <w:t>AAP=</w:t>
      </w:r>
      <w:r w:rsidRPr="008B6EE5">
        <w:rPr>
          <w:rFonts w:eastAsia="標楷體" w:hint="eastAsia"/>
          <w:sz w:val="26"/>
          <w:szCs w:val="26"/>
        </w:rPr>
        <w:t>平均應付帳款（</w:t>
      </w:r>
      <w:r w:rsidRPr="008B6EE5">
        <w:rPr>
          <w:rFonts w:eastAsia="標楷體" w:hint="eastAsia"/>
          <w:sz w:val="26"/>
          <w:szCs w:val="26"/>
        </w:rPr>
        <w:t>Average Accounts Payable</w:t>
      </w:r>
      <w:r w:rsidRPr="008B6EE5">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8B6EE5">
        <w:rPr>
          <w:rFonts w:eastAsia="標楷體" w:hint="eastAsia"/>
          <w:sz w:val="26"/>
          <w:szCs w:val="26"/>
        </w:rPr>
        <w:t>INV=</w:t>
      </w:r>
      <w:r w:rsidRPr="008B6EE5">
        <w:rPr>
          <w:rFonts w:eastAsia="標楷體" w:hint="eastAsia"/>
          <w:sz w:val="26"/>
          <w:szCs w:val="26"/>
        </w:rPr>
        <w:t>平均存貨（</w:t>
      </w:r>
      <w:r w:rsidRPr="008B6EE5">
        <w:rPr>
          <w:rFonts w:eastAsia="標楷體" w:hint="eastAsia"/>
          <w:sz w:val="26"/>
          <w:szCs w:val="26"/>
        </w:rPr>
        <w:t>Average Inventory</w:t>
      </w:r>
      <w:r w:rsidRPr="008B6EE5">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8B6EE5">
        <w:rPr>
          <w:rFonts w:eastAsia="標楷體" w:hint="eastAsia"/>
          <w:sz w:val="26"/>
          <w:szCs w:val="26"/>
        </w:rPr>
        <w:t>Sales=</w:t>
      </w:r>
      <w:r w:rsidRPr="008B6EE5">
        <w:rPr>
          <w:rFonts w:eastAsia="標楷體" w:hint="eastAsia"/>
          <w:sz w:val="26"/>
          <w:szCs w:val="26"/>
        </w:rPr>
        <w:t>銷售淨額（</w:t>
      </w:r>
      <w:r w:rsidRPr="008B6EE5">
        <w:rPr>
          <w:rFonts w:eastAsia="標楷體" w:hint="eastAsia"/>
          <w:sz w:val="26"/>
          <w:szCs w:val="26"/>
        </w:rPr>
        <w:t>Net Sales</w:t>
      </w:r>
      <w:r w:rsidRPr="008B6EE5">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8B6EE5">
        <w:rPr>
          <w:rFonts w:eastAsia="標楷體" w:hint="eastAsia"/>
          <w:sz w:val="26"/>
          <w:szCs w:val="26"/>
        </w:rPr>
        <w:t>OP=</w:t>
      </w:r>
      <w:r w:rsidRPr="008B6EE5">
        <w:rPr>
          <w:rFonts w:eastAsia="標楷體" w:hint="eastAsia"/>
          <w:sz w:val="26"/>
          <w:szCs w:val="26"/>
        </w:rPr>
        <w:t>營業淨利（</w:t>
      </w:r>
      <w:r w:rsidRPr="008B6EE5">
        <w:rPr>
          <w:rFonts w:eastAsia="標楷體" w:hint="eastAsia"/>
          <w:sz w:val="26"/>
          <w:szCs w:val="26"/>
        </w:rPr>
        <w:t>Operating Profit</w:t>
      </w:r>
      <w:r w:rsidRPr="008B6EE5">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754070">
        <w:rPr>
          <w:rFonts w:eastAsia="標楷體" w:hint="eastAsia"/>
          <w:sz w:val="26"/>
          <w:szCs w:val="26"/>
        </w:rPr>
        <w:t>COGS=</w:t>
      </w:r>
      <w:r w:rsidRPr="00754070">
        <w:rPr>
          <w:rFonts w:eastAsia="標楷體" w:hint="eastAsia"/>
          <w:sz w:val="26"/>
          <w:szCs w:val="26"/>
        </w:rPr>
        <w:t>營業成本（</w:t>
      </w:r>
      <w:r w:rsidRPr="00754070">
        <w:rPr>
          <w:rFonts w:eastAsia="標楷體" w:hint="eastAsia"/>
          <w:sz w:val="26"/>
          <w:szCs w:val="26"/>
        </w:rPr>
        <w:t>Cost of Goods Sold</w:t>
      </w:r>
      <w:r w:rsidRPr="00754070">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754070">
        <w:rPr>
          <w:rFonts w:eastAsia="標楷體" w:hint="eastAsia"/>
          <w:sz w:val="26"/>
          <w:szCs w:val="26"/>
        </w:rPr>
        <w:lastRenderedPageBreak/>
        <w:t>GP=</w:t>
      </w:r>
      <w:r w:rsidRPr="00754070">
        <w:rPr>
          <w:rFonts w:eastAsia="標楷體" w:hint="eastAsia"/>
          <w:sz w:val="26"/>
          <w:szCs w:val="26"/>
        </w:rPr>
        <w:t>營業毛利（</w:t>
      </w:r>
      <w:r w:rsidRPr="00754070">
        <w:rPr>
          <w:rFonts w:eastAsia="標楷體" w:hint="eastAsia"/>
          <w:sz w:val="26"/>
          <w:szCs w:val="26"/>
        </w:rPr>
        <w:t>Gross Profit</w:t>
      </w:r>
      <w:r w:rsidRPr="00754070">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754070">
        <w:rPr>
          <w:rFonts w:eastAsia="標楷體" w:hint="eastAsia"/>
          <w:sz w:val="26"/>
          <w:szCs w:val="26"/>
        </w:rPr>
        <w:t>TOE=</w:t>
      </w:r>
      <w:r w:rsidRPr="00754070">
        <w:rPr>
          <w:rFonts w:eastAsia="標楷體" w:hint="eastAsia"/>
          <w:sz w:val="26"/>
          <w:szCs w:val="26"/>
        </w:rPr>
        <w:t>營業費用（</w:t>
      </w:r>
      <w:r w:rsidRPr="00754070">
        <w:rPr>
          <w:rFonts w:eastAsia="標楷體" w:hint="eastAsia"/>
          <w:sz w:val="26"/>
          <w:szCs w:val="26"/>
        </w:rPr>
        <w:t>Total Operating Expense</w:t>
      </w:r>
      <w:r w:rsidRPr="00754070">
        <w:rPr>
          <w:rFonts w:eastAsia="標楷體" w:hint="eastAsia"/>
          <w:sz w:val="26"/>
          <w:szCs w:val="26"/>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lang w:val="pl-PL"/>
        </w:rPr>
      </w:pPr>
      <w:r w:rsidRPr="00754070">
        <w:rPr>
          <w:rFonts w:eastAsia="標楷體" w:hint="eastAsia"/>
          <w:sz w:val="26"/>
          <w:szCs w:val="26"/>
          <w:lang w:val="pl-PL"/>
        </w:rPr>
        <w:t>i=</w:t>
      </w:r>
      <w:r w:rsidRPr="008B6EE5">
        <w:rPr>
          <w:rFonts w:eastAsia="標楷體" w:hint="eastAsia"/>
          <w:sz w:val="26"/>
          <w:szCs w:val="26"/>
        </w:rPr>
        <w:t>利率</w:t>
      </w:r>
      <w:r w:rsidRPr="00754070">
        <w:rPr>
          <w:rFonts w:eastAsia="標楷體" w:hint="eastAsia"/>
          <w:sz w:val="26"/>
          <w:szCs w:val="26"/>
          <w:lang w:val="pl-PL"/>
        </w:rPr>
        <w:t>（</w:t>
      </w:r>
      <w:r w:rsidRPr="00754070">
        <w:rPr>
          <w:rFonts w:eastAsia="標楷體" w:hint="eastAsia"/>
          <w:sz w:val="26"/>
          <w:szCs w:val="26"/>
          <w:lang w:val="pl-PL"/>
        </w:rPr>
        <w:t>Interest Rate</w:t>
      </w:r>
      <w:r w:rsidRPr="00754070">
        <w:rPr>
          <w:rFonts w:eastAsia="標楷體" w:hint="eastAsia"/>
          <w:sz w:val="26"/>
          <w:szCs w:val="26"/>
          <w:lang w:val="pl-PL"/>
        </w:rPr>
        <w:t>）；</w:t>
      </w:r>
    </w:p>
    <w:p w:rsidR="004C5A82" w:rsidRDefault="00754070" w:rsidP="00D82424">
      <w:pPr>
        <w:numPr>
          <w:ilvl w:val="0"/>
          <w:numId w:val="36"/>
        </w:numPr>
        <w:tabs>
          <w:tab w:val="left" w:pos="1418"/>
        </w:tabs>
        <w:spacing w:beforeLines="50" w:before="120" w:afterLines="50" w:after="120" w:line="360" w:lineRule="auto"/>
        <w:ind w:left="1418"/>
        <w:jc w:val="both"/>
        <w:rPr>
          <w:rFonts w:eastAsia="標楷體"/>
          <w:sz w:val="26"/>
          <w:szCs w:val="26"/>
        </w:rPr>
      </w:pPr>
      <w:proofErr w:type="spellStart"/>
      <w:r w:rsidRPr="008B6EE5">
        <w:rPr>
          <w:rFonts w:eastAsia="標楷體" w:hint="eastAsia"/>
          <w:sz w:val="26"/>
          <w:szCs w:val="26"/>
        </w:rPr>
        <w:t>tp</w:t>
      </w:r>
      <w:proofErr w:type="spellEnd"/>
      <w:r w:rsidRPr="008B6EE5">
        <w:rPr>
          <w:rFonts w:eastAsia="標楷體" w:hint="eastAsia"/>
          <w:sz w:val="26"/>
          <w:szCs w:val="26"/>
        </w:rPr>
        <w:t>=</w:t>
      </w:r>
      <w:r w:rsidRPr="008B6EE5">
        <w:rPr>
          <w:rFonts w:eastAsia="標楷體" w:hint="eastAsia"/>
          <w:sz w:val="26"/>
          <w:szCs w:val="26"/>
        </w:rPr>
        <w:t>受測個體（</w:t>
      </w:r>
      <w:r w:rsidRPr="008B6EE5">
        <w:rPr>
          <w:rFonts w:eastAsia="標楷體" w:hint="eastAsia"/>
          <w:sz w:val="26"/>
          <w:szCs w:val="26"/>
        </w:rPr>
        <w:t>Tested Party</w:t>
      </w:r>
      <w:r w:rsidRPr="008B6EE5">
        <w:rPr>
          <w:rFonts w:eastAsia="標楷體" w:hint="eastAsia"/>
          <w:sz w:val="26"/>
          <w:szCs w:val="26"/>
        </w:rPr>
        <w:t>）；</w:t>
      </w:r>
    </w:p>
    <w:p w:rsidR="004C5A82" w:rsidRDefault="00876C5E" w:rsidP="00D82424">
      <w:pPr>
        <w:numPr>
          <w:ilvl w:val="0"/>
          <w:numId w:val="36"/>
        </w:numPr>
        <w:tabs>
          <w:tab w:val="left" w:pos="1418"/>
        </w:tabs>
        <w:spacing w:beforeLines="50" w:before="120" w:afterLines="50" w:after="120" w:line="360" w:lineRule="auto"/>
        <w:ind w:left="1418"/>
        <w:jc w:val="both"/>
        <w:rPr>
          <w:rFonts w:eastAsia="標楷體"/>
          <w:sz w:val="26"/>
          <w:szCs w:val="26"/>
        </w:rPr>
      </w:pPr>
      <w:r w:rsidRPr="008B6EE5">
        <w:rPr>
          <w:rFonts w:eastAsia="標楷體"/>
          <w:sz w:val="26"/>
          <w:szCs w:val="26"/>
        </w:rPr>
        <w:t>cc=</w:t>
      </w:r>
      <w:r w:rsidRPr="008B6EE5">
        <w:rPr>
          <w:rFonts w:eastAsia="標楷體" w:hint="eastAsia"/>
          <w:sz w:val="26"/>
          <w:szCs w:val="26"/>
        </w:rPr>
        <w:t>可比較對象（</w:t>
      </w:r>
      <w:r w:rsidRPr="008B6EE5">
        <w:rPr>
          <w:rFonts w:eastAsia="標楷體" w:hint="eastAsia"/>
          <w:sz w:val="26"/>
          <w:szCs w:val="26"/>
        </w:rPr>
        <w:t>Comparable Company</w:t>
      </w:r>
      <w:r w:rsidRPr="008B6EE5">
        <w:rPr>
          <w:rFonts w:eastAsia="標楷體" w:hint="eastAsia"/>
          <w:sz w:val="26"/>
          <w:szCs w:val="26"/>
        </w:rPr>
        <w:t>）。</w:t>
      </w:r>
    </w:p>
    <w:p w:rsidR="004C5A82" w:rsidRDefault="00876C5E" w:rsidP="00D82424">
      <w:pPr>
        <w:numPr>
          <w:ilvl w:val="0"/>
          <w:numId w:val="35"/>
        </w:numPr>
        <w:tabs>
          <w:tab w:val="left" w:pos="1134"/>
        </w:tabs>
        <w:spacing w:beforeLines="50" w:before="120" w:afterLines="50" w:after="120" w:line="360" w:lineRule="auto"/>
        <w:ind w:leftChars="250" w:left="1080"/>
        <w:jc w:val="both"/>
        <w:rPr>
          <w:rFonts w:eastAsia="標楷體"/>
          <w:b/>
          <w:sz w:val="28"/>
          <w:szCs w:val="26"/>
        </w:rPr>
      </w:pPr>
      <w:r w:rsidRPr="00C0551B">
        <w:rPr>
          <w:rFonts w:eastAsia="標楷體" w:hint="eastAsia"/>
          <w:b/>
          <w:sz w:val="28"/>
          <w:szCs w:val="26"/>
        </w:rPr>
        <w:t>應收帳款調整</w:t>
      </w:r>
    </w:p>
    <w:p w:rsidR="004C5A82" w:rsidRDefault="00876C5E" w:rsidP="00D82424">
      <w:pPr>
        <w:spacing w:beforeLines="50" w:before="120" w:afterLines="50" w:after="120" w:line="360" w:lineRule="auto"/>
        <w:ind w:leftChars="300" w:left="720" w:firstLineChars="200" w:firstLine="520"/>
        <w:jc w:val="both"/>
        <w:rPr>
          <w:rFonts w:eastAsia="標楷體"/>
          <w:sz w:val="26"/>
          <w:szCs w:val="26"/>
        </w:rPr>
      </w:pPr>
      <w:r w:rsidRPr="00C0551B">
        <w:rPr>
          <w:rFonts w:eastAsia="標楷體" w:hint="eastAsia"/>
          <w:sz w:val="26"/>
          <w:szCs w:val="26"/>
        </w:rPr>
        <w:t>可比較公司與受測個體應收帳款收款週轉天數之間的差異，會影響銷貨淨額，進而影響財務比率之評估及比較，因此需要進行調整。例如：在其他條件相同的狀況下，兩家企業對客戶給的銷貨條件不同，其銷貨收入和利潤則會不同，因為給予較長的應收帳款周轉天數的企業已將其所隱含的時間價值加入售價之中，造成較高的銷貨收入，影響了財務比率比較的準確性。因此，為提高可比較公司與受測個體間的可比較性，有必要將銷貨條件不同所造成的利息影響</w:t>
      </w:r>
      <w:r>
        <w:rPr>
          <w:rFonts w:eastAsia="標楷體" w:hint="eastAsia"/>
          <w:sz w:val="26"/>
          <w:szCs w:val="26"/>
        </w:rPr>
        <w:t>為適當</w:t>
      </w:r>
      <w:r w:rsidRPr="00C0551B">
        <w:rPr>
          <w:rFonts w:eastAsia="標楷體" w:hint="eastAsia"/>
          <w:sz w:val="26"/>
          <w:szCs w:val="26"/>
        </w:rPr>
        <w:t>調整如下</w:t>
      </w:r>
      <w:r>
        <w:rPr>
          <w:rFonts w:eastAsia="標楷體" w:hint="eastAsia"/>
          <w:sz w:val="26"/>
          <w:szCs w:val="26"/>
        </w:rPr>
        <w:t>：</w:t>
      </w:r>
    </w:p>
    <w:p w:rsidR="004C5A82" w:rsidRDefault="00876C5E" w:rsidP="00D82424">
      <w:pPr>
        <w:tabs>
          <w:tab w:val="left" w:leader="dot" w:pos="7797"/>
        </w:tabs>
        <w:spacing w:beforeLines="50" w:before="120" w:afterLines="50" w:after="120" w:line="360" w:lineRule="auto"/>
        <w:ind w:leftChars="300" w:left="720"/>
        <w:rPr>
          <w:rFonts w:eastAsia="標楷體"/>
          <w:sz w:val="26"/>
          <w:szCs w:val="26"/>
        </w:rPr>
      </w:pPr>
      <w:r w:rsidRPr="00032268">
        <w:rPr>
          <w:rFonts w:eastAsia="標楷體"/>
          <w:color w:val="FF0000"/>
          <w:position w:val="-34"/>
          <w:sz w:val="26"/>
          <w:szCs w:val="26"/>
        </w:rPr>
        <w:object w:dxaOrig="4400" w:dyaOrig="800">
          <v:shape id="_x0000_i1026" type="#_x0000_t75" style="width:237.8pt;height:39.75pt" o:ole="">
            <v:imagedata r:id="rId32" o:title=""/>
          </v:shape>
          <o:OLEObject Type="Embed" ProgID="Equation.3" ShapeID="_x0000_i1026" DrawAspect="Content" ObjectID="_1558159031" r:id="rId33"/>
        </w:object>
      </w:r>
      <w:r w:rsidRPr="005C190D">
        <w:rPr>
          <w:rFonts w:eastAsia="標楷體" w:hint="eastAsia"/>
          <w:sz w:val="26"/>
          <w:szCs w:val="26"/>
        </w:rPr>
        <w:tab/>
      </w:r>
      <w:r w:rsidRPr="005C190D">
        <w:rPr>
          <w:rFonts w:eastAsia="標楷體" w:hint="eastAsia"/>
          <w:sz w:val="26"/>
          <w:szCs w:val="26"/>
        </w:rPr>
        <w:t>（</w:t>
      </w:r>
      <w:r>
        <w:rPr>
          <w:rFonts w:eastAsia="標楷體" w:hint="eastAsia"/>
          <w:sz w:val="26"/>
          <w:szCs w:val="26"/>
        </w:rPr>
        <w:t>A</w:t>
      </w:r>
      <w:r w:rsidRPr="005C190D">
        <w:rPr>
          <w:rFonts w:eastAsia="標楷體" w:hint="eastAsia"/>
          <w:sz w:val="26"/>
          <w:szCs w:val="26"/>
        </w:rPr>
        <w:t>）</w:t>
      </w:r>
    </w:p>
    <w:p w:rsidR="004C5A82" w:rsidRDefault="00876C5E" w:rsidP="00D82424">
      <w:pPr>
        <w:numPr>
          <w:ilvl w:val="0"/>
          <w:numId w:val="35"/>
        </w:numPr>
        <w:tabs>
          <w:tab w:val="left" w:pos="1134"/>
        </w:tabs>
        <w:spacing w:beforeLines="50" w:before="120" w:afterLines="50" w:after="120" w:line="360" w:lineRule="auto"/>
        <w:ind w:leftChars="250" w:left="1080"/>
        <w:jc w:val="both"/>
        <w:rPr>
          <w:rFonts w:eastAsia="標楷體"/>
          <w:b/>
          <w:sz w:val="28"/>
          <w:szCs w:val="26"/>
        </w:rPr>
      </w:pPr>
      <w:r w:rsidRPr="00C0551B">
        <w:rPr>
          <w:rFonts w:eastAsia="標楷體" w:hint="eastAsia"/>
          <w:b/>
          <w:sz w:val="28"/>
          <w:szCs w:val="26"/>
        </w:rPr>
        <w:t>應付帳款調整</w:t>
      </w:r>
    </w:p>
    <w:p w:rsidR="004C5A82" w:rsidRDefault="00876C5E" w:rsidP="00D82424">
      <w:pPr>
        <w:spacing w:beforeLines="50" w:before="120" w:afterLines="50" w:after="120" w:line="360" w:lineRule="auto"/>
        <w:ind w:leftChars="300" w:left="720" w:firstLineChars="200" w:firstLine="520"/>
        <w:jc w:val="both"/>
        <w:rPr>
          <w:rFonts w:eastAsia="標楷體"/>
          <w:sz w:val="26"/>
          <w:szCs w:val="26"/>
        </w:rPr>
      </w:pPr>
      <w:r w:rsidRPr="005C190D">
        <w:rPr>
          <w:rFonts w:eastAsia="標楷體" w:hint="eastAsia"/>
          <w:sz w:val="26"/>
          <w:szCs w:val="26"/>
        </w:rPr>
        <w:t>可比較公司與受測個體應付帳款收款週轉天數之間的差異，會影響銷貨成本，進而影響財務比率之評估及比較，因此需要進行調整。例如：在其他條件相同的狀況下，供應商給予企業之購貨條件不同，其銷貨成本和利潤則會不同，因為取得較長應付帳款周轉天數的企業，其銷貨成本將已隱含供應商對時間價值之加價，造成較高的銷貨成本，影響了財務比率比較的準確性。因此，為提高可比較公司與受測個體</w:t>
      </w:r>
      <w:r w:rsidRPr="005C190D">
        <w:rPr>
          <w:rFonts w:eastAsia="標楷體" w:hint="eastAsia"/>
          <w:sz w:val="26"/>
          <w:szCs w:val="26"/>
        </w:rPr>
        <w:lastRenderedPageBreak/>
        <w:t>間的可比較性，有必要將購貨條件不同所造成的利息影響</w:t>
      </w:r>
      <w:r>
        <w:rPr>
          <w:rFonts w:eastAsia="標楷體" w:hint="eastAsia"/>
          <w:sz w:val="26"/>
          <w:szCs w:val="26"/>
        </w:rPr>
        <w:t>為適當</w:t>
      </w:r>
      <w:r w:rsidRPr="005C190D">
        <w:rPr>
          <w:rFonts w:eastAsia="標楷體" w:hint="eastAsia"/>
          <w:sz w:val="26"/>
          <w:szCs w:val="26"/>
        </w:rPr>
        <w:t>調整如下：</w:t>
      </w:r>
    </w:p>
    <w:p w:rsidR="004C5A82" w:rsidRDefault="00876C5E" w:rsidP="00D82424">
      <w:pPr>
        <w:tabs>
          <w:tab w:val="left" w:leader="dot" w:pos="7797"/>
        </w:tabs>
        <w:spacing w:beforeLines="50" w:before="120" w:afterLines="50" w:after="120" w:line="360" w:lineRule="auto"/>
        <w:ind w:leftChars="300" w:left="720"/>
        <w:rPr>
          <w:rFonts w:eastAsia="標楷體"/>
          <w:sz w:val="26"/>
          <w:szCs w:val="26"/>
        </w:rPr>
      </w:pPr>
      <w:r w:rsidRPr="005C190D">
        <w:rPr>
          <w:rFonts w:eastAsia="標楷體"/>
          <w:position w:val="-34"/>
          <w:sz w:val="26"/>
          <w:szCs w:val="26"/>
        </w:rPr>
        <w:object w:dxaOrig="4400" w:dyaOrig="800">
          <v:shape id="_x0000_i1027" type="#_x0000_t75" style="width:237.8pt;height:39.75pt" o:ole="">
            <v:imagedata r:id="rId34" o:title=""/>
          </v:shape>
          <o:OLEObject Type="Embed" ProgID="Equation.3" ShapeID="_x0000_i1027" DrawAspect="Content" ObjectID="_1558159032" r:id="rId35"/>
        </w:object>
      </w:r>
      <w:r w:rsidRPr="005C190D">
        <w:rPr>
          <w:rFonts w:eastAsia="標楷體" w:hint="eastAsia"/>
          <w:sz w:val="26"/>
          <w:szCs w:val="26"/>
        </w:rPr>
        <w:tab/>
      </w:r>
      <w:r w:rsidRPr="005C190D">
        <w:rPr>
          <w:rFonts w:eastAsia="標楷體" w:hint="eastAsia"/>
          <w:sz w:val="26"/>
          <w:szCs w:val="26"/>
        </w:rPr>
        <w:t>（</w:t>
      </w:r>
      <w:r>
        <w:rPr>
          <w:rFonts w:eastAsia="標楷體" w:hint="eastAsia"/>
          <w:sz w:val="26"/>
          <w:szCs w:val="26"/>
        </w:rPr>
        <w:t>B</w:t>
      </w:r>
      <w:r w:rsidRPr="005C190D">
        <w:rPr>
          <w:rFonts w:eastAsia="標楷體" w:hint="eastAsia"/>
          <w:sz w:val="26"/>
          <w:szCs w:val="26"/>
        </w:rPr>
        <w:t>）</w:t>
      </w:r>
    </w:p>
    <w:p w:rsidR="004C5A82" w:rsidRDefault="00876C5E" w:rsidP="00D82424">
      <w:pPr>
        <w:numPr>
          <w:ilvl w:val="0"/>
          <w:numId w:val="35"/>
        </w:numPr>
        <w:tabs>
          <w:tab w:val="left" w:pos="1134"/>
        </w:tabs>
        <w:spacing w:beforeLines="50" w:before="120" w:afterLines="50" w:after="120" w:line="360" w:lineRule="auto"/>
        <w:ind w:leftChars="250" w:left="1080"/>
        <w:jc w:val="both"/>
        <w:rPr>
          <w:rFonts w:eastAsia="標楷體"/>
          <w:b/>
          <w:sz w:val="28"/>
          <w:szCs w:val="26"/>
        </w:rPr>
      </w:pPr>
      <w:r w:rsidRPr="00C0551B">
        <w:rPr>
          <w:rFonts w:eastAsia="標楷體" w:hint="eastAsia"/>
          <w:b/>
          <w:sz w:val="28"/>
          <w:szCs w:val="26"/>
        </w:rPr>
        <w:t>存貨調整</w:t>
      </w:r>
    </w:p>
    <w:p w:rsidR="004C5A82" w:rsidRDefault="00876C5E" w:rsidP="00D82424">
      <w:pPr>
        <w:spacing w:beforeLines="50" w:before="120" w:afterLines="50" w:after="120" w:line="360" w:lineRule="auto"/>
        <w:ind w:leftChars="300" w:left="720" w:firstLineChars="200" w:firstLine="520"/>
        <w:jc w:val="both"/>
        <w:rPr>
          <w:rFonts w:eastAsia="標楷體"/>
          <w:sz w:val="26"/>
          <w:szCs w:val="26"/>
        </w:rPr>
      </w:pPr>
      <w:r w:rsidRPr="005C190D">
        <w:rPr>
          <w:rFonts w:eastAsia="標楷體" w:hint="eastAsia"/>
          <w:sz w:val="26"/>
          <w:szCs w:val="26"/>
        </w:rPr>
        <w:t>可比較公司與受測個體存貨多寡之間的差異，亦會影響銷貨成本，進而影響財務比率之評估及比較，因此需要進行調整。例如：在其他條件相同的狀況下，擁有較多存貨之廠商，其銷貨成本和利潤亦會不同，因為擁有較多存貨之企業，需額外挹注資金於保有存貨，故須以更高的利潤來彌補額外資金積壓成本，故銷貨成本將隱含保有存貨之資金成本加價，造成較高的銷貨成本，影響了財務比率比較的準確性。因此，為提高可比較公司與受測個體間的可比較性，有必要將保有存貨多寡不同所造成的利息影響</w:t>
      </w:r>
      <w:r>
        <w:rPr>
          <w:rFonts w:eastAsia="標楷體" w:hint="eastAsia"/>
          <w:sz w:val="26"/>
          <w:szCs w:val="26"/>
        </w:rPr>
        <w:t>為適當</w:t>
      </w:r>
      <w:r w:rsidRPr="005C190D">
        <w:rPr>
          <w:rFonts w:eastAsia="標楷體" w:hint="eastAsia"/>
          <w:sz w:val="26"/>
          <w:szCs w:val="26"/>
        </w:rPr>
        <w:t>調整如下：</w:t>
      </w:r>
    </w:p>
    <w:p w:rsidR="004C5A82" w:rsidRDefault="00876C5E" w:rsidP="00D82424">
      <w:pPr>
        <w:tabs>
          <w:tab w:val="left" w:leader="dot" w:pos="7797"/>
        </w:tabs>
        <w:spacing w:beforeLines="50" w:before="120" w:afterLines="50" w:after="120" w:line="360" w:lineRule="auto"/>
        <w:ind w:leftChars="300" w:left="720"/>
        <w:rPr>
          <w:rFonts w:eastAsia="標楷體"/>
          <w:sz w:val="26"/>
          <w:szCs w:val="26"/>
        </w:rPr>
      </w:pPr>
      <w:r w:rsidRPr="005C190D">
        <w:rPr>
          <w:rFonts w:eastAsia="標楷體"/>
          <w:position w:val="-34"/>
          <w:sz w:val="26"/>
          <w:szCs w:val="26"/>
        </w:rPr>
        <w:object w:dxaOrig="4520" w:dyaOrig="800">
          <v:shape id="_x0000_i1028" type="#_x0000_t75" style="width:244.55pt;height:39.75pt" o:ole="">
            <v:imagedata r:id="rId36" o:title=""/>
          </v:shape>
          <o:OLEObject Type="Embed" ProgID="Equation.3" ShapeID="_x0000_i1028" DrawAspect="Content" ObjectID="_1558159033" r:id="rId37"/>
        </w:object>
      </w:r>
      <w:r w:rsidRPr="005C190D">
        <w:rPr>
          <w:rFonts w:eastAsia="標楷體" w:hint="eastAsia"/>
          <w:sz w:val="26"/>
          <w:szCs w:val="26"/>
        </w:rPr>
        <w:tab/>
      </w:r>
      <w:r w:rsidRPr="005C190D">
        <w:rPr>
          <w:rFonts w:eastAsia="標楷體" w:hint="eastAsia"/>
          <w:sz w:val="26"/>
          <w:szCs w:val="26"/>
        </w:rPr>
        <w:t>（</w:t>
      </w:r>
      <w:r>
        <w:rPr>
          <w:rFonts w:eastAsia="標楷體" w:hint="eastAsia"/>
          <w:sz w:val="26"/>
          <w:szCs w:val="26"/>
        </w:rPr>
        <w:t>C</w:t>
      </w:r>
      <w:r w:rsidRPr="005C190D">
        <w:rPr>
          <w:rFonts w:eastAsia="標楷體" w:hint="eastAsia"/>
          <w:sz w:val="26"/>
          <w:szCs w:val="26"/>
        </w:rPr>
        <w:t>）</w:t>
      </w:r>
    </w:p>
    <w:p w:rsidR="004C5A82" w:rsidRDefault="00876C5E" w:rsidP="00D82424">
      <w:pPr>
        <w:spacing w:beforeLines="50" w:before="120" w:afterLines="50" w:after="120" w:line="360" w:lineRule="auto"/>
        <w:ind w:leftChars="200" w:left="480" w:firstLineChars="200" w:firstLine="521"/>
        <w:jc w:val="both"/>
        <w:rPr>
          <w:rFonts w:eastAsia="標楷體"/>
          <w:b/>
          <w:sz w:val="26"/>
          <w:szCs w:val="26"/>
        </w:rPr>
      </w:pPr>
      <w:r w:rsidRPr="00DA0A1A">
        <w:rPr>
          <w:rFonts w:eastAsia="標楷體" w:hint="eastAsia"/>
          <w:b/>
          <w:sz w:val="26"/>
          <w:szCs w:val="26"/>
        </w:rPr>
        <w:t>可比較對象經資本性調整後之</w:t>
      </w:r>
      <w:r>
        <w:rPr>
          <w:rFonts w:eastAsia="標楷體" w:hint="eastAsia"/>
          <w:b/>
          <w:sz w:val="26"/>
          <w:szCs w:val="26"/>
        </w:rPr>
        <w:t>成本加價率</w:t>
      </w:r>
      <w:r w:rsidRPr="00DA0A1A">
        <w:rPr>
          <w:rFonts w:eastAsia="標楷體" w:hint="eastAsia"/>
          <w:b/>
          <w:sz w:val="26"/>
          <w:szCs w:val="26"/>
        </w:rPr>
        <w:t>如下：</w:t>
      </w:r>
    </w:p>
    <w:p w:rsidR="004C5A82" w:rsidRDefault="00496F8D" w:rsidP="00D82424">
      <w:pPr>
        <w:spacing w:beforeLines="50" w:before="120" w:afterLines="50" w:after="120" w:line="360" w:lineRule="auto"/>
        <w:ind w:leftChars="300" w:left="720"/>
        <w:jc w:val="center"/>
        <w:rPr>
          <w:rFonts w:eastAsia="標楷體"/>
          <w:color w:val="FF0000"/>
          <w:sz w:val="26"/>
          <w:szCs w:val="26"/>
        </w:rPr>
      </w:pPr>
      <w:r w:rsidRPr="00390768">
        <w:rPr>
          <w:rFonts w:eastAsia="標楷體"/>
          <w:color w:val="FF0000"/>
          <w:position w:val="-12"/>
          <w:sz w:val="26"/>
          <w:szCs w:val="26"/>
        </w:rPr>
        <w:object w:dxaOrig="3540" w:dyaOrig="360">
          <v:shape id="_x0000_i1029" type="#_x0000_t75" style="width:191.35pt;height:18.75pt" o:ole="">
            <v:imagedata r:id="rId38" o:title=""/>
          </v:shape>
          <o:OLEObject Type="Embed" ProgID="Equation.3" ShapeID="_x0000_i1029" DrawAspect="Content" ObjectID="_1558159034" r:id="rId39"/>
        </w:object>
      </w:r>
    </w:p>
    <w:p w:rsidR="004C5A82" w:rsidRDefault="00876C5E" w:rsidP="00D82424">
      <w:pPr>
        <w:pStyle w:val="3"/>
        <w:numPr>
          <w:ilvl w:val="0"/>
          <w:numId w:val="37"/>
        </w:numPr>
        <w:spacing w:beforeLines="50" w:before="120" w:afterLines="50" w:after="120" w:line="360" w:lineRule="auto"/>
        <w:ind w:leftChars="100" w:left="720"/>
        <w:jc w:val="both"/>
        <w:rPr>
          <w:rFonts w:ascii="Times New Roman" w:eastAsia="標楷體" w:hAnsi="Times New Roman"/>
          <w:sz w:val="32"/>
          <w:szCs w:val="26"/>
        </w:rPr>
      </w:pPr>
      <w:r w:rsidRPr="00C727A6">
        <w:rPr>
          <w:rFonts w:ascii="Times New Roman" w:eastAsia="標楷體" w:hAnsi="Times New Roman" w:hint="eastAsia"/>
          <w:sz w:val="32"/>
          <w:szCs w:val="26"/>
        </w:rPr>
        <w:t>利率之決定</w:t>
      </w:r>
    </w:p>
    <w:p w:rsidR="004C5A82" w:rsidRDefault="00876C5E" w:rsidP="00D82424">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本所於此文據</w:t>
      </w:r>
      <w:r w:rsidRPr="005C190D">
        <w:rPr>
          <w:rFonts w:eastAsia="標楷體" w:hint="eastAsia"/>
          <w:sz w:val="26"/>
          <w:szCs w:val="26"/>
        </w:rPr>
        <w:t>針對可比較對象所採用之調整利率係以美國基本利率（</w:t>
      </w:r>
      <w:r w:rsidRPr="005C190D">
        <w:rPr>
          <w:rFonts w:eastAsia="標楷體" w:hint="eastAsia"/>
          <w:sz w:val="26"/>
          <w:szCs w:val="26"/>
        </w:rPr>
        <w:t>US Prime Rate</w:t>
      </w:r>
      <w:r w:rsidRPr="005C190D">
        <w:rPr>
          <w:rFonts w:eastAsia="標楷體" w:hint="eastAsia"/>
          <w:sz w:val="26"/>
          <w:szCs w:val="26"/>
        </w:rPr>
        <w:t>）</w:t>
      </w:r>
      <w:r w:rsidRPr="005C190D">
        <w:rPr>
          <w:sz w:val="26"/>
          <w:szCs w:val="26"/>
          <w:vertAlign w:val="superscript"/>
        </w:rPr>
        <w:footnoteReference w:id="7"/>
      </w:r>
      <w:r w:rsidRPr="005C190D">
        <w:rPr>
          <w:rFonts w:eastAsia="標楷體" w:hint="eastAsia"/>
          <w:sz w:val="26"/>
          <w:szCs w:val="26"/>
        </w:rPr>
        <w:t>為計算基準。</w:t>
      </w:r>
    </w:p>
    <w:p w:rsidR="004C5A82" w:rsidRDefault="00876C5E" w:rsidP="00D82424">
      <w:pPr>
        <w:pStyle w:val="3"/>
        <w:numPr>
          <w:ilvl w:val="0"/>
          <w:numId w:val="37"/>
        </w:numPr>
        <w:spacing w:beforeLines="50" w:before="120" w:afterLines="50" w:after="120" w:line="360" w:lineRule="auto"/>
        <w:ind w:leftChars="100" w:left="720"/>
        <w:jc w:val="both"/>
        <w:rPr>
          <w:rFonts w:ascii="Times New Roman" w:eastAsia="標楷體" w:hAnsi="Times New Roman"/>
          <w:sz w:val="32"/>
          <w:szCs w:val="26"/>
        </w:rPr>
      </w:pPr>
      <w:r w:rsidRPr="00C727A6">
        <w:rPr>
          <w:rFonts w:ascii="Times New Roman" w:eastAsia="標楷體" w:hAnsi="Times New Roman" w:hint="eastAsia"/>
          <w:sz w:val="32"/>
          <w:szCs w:val="26"/>
        </w:rPr>
        <w:lastRenderedPageBreak/>
        <w:t>可比較對象資料的侷限性</w:t>
      </w:r>
    </w:p>
    <w:p w:rsidR="004C5A82" w:rsidRDefault="00876C5E" w:rsidP="00D82424">
      <w:pPr>
        <w:spacing w:beforeLines="50" w:before="120" w:afterLines="50" w:after="120" w:line="360" w:lineRule="auto"/>
        <w:ind w:leftChars="200" w:left="480" w:firstLineChars="200" w:firstLine="520"/>
        <w:jc w:val="both"/>
        <w:rPr>
          <w:rFonts w:eastAsia="標楷體"/>
          <w:color w:val="FF0000"/>
          <w:sz w:val="26"/>
          <w:szCs w:val="26"/>
        </w:rPr>
      </w:pPr>
      <w:r w:rsidRPr="009F456B">
        <w:rPr>
          <w:rFonts w:eastAsia="標楷體" w:hint="eastAsia"/>
          <w:sz w:val="26"/>
          <w:szCs w:val="26"/>
        </w:rPr>
        <w:t>本</w:t>
      </w:r>
      <w:r>
        <w:rPr>
          <w:rFonts w:eastAsia="標楷體" w:hint="eastAsia"/>
          <w:sz w:val="26"/>
          <w:szCs w:val="26"/>
        </w:rPr>
        <w:t>文據</w:t>
      </w:r>
      <w:r w:rsidRPr="009F456B">
        <w:rPr>
          <w:rFonts w:eastAsia="標楷體" w:hint="eastAsia"/>
          <w:sz w:val="26"/>
          <w:szCs w:val="26"/>
        </w:rPr>
        <w:t>所採用之可比較對象財務資料均來自</w:t>
      </w:r>
      <w:r w:rsidR="00245BD4">
        <w:rPr>
          <w:rFonts w:eastAsia="標楷體" w:hint="eastAsia"/>
          <w:sz w:val="26"/>
          <w:szCs w:val="26"/>
        </w:rPr>
        <w:t>ONESOURCE</w:t>
      </w:r>
      <w:r w:rsidR="00245BD4">
        <w:rPr>
          <w:rFonts w:eastAsia="標楷體" w:hint="eastAsia"/>
          <w:sz w:val="26"/>
          <w:szCs w:val="26"/>
        </w:rPr>
        <w:t>資料庫</w:t>
      </w:r>
      <w:r w:rsidRPr="009F456B">
        <w:rPr>
          <w:rFonts w:eastAsia="標楷體" w:hint="eastAsia"/>
          <w:sz w:val="26"/>
          <w:szCs w:val="26"/>
        </w:rPr>
        <w:t>，並用其決定受測個體同業之常規交易區間。惟該資料庫所採用之財務資訊及企業敍述均取自於各公開發行公司之年報，故本所對各該公司之瞭解將會受限於該資訊之揭露程度</w:t>
      </w:r>
      <w:r>
        <w:rPr>
          <w:rFonts w:eastAsia="標楷體" w:hint="eastAsia"/>
          <w:sz w:val="26"/>
          <w:szCs w:val="26"/>
        </w:rPr>
        <w:t>影響</w:t>
      </w:r>
      <w:r w:rsidRPr="009F456B">
        <w:rPr>
          <w:rFonts w:eastAsia="標楷體" w:hint="eastAsia"/>
          <w:sz w:val="26"/>
          <w:szCs w:val="26"/>
        </w:rPr>
        <w:t>。</w:t>
      </w:r>
    </w:p>
    <w:p w:rsidR="004C5A82" w:rsidRDefault="00DE220A" w:rsidP="00D82424">
      <w:pPr>
        <w:pStyle w:val="2"/>
        <w:numPr>
          <w:ilvl w:val="1"/>
          <w:numId w:val="19"/>
        </w:numPr>
        <w:tabs>
          <w:tab w:val="left" w:pos="756"/>
        </w:tabs>
        <w:spacing w:beforeLines="100" w:before="240" w:afterLines="50" w:after="12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可比較對象之常規交易範圍</w:t>
      </w:r>
    </w:p>
    <w:p w:rsidR="004C5A82" w:rsidRDefault="00DE220A" w:rsidP="00D82424">
      <w:pPr>
        <w:pStyle w:val="3"/>
        <w:numPr>
          <w:ilvl w:val="0"/>
          <w:numId w:val="23"/>
        </w:numPr>
        <w:spacing w:beforeLines="50" w:before="120" w:line="360" w:lineRule="auto"/>
        <w:ind w:leftChars="100" w:left="720"/>
        <w:jc w:val="both"/>
        <w:rPr>
          <w:rFonts w:ascii="Times New Roman" w:eastAsia="標楷體" w:hAnsi="Times New Roman"/>
          <w:sz w:val="32"/>
          <w:szCs w:val="26"/>
        </w:rPr>
      </w:pPr>
      <w:r w:rsidRPr="00D92058">
        <w:rPr>
          <w:rFonts w:ascii="Times New Roman" w:eastAsia="標楷體" w:hAnsi="Times New Roman" w:hint="eastAsia"/>
          <w:sz w:val="32"/>
          <w:szCs w:val="26"/>
        </w:rPr>
        <w:t>有形資產之移轉</w:t>
      </w:r>
    </w:p>
    <w:p w:rsidR="004C5A82" w:rsidRDefault="00DE220A" w:rsidP="00D82424">
      <w:pPr>
        <w:numPr>
          <w:ilvl w:val="1"/>
          <w:numId w:val="23"/>
        </w:numPr>
        <w:tabs>
          <w:tab w:val="left" w:pos="1134"/>
        </w:tabs>
        <w:spacing w:beforeLines="50" w:before="120" w:line="360" w:lineRule="auto"/>
        <w:jc w:val="both"/>
        <w:rPr>
          <w:rFonts w:eastAsia="標楷體"/>
          <w:b/>
          <w:sz w:val="28"/>
          <w:szCs w:val="26"/>
        </w:rPr>
      </w:pPr>
      <w:r w:rsidRPr="00ED5643">
        <w:rPr>
          <w:rFonts w:eastAsia="標楷體" w:hint="eastAsia"/>
          <w:b/>
          <w:sz w:val="28"/>
          <w:szCs w:val="26"/>
        </w:rPr>
        <w:t>銷貨</w:t>
      </w:r>
    </w:p>
    <w:p w:rsidR="004C5A82" w:rsidRDefault="00245BD4" w:rsidP="00D82424">
      <w:pPr>
        <w:numPr>
          <w:ilvl w:val="0"/>
          <w:numId w:val="25"/>
        </w:numPr>
        <w:tabs>
          <w:tab w:val="left" w:pos="1134"/>
        </w:tabs>
        <w:spacing w:beforeLines="50" w:before="120" w:afterLines="50" w:after="120" w:line="360" w:lineRule="auto"/>
        <w:ind w:left="1418" w:hanging="425"/>
        <w:jc w:val="both"/>
        <w:rPr>
          <w:rFonts w:eastAsia="標楷體"/>
          <w:b/>
          <w:sz w:val="28"/>
          <w:szCs w:val="26"/>
        </w:rPr>
      </w:pPr>
      <w:r>
        <w:rPr>
          <w:rFonts w:eastAsia="標楷體" w:hint="eastAsia"/>
          <w:b/>
          <w:sz w:val="28"/>
          <w:szCs w:val="26"/>
        </w:rPr>
        <w:t>ONESOURCE</w:t>
      </w:r>
      <w:r>
        <w:rPr>
          <w:rFonts w:eastAsia="標楷體" w:hint="eastAsia"/>
          <w:b/>
          <w:sz w:val="28"/>
          <w:szCs w:val="26"/>
        </w:rPr>
        <w:t>資料庫</w:t>
      </w:r>
    </w:p>
    <w:p w:rsidR="004C5A82" w:rsidRDefault="00680128" w:rsidP="00D82424">
      <w:pPr>
        <w:numPr>
          <w:ilvl w:val="0"/>
          <w:numId w:val="33"/>
        </w:numPr>
        <w:tabs>
          <w:tab w:val="left" w:pos="1560"/>
        </w:tabs>
        <w:spacing w:beforeLines="50" w:before="120" w:afterLines="50" w:after="120" w:line="360" w:lineRule="auto"/>
        <w:ind w:leftChars="350" w:left="1320"/>
        <w:jc w:val="both"/>
        <w:rPr>
          <w:rFonts w:eastAsia="標楷體"/>
          <w:sz w:val="26"/>
          <w:szCs w:val="26"/>
        </w:rPr>
      </w:pPr>
      <w:r>
        <w:rPr>
          <w:rFonts w:eastAsia="標楷體" w:hint="eastAsia"/>
          <w:sz w:val="26"/>
          <w:szCs w:val="26"/>
        </w:rPr>
        <w:t>未經資本性調整前可比較對象</w:t>
      </w:r>
      <w:r w:rsidRPr="00397F28">
        <w:rPr>
          <w:rFonts w:eastAsia="標楷體" w:hint="eastAsia"/>
          <w:sz w:val="26"/>
          <w:szCs w:val="26"/>
        </w:rPr>
        <w:t>之常規交易範圍</w:t>
      </w:r>
    </w:p>
    <w:p w:rsidR="004C5A82" w:rsidRDefault="00680128" w:rsidP="00D82424">
      <w:pPr>
        <w:tabs>
          <w:tab w:val="left" w:pos="1134"/>
        </w:tabs>
        <w:spacing w:beforeLines="50" w:before="120" w:line="360" w:lineRule="auto"/>
        <w:ind w:leftChars="400" w:left="960" w:firstLineChars="200" w:firstLine="520"/>
        <w:jc w:val="both"/>
        <w:rPr>
          <w:rFonts w:eastAsia="標楷體"/>
          <w:sz w:val="26"/>
          <w:szCs w:val="26"/>
        </w:rPr>
      </w:pPr>
      <w:r w:rsidRPr="0009496F">
        <w:rPr>
          <w:rFonts w:eastAsia="標楷體" w:hint="eastAsia"/>
          <w:sz w:val="26"/>
          <w:szCs w:val="26"/>
        </w:rPr>
        <w:t>瀚昌公司為布料貿易商之可比較對象</w:t>
      </w:r>
      <w:r w:rsidR="00065927">
        <w:rPr>
          <w:rFonts w:eastAsia="標楷體" w:hint="eastAsia"/>
          <w:sz w:val="26"/>
          <w:szCs w:val="26"/>
        </w:rPr>
        <w:t>10</w:t>
      </w:r>
      <w:r w:rsidR="003566F9">
        <w:rPr>
          <w:rFonts w:eastAsia="標楷體" w:hint="eastAsia"/>
          <w:sz w:val="26"/>
          <w:szCs w:val="26"/>
        </w:rPr>
        <w:t>2</w:t>
      </w:r>
      <w:r w:rsidRPr="0009496F">
        <w:rPr>
          <w:rFonts w:eastAsia="標楷體" w:hint="eastAsia"/>
          <w:sz w:val="26"/>
          <w:szCs w:val="26"/>
        </w:rPr>
        <w:t>至</w:t>
      </w:r>
      <w:r w:rsidR="00065927">
        <w:rPr>
          <w:rFonts w:eastAsia="標楷體" w:hint="eastAsia"/>
          <w:sz w:val="26"/>
          <w:szCs w:val="26"/>
        </w:rPr>
        <w:t>10</w:t>
      </w:r>
      <w:r w:rsidR="003566F9">
        <w:rPr>
          <w:rFonts w:eastAsia="標楷體" w:hint="eastAsia"/>
          <w:sz w:val="26"/>
          <w:szCs w:val="26"/>
        </w:rPr>
        <w:t>4</w:t>
      </w:r>
      <w:r w:rsidRPr="0009496F">
        <w:rPr>
          <w:rFonts w:eastAsia="標楷體" w:hint="eastAsia"/>
          <w:sz w:val="26"/>
          <w:szCs w:val="26"/>
        </w:rPr>
        <w:t>年度成本加價率</w:t>
      </w:r>
      <w:r w:rsidR="008118C7" w:rsidRPr="0009496F">
        <w:rPr>
          <w:rFonts w:eastAsia="標楷體" w:hint="eastAsia"/>
          <w:sz w:val="26"/>
          <w:szCs w:val="26"/>
        </w:rPr>
        <w:t>（請參見附件</w:t>
      </w:r>
      <w:r w:rsidR="008118C7">
        <w:rPr>
          <w:rFonts w:eastAsia="標楷體" w:hint="eastAsia"/>
          <w:sz w:val="26"/>
          <w:szCs w:val="26"/>
        </w:rPr>
        <w:t>D</w:t>
      </w:r>
      <w:r w:rsidR="008118C7" w:rsidRPr="0009496F">
        <w:rPr>
          <w:rFonts w:eastAsia="標楷體" w:hint="eastAsia"/>
          <w:sz w:val="26"/>
          <w:szCs w:val="26"/>
        </w:rPr>
        <w:t>）</w:t>
      </w:r>
      <w:r w:rsidRPr="0009496F">
        <w:rPr>
          <w:rFonts w:eastAsia="標楷體" w:hint="eastAsia"/>
          <w:sz w:val="26"/>
          <w:szCs w:val="26"/>
        </w:rPr>
        <w:t>整理如下：</w:t>
      </w:r>
    </w:p>
    <w:tbl>
      <w:tblPr>
        <w:tblW w:w="7767"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7"/>
        <w:gridCol w:w="3249"/>
        <w:gridCol w:w="993"/>
        <w:gridCol w:w="992"/>
        <w:gridCol w:w="992"/>
        <w:gridCol w:w="974"/>
      </w:tblGrid>
      <w:tr w:rsidR="00680128" w:rsidRPr="004D495F" w:rsidTr="00F874CB">
        <w:trPr>
          <w:cantSplit/>
          <w:trHeight w:val="505"/>
          <w:tblHeader/>
          <w:jc w:val="right"/>
        </w:trPr>
        <w:tc>
          <w:tcPr>
            <w:tcW w:w="567" w:type="dxa"/>
            <w:vMerge w:val="restart"/>
            <w:shd w:val="clear" w:color="auto" w:fill="4F81BD"/>
            <w:vAlign w:val="center"/>
          </w:tcPr>
          <w:p w:rsidR="00680128" w:rsidRPr="004D495F" w:rsidRDefault="00680128" w:rsidP="00025808">
            <w:pPr>
              <w:spacing w:line="0" w:lineRule="atLeast"/>
              <w:jc w:val="center"/>
              <w:rPr>
                <w:rFonts w:eastAsia="標楷體"/>
                <w:color w:val="FFFFFF"/>
                <w:sz w:val="26"/>
                <w:szCs w:val="26"/>
              </w:rPr>
            </w:pPr>
            <w:r w:rsidRPr="004D495F">
              <w:rPr>
                <w:rFonts w:eastAsia="標楷體"/>
                <w:color w:val="FFFFFF"/>
                <w:sz w:val="26"/>
                <w:szCs w:val="26"/>
              </w:rPr>
              <w:t>編號</w:t>
            </w:r>
          </w:p>
        </w:tc>
        <w:tc>
          <w:tcPr>
            <w:tcW w:w="3249" w:type="dxa"/>
            <w:shd w:val="clear" w:color="auto" w:fill="4F81BD"/>
            <w:vAlign w:val="center"/>
          </w:tcPr>
          <w:p w:rsidR="00680128" w:rsidRPr="004D495F" w:rsidRDefault="00680128" w:rsidP="00025808">
            <w:pPr>
              <w:spacing w:line="0" w:lineRule="atLeast"/>
              <w:jc w:val="center"/>
              <w:rPr>
                <w:rFonts w:eastAsia="標楷體"/>
                <w:color w:val="FFFFFF"/>
                <w:sz w:val="26"/>
                <w:szCs w:val="26"/>
              </w:rPr>
            </w:pPr>
            <w:r w:rsidRPr="004D495F">
              <w:rPr>
                <w:rFonts w:eastAsia="標楷體"/>
                <w:color w:val="FFFFFF"/>
                <w:sz w:val="26"/>
                <w:szCs w:val="26"/>
              </w:rPr>
              <w:t>可比較對象</w:t>
            </w:r>
          </w:p>
        </w:tc>
        <w:tc>
          <w:tcPr>
            <w:tcW w:w="3951" w:type="dxa"/>
            <w:gridSpan w:val="4"/>
            <w:shd w:val="clear" w:color="auto" w:fill="4F81BD"/>
            <w:vAlign w:val="center"/>
          </w:tcPr>
          <w:p w:rsidR="00680128" w:rsidRPr="004D495F" w:rsidRDefault="00680128" w:rsidP="00025808">
            <w:pPr>
              <w:spacing w:line="0" w:lineRule="atLeast"/>
              <w:jc w:val="center"/>
              <w:rPr>
                <w:rFonts w:eastAsia="標楷體"/>
                <w:color w:val="FFFFFF"/>
                <w:sz w:val="26"/>
                <w:szCs w:val="26"/>
              </w:rPr>
            </w:pPr>
            <w:r>
              <w:rPr>
                <w:rFonts w:eastAsia="標楷體" w:hint="eastAsia"/>
                <w:color w:val="FFFFFF"/>
                <w:sz w:val="26"/>
                <w:szCs w:val="26"/>
              </w:rPr>
              <w:t>成本加價</w:t>
            </w:r>
            <w:r w:rsidRPr="004D495F">
              <w:rPr>
                <w:rFonts w:eastAsia="標楷體"/>
                <w:color w:val="FFFFFF"/>
                <w:sz w:val="26"/>
                <w:szCs w:val="26"/>
              </w:rPr>
              <w:t>率（</w:t>
            </w:r>
            <w:r w:rsidRPr="004D495F">
              <w:rPr>
                <w:rFonts w:eastAsia="標楷體"/>
                <w:color w:val="FFFFFF"/>
                <w:sz w:val="26"/>
                <w:szCs w:val="26"/>
              </w:rPr>
              <w:t>%</w:t>
            </w:r>
            <w:r w:rsidRPr="004D495F">
              <w:rPr>
                <w:rFonts w:eastAsia="標楷體"/>
                <w:color w:val="FFFFFF"/>
                <w:sz w:val="26"/>
                <w:szCs w:val="26"/>
              </w:rPr>
              <w:t>）</w:t>
            </w:r>
          </w:p>
        </w:tc>
      </w:tr>
      <w:tr w:rsidR="00680128" w:rsidRPr="004D495F" w:rsidTr="00F874CB">
        <w:trPr>
          <w:cantSplit/>
          <w:trHeight w:val="541"/>
          <w:tblHeader/>
          <w:jc w:val="right"/>
        </w:trPr>
        <w:tc>
          <w:tcPr>
            <w:tcW w:w="567" w:type="dxa"/>
            <w:vMerge/>
            <w:tcBorders>
              <w:bottom w:val="double" w:sz="4" w:space="0" w:color="auto"/>
            </w:tcBorders>
            <w:shd w:val="clear" w:color="auto" w:fill="4F81BD"/>
            <w:vAlign w:val="center"/>
          </w:tcPr>
          <w:p w:rsidR="00680128" w:rsidRPr="004D495F" w:rsidRDefault="00680128" w:rsidP="00025808">
            <w:pPr>
              <w:spacing w:line="0" w:lineRule="atLeast"/>
              <w:jc w:val="center"/>
              <w:rPr>
                <w:rFonts w:eastAsia="標楷體"/>
                <w:color w:val="FFFFFF"/>
                <w:sz w:val="26"/>
                <w:szCs w:val="26"/>
              </w:rPr>
            </w:pPr>
          </w:p>
        </w:tc>
        <w:tc>
          <w:tcPr>
            <w:tcW w:w="3249" w:type="dxa"/>
            <w:tcBorders>
              <w:bottom w:val="double" w:sz="4" w:space="0" w:color="auto"/>
            </w:tcBorders>
            <w:shd w:val="clear" w:color="auto" w:fill="4F81BD"/>
            <w:vAlign w:val="center"/>
          </w:tcPr>
          <w:p w:rsidR="00680128" w:rsidRPr="004D495F" w:rsidRDefault="00680128" w:rsidP="00025808">
            <w:pPr>
              <w:spacing w:line="0" w:lineRule="atLeast"/>
              <w:jc w:val="center"/>
              <w:rPr>
                <w:rFonts w:eastAsia="標楷體"/>
                <w:color w:val="FFFFFF"/>
                <w:sz w:val="26"/>
                <w:szCs w:val="26"/>
              </w:rPr>
            </w:pPr>
            <w:r w:rsidRPr="004D495F">
              <w:rPr>
                <w:rFonts w:eastAsia="標楷體"/>
                <w:color w:val="FFFFFF"/>
                <w:sz w:val="26"/>
                <w:szCs w:val="26"/>
              </w:rPr>
              <w:t>資料年度</w:t>
            </w:r>
          </w:p>
        </w:tc>
        <w:tc>
          <w:tcPr>
            <w:tcW w:w="993" w:type="dxa"/>
            <w:tcBorders>
              <w:bottom w:val="double" w:sz="4" w:space="0" w:color="auto"/>
            </w:tcBorders>
            <w:shd w:val="clear" w:color="auto" w:fill="4F81BD"/>
            <w:vAlign w:val="center"/>
          </w:tcPr>
          <w:p w:rsidR="00680128" w:rsidRPr="004D495F" w:rsidRDefault="003566F9" w:rsidP="00025808">
            <w:pPr>
              <w:spacing w:line="0" w:lineRule="atLeast"/>
              <w:jc w:val="center"/>
              <w:rPr>
                <w:rFonts w:eastAsia="標楷體"/>
                <w:color w:val="FFFFFF"/>
                <w:sz w:val="26"/>
                <w:szCs w:val="26"/>
              </w:rPr>
            </w:pPr>
            <w:r>
              <w:rPr>
                <w:rFonts w:eastAsia="標楷體" w:hint="eastAsia"/>
                <w:color w:val="FFFFFF"/>
                <w:sz w:val="26"/>
                <w:szCs w:val="26"/>
              </w:rPr>
              <w:t>102</w:t>
            </w:r>
            <w:r w:rsidR="00680128" w:rsidRPr="004D495F">
              <w:rPr>
                <w:rFonts w:eastAsia="標楷體"/>
                <w:color w:val="FFFFFF"/>
                <w:sz w:val="26"/>
                <w:szCs w:val="26"/>
              </w:rPr>
              <w:t>年</w:t>
            </w:r>
          </w:p>
        </w:tc>
        <w:tc>
          <w:tcPr>
            <w:tcW w:w="992" w:type="dxa"/>
            <w:tcBorders>
              <w:bottom w:val="double" w:sz="4" w:space="0" w:color="auto"/>
            </w:tcBorders>
            <w:shd w:val="clear" w:color="auto" w:fill="4F81BD"/>
            <w:vAlign w:val="center"/>
          </w:tcPr>
          <w:p w:rsidR="00680128" w:rsidRPr="004D495F" w:rsidRDefault="005C3CA9" w:rsidP="003566F9">
            <w:pPr>
              <w:spacing w:line="0" w:lineRule="atLeast"/>
              <w:jc w:val="center"/>
              <w:rPr>
                <w:rFonts w:eastAsia="標楷體"/>
                <w:color w:val="FFFFFF"/>
                <w:sz w:val="26"/>
                <w:szCs w:val="26"/>
              </w:rPr>
            </w:pPr>
            <w:r>
              <w:rPr>
                <w:rFonts w:eastAsia="標楷體" w:hint="eastAsia"/>
                <w:color w:val="FFFFFF"/>
                <w:sz w:val="26"/>
                <w:szCs w:val="26"/>
              </w:rPr>
              <w:t>10</w:t>
            </w:r>
            <w:r w:rsidR="003566F9">
              <w:rPr>
                <w:rFonts w:eastAsia="標楷體" w:hint="eastAsia"/>
                <w:color w:val="FFFFFF"/>
                <w:sz w:val="26"/>
                <w:szCs w:val="26"/>
              </w:rPr>
              <w:t>3</w:t>
            </w:r>
            <w:r w:rsidR="00680128" w:rsidRPr="004D495F">
              <w:rPr>
                <w:rFonts w:eastAsia="標楷體"/>
                <w:color w:val="FFFFFF"/>
                <w:sz w:val="26"/>
                <w:szCs w:val="26"/>
              </w:rPr>
              <w:t>年</w:t>
            </w:r>
          </w:p>
        </w:tc>
        <w:tc>
          <w:tcPr>
            <w:tcW w:w="992" w:type="dxa"/>
            <w:tcBorders>
              <w:bottom w:val="double" w:sz="4" w:space="0" w:color="auto"/>
            </w:tcBorders>
            <w:shd w:val="clear" w:color="auto" w:fill="4F81BD"/>
            <w:vAlign w:val="center"/>
          </w:tcPr>
          <w:p w:rsidR="00680128" w:rsidRPr="004D495F" w:rsidRDefault="005C3CA9" w:rsidP="00025808">
            <w:pPr>
              <w:spacing w:line="0" w:lineRule="atLeast"/>
              <w:jc w:val="center"/>
              <w:rPr>
                <w:rFonts w:eastAsia="標楷體"/>
                <w:color w:val="FFFFFF"/>
                <w:sz w:val="26"/>
                <w:szCs w:val="26"/>
              </w:rPr>
            </w:pPr>
            <w:r>
              <w:rPr>
                <w:rFonts w:eastAsia="標楷體" w:hint="eastAsia"/>
                <w:color w:val="FFFFFF"/>
                <w:sz w:val="26"/>
                <w:szCs w:val="26"/>
              </w:rPr>
              <w:t>10</w:t>
            </w:r>
            <w:r w:rsidR="003566F9">
              <w:rPr>
                <w:rFonts w:eastAsia="標楷體" w:hint="eastAsia"/>
                <w:color w:val="FFFFFF"/>
                <w:sz w:val="26"/>
                <w:szCs w:val="26"/>
              </w:rPr>
              <w:t>4</w:t>
            </w:r>
            <w:r w:rsidR="00680128" w:rsidRPr="004D495F">
              <w:rPr>
                <w:rFonts w:eastAsia="標楷體"/>
                <w:color w:val="FFFFFF"/>
                <w:sz w:val="26"/>
                <w:szCs w:val="26"/>
              </w:rPr>
              <w:t>年</w:t>
            </w:r>
          </w:p>
        </w:tc>
        <w:tc>
          <w:tcPr>
            <w:tcW w:w="974" w:type="dxa"/>
            <w:tcBorders>
              <w:bottom w:val="double" w:sz="4" w:space="0" w:color="auto"/>
            </w:tcBorders>
            <w:shd w:val="clear" w:color="auto" w:fill="4F81BD"/>
            <w:vAlign w:val="center"/>
          </w:tcPr>
          <w:p w:rsidR="00680128" w:rsidRPr="004D495F" w:rsidRDefault="00680128" w:rsidP="00025808">
            <w:pPr>
              <w:spacing w:line="0" w:lineRule="atLeast"/>
              <w:jc w:val="center"/>
              <w:rPr>
                <w:rFonts w:eastAsia="標楷體"/>
                <w:color w:val="FFFFFF"/>
                <w:sz w:val="26"/>
                <w:szCs w:val="26"/>
              </w:rPr>
            </w:pPr>
            <w:r w:rsidRPr="004D495F">
              <w:rPr>
                <w:rFonts w:eastAsia="標楷體"/>
                <w:color w:val="FFFFFF"/>
                <w:sz w:val="26"/>
                <w:szCs w:val="26"/>
              </w:rPr>
              <w:t>平均</w:t>
            </w:r>
          </w:p>
        </w:tc>
      </w:tr>
      <w:tr w:rsidR="00FB762E" w:rsidRPr="004D495F" w:rsidTr="00C93118">
        <w:trPr>
          <w:trHeight w:val="624"/>
          <w:jc w:val="right"/>
        </w:trPr>
        <w:tc>
          <w:tcPr>
            <w:tcW w:w="567" w:type="dxa"/>
            <w:tcBorders>
              <w:top w:val="double" w:sz="4" w:space="0" w:color="auto"/>
            </w:tcBorders>
            <w:vAlign w:val="center"/>
          </w:tcPr>
          <w:p w:rsidR="00FB762E" w:rsidRPr="00EA272E" w:rsidRDefault="00FB762E" w:rsidP="00025808">
            <w:pPr>
              <w:spacing w:line="0" w:lineRule="atLeast"/>
              <w:jc w:val="center"/>
              <w:rPr>
                <w:rFonts w:eastAsia="標楷體"/>
                <w:sz w:val="26"/>
                <w:szCs w:val="26"/>
              </w:rPr>
            </w:pPr>
            <w:r w:rsidRPr="00EA272E">
              <w:rPr>
                <w:rFonts w:eastAsia="標楷體"/>
                <w:sz w:val="26"/>
                <w:szCs w:val="26"/>
              </w:rPr>
              <w:t>1</w:t>
            </w:r>
          </w:p>
        </w:tc>
        <w:tc>
          <w:tcPr>
            <w:tcW w:w="3249" w:type="dxa"/>
            <w:tcBorders>
              <w:top w:val="double" w:sz="4" w:space="0" w:color="auto"/>
            </w:tcBorders>
            <w:vAlign w:val="center"/>
          </w:tcPr>
          <w:p w:rsidR="00FB762E" w:rsidRPr="003566F9" w:rsidRDefault="00FB762E" w:rsidP="00E962BF">
            <w:pPr>
              <w:rPr>
                <w:color w:val="000000"/>
                <w:sz w:val="26"/>
                <w:szCs w:val="26"/>
              </w:rPr>
            </w:pPr>
            <w:proofErr w:type="spellStart"/>
            <w:r w:rsidRPr="003566F9">
              <w:rPr>
                <w:color w:val="000000"/>
                <w:sz w:val="26"/>
                <w:szCs w:val="26"/>
              </w:rPr>
              <w:t>Aaswa</w:t>
            </w:r>
            <w:proofErr w:type="spellEnd"/>
            <w:r w:rsidRPr="003566F9">
              <w:rPr>
                <w:color w:val="000000"/>
                <w:sz w:val="26"/>
                <w:szCs w:val="26"/>
              </w:rPr>
              <w:t xml:space="preserve"> Trading And Exports Ltd</w:t>
            </w:r>
          </w:p>
        </w:tc>
        <w:tc>
          <w:tcPr>
            <w:tcW w:w="993" w:type="dxa"/>
            <w:tcBorders>
              <w:top w:val="double" w:sz="4" w:space="0" w:color="auto"/>
            </w:tcBorders>
            <w:vAlign w:val="center"/>
          </w:tcPr>
          <w:p w:rsidR="00FB762E" w:rsidRPr="003566F9" w:rsidRDefault="00FB762E">
            <w:pPr>
              <w:jc w:val="right"/>
              <w:rPr>
                <w:color w:val="000000"/>
                <w:sz w:val="26"/>
                <w:szCs w:val="26"/>
              </w:rPr>
            </w:pPr>
            <w:r w:rsidRPr="00C93118">
              <w:rPr>
                <w:color w:val="000000"/>
                <w:sz w:val="26"/>
                <w:szCs w:val="26"/>
              </w:rPr>
              <w:t>0.03%</w:t>
            </w:r>
          </w:p>
        </w:tc>
        <w:tc>
          <w:tcPr>
            <w:tcW w:w="992" w:type="dxa"/>
            <w:tcBorders>
              <w:top w:val="double" w:sz="4" w:space="0" w:color="auto"/>
            </w:tcBorders>
            <w:vAlign w:val="center"/>
          </w:tcPr>
          <w:p w:rsidR="00FB762E" w:rsidRPr="003566F9" w:rsidRDefault="00FB762E">
            <w:pPr>
              <w:jc w:val="right"/>
              <w:rPr>
                <w:color w:val="000000"/>
                <w:sz w:val="26"/>
                <w:szCs w:val="26"/>
              </w:rPr>
            </w:pPr>
            <w:r w:rsidRPr="00C93118">
              <w:rPr>
                <w:color w:val="000000"/>
                <w:sz w:val="26"/>
                <w:szCs w:val="26"/>
              </w:rPr>
              <w:t>0.03%</w:t>
            </w:r>
          </w:p>
        </w:tc>
        <w:tc>
          <w:tcPr>
            <w:tcW w:w="992" w:type="dxa"/>
            <w:tcBorders>
              <w:top w:val="double" w:sz="4" w:space="0" w:color="auto"/>
            </w:tcBorders>
            <w:vAlign w:val="center"/>
          </w:tcPr>
          <w:p w:rsidR="00FB762E" w:rsidRPr="003566F9" w:rsidRDefault="00FB762E">
            <w:pPr>
              <w:jc w:val="right"/>
              <w:rPr>
                <w:color w:val="000000"/>
                <w:sz w:val="26"/>
                <w:szCs w:val="26"/>
              </w:rPr>
            </w:pPr>
            <w:r w:rsidRPr="00C93118">
              <w:rPr>
                <w:color w:val="000000"/>
                <w:sz w:val="26"/>
                <w:szCs w:val="26"/>
              </w:rPr>
              <w:t>0.03%</w:t>
            </w:r>
          </w:p>
        </w:tc>
        <w:tc>
          <w:tcPr>
            <w:tcW w:w="974" w:type="dxa"/>
            <w:tcBorders>
              <w:top w:val="double" w:sz="4" w:space="0" w:color="auto"/>
            </w:tcBorders>
            <w:vAlign w:val="center"/>
          </w:tcPr>
          <w:p w:rsidR="00FB762E" w:rsidRPr="003566F9" w:rsidRDefault="00FB762E">
            <w:pPr>
              <w:jc w:val="right"/>
              <w:rPr>
                <w:color w:val="000000"/>
                <w:sz w:val="26"/>
                <w:szCs w:val="26"/>
              </w:rPr>
            </w:pPr>
            <w:r w:rsidRPr="00C93118">
              <w:rPr>
                <w:color w:val="000000"/>
                <w:sz w:val="26"/>
                <w:szCs w:val="26"/>
              </w:rPr>
              <w:t>0.03%</w:t>
            </w:r>
          </w:p>
        </w:tc>
      </w:tr>
      <w:tr w:rsidR="00FB762E" w:rsidRPr="004D495F" w:rsidTr="00C93118">
        <w:trPr>
          <w:trHeight w:val="624"/>
          <w:jc w:val="right"/>
        </w:trPr>
        <w:tc>
          <w:tcPr>
            <w:tcW w:w="567" w:type="dxa"/>
            <w:vAlign w:val="center"/>
          </w:tcPr>
          <w:p w:rsidR="00FB762E" w:rsidRPr="00EA272E" w:rsidRDefault="00FB762E" w:rsidP="00025808">
            <w:pPr>
              <w:spacing w:line="0" w:lineRule="atLeast"/>
              <w:jc w:val="center"/>
              <w:rPr>
                <w:rFonts w:eastAsia="標楷體"/>
                <w:sz w:val="26"/>
                <w:szCs w:val="26"/>
              </w:rPr>
            </w:pPr>
            <w:r>
              <w:rPr>
                <w:rFonts w:eastAsia="標楷體" w:hint="eastAsia"/>
                <w:sz w:val="26"/>
                <w:szCs w:val="26"/>
              </w:rPr>
              <w:t>2</w:t>
            </w:r>
          </w:p>
        </w:tc>
        <w:tc>
          <w:tcPr>
            <w:tcW w:w="3249" w:type="dxa"/>
            <w:vAlign w:val="center"/>
          </w:tcPr>
          <w:p w:rsidR="00FB762E" w:rsidRPr="00FB6B09" w:rsidRDefault="00FB762E" w:rsidP="00E962BF">
            <w:pPr>
              <w:rPr>
                <w:color w:val="000000"/>
                <w:sz w:val="26"/>
                <w:szCs w:val="26"/>
              </w:rPr>
            </w:pPr>
            <w:proofErr w:type="spellStart"/>
            <w:r w:rsidRPr="003566F9">
              <w:rPr>
                <w:color w:val="000000"/>
                <w:sz w:val="26"/>
                <w:szCs w:val="26"/>
              </w:rPr>
              <w:t>Divinus</w:t>
            </w:r>
            <w:proofErr w:type="spellEnd"/>
            <w:r w:rsidRPr="003566F9">
              <w:rPr>
                <w:color w:val="000000"/>
                <w:sz w:val="26"/>
                <w:szCs w:val="26"/>
              </w:rPr>
              <w:t xml:space="preserve"> Fabrics Ltd</w:t>
            </w:r>
          </w:p>
        </w:tc>
        <w:tc>
          <w:tcPr>
            <w:tcW w:w="993" w:type="dxa"/>
            <w:vAlign w:val="center"/>
          </w:tcPr>
          <w:p w:rsidR="00FB762E" w:rsidRPr="003566F9" w:rsidRDefault="00FB762E">
            <w:pPr>
              <w:jc w:val="right"/>
              <w:rPr>
                <w:color w:val="000000"/>
                <w:sz w:val="26"/>
                <w:szCs w:val="26"/>
              </w:rPr>
            </w:pPr>
            <w:r w:rsidRPr="00C93118">
              <w:rPr>
                <w:color w:val="000000"/>
                <w:sz w:val="26"/>
                <w:szCs w:val="26"/>
              </w:rPr>
              <w:t>18.88%</w:t>
            </w:r>
          </w:p>
        </w:tc>
        <w:tc>
          <w:tcPr>
            <w:tcW w:w="992" w:type="dxa"/>
            <w:vAlign w:val="center"/>
          </w:tcPr>
          <w:p w:rsidR="00FB762E" w:rsidRPr="003566F9" w:rsidRDefault="00FB762E">
            <w:pPr>
              <w:jc w:val="right"/>
              <w:rPr>
                <w:color w:val="000000"/>
                <w:sz w:val="26"/>
                <w:szCs w:val="26"/>
              </w:rPr>
            </w:pPr>
            <w:r w:rsidRPr="00C93118">
              <w:rPr>
                <w:color w:val="000000"/>
                <w:sz w:val="26"/>
                <w:szCs w:val="26"/>
              </w:rPr>
              <w:t>12.21%</w:t>
            </w:r>
          </w:p>
        </w:tc>
        <w:tc>
          <w:tcPr>
            <w:tcW w:w="992" w:type="dxa"/>
            <w:vAlign w:val="center"/>
          </w:tcPr>
          <w:p w:rsidR="00FB762E" w:rsidRPr="003566F9" w:rsidRDefault="00FB762E">
            <w:pPr>
              <w:jc w:val="right"/>
              <w:rPr>
                <w:color w:val="000000"/>
                <w:sz w:val="26"/>
                <w:szCs w:val="26"/>
              </w:rPr>
            </w:pPr>
            <w:r w:rsidRPr="00C93118">
              <w:rPr>
                <w:color w:val="000000"/>
                <w:sz w:val="26"/>
                <w:szCs w:val="26"/>
              </w:rPr>
              <w:t>15.07%</w:t>
            </w:r>
          </w:p>
        </w:tc>
        <w:tc>
          <w:tcPr>
            <w:tcW w:w="974" w:type="dxa"/>
            <w:vAlign w:val="center"/>
          </w:tcPr>
          <w:p w:rsidR="00FB762E" w:rsidRPr="003566F9" w:rsidRDefault="00FB762E">
            <w:pPr>
              <w:jc w:val="right"/>
              <w:rPr>
                <w:color w:val="000000"/>
                <w:sz w:val="26"/>
                <w:szCs w:val="26"/>
              </w:rPr>
            </w:pPr>
            <w:r w:rsidRPr="00C93118">
              <w:rPr>
                <w:color w:val="000000"/>
                <w:sz w:val="26"/>
                <w:szCs w:val="26"/>
              </w:rPr>
              <w:t>15.22%</w:t>
            </w:r>
          </w:p>
        </w:tc>
      </w:tr>
      <w:tr w:rsidR="00FB762E" w:rsidRPr="004D495F" w:rsidTr="00C93118">
        <w:trPr>
          <w:trHeight w:val="624"/>
          <w:jc w:val="right"/>
        </w:trPr>
        <w:tc>
          <w:tcPr>
            <w:tcW w:w="567" w:type="dxa"/>
            <w:vAlign w:val="center"/>
          </w:tcPr>
          <w:p w:rsidR="00FB762E" w:rsidRPr="00EA272E" w:rsidRDefault="00FB762E" w:rsidP="00025808">
            <w:pPr>
              <w:spacing w:line="0" w:lineRule="atLeast"/>
              <w:jc w:val="center"/>
              <w:rPr>
                <w:rFonts w:eastAsia="標楷體"/>
                <w:sz w:val="26"/>
                <w:szCs w:val="26"/>
              </w:rPr>
            </w:pPr>
            <w:r>
              <w:rPr>
                <w:rFonts w:eastAsia="標楷體" w:hint="eastAsia"/>
                <w:sz w:val="26"/>
                <w:szCs w:val="26"/>
              </w:rPr>
              <w:t>3</w:t>
            </w:r>
          </w:p>
        </w:tc>
        <w:tc>
          <w:tcPr>
            <w:tcW w:w="3249" w:type="dxa"/>
            <w:vAlign w:val="center"/>
          </w:tcPr>
          <w:p w:rsidR="00FB762E" w:rsidRDefault="00FB762E" w:rsidP="00E962BF">
            <w:pPr>
              <w:rPr>
                <w:rFonts w:eastAsia="標楷體"/>
                <w:sz w:val="26"/>
                <w:szCs w:val="26"/>
              </w:rPr>
            </w:pPr>
            <w:r w:rsidRPr="00FB6B09">
              <w:rPr>
                <w:color w:val="000000"/>
                <w:sz w:val="26"/>
                <w:szCs w:val="26"/>
              </w:rPr>
              <w:t xml:space="preserve">GSI </w:t>
            </w:r>
            <w:proofErr w:type="spellStart"/>
            <w:r w:rsidRPr="00FB6B09">
              <w:rPr>
                <w:color w:val="000000"/>
                <w:sz w:val="26"/>
                <w:szCs w:val="26"/>
              </w:rPr>
              <w:t>Creos</w:t>
            </w:r>
            <w:proofErr w:type="spellEnd"/>
            <w:r w:rsidRPr="00FB6B09">
              <w:rPr>
                <w:color w:val="000000"/>
                <w:sz w:val="26"/>
                <w:szCs w:val="26"/>
              </w:rPr>
              <w:t xml:space="preserve"> Corporation</w:t>
            </w:r>
          </w:p>
        </w:tc>
        <w:tc>
          <w:tcPr>
            <w:tcW w:w="993" w:type="dxa"/>
            <w:vAlign w:val="center"/>
          </w:tcPr>
          <w:p w:rsidR="00FB762E" w:rsidRPr="003566F9" w:rsidRDefault="00FB762E">
            <w:pPr>
              <w:jc w:val="right"/>
              <w:rPr>
                <w:color w:val="000000"/>
                <w:sz w:val="26"/>
                <w:szCs w:val="26"/>
              </w:rPr>
            </w:pPr>
            <w:r w:rsidRPr="00C93118">
              <w:rPr>
                <w:color w:val="000000"/>
                <w:sz w:val="26"/>
                <w:szCs w:val="26"/>
              </w:rPr>
              <w:t>9.88%</w:t>
            </w:r>
          </w:p>
        </w:tc>
        <w:tc>
          <w:tcPr>
            <w:tcW w:w="992" w:type="dxa"/>
            <w:vAlign w:val="center"/>
          </w:tcPr>
          <w:p w:rsidR="00FB762E" w:rsidRPr="003566F9" w:rsidRDefault="00FB762E">
            <w:pPr>
              <w:jc w:val="right"/>
              <w:rPr>
                <w:color w:val="000000"/>
                <w:sz w:val="26"/>
                <w:szCs w:val="26"/>
              </w:rPr>
            </w:pPr>
            <w:r w:rsidRPr="00C93118">
              <w:rPr>
                <w:color w:val="000000"/>
                <w:sz w:val="26"/>
                <w:szCs w:val="26"/>
              </w:rPr>
              <w:t>10.16%</w:t>
            </w:r>
          </w:p>
        </w:tc>
        <w:tc>
          <w:tcPr>
            <w:tcW w:w="992" w:type="dxa"/>
            <w:vAlign w:val="center"/>
          </w:tcPr>
          <w:p w:rsidR="00FB762E" w:rsidRPr="003566F9" w:rsidRDefault="00FB762E">
            <w:pPr>
              <w:jc w:val="right"/>
              <w:rPr>
                <w:color w:val="000000"/>
                <w:sz w:val="26"/>
                <w:szCs w:val="26"/>
              </w:rPr>
            </w:pPr>
            <w:r w:rsidRPr="00C93118">
              <w:rPr>
                <w:color w:val="000000"/>
                <w:sz w:val="26"/>
                <w:szCs w:val="26"/>
              </w:rPr>
              <w:t>9.90%</w:t>
            </w:r>
          </w:p>
        </w:tc>
        <w:tc>
          <w:tcPr>
            <w:tcW w:w="974" w:type="dxa"/>
            <w:vAlign w:val="center"/>
          </w:tcPr>
          <w:p w:rsidR="00FB762E" w:rsidRPr="003566F9" w:rsidRDefault="00FB762E">
            <w:pPr>
              <w:jc w:val="right"/>
              <w:rPr>
                <w:color w:val="000000"/>
                <w:sz w:val="26"/>
                <w:szCs w:val="26"/>
              </w:rPr>
            </w:pPr>
            <w:r w:rsidRPr="00C93118">
              <w:rPr>
                <w:color w:val="000000"/>
                <w:sz w:val="26"/>
                <w:szCs w:val="26"/>
              </w:rPr>
              <w:t>9.98%</w:t>
            </w:r>
          </w:p>
        </w:tc>
      </w:tr>
      <w:tr w:rsidR="00FB762E" w:rsidRPr="004D495F" w:rsidTr="00C93118">
        <w:trPr>
          <w:trHeight w:val="624"/>
          <w:jc w:val="right"/>
        </w:trPr>
        <w:tc>
          <w:tcPr>
            <w:tcW w:w="567" w:type="dxa"/>
            <w:vAlign w:val="center"/>
          </w:tcPr>
          <w:p w:rsidR="00FB762E" w:rsidRPr="00EA272E" w:rsidRDefault="00FB762E" w:rsidP="00025808">
            <w:pPr>
              <w:spacing w:line="0" w:lineRule="atLeast"/>
              <w:jc w:val="center"/>
              <w:rPr>
                <w:rFonts w:eastAsia="標楷體"/>
                <w:sz w:val="26"/>
                <w:szCs w:val="26"/>
              </w:rPr>
            </w:pPr>
            <w:r>
              <w:rPr>
                <w:rFonts w:eastAsia="標楷體" w:hint="eastAsia"/>
                <w:sz w:val="26"/>
                <w:szCs w:val="26"/>
              </w:rPr>
              <w:t>4</w:t>
            </w:r>
          </w:p>
        </w:tc>
        <w:tc>
          <w:tcPr>
            <w:tcW w:w="3249" w:type="dxa"/>
            <w:vAlign w:val="center"/>
          </w:tcPr>
          <w:p w:rsidR="00FB762E" w:rsidRDefault="00FB762E" w:rsidP="00E962BF">
            <w:pPr>
              <w:rPr>
                <w:rFonts w:eastAsia="標楷體"/>
                <w:sz w:val="26"/>
                <w:szCs w:val="26"/>
              </w:rPr>
            </w:pPr>
            <w:r w:rsidRPr="00FB6B09">
              <w:rPr>
                <w:color w:val="000000"/>
                <w:sz w:val="26"/>
                <w:szCs w:val="26"/>
              </w:rPr>
              <w:t xml:space="preserve">Jiangsu </w:t>
            </w:r>
            <w:proofErr w:type="spellStart"/>
            <w:r w:rsidRPr="00FB6B09">
              <w:rPr>
                <w:color w:val="000000"/>
                <w:sz w:val="26"/>
                <w:szCs w:val="26"/>
              </w:rPr>
              <w:t>Guotai</w:t>
            </w:r>
            <w:proofErr w:type="spellEnd"/>
            <w:r w:rsidRPr="00FB6B09">
              <w:rPr>
                <w:color w:val="000000"/>
                <w:sz w:val="26"/>
                <w:szCs w:val="26"/>
              </w:rPr>
              <w:t xml:space="preserve"> Intl Grp </w:t>
            </w:r>
            <w:proofErr w:type="spellStart"/>
            <w:r w:rsidRPr="00FB6B09">
              <w:rPr>
                <w:color w:val="000000"/>
                <w:sz w:val="26"/>
                <w:szCs w:val="26"/>
              </w:rPr>
              <w:t>Guomao</w:t>
            </w:r>
            <w:proofErr w:type="spellEnd"/>
            <w:r w:rsidRPr="00FB6B09">
              <w:rPr>
                <w:color w:val="000000"/>
                <w:sz w:val="26"/>
                <w:szCs w:val="26"/>
              </w:rPr>
              <w:t xml:space="preserve"> Co., Ltd.</w:t>
            </w:r>
          </w:p>
        </w:tc>
        <w:tc>
          <w:tcPr>
            <w:tcW w:w="993" w:type="dxa"/>
            <w:vAlign w:val="center"/>
          </w:tcPr>
          <w:p w:rsidR="00FB762E" w:rsidRPr="003566F9" w:rsidRDefault="00FB762E">
            <w:pPr>
              <w:jc w:val="right"/>
              <w:rPr>
                <w:color w:val="000000"/>
                <w:sz w:val="26"/>
                <w:szCs w:val="26"/>
              </w:rPr>
            </w:pPr>
            <w:r w:rsidRPr="00C93118">
              <w:rPr>
                <w:color w:val="000000"/>
                <w:sz w:val="26"/>
                <w:szCs w:val="26"/>
              </w:rPr>
              <w:t>13.50%</w:t>
            </w:r>
          </w:p>
        </w:tc>
        <w:tc>
          <w:tcPr>
            <w:tcW w:w="992" w:type="dxa"/>
            <w:vAlign w:val="center"/>
          </w:tcPr>
          <w:p w:rsidR="00FB762E" w:rsidRPr="003566F9" w:rsidRDefault="00FB762E">
            <w:pPr>
              <w:jc w:val="right"/>
              <w:rPr>
                <w:color w:val="000000"/>
                <w:sz w:val="26"/>
                <w:szCs w:val="26"/>
              </w:rPr>
            </w:pPr>
            <w:r w:rsidRPr="00C93118">
              <w:rPr>
                <w:color w:val="000000"/>
                <w:sz w:val="26"/>
                <w:szCs w:val="26"/>
              </w:rPr>
              <w:t>15.52%</w:t>
            </w:r>
          </w:p>
        </w:tc>
        <w:tc>
          <w:tcPr>
            <w:tcW w:w="992" w:type="dxa"/>
            <w:vAlign w:val="center"/>
          </w:tcPr>
          <w:p w:rsidR="00FB762E" w:rsidRPr="003566F9" w:rsidRDefault="00FB762E">
            <w:pPr>
              <w:jc w:val="right"/>
              <w:rPr>
                <w:color w:val="000000"/>
                <w:sz w:val="26"/>
                <w:szCs w:val="26"/>
              </w:rPr>
            </w:pPr>
            <w:r w:rsidRPr="00C93118">
              <w:rPr>
                <w:color w:val="000000"/>
                <w:sz w:val="26"/>
                <w:szCs w:val="26"/>
              </w:rPr>
              <w:t>15.50%</w:t>
            </w:r>
          </w:p>
        </w:tc>
        <w:tc>
          <w:tcPr>
            <w:tcW w:w="974" w:type="dxa"/>
            <w:vAlign w:val="center"/>
          </w:tcPr>
          <w:p w:rsidR="00FB762E" w:rsidRPr="003566F9" w:rsidRDefault="00FB762E">
            <w:pPr>
              <w:jc w:val="right"/>
              <w:rPr>
                <w:color w:val="000000"/>
                <w:sz w:val="26"/>
                <w:szCs w:val="26"/>
              </w:rPr>
            </w:pPr>
            <w:r w:rsidRPr="00C93118">
              <w:rPr>
                <w:color w:val="000000"/>
                <w:sz w:val="26"/>
                <w:szCs w:val="26"/>
              </w:rPr>
              <w:t>14.90%</w:t>
            </w:r>
          </w:p>
        </w:tc>
      </w:tr>
      <w:tr w:rsidR="00FB762E" w:rsidRPr="004D495F" w:rsidTr="00C93118">
        <w:trPr>
          <w:trHeight w:val="624"/>
          <w:jc w:val="right"/>
        </w:trPr>
        <w:tc>
          <w:tcPr>
            <w:tcW w:w="567" w:type="dxa"/>
            <w:vAlign w:val="center"/>
          </w:tcPr>
          <w:p w:rsidR="00FB762E" w:rsidRDefault="00FB762E" w:rsidP="00025808">
            <w:pPr>
              <w:spacing w:line="0" w:lineRule="atLeast"/>
              <w:jc w:val="center"/>
              <w:rPr>
                <w:rFonts w:eastAsia="標楷體"/>
                <w:sz w:val="26"/>
                <w:szCs w:val="26"/>
              </w:rPr>
            </w:pPr>
            <w:r>
              <w:rPr>
                <w:rFonts w:eastAsia="標楷體" w:hint="eastAsia"/>
                <w:sz w:val="26"/>
                <w:szCs w:val="26"/>
              </w:rPr>
              <w:t>5</w:t>
            </w:r>
          </w:p>
        </w:tc>
        <w:tc>
          <w:tcPr>
            <w:tcW w:w="3249"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rsidRPr="00FB6B09">
              <w:rPr>
                <w:color w:val="000000"/>
                <w:sz w:val="26"/>
                <w:szCs w:val="26"/>
              </w:rPr>
              <w:t>Marumitsu</w:t>
            </w:r>
            <w:proofErr w:type="spellEnd"/>
            <w:r w:rsidRPr="00FB6B09">
              <w:rPr>
                <w:color w:val="000000"/>
                <w:sz w:val="26"/>
                <w:szCs w:val="26"/>
              </w:rPr>
              <w:t xml:space="preserve"> Co Ltd</w:t>
            </w:r>
          </w:p>
        </w:tc>
        <w:tc>
          <w:tcPr>
            <w:tcW w:w="993" w:type="dxa"/>
            <w:vAlign w:val="center"/>
          </w:tcPr>
          <w:p w:rsidR="00FB762E" w:rsidRPr="003566F9" w:rsidRDefault="00FB762E">
            <w:pPr>
              <w:jc w:val="right"/>
              <w:rPr>
                <w:color w:val="000000"/>
                <w:sz w:val="26"/>
                <w:szCs w:val="26"/>
              </w:rPr>
            </w:pPr>
            <w:r w:rsidRPr="00C93118">
              <w:rPr>
                <w:color w:val="000000"/>
                <w:sz w:val="26"/>
                <w:szCs w:val="26"/>
              </w:rPr>
              <w:t>27.81%</w:t>
            </w:r>
          </w:p>
        </w:tc>
        <w:tc>
          <w:tcPr>
            <w:tcW w:w="992" w:type="dxa"/>
            <w:vAlign w:val="center"/>
          </w:tcPr>
          <w:p w:rsidR="00FB762E" w:rsidRPr="003566F9" w:rsidRDefault="00FB762E">
            <w:pPr>
              <w:jc w:val="right"/>
              <w:rPr>
                <w:color w:val="000000"/>
                <w:sz w:val="26"/>
                <w:szCs w:val="26"/>
              </w:rPr>
            </w:pPr>
            <w:r w:rsidRPr="00C93118">
              <w:rPr>
                <w:color w:val="000000"/>
                <w:sz w:val="26"/>
                <w:szCs w:val="26"/>
              </w:rPr>
              <w:t>27.19%</w:t>
            </w:r>
          </w:p>
        </w:tc>
        <w:tc>
          <w:tcPr>
            <w:tcW w:w="992" w:type="dxa"/>
            <w:vAlign w:val="center"/>
          </w:tcPr>
          <w:p w:rsidR="00FB762E" w:rsidRPr="003566F9" w:rsidRDefault="00FB762E">
            <w:pPr>
              <w:jc w:val="right"/>
              <w:rPr>
                <w:color w:val="000000"/>
                <w:sz w:val="26"/>
                <w:szCs w:val="26"/>
              </w:rPr>
            </w:pPr>
            <w:r w:rsidRPr="00C93118">
              <w:rPr>
                <w:color w:val="000000"/>
                <w:sz w:val="26"/>
                <w:szCs w:val="26"/>
              </w:rPr>
              <w:t>27.11%</w:t>
            </w:r>
          </w:p>
        </w:tc>
        <w:tc>
          <w:tcPr>
            <w:tcW w:w="974" w:type="dxa"/>
            <w:vAlign w:val="center"/>
          </w:tcPr>
          <w:p w:rsidR="00FB762E" w:rsidRPr="003566F9" w:rsidRDefault="00FB762E">
            <w:pPr>
              <w:jc w:val="right"/>
              <w:rPr>
                <w:color w:val="000000"/>
                <w:sz w:val="26"/>
                <w:szCs w:val="26"/>
              </w:rPr>
            </w:pPr>
            <w:r w:rsidRPr="00C93118">
              <w:rPr>
                <w:color w:val="000000"/>
                <w:sz w:val="26"/>
                <w:szCs w:val="26"/>
              </w:rPr>
              <w:t>27.41%</w:t>
            </w:r>
          </w:p>
        </w:tc>
      </w:tr>
      <w:tr w:rsidR="00FB762E" w:rsidRPr="004D495F" w:rsidTr="00C93118">
        <w:trPr>
          <w:trHeight w:val="624"/>
          <w:jc w:val="right"/>
        </w:trPr>
        <w:tc>
          <w:tcPr>
            <w:tcW w:w="567" w:type="dxa"/>
            <w:vAlign w:val="center"/>
          </w:tcPr>
          <w:p w:rsidR="00FB762E" w:rsidRDefault="00FB762E" w:rsidP="00025808">
            <w:pPr>
              <w:spacing w:line="0" w:lineRule="atLeast"/>
              <w:jc w:val="center"/>
              <w:rPr>
                <w:rFonts w:eastAsia="標楷體"/>
                <w:sz w:val="26"/>
                <w:szCs w:val="26"/>
              </w:rPr>
            </w:pPr>
            <w:r>
              <w:rPr>
                <w:rFonts w:eastAsia="標楷體" w:hint="eastAsia"/>
                <w:sz w:val="26"/>
                <w:szCs w:val="26"/>
              </w:rPr>
              <w:t>6</w:t>
            </w:r>
          </w:p>
        </w:tc>
        <w:tc>
          <w:tcPr>
            <w:tcW w:w="3249" w:type="dxa"/>
            <w:vAlign w:val="center"/>
          </w:tcPr>
          <w:p w:rsidR="00FB762E" w:rsidRPr="003566F9" w:rsidRDefault="00FB762E" w:rsidP="00E962BF">
            <w:pPr>
              <w:rPr>
                <w:color w:val="000000"/>
                <w:sz w:val="26"/>
                <w:szCs w:val="26"/>
              </w:rPr>
            </w:pPr>
            <w:r w:rsidRPr="00FB6B09">
              <w:rPr>
                <w:color w:val="000000"/>
                <w:sz w:val="26"/>
                <w:szCs w:val="26"/>
              </w:rPr>
              <w:t xml:space="preserve">NJ Textiles Import &amp; Export </w:t>
            </w:r>
            <w:proofErr w:type="spellStart"/>
            <w:r w:rsidRPr="00FB6B09">
              <w:rPr>
                <w:color w:val="000000"/>
                <w:sz w:val="26"/>
                <w:szCs w:val="26"/>
              </w:rPr>
              <w:t>Corp.,Ltd</w:t>
            </w:r>
            <w:proofErr w:type="spellEnd"/>
            <w:r w:rsidRPr="00FB6B09">
              <w:rPr>
                <w:color w:val="000000"/>
                <w:sz w:val="26"/>
                <w:szCs w:val="26"/>
              </w:rPr>
              <w:t>.</w:t>
            </w:r>
          </w:p>
        </w:tc>
        <w:tc>
          <w:tcPr>
            <w:tcW w:w="993" w:type="dxa"/>
            <w:vAlign w:val="center"/>
          </w:tcPr>
          <w:p w:rsidR="00FB762E" w:rsidRPr="003566F9" w:rsidRDefault="00FB762E">
            <w:pPr>
              <w:jc w:val="right"/>
              <w:rPr>
                <w:color w:val="000000"/>
                <w:sz w:val="26"/>
                <w:szCs w:val="26"/>
              </w:rPr>
            </w:pPr>
            <w:r w:rsidRPr="00C93118">
              <w:rPr>
                <w:color w:val="000000"/>
                <w:sz w:val="26"/>
                <w:szCs w:val="26"/>
              </w:rPr>
              <w:t>3.56%</w:t>
            </w:r>
          </w:p>
        </w:tc>
        <w:tc>
          <w:tcPr>
            <w:tcW w:w="992" w:type="dxa"/>
            <w:vAlign w:val="center"/>
          </w:tcPr>
          <w:p w:rsidR="00FB762E" w:rsidRPr="003566F9" w:rsidRDefault="00FB762E">
            <w:pPr>
              <w:jc w:val="right"/>
              <w:rPr>
                <w:color w:val="000000"/>
                <w:sz w:val="26"/>
                <w:szCs w:val="26"/>
              </w:rPr>
            </w:pPr>
            <w:r w:rsidRPr="00C93118">
              <w:rPr>
                <w:color w:val="000000"/>
                <w:sz w:val="26"/>
                <w:szCs w:val="26"/>
              </w:rPr>
              <w:t>4.40%</w:t>
            </w:r>
          </w:p>
        </w:tc>
        <w:tc>
          <w:tcPr>
            <w:tcW w:w="992" w:type="dxa"/>
            <w:vAlign w:val="center"/>
          </w:tcPr>
          <w:p w:rsidR="00FB762E" w:rsidRPr="003566F9" w:rsidRDefault="00FB762E">
            <w:pPr>
              <w:jc w:val="right"/>
              <w:rPr>
                <w:color w:val="000000"/>
                <w:sz w:val="26"/>
                <w:szCs w:val="26"/>
              </w:rPr>
            </w:pPr>
            <w:r w:rsidRPr="00C93118">
              <w:rPr>
                <w:color w:val="000000"/>
                <w:sz w:val="26"/>
                <w:szCs w:val="26"/>
              </w:rPr>
              <w:t>4.42%</w:t>
            </w:r>
          </w:p>
        </w:tc>
        <w:tc>
          <w:tcPr>
            <w:tcW w:w="974" w:type="dxa"/>
            <w:vAlign w:val="center"/>
          </w:tcPr>
          <w:p w:rsidR="00FB762E" w:rsidRPr="003566F9" w:rsidRDefault="00FB762E">
            <w:pPr>
              <w:jc w:val="right"/>
              <w:rPr>
                <w:color w:val="000000"/>
                <w:sz w:val="26"/>
                <w:szCs w:val="26"/>
              </w:rPr>
            </w:pPr>
            <w:r w:rsidRPr="00C93118">
              <w:rPr>
                <w:color w:val="000000"/>
                <w:sz w:val="26"/>
                <w:szCs w:val="26"/>
              </w:rPr>
              <w:t>3.94%</w:t>
            </w:r>
          </w:p>
        </w:tc>
      </w:tr>
      <w:tr w:rsidR="00FB762E" w:rsidRPr="004D495F" w:rsidTr="00C93118">
        <w:trPr>
          <w:trHeight w:val="624"/>
          <w:jc w:val="right"/>
        </w:trPr>
        <w:tc>
          <w:tcPr>
            <w:tcW w:w="567" w:type="dxa"/>
            <w:vAlign w:val="center"/>
          </w:tcPr>
          <w:p w:rsidR="00FB762E" w:rsidRDefault="00FB762E" w:rsidP="00025808">
            <w:pPr>
              <w:spacing w:line="0" w:lineRule="atLeast"/>
              <w:jc w:val="center"/>
              <w:rPr>
                <w:rFonts w:eastAsia="標楷體"/>
                <w:sz w:val="26"/>
                <w:szCs w:val="26"/>
              </w:rPr>
            </w:pPr>
            <w:r>
              <w:rPr>
                <w:rFonts w:eastAsia="標楷體" w:hint="eastAsia"/>
                <w:sz w:val="26"/>
                <w:szCs w:val="26"/>
              </w:rPr>
              <w:lastRenderedPageBreak/>
              <w:t>7</w:t>
            </w:r>
          </w:p>
        </w:tc>
        <w:tc>
          <w:tcPr>
            <w:tcW w:w="3249"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B6B09">
              <w:rPr>
                <w:color w:val="000000"/>
                <w:sz w:val="26"/>
                <w:szCs w:val="26"/>
              </w:rPr>
              <w:t>Standard Industries Limited</w:t>
            </w:r>
          </w:p>
        </w:tc>
        <w:tc>
          <w:tcPr>
            <w:tcW w:w="993" w:type="dxa"/>
            <w:vAlign w:val="center"/>
          </w:tcPr>
          <w:p w:rsidR="00FB762E" w:rsidRPr="003566F9" w:rsidRDefault="00FB762E">
            <w:pPr>
              <w:jc w:val="right"/>
              <w:rPr>
                <w:color w:val="000000"/>
                <w:sz w:val="26"/>
                <w:szCs w:val="26"/>
              </w:rPr>
            </w:pPr>
            <w:r w:rsidRPr="00C93118">
              <w:rPr>
                <w:color w:val="000000"/>
                <w:sz w:val="26"/>
                <w:szCs w:val="26"/>
              </w:rPr>
              <w:t>44.49%</w:t>
            </w:r>
          </w:p>
        </w:tc>
        <w:tc>
          <w:tcPr>
            <w:tcW w:w="992" w:type="dxa"/>
            <w:vAlign w:val="center"/>
          </w:tcPr>
          <w:p w:rsidR="00FB762E" w:rsidRPr="003566F9" w:rsidRDefault="00FB762E">
            <w:pPr>
              <w:jc w:val="right"/>
              <w:rPr>
                <w:color w:val="000000"/>
                <w:sz w:val="26"/>
                <w:szCs w:val="26"/>
              </w:rPr>
            </w:pPr>
            <w:r w:rsidRPr="00C93118">
              <w:rPr>
                <w:color w:val="000000"/>
                <w:sz w:val="26"/>
                <w:szCs w:val="26"/>
              </w:rPr>
              <w:t>68.29%</w:t>
            </w:r>
          </w:p>
        </w:tc>
        <w:tc>
          <w:tcPr>
            <w:tcW w:w="992" w:type="dxa"/>
            <w:vAlign w:val="center"/>
          </w:tcPr>
          <w:p w:rsidR="00FB762E" w:rsidRPr="003566F9" w:rsidRDefault="00FB762E">
            <w:pPr>
              <w:jc w:val="right"/>
              <w:rPr>
                <w:color w:val="000000"/>
                <w:sz w:val="26"/>
                <w:szCs w:val="26"/>
              </w:rPr>
            </w:pPr>
            <w:r w:rsidRPr="00C93118">
              <w:rPr>
                <w:color w:val="000000"/>
                <w:sz w:val="26"/>
                <w:szCs w:val="26"/>
              </w:rPr>
              <w:t>72.04%</w:t>
            </w:r>
          </w:p>
        </w:tc>
        <w:tc>
          <w:tcPr>
            <w:tcW w:w="974" w:type="dxa"/>
            <w:vAlign w:val="center"/>
          </w:tcPr>
          <w:p w:rsidR="00FB762E" w:rsidRPr="003566F9" w:rsidRDefault="00FB762E">
            <w:pPr>
              <w:jc w:val="right"/>
              <w:rPr>
                <w:color w:val="000000"/>
                <w:sz w:val="26"/>
                <w:szCs w:val="26"/>
              </w:rPr>
            </w:pPr>
            <w:r w:rsidRPr="00C93118">
              <w:rPr>
                <w:color w:val="000000"/>
                <w:sz w:val="26"/>
                <w:szCs w:val="26"/>
              </w:rPr>
              <w:t>59.20%</w:t>
            </w:r>
          </w:p>
        </w:tc>
      </w:tr>
      <w:tr w:rsidR="00FB762E" w:rsidRPr="004D495F" w:rsidTr="00C93118">
        <w:trPr>
          <w:trHeight w:val="624"/>
          <w:jc w:val="right"/>
        </w:trPr>
        <w:tc>
          <w:tcPr>
            <w:tcW w:w="567" w:type="dxa"/>
            <w:vAlign w:val="center"/>
          </w:tcPr>
          <w:p w:rsidR="00FB762E" w:rsidRDefault="00FB762E" w:rsidP="00025808">
            <w:pPr>
              <w:spacing w:line="0" w:lineRule="atLeast"/>
              <w:jc w:val="center"/>
              <w:rPr>
                <w:rFonts w:eastAsia="標楷體"/>
                <w:sz w:val="26"/>
                <w:szCs w:val="26"/>
              </w:rPr>
            </w:pPr>
            <w:r>
              <w:rPr>
                <w:rFonts w:eastAsia="標楷體" w:hint="eastAsia"/>
                <w:sz w:val="26"/>
                <w:szCs w:val="26"/>
              </w:rPr>
              <w:t>8</w:t>
            </w:r>
          </w:p>
        </w:tc>
        <w:tc>
          <w:tcPr>
            <w:tcW w:w="3249"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rsidRPr="00FB6B09">
              <w:rPr>
                <w:color w:val="000000"/>
                <w:sz w:val="26"/>
                <w:szCs w:val="26"/>
              </w:rPr>
              <w:t>Takihyo</w:t>
            </w:r>
            <w:proofErr w:type="spellEnd"/>
            <w:r w:rsidRPr="00FB6B09">
              <w:rPr>
                <w:color w:val="000000"/>
                <w:sz w:val="26"/>
                <w:szCs w:val="26"/>
              </w:rPr>
              <w:t xml:space="preserve"> Co., Ltd.</w:t>
            </w:r>
          </w:p>
        </w:tc>
        <w:tc>
          <w:tcPr>
            <w:tcW w:w="993" w:type="dxa"/>
            <w:vAlign w:val="center"/>
          </w:tcPr>
          <w:p w:rsidR="00FB762E" w:rsidRPr="003566F9" w:rsidRDefault="00FB762E">
            <w:pPr>
              <w:jc w:val="right"/>
              <w:rPr>
                <w:color w:val="000000"/>
                <w:sz w:val="26"/>
                <w:szCs w:val="26"/>
              </w:rPr>
            </w:pPr>
            <w:r w:rsidRPr="00C93118">
              <w:rPr>
                <w:color w:val="000000"/>
                <w:sz w:val="26"/>
                <w:szCs w:val="26"/>
              </w:rPr>
              <w:t>25.26%</w:t>
            </w:r>
          </w:p>
        </w:tc>
        <w:tc>
          <w:tcPr>
            <w:tcW w:w="992" w:type="dxa"/>
            <w:vAlign w:val="center"/>
          </w:tcPr>
          <w:p w:rsidR="00FB762E" w:rsidRPr="003566F9" w:rsidRDefault="00FB762E">
            <w:pPr>
              <w:jc w:val="right"/>
              <w:rPr>
                <w:color w:val="000000"/>
                <w:sz w:val="26"/>
                <w:szCs w:val="26"/>
              </w:rPr>
            </w:pPr>
            <w:r w:rsidRPr="00C93118">
              <w:rPr>
                <w:color w:val="000000"/>
                <w:sz w:val="26"/>
                <w:szCs w:val="26"/>
              </w:rPr>
              <w:t>25.76%</w:t>
            </w:r>
          </w:p>
        </w:tc>
        <w:tc>
          <w:tcPr>
            <w:tcW w:w="992" w:type="dxa"/>
            <w:vAlign w:val="center"/>
          </w:tcPr>
          <w:p w:rsidR="00FB762E" w:rsidRPr="003566F9" w:rsidRDefault="00FB762E">
            <w:pPr>
              <w:jc w:val="right"/>
              <w:rPr>
                <w:color w:val="000000"/>
                <w:sz w:val="26"/>
                <w:szCs w:val="26"/>
              </w:rPr>
            </w:pPr>
            <w:r w:rsidRPr="00C93118">
              <w:rPr>
                <w:color w:val="000000"/>
                <w:sz w:val="26"/>
                <w:szCs w:val="26"/>
              </w:rPr>
              <w:t>24.43%</w:t>
            </w:r>
          </w:p>
        </w:tc>
        <w:tc>
          <w:tcPr>
            <w:tcW w:w="974" w:type="dxa"/>
            <w:vAlign w:val="center"/>
          </w:tcPr>
          <w:p w:rsidR="00FB762E" w:rsidRPr="003566F9" w:rsidRDefault="00FB762E">
            <w:pPr>
              <w:jc w:val="right"/>
              <w:rPr>
                <w:color w:val="000000"/>
                <w:sz w:val="26"/>
                <w:szCs w:val="26"/>
              </w:rPr>
            </w:pPr>
            <w:r w:rsidRPr="00C93118">
              <w:rPr>
                <w:color w:val="000000"/>
                <w:sz w:val="26"/>
                <w:szCs w:val="26"/>
              </w:rPr>
              <w:t>25.13%</w:t>
            </w:r>
          </w:p>
        </w:tc>
      </w:tr>
      <w:tr w:rsidR="00FB762E" w:rsidRPr="004D495F" w:rsidTr="00C93118">
        <w:trPr>
          <w:trHeight w:val="624"/>
          <w:jc w:val="right"/>
        </w:trPr>
        <w:tc>
          <w:tcPr>
            <w:tcW w:w="567" w:type="dxa"/>
            <w:vAlign w:val="center"/>
          </w:tcPr>
          <w:p w:rsidR="00FB762E" w:rsidRDefault="00FB762E" w:rsidP="00025808">
            <w:pPr>
              <w:spacing w:line="0" w:lineRule="atLeast"/>
              <w:jc w:val="center"/>
              <w:rPr>
                <w:rFonts w:eastAsia="標楷體"/>
                <w:sz w:val="26"/>
                <w:szCs w:val="26"/>
              </w:rPr>
            </w:pPr>
            <w:r>
              <w:rPr>
                <w:rFonts w:eastAsia="標楷體" w:hint="eastAsia"/>
                <w:sz w:val="26"/>
                <w:szCs w:val="26"/>
              </w:rPr>
              <w:t>9</w:t>
            </w:r>
          </w:p>
        </w:tc>
        <w:tc>
          <w:tcPr>
            <w:tcW w:w="3249"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3698C">
              <w:rPr>
                <w:color w:val="000000"/>
                <w:sz w:val="26"/>
                <w:szCs w:val="26"/>
              </w:rPr>
              <w:t>Zhejiang Orient Holdings Co., Ltd</w:t>
            </w:r>
          </w:p>
        </w:tc>
        <w:tc>
          <w:tcPr>
            <w:tcW w:w="993" w:type="dxa"/>
            <w:vAlign w:val="center"/>
          </w:tcPr>
          <w:p w:rsidR="00FB762E" w:rsidRPr="003566F9" w:rsidRDefault="00FB762E">
            <w:pPr>
              <w:jc w:val="right"/>
              <w:rPr>
                <w:color w:val="000000"/>
                <w:sz w:val="26"/>
                <w:szCs w:val="26"/>
              </w:rPr>
            </w:pPr>
            <w:r w:rsidRPr="00C93118">
              <w:rPr>
                <w:color w:val="000000"/>
                <w:sz w:val="26"/>
                <w:szCs w:val="26"/>
              </w:rPr>
              <w:t>8.76%</w:t>
            </w:r>
          </w:p>
        </w:tc>
        <w:tc>
          <w:tcPr>
            <w:tcW w:w="992" w:type="dxa"/>
            <w:vAlign w:val="center"/>
          </w:tcPr>
          <w:p w:rsidR="00FB762E" w:rsidRPr="003566F9" w:rsidRDefault="00FB762E">
            <w:pPr>
              <w:jc w:val="right"/>
              <w:rPr>
                <w:color w:val="000000"/>
                <w:sz w:val="26"/>
                <w:szCs w:val="26"/>
              </w:rPr>
            </w:pPr>
            <w:r w:rsidRPr="00C93118">
              <w:rPr>
                <w:color w:val="000000"/>
                <w:sz w:val="26"/>
                <w:szCs w:val="26"/>
              </w:rPr>
              <w:t>10.23%</w:t>
            </w:r>
          </w:p>
        </w:tc>
        <w:tc>
          <w:tcPr>
            <w:tcW w:w="992" w:type="dxa"/>
            <w:vAlign w:val="center"/>
          </w:tcPr>
          <w:p w:rsidR="00FB762E" w:rsidRPr="003566F9" w:rsidRDefault="00FB762E">
            <w:pPr>
              <w:jc w:val="right"/>
              <w:rPr>
                <w:color w:val="000000"/>
                <w:sz w:val="26"/>
                <w:szCs w:val="26"/>
              </w:rPr>
            </w:pPr>
            <w:r w:rsidRPr="00C93118">
              <w:rPr>
                <w:color w:val="000000"/>
                <w:sz w:val="26"/>
                <w:szCs w:val="26"/>
              </w:rPr>
              <w:t>16.29%</w:t>
            </w:r>
          </w:p>
        </w:tc>
        <w:tc>
          <w:tcPr>
            <w:tcW w:w="974" w:type="dxa"/>
            <w:vAlign w:val="center"/>
          </w:tcPr>
          <w:p w:rsidR="00FB762E" w:rsidRPr="003566F9" w:rsidRDefault="00FB762E">
            <w:pPr>
              <w:jc w:val="right"/>
              <w:rPr>
                <w:color w:val="000000"/>
                <w:sz w:val="26"/>
                <w:szCs w:val="26"/>
              </w:rPr>
            </w:pPr>
            <w:r w:rsidRPr="00C93118">
              <w:rPr>
                <w:color w:val="000000"/>
                <w:sz w:val="26"/>
                <w:szCs w:val="26"/>
              </w:rPr>
              <w:t>11.21%</w:t>
            </w:r>
          </w:p>
        </w:tc>
      </w:tr>
      <w:tr w:rsidR="007954E2" w:rsidRPr="004D495F" w:rsidTr="00D66EF3">
        <w:trPr>
          <w:trHeight w:val="454"/>
          <w:jc w:val="right"/>
        </w:trPr>
        <w:tc>
          <w:tcPr>
            <w:tcW w:w="7767" w:type="dxa"/>
            <w:gridSpan w:val="6"/>
            <w:shd w:val="clear" w:color="auto" w:fill="4F81BD"/>
            <w:vAlign w:val="center"/>
          </w:tcPr>
          <w:p w:rsidR="007954E2" w:rsidRPr="004D495F" w:rsidRDefault="007954E2" w:rsidP="00025808">
            <w:pPr>
              <w:jc w:val="center"/>
              <w:rPr>
                <w:rFonts w:eastAsia="標楷體"/>
                <w:color w:val="FFFFFF"/>
                <w:sz w:val="26"/>
                <w:szCs w:val="26"/>
              </w:rPr>
            </w:pPr>
            <w:r w:rsidRPr="004D495F">
              <w:rPr>
                <w:rFonts w:eastAsia="標楷體"/>
                <w:color w:val="FFFFFF"/>
                <w:sz w:val="26"/>
                <w:szCs w:val="26"/>
              </w:rPr>
              <w:t>常規交易範圍（四分位區間）</w:t>
            </w:r>
          </w:p>
        </w:tc>
      </w:tr>
      <w:tr w:rsidR="00FB762E" w:rsidRPr="004D495F" w:rsidTr="00C93118">
        <w:trPr>
          <w:trHeight w:val="454"/>
          <w:jc w:val="right"/>
        </w:trPr>
        <w:tc>
          <w:tcPr>
            <w:tcW w:w="3816" w:type="dxa"/>
            <w:gridSpan w:val="2"/>
            <w:vAlign w:val="center"/>
          </w:tcPr>
          <w:p w:rsidR="00FB762E" w:rsidRPr="004D495F" w:rsidRDefault="00FB762E" w:rsidP="005C3CA9">
            <w:pPr>
              <w:jc w:val="center"/>
              <w:rPr>
                <w:rFonts w:eastAsia="標楷體"/>
                <w:color w:val="000000"/>
                <w:sz w:val="26"/>
                <w:szCs w:val="26"/>
              </w:rPr>
            </w:pPr>
            <w:r w:rsidRPr="004D495F">
              <w:rPr>
                <w:rFonts w:eastAsia="標楷體"/>
                <w:color w:val="000000"/>
                <w:sz w:val="26"/>
                <w:szCs w:val="26"/>
              </w:rPr>
              <w:t>第</w:t>
            </w:r>
            <w:r>
              <w:rPr>
                <w:rFonts w:eastAsia="標楷體" w:hint="eastAsia"/>
                <w:color w:val="000000"/>
                <w:sz w:val="26"/>
                <w:szCs w:val="26"/>
              </w:rPr>
              <w:t>25</w:t>
            </w:r>
            <w:r w:rsidRPr="004D495F">
              <w:rPr>
                <w:rFonts w:eastAsia="標楷體"/>
                <w:color w:val="000000"/>
                <w:sz w:val="26"/>
                <w:szCs w:val="26"/>
              </w:rPr>
              <w:t>百分位數</w:t>
            </w:r>
          </w:p>
        </w:tc>
        <w:tc>
          <w:tcPr>
            <w:tcW w:w="993" w:type="dxa"/>
            <w:vAlign w:val="center"/>
          </w:tcPr>
          <w:p w:rsidR="00FB762E" w:rsidRPr="003566F9" w:rsidRDefault="00FB762E">
            <w:pPr>
              <w:jc w:val="right"/>
              <w:rPr>
                <w:color w:val="000000"/>
                <w:sz w:val="26"/>
                <w:szCs w:val="26"/>
              </w:rPr>
            </w:pPr>
            <w:r w:rsidRPr="00C93118">
              <w:rPr>
                <w:color w:val="000000"/>
                <w:sz w:val="26"/>
                <w:szCs w:val="26"/>
              </w:rPr>
              <w:t>8.76%</w:t>
            </w:r>
          </w:p>
        </w:tc>
        <w:tc>
          <w:tcPr>
            <w:tcW w:w="992" w:type="dxa"/>
            <w:vAlign w:val="center"/>
          </w:tcPr>
          <w:p w:rsidR="00FB762E" w:rsidRPr="003566F9" w:rsidRDefault="00FB762E">
            <w:pPr>
              <w:jc w:val="right"/>
              <w:rPr>
                <w:color w:val="000000"/>
                <w:sz w:val="26"/>
                <w:szCs w:val="26"/>
              </w:rPr>
            </w:pPr>
            <w:r w:rsidRPr="00C93118">
              <w:rPr>
                <w:color w:val="000000"/>
                <w:sz w:val="26"/>
                <w:szCs w:val="26"/>
              </w:rPr>
              <w:t>10.16%</w:t>
            </w:r>
          </w:p>
        </w:tc>
        <w:tc>
          <w:tcPr>
            <w:tcW w:w="992" w:type="dxa"/>
            <w:vAlign w:val="center"/>
          </w:tcPr>
          <w:p w:rsidR="00FB762E" w:rsidRPr="003566F9" w:rsidRDefault="00FB762E">
            <w:pPr>
              <w:jc w:val="right"/>
              <w:rPr>
                <w:color w:val="000000"/>
                <w:sz w:val="26"/>
                <w:szCs w:val="26"/>
              </w:rPr>
            </w:pPr>
            <w:r w:rsidRPr="00C93118">
              <w:rPr>
                <w:color w:val="000000"/>
                <w:sz w:val="26"/>
                <w:szCs w:val="26"/>
              </w:rPr>
              <w:t>9.90%</w:t>
            </w:r>
          </w:p>
        </w:tc>
        <w:tc>
          <w:tcPr>
            <w:tcW w:w="974" w:type="dxa"/>
            <w:vAlign w:val="center"/>
          </w:tcPr>
          <w:p w:rsidR="00FB762E" w:rsidRPr="003566F9" w:rsidRDefault="00FB762E">
            <w:pPr>
              <w:jc w:val="right"/>
              <w:rPr>
                <w:color w:val="000000"/>
                <w:sz w:val="26"/>
                <w:szCs w:val="26"/>
              </w:rPr>
            </w:pPr>
            <w:r w:rsidRPr="00C93118">
              <w:rPr>
                <w:color w:val="000000"/>
                <w:sz w:val="26"/>
                <w:szCs w:val="26"/>
              </w:rPr>
              <w:t>9.98%</w:t>
            </w:r>
          </w:p>
        </w:tc>
      </w:tr>
      <w:tr w:rsidR="00FB762E" w:rsidRPr="004D495F" w:rsidTr="00C93118">
        <w:trPr>
          <w:trHeight w:val="454"/>
          <w:jc w:val="right"/>
        </w:trPr>
        <w:tc>
          <w:tcPr>
            <w:tcW w:w="3816" w:type="dxa"/>
            <w:gridSpan w:val="2"/>
            <w:vAlign w:val="center"/>
          </w:tcPr>
          <w:p w:rsidR="00FB762E" w:rsidRPr="004D495F" w:rsidRDefault="00FB762E" w:rsidP="00025808">
            <w:pPr>
              <w:jc w:val="center"/>
              <w:rPr>
                <w:rFonts w:eastAsia="標楷體"/>
                <w:color w:val="000000"/>
                <w:sz w:val="26"/>
                <w:szCs w:val="26"/>
              </w:rPr>
            </w:pPr>
            <w:r w:rsidRPr="004D495F">
              <w:rPr>
                <w:rFonts w:eastAsia="標楷體"/>
                <w:color w:val="000000"/>
                <w:sz w:val="26"/>
                <w:szCs w:val="26"/>
              </w:rPr>
              <w:t>中位數</w:t>
            </w:r>
          </w:p>
        </w:tc>
        <w:tc>
          <w:tcPr>
            <w:tcW w:w="993" w:type="dxa"/>
            <w:vAlign w:val="center"/>
          </w:tcPr>
          <w:p w:rsidR="00FB762E" w:rsidRPr="003566F9" w:rsidRDefault="00FB762E">
            <w:pPr>
              <w:jc w:val="right"/>
              <w:rPr>
                <w:color w:val="000000"/>
                <w:sz w:val="26"/>
                <w:szCs w:val="26"/>
              </w:rPr>
            </w:pPr>
            <w:r w:rsidRPr="00C93118">
              <w:rPr>
                <w:color w:val="000000"/>
                <w:sz w:val="26"/>
                <w:szCs w:val="26"/>
              </w:rPr>
              <w:t>13.50%</w:t>
            </w:r>
          </w:p>
        </w:tc>
        <w:tc>
          <w:tcPr>
            <w:tcW w:w="992" w:type="dxa"/>
            <w:vAlign w:val="center"/>
          </w:tcPr>
          <w:p w:rsidR="00FB762E" w:rsidRPr="003566F9" w:rsidRDefault="00FB762E">
            <w:pPr>
              <w:jc w:val="right"/>
              <w:rPr>
                <w:color w:val="000000"/>
                <w:sz w:val="26"/>
                <w:szCs w:val="26"/>
              </w:rPr>
            </w:pPr>
            <w:r w:rsidRPr="00C93118">
              <w:rPr>
                <w:color w:val="000000"/>
                <w:sz w:val="26"/>
                <w:szCs w:val="26"/>
              </w:rPr>
              <w:t>12.21%</w:t>
            </w:r>
          </w:p>
        </w:tc>
        <w:tc>
          <w:tcPr>
            <w:tcW w:w="992" w:type="dxa"/>
            <w:vAlign w:val="center"/>
          </w:tcPr>
          <w:p w:rsidR="00FB762E" w:rsidRPr="003566F9" w:rsidRDefault="00FB762E">
            <w:pPr>
              <w:jc w:val="right"/>
              <w:rPr>
                <w:color w:val="000000"/>
                <w:sz w:val="26"/>
                <w:szCs w:val="26"/>
              </w:rPr>
            </w:pPr>
            <w:r w:rsidRPr="00C93118">
              <w:rPr>
                <w:color w:val="000000"/>
                <w:sz w:val="26"/>
                <w:szCs w:val="26"/>
              </w:rPr>
              <w:t>15.50%</w:t>
            </w:r>
          </w:p>
        </w:tc>
        <w:tc>
          <w:tcPr>
            <w:tcW w:w="974" w:type="dxa"/>
            <w:vAlign w:val="center"/>
          </w:tcPr>
          <w:p w:rsidR="00FB762E" w:rsidRPr="003566F9" w:rsidRDefault="00FB762E">
            <w:pPr>
              <w:jc w:val="right"/>
              <w:rPr>
                <w:color w:val="000000"/>
                <w:sz w:val="26"/>
                <w:szCs w:val="26"/>
              </w:rPr>
            </w:pPr>
            <w:r w:rsidRPr="00C93118">
              <w:rPr>
                <w:color w:val="000000"/>
                <w:sz w:val="26"/>
                <w:szCs w:val="26"/>
              </w:rPr>
              <w:t>14.90%</w:t>
            </w:r>
          </w:p>
        </w:tc>
      </w:tr>
      <w:tr w:rsidR="00FB762E" w:rsidRPr="004D495F" w:rsidTr="00C93118">
        <w:trPr>
          <w:trHeight w:val="454"/>
          <w:jc w:val="right"/>
        </w:trPr>
        <w:tc>
          <w:tcPr>
            <w:tcW w:w="3816" w:type="dxa"/>
            <w:gridSpan w:val="2"/>
            <w:vAlign w:val="center"/>
          </w:tcPr>
          <w:p w:rsidR="00FB762E" w:rsidRPr="004D495F" w:rsidRDefault="00FB762E" w:rsidP="005C3CA9">
            <w:pPr>
              <w:jc w:val="center"/>
              <w:rPr>
                <w:rFonts w:eastAsia="標楷體"/>
                <w:color w:val="000000"/>
                <w:sz w:val="26"/>
                <w:szCs w:val="26"/>
              </w:rPr>
            </w:pPr>
            <w:r w:rsidRPr="004D495F">
              <w:rPr>
                <w:rFonts w:eastAsia="標楷體"/>
                <w:color w:val="000000"/>
                <w:sz w:val="26"/>
                <w:szCs w:val="26"/>
              </w:rPr>
              <w:t>第</w:t>
            </w:r>
            <w:r>
              <w:rPr>
                <w:rFonts w:eastAsia="標楷體" w:hint="eastAsia"/>
                <w:color w:val="000000"/>
                <w:sz w:val="26"/>
                <w:szCs w:val="26"/>
              </w:rPr>
              <w:t>75</w:t>
            </w:r>
            <w:r w:rsidRPr="004D495F">
              <w:rPr>
                <w:rFonts w:eastAsia="標楷體"/>
                <w:color w:val="000000"/>
                <w:sz w:val="26"/>
                <w:szCs w:val="26"/>
              </w:rPr>
              <w:t>百分位數</w:t>
            </w:r>
          </w:p>
        </w:tc>
        <w:tc>
          <w:tcPr>
            <w:tcW w:w="993" w:type="dxa"/>
            <w:vAlign w:val="center"/>
          </w:tcPr>
          <w:p w:rsidR="00FB762E" w:rsidRPr="003566F9" w:rsidRDefault="00FB762E">
            <w:pPr>
              <w:jc w:val="right"/>
              <w:rPr>
                <w:color w:val="000000"/>
                <w:sz w:val="26"/>
                <w:szCs w:val="26"/>
              </w:rPr>
            </w:pPr>
            <w:r w:rsidRPr="00C93118">
              <w:rPr>
                <w:color w:val="000000"/>
                <w:sz w:val="26"/>
                <w:szCs w:val="26"/>
              </w:rPr>
              <w:t>25.26%</w:t>
            </w:r>
          </w:p>
        </w:tc>
        <w:tc>
          <w:tcPr>
            <w:tcW w:w="992" w:type="dxa"/>
            <w:vAlign w:val="center"/>
          </w:tcPr>
          <w:p w:rsidR="00FB762E" w:rsidRPr="003566F9" w:rsidRDefault="00FB762E">
            <w:pPr>
              <w:jc w:val="right"/>
              <w:rPr>
                <w:color w:val="000000"/>
                <w:sz w:val="26"/>
                <w:szCs w:val="26"/>
              </w:rPr>
            </w:pPr>
            <w:r w:rsidRPr="00C93118">
              <w:rPr>
                <w:color w:val="000000"/>
                <w:sz w:val="26"/>
                <w:szCs w:val="26"/>
              </w:rPr>
              <w:t>25.76%</w:t>
            </w:r>
          </w:p>
        </w:tc>
        <w:tc>
          <w:tcPr>
            <w:tcW w:w="992" w:type="dxa"/>
            <w:vAlign w:val="center"/>
          </w:tcPr>
          <w:p w:rsidR="00FB762E" w:rsidRPr="003566F9" w:rsidRDefault="00FB762E">
            <w:pPr>
              <w:jc w:val="right"/>
              <w:rPr>
                <w:color w:val="000000"/>
                <w:sz w:val="26"/>
                <w:szCs w:val="26"/>
              </w:rPr>
            </w:pPr>
            <w:r w:rsidRPr="00C93118">
              <w:rPr>
                <w:color w:val="000000"/>
                <w:sz w:val="26"/>
                <w:szCs w:val="26"/>
              </w:rPr>
              <w:t>24.43%</w:t>
            </w:r>
          </w:p>
        </w:tc>
        <w:tc>
          <w:tcPr>
            <w:tcW w:w="974" w:type="dxa"/>
            <w:vAlign w:val="center"/>
          </w:tcPr>
          <w:p w:rsidR="00FB762E" w:rsidRPr="003566F9" w:rsidRDefault="00FB762E">
            <w:pPr>
              <w:jc w:val="right"/>
              <w:rPr>
                <w:color w:val="000000"/>
                <w:sz w:val="26"/>
                <w:szCs w:val="26"/>
              </w:rPr>
            </w:pPr>
            <w:r w:rsidRPr="00C93118">
              <w:rPr>
                <w:color w:val="000000"/>
                <w:sz w:val="26"/>
                <w:szCs w:val="26"/>
              </w:rPr>
              <w:t>25.13%</w:t>
            </w:r>
          </w:p>
        </w:tc>
      </w:tr>
    </w:tbl>
    <w:p w:rsidR="004C5A82" w:rsidRDefault="00680128" w:rsidP="00D82424">
      <w:pPr>
        <w:numPr>
          <w:ilvl w:val="0"/>
          <w:numId w:val="33"/>
        </w:numPr>
        <w:tabs>
          <w:tab w:val="left" w:pos="1560"/>
        </w:tabs>
        <w:spacing w:beforeLines="100" w:before="240" w:afterLines="50" w:after="120" w:line="360" w:lineRule="auto"/>
        <w:ind w:leftChars="350" w:left="1322" w:hanging="482"/>
        <w:jc w:val="both"/>
        <w:rPr>
          <w:rFonts w:eastAsia="標楷體"/>
          <w:sz w:val="26"/>
          <w:szCs w:val="26"/>
        </w:rPr>
      </w:pPr>
      <w:r>
        <w:rPr>
          <w:rFonts w:eastAsia="標楷體" w:hint="eastAsia"/>
          <w:sz w:val="26"/>
          <w:szCs w:val="26"/>
        </w:rPr>
        <w:t>經資本性調整後可比較對象</w:t>
      </w:r>
      <w:r w:rsidRPr="00397F28">
        <w:rPr>
          <w:rFonts w:eastAsia="標楷體" w:hint="eastAsia"/>
          <w:sz w:val="26"/>
          <w:szCs w:val="26"/>
        </w:rPr>
        <w:t>之常規交易範圍</w:t>
      </w:r>
    </w:p>
    <w:p w:rsidR="004C5A82" w:rsidRDefault="00680128" w:rsidP="00D82424">
      <w:pPr>
        <w:tabs>
          <w:tab w:val="left" w:pos="1134"/>
        </w:tabs>
        <w:spacing w:beforeLines="50" w:before="120" w:afterLines="50" w:after="120" w:line="360" w:lineRule="auto"/>
        <w:ind w:leftChars="400" w:left="960" w:firstLineChars="200" w:firstLine="520"/>
        <w:jc w:val="both"/>
        <w:rPr>
          <w:rFonts w:eastAsia="標楷體"/>
          <w:sz w:val="26"/>
          <w:szCs w:val="26"/>
        </w:rPr>
      </w:pPr>
      <w:r w:rsidRPr="002E5352">
        <w:rPr>
          <w:rFonts w:eastAsia="標楷體" w:hint="eastAsia"/>
          <w:sz w:val="26"/>
          <w:szCs w:val="26"/>
        </w:rPr>
        <w:t>經過資本性調整</w:t>
      </w:r>
      <w:r>
        <w:rPr>
          <w:rFonts w:eastAsia="標楷體" w:hint="eastAsia"/>
          <w:sz w:val="26"/>
          <w:szCs w:val="26"/>
        </w:rPr>
        <w:t>後</w:t>
      </w:r>
      <w:r w:rsidRPr="002E5352">
        <w:rPr>
          <w:rFonts w:eastAsia="標楷體" w:hint="eastAsia"/>
          <w:sz w:val="26"/>
          <w:szCs w:val="26"/>
        </w:rPr>
        <w:t>，</w:t>
      </w:r>
      <w:r w:rsidRPr="0009496F">
        <w:rPr>
          <w:rFonts w:eastAsia="標楷體" w:hint="eastAsia"/>
          <w:sz w:val="26"/>
          <w:szCs w:val="26"/>
        </w:rPr>
        <w:t>瀚昌公司為布料貿易商之可比較對象</w:t>
      </w:r>
      <w:r w:rsidR="00065927">
        <w:rPr>
          <w:rFonts w:eastAsia="標楷體" w:hint="eastAsia"/>
          <w:sz w:val="26"/>
          <w:szCs w:val="26"/>
        </w:rPr>
        <w:t>10</w:t>
      </w:r>
      <w:r w:rsidR="00E962BF">
        <w:rPr>
          <w:rFonts w:eastAsia="標楷體" w:hint="eastAsia"/>
          <w:sz w:val="26"/>
          <w:szCs w:val="26"/>
        </w:rPr>
        <w:t>2</w:t>
      </w:r>
      <w:r w:rsidR="00065927" w:rsidRPr="0009496F">
        <w:rPr>
          <w:rFonts w:eastAsia="標楷體" w:hint="eastAsia"/>
          <w:sz w:val="26"/>
          <w:szCs w:val="26"/>
        </w:rPr>
        <w:t>至</w:t>
      </w:r>
      <w:r w:rsidR="00065927">
        <w:rPr>
          <w:rFonts w:eastAsia="標楷體" w:hint="eastAsia"/>
          <w:sz w:val="26"/>
          <w:szCs w:val="26"/>
        </w:rPr>
        <w:t>10</w:t>
      </w:r>
      <w:r w:rsidR="00E962BF">
        <w:rPr>
          <w:rFonts w:eastAsia="標楷體" w:hint="eastAsia"/>
          <w:sz w:val="26"/>
          <w:szCs w:val="26"/>
        </w:rPr>
        <w:t>4</w:t>
      </w:r>
      <w:r w:rsidRPr="0009496F">
        <w:rPr>
          <w:rFonts w:eastAsia="標楷體" w:hint="eastAsia"/>
          <w:sz w:val="26"/>
          <w:szCs w:val="26"/>
        </w:rPr>
        <w:t>年度成本加價率整理如下：</w:t>
      </w:r>
    </w:p>
    <w:tbl>
      <w:tblPr>
        <w:tblW w:w="7767"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7"/>
        <w:gridCol w:w="3272"/>
        <w:gridCol w:w="993"/>
        <w:gridCol w:w="992"/>
        <w:gridCol w:w="992"/>
        <w:gridCol w:w="951"/>
      </w:tblGrid>
      <w:tr w:rsidR="005F573C" w:rsidRPr="004D495F" w:rsidTr="00F874CB">
        <w:trPr>
          <w:cantSplit/>
          <w:trHeight w:val="471"/>
          <w:tblHeader/>
          <w:jc w:val="right"/>
        </w:trPr>
        <w:tc>
          <w:tcPr>
            <w:tcW w:w="567" w:type="dxa"/>
            <w:vMerge w:val="restart"/>
            <w:shd w:val="clear" w:color="auto" w:fill="4F81BD"/>
            <w:vAlign w:val="center"/>
          </w:tcPr>
          <w:p w:rsidR="005F573C" w:rsidRPr="004D495F" w:rsidRDefault="005F573C" w:rsidP="000167D4">
            <w:pPr>
              <w:spacing w:line="0" w:lineRule="atLeast"/>
              <w:jc w:val="center"/>
              <w:rPr>
                <w:rFonts w:eastAsia="標楷體"/>
                <w:color w:val="FFFFFF"/>
                <w:sz w:val="26"/>
                <w:szCs w:val="26"/>
              </w:rPr>
            </w:pPr>
            <w:r w:rsidRPr="004D495F">
              <w:rPr>
                <w:rFonts w:eastAsia="標楷體"/>
                <w:color w:val="FFFFFF"/>
                <w:sz w:val="26"/>
                <w:szCs w:val="26"/>
              </w:rPr>
              <w:t>編號</w:t>
            </w:r>
          </w:p>
        </w:tc>
        <w:tc>
          <w:tcPr>
            <w:tcW w:w="3272" w:type="dxa"/>
            <w:shd w:val="clear" w:color="auto" w:fill="4F81BD"/>
            <w:vAlign w:val="center"/>
          </w:tcPr>
          <w:p w:rsidR="005F573C" w:rsidRPr="004D495F" w:rsidRDefault="005F573C" w:rsidP="000167D4">
            <w:pPr>
              <w:spacing w:line="0" w:lineRule="atLeast"/>
              <w:jc w:val="center"/>
              <w:rPr>
                <w:rFonts w:eastAsia="標楷體"/>
                <w:color w:val="FFFFFF"/>
                <w:sz w:val="26"/>
                <w:szCs w:val="26"/>
              </w:rPr>
            </w:pPr>
            <w:r w:rsidRPr="004D495F">
              <w:rPr>
                <w:rFonts w:eastAsia="標楷體"/>
                <w:color w:val="FFFFFF"/>
                <w:sz w:val="26"/>
                <w:szCs w:val="26"/>
              </w:rPr>
              <w:t>可比較對象</w:t>
            </w:r>
          </w:p>
        </w:tc>
        <w:tc>
          <w:tcPr>
            <w:tcW w:w="3928" w:type="dxa"/>
            <w:gridSpan w:val="4"/>
            <w:shd w:val="clear" w:color="auto" w:fill="4F81BD"/>
            <w:vAlign w:val="center"/>
          </w:tcPr>
          <w:p w:rsidR="005F573C" w:rsidRPr="004D495F" w:rsidRDefault="005F573C" w:rsidP="000167D4">
            <w:pPr>
              <w:spacing w:line="0" w:lineRule="atLeast"/>
              <w:jc w:val="center"/>
              <w:rPr>
                <w:rFonts w:eastAsia="標楷體"/>
                <w:color w:val="FFFFFF"/>
                <w:sz w:val="26"/>
                <w:szCs w:val="26"/>
              </w:rPr>
            </w:pPr>
            <w:r>
              <w:rPr>
                <w:rFonts w:eastAsia="標楷體" w:hint="eastAsia"/>
                <w:color w:val="FFFFFF"/>
                <w:sz w:val="26"/>
                <w:szCs w:val="26"/>
              </w:rPr>
              <w:t>成本加價</w:t>
            </w:r>
            <w:r w:rsidRPr="004D495F">
              <w:rPr>
                <w:rFonts w:eastAsia="標楷體"/>
                <w:color w:val="FFFFFF"/>
                <w:sz w:val="26"/>
                <w:szCs w:val="26"/>
              </w:rPr>
              <w:t>率（</w:t>
            </w:r>
            <w:r w:rsidRPr="004D495F">
              <w:rPr>
                <w:rFonts w:eastAsia="標楷體"/>
                <w:color w:val="FFFFFF"/>
                <w:sz w:val="26"/>
                <w:szCs w:val="26"/>
              </w:rPr>
              <w:t>%</w:t>
            </w:r>
            <w:r w:rsidRPr="004D495F">
              <w:rPr>
                <w:rFonts w:eastAsia="標楷體"/>
                <w:color w:val="FFFFFF"/>
                <w:sz w:val="26"/>
                <w:szCs w:val="26"/>
              </w:rPr>
              <w:t>）</w:t>
            </w:r>
          </w:p>
        </w:tc>
      </w:tr>
      <w:tr w:rsidR="005C3CA9" w:rsidRPr="004D495F" w:rsidTr="00F874CB">
        <w:trPr>
          <w:cantSplit/>
          <w:trHeight w:val="535"/>
          <w:tblHeader/>
          <w:jc w:val="right"/>
        </w:trPr>
        <w:tc>
          <w:tcPr>
            <w:tcW w:w="567" w:type="dxa"/>
            <w:vMerge/>
            <w:tcBorders>
              <w:bottom w:val="double" w:sz="4" w:space="0" w:color="auto"/>
            </w:tcBorders>
            <w:shd w:val="clear" w:color="auto" w:fill="4F81BD"/>
            <w:vAlign w:val="center"/>
          </w:tcPr>
          <w:p w:rsidR="005C3CA9" w:rsidRPr="004D495F" w:rsidRDefault="005C3CA9" w:rsidP="000167D4">
            <w:pPr>
              <w:spacing w:line="0" w:lineRule="atLeast"/>
              <w:jc w:val="center"/>
              <w:rPr>
                <w:rFonts w:eastAsia="標楷體"/>
                <w:color w:val="FFFFFF"/>
                <w:sz w:val="26"/>
                <w:szCs w:val="26"/>
              </w:rPr>
            </w:pPr>
          </w:p>
        </w:tc>
        <w:tc>
          <w:tcPr>
            <w:tcW w:w="3272" w:type="dxa"/>
            <w:tcBorders>
              <w:bottom w:val="double" w:sz="4" w:space="0" w:color="auto"/>
            </w:tcBorders>
            <w:shd w:val="clear" w:color="auto" w:fill="4F81BD"/>
            <w:vAlign w:val="center"/>
          </w:tcPr>
          <w:p w:rsidR="005C3CA9" w:rsidRPr="004D495F" w:rsidRDefault="005C3CA9" w:rsidP="000167D4">
            <w:pPr>
              <w:spacing w:line="0" w:lineRule="atLeast"/>
              <w:jc w:val="center"/>
              <w:rPr>
                <w:rFonts w:eastAsia="標楷體"/>
                <w:color w:val="FFFFFF"/>
                <w:sz w:val="26"/>
                <w:szCs w:val="26"/>
              </w:rPr>
            </w:pPr>
            <w:r w:rsidRPr="004D495F">
              <w:rPr>
                <w:rFonts w:eastAsia="標楷體"/>
                <w:color w:val="FFFFFF"/>
                <w:sz w:val="26"/>
                <w:szCs w:val="26"/>
              </w:rPr>
              <w:t>資料年度</w:t>
            </w:r>
          </w:p>
        </w:tc>
        <w:tc>
          <w:tcPr>
            <w:tcW w:w="993" w:type="dxa"/>
            <w:tcBorders>
              <w:bottom w:val="double" w:sz="4" w:space="0" w:color="auto"/>
            </w:tcBorders>
            <w:shd w:val="clear" w:color="auto" w:fill="4F81BD"/>
            <w:vAlign w:val="center"/>
          </w:tcPr>
          <w:p w:rsidR="005C3CA9" w:rsidRPr="004D495F" w:rsidRDefault="005C3CA9" w:rsidP="00065927">
            <w:pPr>
              <w:spacing w:line="0" w:lineRule="atLeast"/>
              <w:jc w:val="center"/>
              <w:rPr>
                <w:rFonts w:eastAsia="標楷體"/>
                <w:color w:val="FFFFFF"/>
                <w:sz w:val="26"/>
                <w:szCs w:val="26"/>
              </w:rPr>
            </w:pPr>
            <w:r>
              <w:rPr>
                <w:rFonts w:eastAsia="標楷體" w:hint="eastAsia"/>
                <w:color w:val="FFFFFF"/>
                <w:sz w:val="26"/>
                <w:szCs w:val="26"/>
              </w:rPr>
              <w:t>10</w:t>
            </w:r>
            <w:r w:rsidR="00E962BF">
              <w:rPr>
                <w:rFonts w:eastAsia="標楷體" w:hint="eastAsia"/>
                <w:color w:val="FFFFFF"/>
                <w:sz w:val="26"/>
                <w:szCs w:val="26"/>
              </w:rPr>
              <w:t>2</w:t>
            </w:r>
            <w:r w:rsidRPr="004D495F">
              <w:rPr>
                <w:rFonts w:eastAsia="標楷體"/>
                <w:color w:val="FFFFFF"/>
                <w:sz w:val="26"/>
                <w:szCs w:val="26"/>
              </w:rPr>
              <w:t>年</w:t>
            </w:r>
          </w:p>
        </w:tc>
        <w:tc>
          <w:tcPr>
            <w:tcW w:w="992" w:type="dxa"/>
            <w:tcBorders>
              <w:bottom w:val="double" w:sz="4" w:space="0" w:color="auto"/>
            </w:tcBorders>
            <w:shd w:val="clear" w:color="auto" w:fill="4F81BD"/>
            <w:vAlign w:val="center"/>
          </w:tcPr>
          <w:p w:rsidR="005C3CA9" w:rsidRPr="004D495F" w:rsidRDefault="005C3CA9" w:rsidP="00065927">
            <w:pPr>
              <w:spacing w:line="0" w:lineRule="atLeast"/>
              <w:jc w:val="center"/>
              <w:rPr>
                <w:rFonts w:eastAsia="標楷體"/>
                <w:color w:val="FFFFFF"/>
                <w:sz w:val="26"/>
                <w:szCs w:val="26"/>
              </w:rPr>
            </w:pPr>
            <w:r>
              <w:rPr>
                <w:rFonts w:eastAsia="標楷體" w:hint="eastAsia"/>
                <w:color w:val="FFFFFF"/>
                <w:sz w:val="26"/>
                <w:szCs w:val="26"/>
              </w:rPr>
              <w:t>10</w:t>
            </w:r>
            <w:r w:rsidR="00E962BF">
              <w:rPr>
                <w:rFonts w:eastAsia="標楷體" w:hint="eastAsia"/>
                <w:color w:val="FFFFFF"/>
                <w:sz w:val="26"/>
                <w:szCs w:val="26"/>
              </w:rPr>
              <w:t>3</w:t>
            </w:r>
            <w:r w:rsidRPr="004D495F">
              <w:rPr>
                <w:rFonts w:eastAsia="標楷體"/>
                <w:color w:val="FFFFFF"/>
                <w:sz w:val="26"/>
                <w:szCs w:val="26"/>
              </w:rPr>
              <w:t>年</w:t>
            </w:r>
          </w:p>
        </w:tc>
        <w:tc>
          <w:tcPr>
            <w:tcW w:w="992" w:type="dxa"/>
            <w:tcBorders>
              <w:bottom w:val="double" w:sz="4" w:space="0" w:color="auto"/>
            </w:tcBorders>
            <w:shd w:val="clear" w:color="auto" w:fill="4F81BD"/>
            <w:vAlign w:val="center"/>
          </w:tcPr>
          <w:p w:rsidR="005C3CA9" w:rsidRPr="004D495F" w:rsidRDefault="005C3CA9" w:rsidP="00065927">
            <w:pPr>
              <w:spacing w:line="0" w:lineRule="atLeast"/>
              <w:jc w:val="center"/>
              <w:rPr>
                <w:rFonts w:eastAsia="標楷體"/>
                <w:color w:val="FFFFFF"/>
                <w:sz w:val="26"/>
                <w:szCs w:val="26"/>
              </w:rPr>
            </w:pPr>
            <w:r>
              <w:rPr>
                <w:rFonts w:eastAsia="標楷體" w:hint="eastAsia"/>
                <w:color w:val="FFFFFF"/>
                <w:sz w:val="26"/>
                <w:szCs w:val="26"/>
              </w:rPr>
              <w:t>10</w:t>
            </w:r>
            <w:r w:rsidR="00E962BF">
              <w:rPr>
                <w:rFonts w:eastAsia="標楷體" w:hint="eastAsia"/>
                <w:color w:val="FFFFFF"/>
                <w:sz w:val="26"/>
                <w:szCs w:val="26"/>
              </w:rPr>
              <w:t>4</w:t>
            </w:r>
            <w:r w:rsidRPr="004D495F">
              <w:rPr>
                <w:rFonts w:eastAsia="標楷體"/>
                <w:color w:val="FFFFFF"/>
                <w:sz w:val="26"/>
                <w:szCs w:val="26"/>
              </w:rPr>
              <w:t>年</w:t>
            </w:r>
          </w:p>
        </w:tc>
        <w:tc>
          <w:tcPr>
            <w:tcW w:w="951" w:type="dxa"/>
            <w:tcBorders>
              <w:bottom w:val="double" w:sz="4" w:space="0" w:color="auto"/>
            </w:tcBorders>
            <w:shd w:val="clear" w:color="auto" w:fill="4F81BD"/>
            <w:vAlign w:val="center"/>
          </w:tcPr>
          <w:p w:rsidR="005C3CA9" w:rsidRPr="004D495F" w:rsidRDefault="005C3CA9" w:rsidP="00065927">
            <w:pPr>
              <w:spacing w:line="0" w:lineRule="atLeast"/>
              <w:jc w:val="center"/>
              <w:rPr>
                <w:rFonts w:eastAsia="標楷體"/>
                <w:color w:val="FFFFFF"/>
                <w:sz w:val="26"/>
                <w:szCs w:val="26"/>
              </w:rPr>
            </w:pPr>
            <w:r w:rsidRPr="004D495F">
              <w:rPr>
                <w:rFonts w:eastAsia="標楷體"/>
                <w:color w:val="FFFFFF"/>
                <w:sz w:val="26"/>
                <w:szCs w:val="26"/>
              </w:rPr>
              <w:t>平均</w:t>
            </w:r>
          </w:p>
        </w:tc>
      </w:tr>
      <w:tr w:rsidR="00FB762E" w:rsidRPr="004D495F" w:rsidTr="00C93118">
        <w:trPr>
          <w:trHeight w:val="624"/>
          <w:jc w:val="right"/>
        </w:trPr>
        <w:tc>
          <w:tcPr>
            <w:tcW w:w="567" w:type="dxa"/>
            <w:tcBorders>
              <w:top w:val="double" w:sz="4" w:space="0" w:color="auto"/>
            </w:tcBorders>
            <w:vAlign w:val="center"/>
          </w:tcPr>
          <w:p w:rsidR="00FB762E" w:rsidRPr="00EA272E" w:rsidRDefault="00FB762E" w:rsidP="00022373">
            <w:pPr>
              <w:spacing w:line="0" w:lineRule="atLeast"/>
              <w:jc w:val="center"/>
              <w:rPr>
                <w:rFonts w:eastAsia="標楷體"/>
                <w:sz w:val="26"/>
                <w:szCs w:val="26"/>
              </w:rPr>
            </w:pPr>
            <w:r w:rsidRPr="00EA272E">
              <w:rPr>
                <w:rFonts w:eastAsia="標楷體"/>
                <w:sz w:val="26"/>
                <w:szCs w:val="26"/>
              </w:rPr>
              <w:t>1</w:t>
            </w:r>
          </w:p>
        </w:tc>
        <w:tc>
          <w:tcPr>
            <w:tcW w:w="3272" w:type="dxa"/>
            <w:tcBorders>
              <w:top w:val="double" w:sz="4" w:space="0" w:color="auto"/>
            </w:tcBorders>
            <w:vAlign w:val="center"/>
          </w:tcPr>
          <w:p w:rsidR="00FB762E" w:rsidRPr="003566F9" w:rsidRDefault="00FB762E" w:rsidP="00E962BF">
            <w:pPr>
              <w:rPr>
                <w:color w:val="000000"/>
                <w:sz w:val="26"/>
                <w:szCs w:val="26"/>
              </w:rPr>
            </w:pPr>
            <w:proofErr w:type="spellStart"/>
            <w:r w:rsidRPr="003566F9">
              <w:rPr>
                <w:color w:val="000000"/>
                <w:sz w:val="26"/>
                <w:szCs w:val="26"/>
              </w:rPr>
              <w:t>Aaswa</w:t>
            </w:r>
            <w:proofErr w:type="spellEnd"/>
            <w:r w:rsidRPr="003566F9">
              <w:rPr>
                <w:color w:val="000000"/>
                <w:sz w:val="26"/>
                <w:szCs w:val="26"/>
              </w:rPr>
              <w:t xml:space="preserve"> Trading And Exports Ltd</w:t>
            </w:r>
          </w:p>
        </w:tc>
        <w:tc>
          <w:tcPr>
            <w:tcW w:w="993" w:type="dxa"/>
            <w:tcBorders>
              <w:top w:val="double" w:sz="4" w:space="0" w:color="auto"/>
            </w:tcBorders>
            <w:vAlign w:val="center"/>
          </w:tcPr>
          <w:p w:rsidR="00FB762E" w:rsidRPr="005A0D4A" w:rsidRDefault="00FB762E">
            <w:pPr>
              <w:jc w:val="right"/>
              <w:rPr>
                <w:color w:val="000000"/>
                <w:sz w:val="26"/>
                <w:szCs w:val="26"/>
              </w:rPr>
            </w:pPr>
            <w:r w:rsidRPr="00C93118">
              <w:rPr>
                <w:color w:val="000000"/>
                <w:sz w:val="26"/>
                <w:szCs w:val="26"/>
              </w:rPr>
              <w:t>0.03%</w:t>
            </w:r>
          </w:p>
        </w:tc>
        <w:tc>
          <w:tcPr>
            <w:tcW w:w="992" w:type="dxa"/>
            <w:tcBorders>
              <w:top w:val="double" w:sz="4" w:space="0" w:color="auto"/>
            </w:tcBorders>
            <w:vAlign w:val="center"/>
          </w:tcPr>
          <w:p w:rsidR="00FB762E" w:rsidRPr="005A0D4A" w:rsidRDefault="00FB762E">
            <w:pPr>
              <w:jc w:val="right"/>
              <w:rPr>
                <w:color w:val="000000"/>
                <w:sz w:val="26"/>
                <w:szCs w:val="26"/>
              </w:rPr>
            </w:pPr>
            <w:r w:rsidRPr="00C93118">
              <w:rPr>
                <w:color w:val="000000"/>
                <w:sz w:val="26"/>
                <w:szCs w:val="26"/>
              </w:rPr>
              <w:t>-1.33%</w:t>
            </w:r>
          </w:p>
        </w:tc>
        <w:tc>
          <w:tcPr>
            <w:tcW w:w="992" w:type="dxa"/>
            <w:tcBorders>
              <w:top w:val="double" w:sz="4" w:space="0" w:color="auto"/>
            </w:tcBorders>
            <w:vAlign w:val="center"/>
          </w:tcPr>
          <w:p w:rsidR="00FB762E" w:rsidRPr="005A0D4A" w:rsidRDefault="00FB762E">
            <w:pPr>
              <w:jc w:val="right"/>
              <w:rPr>
                <w:color w:val="000000"/>
                <w:sz w:val="26"/>
                <w:szCs w:val="26"/>
              </w:rPr>
            </w:pPr>
            <w:r w:rsidRPr="00C93118">
              <w:rPr>
                <w:color w:val="000000"/>
                <w:sz w:val="26"/>
                <w:szCs w:val="26"/>
              </w:rPr>
              <w:t>-0.76%</w:t>
            </w:r>
          </w:p>
        </w:tc>
        <w:tc>
          <w:tcPr>
            <w:tcW w:w="951" w:type="dxa"/>
            <w:tcBorders>
              <w:top w:val="double" w:sz="4" w:space="0" w:color="auto"/>
            </w:tcBorders>
            <w:vAlign w:val="center"/>
          </w:tcPr>
          <w:p w:rsidR="00FB762E" w:rsidRPr="005A0D4A" w:rsidRDefault="00FB762E">
            <w:pPr>
              <w:jc w:val="right"/>
              <w:rPr>
                <w:color w:val="000000"/>
                <w:sz w:val="26"/>
                <w:szCs w:val="26"/>
              </w:rPr>
            </w:pPr>
            <w:r w:rsidRPr="00C93118">
              <w:rPr>
                <w:color w:val="000000"/>
                <w:sz w:val="26"/>
                <w:szCs w:val="26"/>
              </w:rPr>
              <w:t>-0.82%</w:t>
            </w:r>
          </w:p>
        </w:tc>
      </w:tr>
      <w:tr w:rsidR="00FB762E" w:rsidRPr="004D495F" w:rsidTr="00C93118">
        <w:trPr>
          <w:trHeight w:val="624"/>
          <w:jc w:val="right"/>
        </w:trPr>
        <w:tc>
          <w:tcPr>
            <w:tcW w:w="567" w:type="dxa"/>
            <w:vAlign w:val="center"/>
          </w:tcPr>
          <w:p w:rsidR="00FB762E" w:rsidRPr="00EA272E" w:rsidRDefault="00FB762E" w:rsidP="00022373">
            <w:pPr>
              <w:spacing w:line="0" w:lineRule="atLeast"/>
              <w:jc w:val="center"/>
              <w:rPr>
                <w:rFonts w:eastAsia="標楷體"/>
                <w:sz w:val="26"/>
                <w:szCs w:val="26"/>
              </w:rPr>
            </w:pPr>
            <w:r>
              <w:rPr>
                <w:rFonts w:eastAsia="標楷體" w:hint="eastAsia"/>
                <w:sz w:val="26"/>
                <w:szCs w:val="26"/>
              </w:rPr>
              <w:t>2</w:t>
            </w:r>
          </w:p>
        </w:tc>
        <w:tc>
          <w:tcPr>
            <w:tcW w:w="3272" w:type="dxa"/>
            <w:vAlign w:val="center"/>
          </w:tcPr>
          <w:p w:rsidR="00FB762E" w:rsidRPr="00FB6B09" w:rsidRDefault="00FB762E" w:rsidP="00E962BF">
            <w:pPr>
              <w:rPr>
                <w:color w:val="000000"/>
                <w:sz w:val="26"/>
                <w:szCs w:val="26"/>
              </w:rPr>
            </w:pPr>
            <w:proofErr w:type="spellStart"/>
            <w:r w:rsidRPr="003566F9">
              <w:rPr>
                <w:color w:val="000000"/>
                <w:sz w:val="26"/>
                <w:szCs w:val="26"/>
              </w:rPr>
              <w:t>Divinus</w:t>
            </w:r>
            <w:proofErr w:type="spellEnd"/>
            <w:r w:rsidRPr="003566F9">
              <w:rPr>
                <w:color w:val="000000"/>
                <w:sz w:val="26"/>
                <w:szCs w:val="26"/>
              </w:rPr>
              <w:t xml:space="preserve"> Fabrics Ltd</w:t>
            </w:r>
          </w:p>
        </w:tc>
        <w:tc>
          <w:tcPr>
            <w:tcW w:w="993" w:type="dxa"/>
            <w:vAlign w:val="center"/>
          </w:tcPr>
          <w:p w:rsidR="00FB762E" w:rsidRPr="005A0D4A" w:rsidRDefault="00FB762E">
            <w:pPr>
              <w:jc w:val="right"/>
              <w:rPr>
                <w:color w:val="000000"/>
                <w:sz w:val="26"/>
                <w:szCs w:val="26"/>
              </w:rPr>
            </w:pPr>
            <w:r w:rsidRPr="00C93118">
              <w:rPr>
                <w:color w:val="000000"/>
                <w:sz w:val="26"/>
                <w:szCs w:val="26"/>
              </w:rPr>
              <w:t>17.84%</w:t>
            </w:r>
          </w:p>
        </w:tc>
        <w:tc>
          <w:tcPr>
            <w:tcW w:w="992" w:type="dxa"/>
            <w:vAlign w:val="center"/>
          </w:tcPr>
          <w:p w:rsidR="00FB762E" w:rsidRPr="005A0D4A" w:rsidRDefault="00FB762E">
            <w:pPr>
              <w:jc w:val="right"/>
              <w:rPr>
                <w:color w:val="000000"/>
                <w:sz w:val="26"/>
                <w:szCs w:val="26"/>
              </w:rPr>
            </w:pPr>
            <w:r w:rsidRPr="00C93118">
              <w:rPr>
                <w:color w:val="000000"/>
                <w:sz w:val="26"/>
                <w:szCs w:val="26"/>
              </w:rPr>
              <w:t>11.00%</w:t>
            </w:r>
          </w:p>
        </w:tc>
        <w:tc>
          <w:tcPr>
            <w:tcW w:w="992" w:type="dxa"/>
            <w:vAlign w:val="center"/>
          </w:tcPr>
          <w:p w:rsidR="00FB762E" w:rsidRPr="005A0D4A" w:rsidRDefault="00FB762E">
            <w:pPr>
              <w:jc w:val="right"/>
              <w:rPr>
                <w:color w:val="000000"/>
                <w:sz w:val="26"/>
                <w:szCs w:val="26"/>
              </w:rPr>
            </w:pPr>
            <w:r w:rsidRPr="00C93118">
              <w:rPr>
                <w:color w:val="000000"/>
                <w:sz w:val="26"/>
                <w:szCs w:val="26"/>
              </w:rPr>
              <w:t>13.64%</w:t>
            </w:r>
          </w:p>
        </w:tc>
        <w:tc>
          <w:tcPr>
            <w:tcW w:w="951" w:type="dxa"/>
            <w:vAlign w:val="center"/>
          </w:tcPr>
          <w:p w:rsidR="00FB762E" w:rsidRPr="005A0D4A" w:rsidRDefault="00FB762E">
            <w:pPr>
              <w:jc w:val="right"/>
              <w:rPr>
                <w:color w:val="000000"/>
                <w:sz w:val="26"/>
                <w:szCs w:val="26"/>
              </w:rPr>
            </w:pPr>
            <w:r w:rsidRPr="00C93118">
              <w:rPr>
                <w:color w:val="000000"/>
                <w:sz w:val="26"/>
                <w:szCs w:val="26"/>
              </w:rPr>
              <w:t>14.02%</w:t>
            </w:r>
          </w:p>
        </w:tc>
      </w:tr>
      <w:tr w:rsidR="00FB762E" w:rsidRPr="004D495F" w:rsidTr="00C93118">
        <w:trPr>
          <w:trHeight w:val="624"/>
          <w:jc w:val="right"/>
        </w:trPr>
        <w:tc>
          <w:tcPr>
            <w:tcW w:w="567" w:type="dxa"/>
            <w:vAlign w:val="center"/>
          </w:tcPr>
          <w:p w:rsidR="00FB762E" w:rsidRPr="00EA272E" w:rsidRDefault="00FB762E" w:rsidP="00022373">
            <w:pPr>
              <w:spacing w:line="0" w:lineRule="atLeast"/>
              <w:jc w:val="center"/>
              <w:rPr>
                <w:rFonts w:eastAsia="標楷體"/>
                <w:sz w:val="26"/>
                <w:szCs w:val="26"/>
              </w:rPr>
            </w:pPr>
            <w:r>
              <w:rPr>
                <w:rFonts w:eastAsia="標楷體" w:hint="eastAsia"/>
                <w:sz w:val="26"/>
                <w:szCs w:val="26"/>
              </w:rPr>
              <w:t>3</w:t>
            </w:r>
          </w:p>
        </w:tc>
        <w:tc>
          <w:tcPr>
            <w:tcW w:w="3272" w:type="dxa"/>
            <w:vAlign w:val="center"/>
          </w:tcPr>
          <w:p w:rsidR="00FB762E" w:rsidRDefault="00FB762E" w:rsidP="00E962BF">
            <w:pPr>
              <w:rPr>
                <w:rFonts w:eastAsia="標楷體"/>
                <w:sz w:val="26"/>
                <w:szCs w:val="26"/>
              </w:rPr>
            </w:pPr>
            <w:r w:rsidRPr="00FB6B09">
              <w:rPr>
                <w:color w:val="000000"/>
                <w:sz w:val="26"/>
                <w:szCs w:val="26"/>
              </w:rPr>
              <w:t xml:space="preserve">GSI </w:t>
            </w:r>
            <w:proofErr w:type="spellStart"/>
            <w:r w:rsidRPr="00FB6B09">
              <w:rPr>
                <w:color w:val="000000"/>
                <w:sz w:val="26"/>
                <w:szCs w:val="26"/>
              </w:rPr>
              <w:t>Creos</w:t>
            </w:r>
            <w:proofErr w:type="spellEnd"/>
            <w:r w:rsidRPr="00FB6B09">
              <w:rPr>
                <w:color w:val="000000"/>
                <w:sz w:val="26"/>
                <w:szCs w:val="26"/>
              </w:rPr>
              <w:t xml:space="preserve"> Corporation</w:t>
            </w:r>
          </w:p>
        </w:tc>
        <w:tc>
          <w:tcPr>
            <w:tcW w:w="993" w:type="dxa"/>
            <w:vAlign w:val="center"/>
          </w:tcPr>
          <w:p w:rsidR="00FB762E" w:rsidRPr="005A0D4A" w:rsidRDefault="00FB762E">
            <w:pPr>
              <w:jc w:val="right"/>
              <w:rPr>
                <w:color w:val="000000"/>
                <w:sz w:val="26"/>
                <w:szCs w:val="26"/>
              </w:rPr>
            </w:pPr>
            <w:r w:rsidRPr="00C93118">
              <w:rPr>
                <w:color w:val="000000"/>
                <w:sz w:val="26"/>
                <w:szCs w:val="26"/>
              </w:rPr>
              <w:t>9.14%</w:t>
            </w:r>
          </w:p>
        </w:tc>
        <w:tc>
          <w:tcPr>
            <w:tcW w:w="992" w:type="dxa"/>
            <w:vAlign w:val="center"/>
          </w:tcPr>
          <w:p w:rsidR="00FB762E" w:rsidRPr="005A0D4A" w:rsidRDefault="00FB762E">
            <w:pPr>
              <w:jc w:val="right"/>
              <w:rPr>
                <w:color w:val="000000"/>
                <w:sz w:val="26"/>
                <w:szCs w:val="26"/>
              </w:rPr>
            </w:pPr>
            <w:r w:rsidRPr="00C93118">
              <w:rPr>
                <w:color w:val="000000"/>
                <w:sz w:val="26"/>
                <w:szCs w:val="26"/>
              </w:rPr>
              <w:t>9.40%</w:t>
            </w:r>
          </w:p>
        </w:tc>
        <w:tc>
          <w:tcPr>
            <w:tcW w:w="992" w:type="dxa"/>
            <w:vAlign w:val="center"/>
          </w:tcPr>
          <w:p w:rsidR="00FB762E" w:rsidRPr="005A0D4A" w:rsidRDefault="00FB762E">
            <w:pPr>
              <w:jc w:val="right"/>
              <w:rPr>
                <w:color w:val="000000"/>
                <w:sz w:val="26"/>
                <w:szCs w:val="26"/>
              </w:rPr>
            </w:pPr>
            <w:r w:rsidRPr="00C93118">
              <w:rPr>
                <w:color w:val="000000"/>
                <w:sz w:val="26"/>
                <w:szCs w:val="26"/>
              </w:rPr>
              <w:t>9.26%</w:t>
            </w:r>
          </w:p>
        </w:tc>
        <w:tc>
          <w:tcPr>
            <w:tcW w:w="951" w:type="dxa"/>
            <w:vAlign w:val="center"/>
          </w:tcPr>
          <w:p w:rsidR="00FB762E" w:rsidRPr="005A0D4A" w:rsidRDefault="00FB762E">
            <w:pPr>
              <w:jc w:val="right"/>
              <w:rPr>
                <w:color w:val="000000"/>
                <w:sz w:val="26"/>
                <w:szCs w:val="26"/>
              </w:rPr>
            </w:pPr>
            <w:r w:rsidRPr="00C93118">
              <w:rPr>
                <w:color w:val="000000"/>
                <w:sz w:val="26"/>
                <w:szCs w:val="26"/>
              </w:rPr>
              <w:t>9.27%</w:t>
            </w:r>
          </w:p>
        </w:tc>
      </w:tr>
      <w:tr w:rsidR="00FB762E" w:rsidRPr="004D495F" w:rsidTr="00C93118">
        <w:trPr>
          <w:trHeight w:val="624"/>
          <w:jc w:val="right"/>
        </w:trPr>
        <w:tc>
          <w:tcPr>
            <w:tcW w:w="567" w:type="dxa"/>
            <w:vAlign w:val="center"/>
          </w:tcPr>
          <w:p w:rsidR="00FB762E" w:rsidRPr="00EA272E" w:rsidRDefault="00FB762E" w:rsidP="00022373">
            <w:pPr>
              <w:spacing w:line="0" w:lineRule="atLeast"/>
              <w:jc w:val="center"/>
              <w:rPr>
                <w:rFonts w:eastAsia="標楷體"/>
                <w:sz w:val="26"/>
                <w:szCs w:val="26"/>
              </w:rPr>
            </w:pPr>
            <w:r>
              <w:rPr>
                <w:rFonts w:eastAsia="標楷體" w:hint="eastAsia"/>
                <w:sz w:val="26"/>
                <w:szCs w:val="26"/>
              </w:rPr>
              <w:t>4</w:t>
            </w:r>
          </w:p>
        </w:tc>
        <w:tc>
          <w:tcPr>
            <w:tcW w:w="3272" w:type="dxa"/>
            <w:vAlign w:val="center"/>
          </w:tcPr>
          <w:p w:rsidR="00FB762E" w:rsidRDefault="00FB762E" w:rsidP="00E962BF">
            <w:pPr>
              <w:rPr>
                <w:rFonts w:eastAsia="標楷體"/>
                <w:sz w:val="26"/>
                <w:szCs w:val="26"/>
              </w:rPr>
            </w:pPr>
            <w:r w:rsidRPr="00FB6B09">
              <w:rPr>
                <w:color w:val="000000"/>
                <w:sz w:val="26"/>
                <w:szCs w:val="26"/>
              </w:rPr>
              <w:t xml:space="preserve">Jiangsu </w:t>
            </w:r>
            <w:proofErr w:type="spellStart"/>
            <w:r w:rsidRPr="00FB6B09">
              <w:rPr>
                <w:color w:val="000000"/>
                <w:sz w:val="26"/>
                <w:szCs w:val="26"/>
              </w:rPr>
              <w:t>Guotai</w:t>
            </w:r>
            <w:proofErr w:type="spellEnd"/>
            <w:r w:rsidRPr="00FB6B09">
              <w:rPr>
                <w:color w:val="000000"/>
                <w:sz w:val="26"/>
                <w:szCs w:val="26"/>
              </w:rPr>
              <w:t xml:space="preserve"> Intl Grp </w:t>
            </w:r>
            <w:proofErr w:type="spellStart"/>
            <w:r w:rsidRPr="00FB6B09">
              <w:rPr>
                <w:color w:val="000000"/>
                <w:sz w:val="26"/>
                <w:szCs w:val="26"/>
              </w:rPr>
              <w:t>Guomao</w:t>
            </w:r>
            <w:proofErr w:type="spellEnd"/>
            <w:r w:rsidRPr="00FB6B09">
              <w:rPr>
                <w:color w:val="000000"/>
                <w:sz w:val="26"/>
                <w:szCs w:val="26"/>
              </w:rPr>
              <w:t xml:space="preserve"> Co., Ltd.</w:t>
            </w:r>
          </w:p>
        </w:tc>
        <w:tc>
          <w:tcPr>
            <w:tcW w:w="993" w:type="dxa"/>
            <w:vAlign w:val="center"/>
          </w:tcPr>
          <w:p w:rsidR="00FB762E" w:rsidRPr="005A0D4A" w:rsidRDefault="00FB762E">
            <w:pPr>
              <w:jc w:val="right"/>
              <w:rPr>
                <w:color w:val="000000"/>
                <w:sz w:val="26"/>
                <w:szCs w:val="26"/>
              </w:rPr>
            </w:pPr>
            <w:r w:rsidRPr="00C93118">
              <w:rPr>
                <w:color w:val="000000"/>
                <w:sz w:val="26"/>
                <w:szCs w:val="26"/>
              </w:rPr>
              <w:t>12.96%</w:t>
            </w:r>
          </w:p>
        </w:tc>
        <w:tc>
          <w:tcPr>
            <w:tcW w:w="992" w:type="dxa"/>
            <w:vAlign w:val="center"/>
          </w:tcPr>
          <w:p w:rsidR="00FB762E" w:rsidRPr="005A0D4A" w:rsidRDefault="00FB762E">
            <w:pPr>
              <w:jc w:val="right"/>
              <w:rPr>
                <w:color w:val="000000"/>
                <w:sz w:val="26"/>
                <w:szCs w:val="26"/>
              </w:rPr>
            </w:pPr>
            <w:r w:rsidRPr="00C93118">
              <w:rPr>
                <w:color w:val="000000"/>
                <w:sz w:val="26"/>
                <w:szCs w:val="26"/>
              </w:rPr>
              <w:t>14.87%</w:t>
            </w:r>
          </w:p>
        </w:tc>
        <w:tc>
          <w:tcPr>
            <w:tcW w:w="992" w:type="dxa"/>
            <w:vAlign w:val="center"/>
          </w:tcPr>
          <w:p w:rsidR="00FB762E" w:rsidRPr="005A0D4A" w:rsidRDefault="00FB762E">
            <w:pPr>
              <w:jc w:val="right"/>
              <w:rPr>
                <w:color w:val="000000"/>
                <w:sz w:val="26"/>
                <w:szCs w:val="26"/>
              </w:rPr>
            </w:pPr>
            <w:r w:rsidRPr="00C93118">
              <w:rPr>
                <w:color w:val="000000"/>
                <w:sz w:val="26"/>
                <w:szCs w:val="26"/>
              </w:rPr>
              <w:t>14.91%</w:t>
            </w:r>
          </w:p>
        </w:tc>
        <w:tc>
          <w:tcPr>
            <w:tcW w:w="951" w:type="dxa"/>
            <w:vAlign w:val="center"/>
          </w:tcPr>
          <w:p w:rsidR="00FB762E" w:rsidRPr="005A0D4A" w:rsidRDefault="00FB762E">
            <w:pPr>
              <w:jc w:val="right"/>
              <w:rPr>
                <w:color w:val="000000"/>
                <w:sz w:val="26"/>
                <w:szCs w:val="26"/>
              </w:rPr>
            </w:pPr>
            <w:r w:rsidRPr="00C93118">
              <w:rPr>
                <w:color w:val="000000"/>
                <w:sz w:val="26"/>
                <w:szCs w:val="26"/>
              </w:rPr>
              <w:t>14.32%</w:t>
            </w:r>
          </w:p>
        </w:tc>
      </w:tr>
      <w:tr w:rsidR="00FB762E" w:rsidRPr="004D495F" w:rsidTr="00C93118">
        <w:trPr>
          <w:trHeight w:val="624"/>
          <w:jc w:val="right"/>
        </w:trPr>
        <w:tc>
          <w:tcPr>
            <w:tcW w:w="567" w:type="dxa"/>
            <w:vAlign w:val="center"/>
          </w:tcPr>
          <w:p w:rsidR="00FB762E" w:rsidRDefault="00FB762E" w:rsidP="00022373">
            <w:pPr>
              <w:spacing w:line="0" w:lineRule="atLeast"/>
              <w:jc w:val="center"/>
              <w:rPr>
                <w:rFonts w:eastAsia="標楷體"/>
                <w:sz w:val="26"/>
                <w:szCs w:val="26"/>
              </w:rPr>
            </w:pPr>
            <w:r>
              <w:rPr>
                <w:rFonts w:eastAsia="標楷體" w:hint="eastAsia"/>
                <w:sz w:val="26"/>
                <w:szCs w:val="26"/>
              </w:rPr>
              <w:t>5</w:t>
            </w:r>
          </w:p>
        </w:tc>
        <w:tc>
          <w:tcPr>
            <w:tcW w:w="3272"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rsidRPr="00FB6B09">
              <w:rPr>
                <w:color w:val="000000"/>
                <w:sz w:val="26"/>
                <w:szCs w:val="26"/>
              </w:rPr>
              <w:t>Marumitsu</w:t>
            </w:r>
            <w:proofErr w:type="spellEnd"/>
            <w:r w:rsidRPr="00FB6B09">
              <w:rPr>
                <w:color w:val="000000"/>
                <w:sz w:val="26"/>
                <w:szCs w:val="26"/>
              </w:rPr>
              <w:t xml:space="preserve"> Co Ltd</w:t>
            </w:r>
          </w:p>
        </w:tc>
        <w:tc>
          <w:tcPr>
            <w:tcW w:w="993" w:type="dxa"/>
            <w:vAlign w:val="center"/>
          </w:tcPr>
          <w:p w:rsidR="00FB762E" w:rsidRPr="005A0D4A" w:rsidRDefault="00FB762E">
            <w:pPr>
              <w:jc w:val="right"/>
              <w:rPr>
                <w:color w:val="000000"/>
                <w:sz w:val="26"/>
                <w:szCs w:val="26"/>
              </w:rPr>
            </w:pPr>
            <w:r w:rsidRPr="00C93118">
              <w:rPr>
                <w:color w:val="000000"/>
                <w:sz w:val="26"/>
                <w:szCs w:val="26"/>
              </w:rPr>
              <w:t>26.97%</w:t>
            </w:r>
          </w:p>
        </w:tc>
        <w:tc>
          <w:tcPr>
            <w:tcW w:w="992" w:type="dxa"/>
            <w:vAlign w:val="center"/>
          </w:tcPr>
          <w:p w:rsidR="00FB762E" w:rsidRPr="005A0D4A" w:rsidRDefault="00FB762E">
            <w:pPr>
              <w:jc w:val="right"/>
              <w:rPr>
                <w:color w:val="000000"/>
                <w:sz w:val="26"/>
                <w:szCs w:val="26"/>
              </w:rPr>
            </w:pPr>
            <w:r w:rsidRPr="00C93118">
              <w:rPr>
                <w:color w:val="000000"/>
                <w:sz w:val="26"/>
                <w:szCs w:val="26"/>
              </w:rPr>
              <w:t>26.23%</w:t>
            </w:r>
          </w:p>
        </w:tc>
        <w:tc>
          <w:tcPr>
            <w:tcW w:w="992" w:type="dxa"/>
            <w:vAlign w:val="center"/>
          </w:tcPr>
          <w:p w:rsidR="00FB762E" w:rsidRPr="005A0D4A" w:rsidRDefault="00FB762E">
            <w:pPr>
              <w:jc w:val="right"/>
              <w:rPr>
                <w:color w:val="000000"/>
                <w:sz w:val="26"/>
                <w:szCs w:val="26"/>
              </w:rPr>
            </w:pPr>
            <w:r w:rsidRPr="00C93118">
              <w:rPr>
                <w:color w:val="000000"/>
                <w:sz w:val="26"/>
                <w:szCs w:val="26"/>
              </w:rPr>
              <w:t>26.21%</w:t>
            </w:r>
          </w:p>
        </w:tc>
        <w:tc>
          <w:tcPr>
            <w:tcW w:w="951" w:type="dxa"/>
            <w:vAlign w:val="center"/>
          </w:tcPr>
          <w:p w:rsidR="00FB762E" w:rsidRPr="005A0D4A" w:rsidRDefault="00FB762E">
            <w:pPr>
              <w:jc w:val="right"/>
              <w:rPr>
                <w:color w:val="000000"/>
                <w:sz w:val="26"/>
                <w:szCs w:val="26"/>
              </w:rPr>
            </w:pPr>
            <w:r w:rsidRPr="00C93118">
              <w:rPr>
                <w:color w:val="000000"/>
                <w:sz w:val="26"/>
                <w:szCs w:val="26"/>
              </w:rPr>
              <w:t>26.52%</w:t>
            </w:r>
          </w:p>
        </w:tc>
      </w:tr>
      <w:tr w:rsidR="00FB762E" w:rsidRPr="004D495F" w:rsidTr="00C93118">
        <w:trPr>
          <w:trHeight w:val="624"/>
          <w:jc w:val="right"/>
        </w:trPr>
        <w:tc>
          <w:tcPr>
            <w:tcW w:w="567" w:type="dxa"/>
            <w:vAlign w:val="center"/>
          </w:tcPr>
          <w:p w:rsidR="00FB762E" w:rsidRDefault="00FB762E" w:rsidP="00022373">
            <w:pPr>
              <w:spacing w:line="0" w:lineRule="atLeast"/>
              <w:jc w:val="center"/>
              <w:rPr>
                <w:rFonts w:eastAsia="標楷體"/>
                <w:sz w:val="26"/>
                <w:szCs w:val="26"/>
              </w:rPr>
            </w:pPr>
            <w:r>
              <w:rPr>
                <w:rFonts w:eastAsia="標楷體" w:hint="eastAsia"/>
                <w:sz w:val="26"/>
                <w:szCs w:val="26"/>
              </w:rPr>
              <w:t>6</w:t>
            </w:r>
          </w:p>
        </w:tc>
        <w:tc>
          <w:tcPr>
            <w:tcW w:w="3272" w:type="dxa"/>
            <w:vAlign w:val="center"/>
          </w:tcPr>
          <w:p w:rsidR="00FB762E" w:rsidRPr="003566F9" w:rsidRDefault="00FB762E" w:rsidP="00E962BF">
            <w:pPr>
              <w:rPr>
                <w:color w:val="000000"/>
                <w:sz w:val="26"/>
                <w:szCs w:val="26"/>
              </w:rPr>
            </w:pPr>
            <w:r w:rsidRPr="00FB6B09">
              <w:rPr>
                <w:color w:val="000000"/>
                <w:sz w:val="26"/>
                <w:szCs w:val="26"/>
              </w:rPr>
              <w:t xml:space="preserve">NJ Textiles Import &amp; Export </w:t>
            </w:r>
            <w:proofErr w:type="spellStart"/>
            <w:r w:rsidRPr="00FB6B09">
              <w:rPr>
                <w:color w:val="000000"/>
                <w:sz w:val="26"/>
                <w:szCs w:val="26"/>
              </w:rPr>
              <w:t>Corp.,Ltd</w:t>
            </w:r>
            <w:proofErr w:type="spellEnd"/>
            <w:r w:rsidRPr="00FB6B09">
              <w:rPr>
                <w:color w:val="000000"/>
                <w:sz w:val="26"/>
                <w:szCs w:val="26"/>
              </w:rPr>
              <w:t>.</w:t>
            </w:r>
          </w:p>
        </w:tc>
        <w:tc>
          <w:tcPr>
            <w:tcW w:w="993" w:type="dxa"/>
            <w:vAlign w:val="center"/>
          </w:tcPr>
          <w:p w:rsidR="00FB762E" w:rsidRPr="005A0D4A" w:rsidRDefault="00FB762E">
            <w:pPr>
              <w:jc w:val="right"/>
              <w:rPr>
                <w:color w:val="000000"/>
                <w:sz w:val="26"/>
                <w:szCs w:val="26"/>
              </w:rPr>
            </w:pPr>
            <w:r w:rsidRPr="00C93118">
              <w:rPr>
                <w:color w:val="000000"/>
                <w:sz w:val="26"/>
                <w:szCs w:val="26"/>
              </w:rPr>
              <w:t>3.12%</w:t>
            </w:r>
          </w:p>
        </w:tc>
        <w:tc>
          <w:tcPr>
            <w:tcW w:w="992" w:type="dxa"/>
            <w:vAlign w:val="center"/>
          </w:tcPr>
          <w:p w:rsidR="00FB762E" w:rsidRPr="005A0D4A" w:rsidRDefault="00FB762E">
            <w:pPr>
              <w:jc w:val="right"/>
              <w:rPr>
                <w:color w:val="000000"/>
                <w:sz w:val="26"/>
                <w:szCs w:val="26"/>
              </w:rPr>
            </w:pPr>
            <w:r w:rsidRPr="00C93118">
              <w:rPr>
                <w:color w:val="000000"/>
                <w:sz w:val="26"/>
                <w:szCs w:val="26"/>
              </w:rPr>
              <w:t>3.91%</w:t>
            </w:r>
          </w:p>
        </w:tc>
        <w:tc>
          <w:tcPr>
            <w:tcW w:w="992" w:type="dxa"/>
            <w:vAlign w:val="center"/>
          </w:tcPr>
          <w:p w:rsidR="00FB762E" w:rsidRPr="005A0D4A" w:rsidRDefault="00FB762E">
            <w:pPr>
              <w:jc w:val="right"/>
              <w:rPr>
                <w:color w:val="000000"/>
                <w:sz w:val="26"/>
                <w:szCs w:val="26"/>
              </w:rPr>
            </w:pPr>
            <w:r w:rsidRPr="00C93118">
              <w:rPr>
                <w:color w:val="000000"/>
                <w:sz w:val="26"/>
                <w:szCs w:val="26"/>
              </w:rPr>
              <w:t>4.18%</w:t>
            </w:r>
          </w:p>
        </w:tc>
        <w:tc>
          <w:tcPr>
            <w:tcW w:w="951" w:type="dxa"/>
            <w:vAlign w:val="center"/>
          </w:tcPr>
          <w:p w:rsidR="00FB762E" w:rsidRPr="005A0D4A" w:rsidRDefault="00FB762E">
            <w:pPr>
              <w:jc w:val="right"/>
              <w:rPr>
                <w:color w:val="000000"/>
                <w:sz w:val="26"/>
                <w:szCs w:val="26"/>
              </w:rPr>
            </w:pPr>
            <w:r w:rsidRPr="00C93118">
              <w:rPr>
                <w:color w:val="000000"/>
                <w:sz w:val="26"/>
                <w:szCs w:val="26"/>
              </w:rPr>
              <w:t>3.51%</w:t>
            </w:r>
          </w:p>
        </w:tc>
      </w:tr>
      <w:tr w:rsidR="00FB762E" w:rsidRPr="004D495F" w:rsidTr="00C93118">
        <w:trPr>
          <w:trHeight w:val="624"/>
          <w:jc w:val="right"/>
        </w:trPr>
        <w:tc>
          <w:tcPr>
            <w:tcW w:w="567" w:type="dxa"/>
            <w:vAlign w:val="center"/>
          </w:tcPr>
          <w:p w:rsidR="00FB762E" w:rsidRDefault="00FB762E" w:rsidP="00022373">
            <w:pPr>
              <w:spacing w:line="0" w:lineRule="atLeast"/>
              <w:jc w:val="center"/>
              <w:rPr>
                <w:rFonts w:eastAsia="標楷體"/>
                <w:sz w:val="26"/>
                <w:szCs w:val="26"/>
              </w:rPr>
            </w:pPr>
            <w:r>
              <w:rPr>
                <w:rFonts w:eastAsia="標楷體" w:hint="eastAsia"/>
                <w:sz w:val="26"/>
                <w:szCs w:val="26"/>
              </w:rPr>
              <w:t>7</w:t>
            </w:r>
          </w:p>
        </w:tc>
        <w:tc>
          <w:tcPr>
            <w:tcW w:w="3272"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B6B09">
              <w:rPr>
                <w:color w:val="000000"/>
                <w:sz w:val="26"/>
                <w:szCs w:val="26"/>
              </w:rPr>
              <w:t>Standard Industries Limited</w:t>
            </w:r>
          </w:p>
        </w:tc>
        <w:tc>
          <w:tcPr>
            <w:tcW w:w="993" w:type="dxa"/>
            <w:vAlign w:val="center"/>
          </w:tcPr>
          <w:p w:rsidR="00FB762E" w:rsidRPr="005A0D4A" w:rsidRDefault="00FB762E">
            <w:pPr>
              <w:jc w:val="right"/>
              <w:rPr>
                <w:color w:val="000000"/>
                <w:sz w:val="26"/>
                <w:szCs w:val="26"/>
              </w:rPr>
            </w:pPr>
            <w:r w:rsidRPr="00C93118">
              <w:rPr>
                <w:color w:val="000000"/>
                <w:sz w:val="26"/>
                <w:szCs w:val="26"/>
              </w:rPr>
              <w:t>43.42%</w:t>
            </w:r>
          </w:p>
        </w:tc>
        <w:tc>
          <w:tcPr>
            <w:tcW w:w="992" w:type="dxa"/>
            <w:vAlign w:val="center"/>
          </w:tcPr>
          <w:p w:rsidR="00FB762E" w:rsidRPr="005A0D4A" w:rsidRDefault="00FB762E">
            <w:pPr>
              <w:jc w:val="right"/>
              <w:rPr>
                <w:color w:val="000000"/>
                <w:sz w:val="26"/>
                <w:szCs w:val="26"/>
              </w:rPr>
            </w:pPr>
            <w:r w:rsidRPr="00C93118">
              <w:rPr>
                <w:color w:val="000000"/>
                <w:sz w:val="26"/>
                <w:szCs w:val="26"/>
              </w:rPr>
              <w:t>67.18%</w:t>
            </w:r>
          </w:p>
        </w:tc>
        <w:tc>
          <w:tcPr>
            <w:tcW w:w="992" w:type="dxa"/>
            <w:vAlign w:val="center"/>
          </w:tcPr>
          <w:p w:rsidR="00FB762E" w:rsidRPr="005A0D4A" w:rsidRDefault="00FB762E">
            <w:pPr>
              <w:jc w:val="right"/>
              <w:rPr>
                <w:color w:val="000000"/>
                <w:sz w:val="26"/>
                <w:szCs w:val="26"/>
              </w:rPr>
            </w:pPr>
            <w:r w:rsidRPr="00C93118">
              <w:rPr>
                <w:color w:val="000000"/>
                <w:sz w:val="26"/>
                <w:szCs w:val="26"/>
              </w:rPr>
              <w:t>70.93%</w:t>
            </w:r>
          </w:p>
        </w:tc>
        <w:tc>
          <w:tcPr>
            <w:tcW w:w="951" w:type="dxa"/>
            <w:vAlign w:val="center"/>
          </w:tcPr>
          <w:p w:rsidR="00FB762E" w:rsidRPr="005A0D4A" w:rsidRDefault="00FB762E">
            <w:pPr>
              <w:jc w:val="right"/>
              <w:rPr>
                <w:color w:val="000000"/>
                <w:sz w:val="26"/>
                <w:szCs w:val="26"/>
              </w:rPr>
            </w:pPr>
            <w:r w:rsidRPr="00C93118">
              <w:rPr>
                <w:color w:val="000000"/>
                <w:sz w:val="26"/>
                <w:szCs w:val="26"/>
              </w:rPr>
              <w:t>58.09%</w:t>
            </w:r>
          </w:p>
        </w:tc>
      </w:tr>
      <w:tr w:rsidR="00FB762E" w:rsidRPr="004D495F" w:rsidTr="00C93118">
        <w:trPr>
          <w:trHeight w:val="624"/>
          <w:jc w:val="right"/>
        </w:trPr>
        <w:tc>
          <w:tcPr>
            <w:tcW w:w="567" w:type="dxa"/>
            <w:vAlign w:val="center"/>
          </w:tcPr>
          <w:p w:rsidR="00FB762E" w:rsidRDefault="00FB762E" w:rsidP="00022373">
            <w:pPr>
              <w:spacing w:line="0" w:lineRule="atLeast"/>
              <w:jc w:val="center"/>
              <w:rPr>
                <w:rFonts w:eastAsia="標楷體"/>
                <w:sz w:val="26"/>
                <w:szCs w:val="26"/>
              </w:rPr>
            </w:pPr>
            <w:r>
              <w:rPr>
                <w:rFonts w:eastAsia="標楷體" w:hint="eastAsia"/>
                <w:sz w:val="26"/>
                <w:szCs w:val="26"/>
              </w:rPr>
              <w:lastRenderedPageBreak/>
              <w:t>8</w:t>
            </w:r>
          </w:p>
        </w:tc>
        <w:tc>
          <w:tcPr>
            <w:tcW w:w="3272"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rsidRPr="00FB6B09">
              <w:rPr>
                <w:color w:val="000000"/>
                <w:sz w:val="26"/>
                <w:szCs w:val="26"/>
              </w:rPr>
              <w:t>Takihyo</w:t>
            </w:r>
            <w:proofErr w:type="spellEnd"/>
            <w:r w:rsidRPr="00FB6B09">
              <w:rPr>
                <w:color w:val="000000"/>
                <w:sz w:val="26"/>
                <w:szCs w:val="26"/>
              </w:rPr>
              <w:t xml:space="preserve"> Co., Ltd.</w:t>
            </w:r>
          </w:p>
        </w:tc>
        <w:tc>
          <w:tcPr>
            <w:tcW w:w="993" w:type="dxa"/>
            <w:vAlign w:val="center"/>
          </w:tcPr>
          <w:p w:rsidR="00FB762E" w:rsidRPr="005A0D4A" w:rsidRDefault="00FB762E">
            <w:pPr>
              <w:jc w:val="right"/>
              <w:rPr>
                <w:color w:val="000000"/>
                <w:sz w:val="26"/>
                <w:szCs w:val="26"/>
              </w:rPr>
            </w:pPr>
            <w:r w:rsidRPr="00C93118">
              <w:rPr>
                <w:color w:val="000000"/>
                <w:sz w:val="26"/>
                <w:szCs w:val="26"/>
              </w:rPr>
              <w:t>24.36%</w:t>
            </w:r>
          </w:p>
        </w:tc>
        <w:tc>
          <w:tcPr>
            <w:tcW w:w="992" w:type="dxa"/>
            <w:vAlign w:val="center"/>
          </w:tcPr>
          <w:p w:rsidR="00FB762E" w:rsidRPr="005A0D4A" w:rsidRDefault="00FB762E">
            <w:pPr>
              <w:jc w:val="right"/>
              <w:rPr>
                <w:color w:val="000000"/>
                <w:sz w:val="26"/>
                <w:szCs w:val="26"/>
              </w:rPr>
            </w:pPr>
            <w:r w:rsidRPr="00C93118">
              <w:rPr>
                <w:color w:val="000000"/>
                <w:sz w:val="26"/>
                <w:szCs w:val="26"/>
              </w:rPr>
              <w:t>24.75%</w:t>
            </w:r>
          </w:p>
        </w:tc>
        <w:tc>
          <w:tcPr>
            <w:tcW w:w="992" w:type="dxa"/>
            <w:vAlign w:val="center"/>
          </w:tcPr>
          <w:p w:rsidR="00FB762E" w:rsidRPr="005A0D4A" w:rsidRDefault="00FB762E">
            <w:pPr>
              <w:jc w:val="right"/>
              <w:rPr>
                <w:color w:val="000000"/>
                <w:sz w:val="26"/>
                <w:szCs w:val="26"/>
              </w:rPr>
            </w:pPr>
            <w:r w:rsidRPr="00C93118">
              <w:rPr>
                <w:color w:val="000000"/>
                <w:sz w:val="26"/>
                <w:szCs w:val="26"/>
              </w:rPr>
              <w:t>23.34%</w:t>
            </w:r>
          </w:p>
        </w:tc>
        <w:tc>
          <w:tcPr>
            <w:tcW w:w="951" w:type="dxa"/>
            <w:vAlign w:val="center"/>
          </w:tcPr>
          <w:p w:rsidR="00FB762E" w:rsidRPr="005A0D4A" w:rsidRDefault="00FB762E">
            <w:pPr>
              <w:jc w:val="right"/>
              <w:rPr>
                <w:color w:val="000000"/>
                <w:sz w:val="26"/>
                <w:szCs w:val="26"/>
              </w:rPr>
            </w:pPr>
            <w:r w:rsidRPr="00C93118">
              <w:rPr>
                <w:color w:val="000000"/>
                <w:sz w:val="26"/>
                <w:szCs w:val="26"/>
              </w:rPr>
              <w:t>24.12%</w:t>
            </w:r>
          </w:p>
        </w:tc>
      </w:tr>
      <w:tr w:rsidR="00FB762E" w:rsidRPr="004D495F" w:rsidTr="00C93118">
        <w:trPr>
          <w:trHeight w:val="624"/>
          <w:jc w:val="right"/>
        </w:trPr>
        <w:tc>
          <w:tcPr>
            <w:tcW w:w="567" w:type="dxa"/>
            <w:vAlign w:val="center"/>
          </w:tcPr>
          <w:p w:rsidR="00FB762E" w:rsidRDefault="00FB762E" w:rsidP="00022373">
            <w:pPr>
              <w:spacing w:line="0" w:lineRule="atLeast"/>
              <w:jc w:val="center"/>
              <w:rPr>
                <w:rFonts w:eastAsia="標楷體"/>
                <w:sz w:val="26"/>
                <w:szCs w:val="26"/>
              </w:rPr>
            </w:pPr>
            <w:r>
              <w:rPr>
                <w:rFonts w:eastAsia="標楷體" w:hint="eastAsia"/>
                <w:sz w:val="26"/>
                <w:szCs w:val="26"/>
              </w:rPr>
              <w:t>9</w:t>
            </w:r>
          </w:p>
        </w:tc>
        <w:tc>
          <w:tcPr>
            <w:tcW w:w="3272" w:type="dxa"/>
            <w:vAlign w:val="center"/>
          </w:tcPr>
          <w:p w:rsidR="00FB762E" w:rsidRPr="00A63CF7" w:rsidRDefault="00FB762E" w:rsidP="00E962BF">
            <w:pPr>
              <w:spacing w:before="12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3698C">
              <w:rPr>
                <w:color w:val="000000"/>
                <w:sz w:val="26"/>
                <w:szCs w:val="26"/>
              </w:rPr>
              <w:t>Zhejiang Orient Holdings Co., Ltd</w:t>
            </w:r>
          </w:p>
        </w:tc>
        <w:tc>
          <w:tcPr>
            <w:tcW w:w="993" w:type="dxa"/>
            <w:vAlign w:val="center"/>
          </w:tcPr>
          <w:p w:rsidR="00FB762E" w:rsidRPr="005A0D4A" w:rsidRDefault="00FB762E">
            <w:pPr>
              <w:jc w:val="right"/>
              <w:rPr>
                <w:color w:val="000000"/>
                <w:sz w:val="26"/>
                <w:szCs w:val="26"/>
              </w:rPr>
            </w:pPr>
            <w:r w:rsidRPr="00C93118">
              <w:rPr>
                <w:color w:val="000000"/>
                <w:sz w:val="26"/>
                <w:szCs w:val="26"/>
              </w:rPr>
              <w:t>7.53%</w:t>
            </w:r>
          </w:p>
        </w:tc>
        <w:tc>
          <w:tcPr>
            <w:tcW w:w="992" w:type="dxa"/>
            <w:vAlign w:val="center"/>
          </w:tcPr>
          <w:p w:rsidR="00FB762E" w:rsidRPr="005A0D4A" w:rsidRDefault="00FB762E">
            <w:pPr>
              <w:jc w:val="right"/>
              <w:rPr>
                <w:color w:val="000000"/>
                <w:sz w:val="26"/>
                <w:szCs w:val="26"/>
              </w:rPr>
            </w:pPr>
            <w:r w:rsidRPr="00C93118">
              <w:rPr>
                <w:color w:val="000000"/>
                <w:sz w:val="26"/>
                <w:szCs w:val="26"/>
              </w:rPr>
              <w:t>8.81%</w:t>
            </w:r>
          </w:p>
        </w:tc>
        <w:tc>
          <w:tcPr>
            <w:tcW w:w="992" w:type="dxa"/>
            <w:vAlign w:val="center"/>
          </w:tcPr>
          <w:p w:rsidR="00FB762E" w:rsidRPr="005A0D4A" w:rsidRDefault="00FB762E">
            <w:pPr>
              <w:jc w:val="right"/>
              <w:rPr>
                <w:color w:val="000000"/>
                <w:sz w:val="26"/>
                <w:szCs w:val="26"/>
              </w:rPr>
            </w:pPr>
            <w:r w:rsidRPr="00C93118">
              <w:rPr>
                <w:color w:val="000000"/>
                <w:sz w:val="26"/>
                <w:szCs w:val="26"/>
              </w:rPr>
              <w:t>14.54%</w:t>
            </w:r>
          </w:p>
        </w:tc>
        <w:tc>
          <w:tcPr>
            <w:tcW w:w="951" w:type="dxa"/>
            <w:vAlign w:val="center"/>
          </w:tcPr>
          <w:p w:rsidR="00FB762E" w:rsidRPr="005A0D4A" w:rsidRDefault="00FB762E">
            <w:pPr>
              <w:jc w:val="right"/>
              <w:rPr>
                <w:color w:val="000000"/>
                <w:sz w:val="26"/>
                <w:szCs w:val="26"/>
              </w:rPr>
            </w:pPr>
            <w:r w:rsidRPr="00C93118">
              <w:rPr>
                <w:color w:val="000000"/>
                <w:sz w:val="26"/>
                <w:szCs w:val="26"/>
              </w:rPr>
              <w:t>9.78%</w:t>
            </w:r>
          </w:p>
        </w:tc>
      </w:tr>
      <w:tr w:rsidR="007954E2" w:rsidRPr="004D495F" w:rsidTr="00E402DA">
        <w:trPr>
          <w:trHeight w:val="454"/>
          <w:jc w:val="right"/>
        </w:trPr>
        <w:tc>
          <w:tcPr>
            <w:tcW w:w="7767" w:type="dxa"/>
            <w:gridSpan w:val="6"/>
            <w:shd w:val="clear" w:color="auto" w:fill="4F81BD"/>
            <w:vAlign w:val="center"/>
          </w:tcPr>
          <w:p w:rsidR="007954E2" w:rsidRPr="00E402DA" w:rsidRDefault="007954E2" w:rsidP="000167D4">
            <w:pPr>
              <w:jc w:val="center"/>
              <w:rPr>
                <w:rFonts w:eastAsia="標楷體"/>
                <w:color w:val="FFFFFF"/>
                <w:sz w:val="26"/>
                <w:szCs w:val="26"/>
              </w:rPr>
            </w:pPr>
            <w:r w:rsidRPr="00E402DA">
              <w:rPr>
                <w:rFonts w:eastAsia="標楷體"/>
                <w:color w:val="FFFFFF"/>
                <w:sz w:val="26"/>
                <w:szCs w:val="26"/>
              </w:rPr>
              <w:t>常規交易範圍（四分位區間）</w:t>
            </w:r>
          </w:p>
        </w:tc>
      </w:tr>
      <w:tr w:rsidR="00FB762E" w:rsidRPr="004D495F" w:rsidTr="00C93118">
        <w:trPr>
          <w:trHeight w:val="454"/>
          <w:jc w:val="right"/>
        </w:trPr>
        <w:tc>
          <w:tcPr>
            <w:tcW w:w="3839" w:type="dxa"/>
            <w:gridSpan w:val="2"/>
            <w:vAlign w:val="center"/>
          </w:tcPr>
          <w:p w:rsidR="00FB762E" w:rsidRPr="004D495F" w:rsidRDefault="00FB762E" w:rsidP="005C3CA9">
            <w:pPr>
              <w:jc w:val="center"/>
              <w:rPr>
                <w:rFonts w:eastAsia="標楷體"/>
                <w:color w:val="000000"/>
                <w:sz w:val="26"/>
                <w:szCs w:val="26"/>
              </w:rPr>
            </w:pPr>
            <w:r w:rsidRPr="004D495F">
              <w:rPr>
                <w:rFonts w:eastAsia="標楷體"/>
                <w:color w:val="000000"/>
                <w:sz w:val="26"/>
                <w:szCs w:val="26"/>
              </w:rPr>
              <w:t>第</w:t>
            </w:r>
            <w:r>
              <w:rPr>
                <w:rFonts w:eastAsia="標楷體" w:hint="eastAsia"/>
                <w:color w:val="000000"/>
                <w:sz w:val="26"/>
                <w:szCs w:val="26"/>
              </w:rPr>
              <w:t>2</w:t>
            </w:r>
            <w:r w:rsidRPr="004D495F">
              <w:rPr>
                <w:rFonts w:eastAsia="標楷體"/>
                <w:color w:val="000000"/>
                <w:sz w:val="26"/>
                <w:szCs w:val="26"/>
              </w:rPr>
              <w:t>5</w:t>
            </w:r>
            <w:r w:rsidRPr="004D495F">
              <w:rPr>
                <w:rFonts w:eastAsia="標楷體"/>
                <w:color w:val="000000"/>
                <w:sz w:val="26"/>
                <w:szCs w:val="26"/>
              </w:rPr>
              <w:t>百分位數</w:t>
            </w:r>
          </w:p>
        </w:tc>
        <w:tc>
          <w:tcPr>
            <w:tcW w:w="993" w:type="dxa"/>
            <w:vAlign w:val="center"/>
          </w:tcPr>
          <w:p w:rsidR="00FB762E" w:rsidRPr="005A0D4A" w:rsidRDefault="00FB762E">
            <w:pPr>
              <w:jc w:val="right"/>
              <w:rPr>
                <w:color w:val="000000"/>
                <w:sz w:val="26"/>
                <w:szCs w:val="26"/>
              </w:rPr>
            </w:pPr>
            <w:r w:rsidRPr="00C93118">
              <w:rPr>
                <w:color w:val="000000"/>
                <w:sz w:val="26"/>
                <w:szCs w:val="26"/>
              </w:rPr>
              <w:t>7.53%</w:t>
            </w:r>
          </w:p>
        </w:tc>
        <w:tc>
          <w:tcPr>
            <w:tcW w:w="992" w:type="dxa"/>
            <w:vAlign w:val="center"/>
          </w:tcPr>
          <w:p w:rsidR="00FB762E" w:rsidRPr="005A0D4A" w:rsidRDefault="00FB762E">
            <w:pPr>
              <w:jc w:val="right"/>
              <w:rPr>
                <w:color w:val="000000"/>
                <w:sz w:val="26"/>
                <w:szCs w:val="26"/>
              </w:rPr>
            </w:pPr>
            <w:r w:rsidRPr="00C93118">
              <w:rPr>
                <w:color w:val="000000"/>
                <w:sz w:val="26"/>
                <w:szCs w:val="26"/>
              </w:rPr>
              <w:t>8.81%</w:t>
            </w:r>
          </w:p>
        </w:tc>
        <w:tc>
          <w:tcPr>
            <w:tcW w:w="992" w:type="dxa"/>
            <w:vAlign w:val="center"/>
          </w:tcPr>
          <w:p w:rsidR="00FB762E" w:rsidRPr="005A0D4A" w:rsidRDefault="00FB762E">
            <w:pPr>
              <w:jc w:val="right"/>
              <w:rPr>
                <w:color w:val="000000"/>
                <w:sz w:val="26"/>
                <w:szCs w:val="26"/>
              </w:rPr>
            </w:pPr>
            <w:r w:rsidRPr="00C93118">
              <w:rPr>
                <w:color w:val="000000"/>
                <w:sz w:val="26"/>
                <w:szCs w:val="26"/>
              </w:rPr>
              <w:t>9.26%</w:t>
            </w:r>
          </w:p>
        </w:tc>
        <w:tc>
          <w:tcPr>
            <w:tcW w:w="951" w:type="dxa"/>
            <w:vAlign w:val="center"/>
          </w:tcPr>
          <w:p w:rsidR="00FB762E" w:rsidRPr="005A0D4A" w:rsidRDefault="00FB762E">
            <w:pPr>
              <w:jc w:val="right"/>
              <w:rPr>
                <w:color w:val="000000"/>
                <w:sz w:val="26"/>
                <w:szCs w:val="26"/>
              </w:rPr>
            </w:pPr>
            <w:r w:rsidRPr="00C93118">
              <w:rPr>
                <w:color w:val="000000"/>
                <w:sz w:val="26"/>
                <w:szCs w:val="26"/>
              </w:rPr>
              <w:t>9.27%</w:t>
            </w:r>
          </w:p>
        </w:tc>
      </w:tr>
      <w:tr w:rsidR="00FB762E" w:rsidRPr="004D495F" w:rsidTr="00C93118">
        <w:trPr>
          <w:trHeight w:val="454"/>
          <w:jc w:val="right"/>
        </w:trPr>
        <w:tc>
          <w:tcPr>
            <w:tcW w:w="3839" w:type="dxa"/>
            <w:gridSpan w:val="2"/>
            <w:vAlign w:val="center"/>
          </w:tcPr>
          <w:p w:rsidR="00FB762E" w:rsidRPr="004D495F" w:rsidRDefault="00FB762E" w:rsidP="000167D4">
            <w:pPr>
              <w:jc w:val="center"/>
              <w:rPr>
                <w:rFonts w:eastAsia="標楷體"/>
                <w:color w:val="000000"/>
                <w:sz w:val="26"/>
                <w:szCs w:val="26"/>
              </w:rPr>
            </w:pPr>
            <w:r w:rsidRPr="004D495F">
              <w:rPr>
                <w:rFonts w:eastAsia="標楷體"/>
                <w:color w:val="000000"/>
                <w:sz w:val="26"/>
                <w:szCs w:val="26"/>
              </w:rPr>
              <w:t>中位數</w:t>
            </w:r>
          </w:p>
        </w:tc>
        <w:tc>
          <w:tcPr>
            <w:tcW w:w="993" w:type="dxa"/>
            <w:vAlign w:val="center"/>
          </w:tcPr>
          <w:p w:rsidR="00FB762E" w:rsidRPr="005A0D4A" w:rsidRDefault="00FB762E">
            <w:pPr>
              <w:jc w:val="right"/>
              <w:rPr>
                <w:color w:val="000000"/>
                <w:sz w:val="26"/>
                <w:szCs w:val="26"/>
              </w:rPr>
            </w:pPr>
            <w:r w:rsidRPr="00C93118">
              <w:rPr>
                <w:color w:val="000000"/>
                <w:sz w:val="26"/>
                <w:szCs w:val="26"/>
              </w:rPr>
              <w:t>12.96%</w:t>
            </w:r>
          </w:p>
        </w:tc>
        <w:tc>
          <w:tcPr>
            <w:tcW w:w="992" w:type="dxa"/>
            <w:vAlign w:val="center"/>
          </w:tcPr>
          <w:p w:rsidR="00FB762E" w:rsidRPr="005A0D4A" w:rsidRDefault="00FB762E">
            <w:pPr>
              <w:jc w:val="right"/>
              <w:rPr>
                <w:color w:val="000000"/>
                <w:sz w:val="26"/>
                <w:szCs w:val="26"/>
              </w:rPr>
            </w:pPr>
            <w:r w:rsidRPr="00C93118">
              <w:rPr>
                <w:color w:val="000000"/>
                <w:sz w:val="26"/>
                <w:szCs w:val="26"/>
              </w:rPr>
              <w:t>11.00%</w:t>
            </w:r>
          </w:p>
        </w:tc>
        <w:tc>
          <w:tcPr>
            <w:tcW w:w="992" w:type="dxa"/>
            <w:vAlign w:val="center"/>
          </w:tcPr>
          <w:p w:rsidR="00FB762E" w:rsidRPr="005A0D4A" w:rsidRDefault="00FB762E">
            <w:pPr>
              <w:jc w:val="right"/>
              <w:rPr>
                <w:color w:val="000000"/>
                <w:sz w:val="26"/>
                <w:szCs w:val="26"/>
              </w:rPr>
            </w:pPr>
            <w:r w:rsidRPr="00C93118">
              <w:rPr>
                <w:color w:val="000000"/>
                <w:sz w:val="26"/>
                <w:szCs w:val="26"/>
              </w:rPr>
              <w:t>14.54%</w:t>
            </w:r>
          </w:p>
        </w:tc>
        <w:tc>
          <w:tcPr>
            <w:tcW w:w="951" w:type="dxa"/>
            <w:vAlign w:val="center"/>
          </w:tcPr>
          <w:p w:rsidR="00FB762E" w:rsidRPr="005A0D4A" w:rsidRDefault="00FB762E">
            <w:pPr>
              <w:jc w:val="right"/>
              <w:rPr>
                <w:color w:val="000000"/>
                <w:sz w:val="26"/>
                <w:szCs w:val="26"/>
              </w:rPr>
            </w:pPr>
            <w:r w:rsidRPr="00C93118">
              <w:rPr>
                <w:color w:val="000000"/>
                <w:sz w:val="26"/>
                <w:szCs w:val="26"/>
              </w:rPr>
              <w:t>14.02%</w:t>
            </w:r>
          </w:p>
        </w:tc>
      </w:tr>
      <w:tr w:rsidR="00FB762E" w:rsidRPr="004D495F" w:rsidTr="00C93118">
        <w:trPr>
          <w:trHeight w:val="454"/>
          <w:jc w:val="right"/>
        </w:trPr>
        <w:tc>
          <w:tcPr>
            <w:tcW w:w="3839" w:type="dxa"/>
            <w:gridSpan w:val="2"/>
            <w:vAlign w:val="center"/>
          </w:tcPr>
          <w:p w:rsidR="00FB762E" w:rsidRPr="004D495F" w:rsidRDefault="00FB762E" w:rsidP="005C3CA9">
            <w:pPr>
              <w:jc w:val="center"/>
              <w:rPr>
                <w:rFonts w:eastAsia="標楷體"/>
                <w:color w:val="000000"/>
                <w:sz w:val="26"/>
                <w:szCs w:val="26"/>
              </w:rPr>
            </w:pPr>
            <w:r w:rsidRPr="004D495F">
              <w:rPr>
                <w:rFonts w:eastAsia="標楷體"/>
                <w:color w:val="000000"/>
                <w:sz w:val="26"/>
                <w:szCs w:val="26"/>
              </w:rPr>
              <w:t>第</w:t>
            </w:r>
            <w:r>
              <w:rPr>
                <w:rFonts w:eastAsia="標楷體" w:hint="eastAsia"/>
                <w:color w:val="000000"/>
                <w:sz w:val="26"/>
                <w:szCs w:val="26"/>
              </w:rPr>
              <w:t>7</w:t>
            </w:r>
            <w:r w:rsidRPr="004D495F">
              <w:rPr>
                <w:rFonts w:eastAsia="標楷體"/>
                <w:color w:val="000000"/>
                <w:sz w:val="26"/>
                <w:szCs w:val="26"/>
              </w:rPr>
              <w:t>5</w:t>
            </w:r>
            <w:r w:rsidRPr="004D495F">
              <w:rPr>
                <w:rFonts w:eastAsia="標楷體"/>
                <w:color w:val="000000"/>
                <w:sz w:val="26"/>
                <w:szCs w:val="26"/>
              </w:rPr>
              <w:t>百分位數</w:t>
            </w:r>
          </w:p>
        </w:tc>
        <w:tc>
          <w:tcPr>
            <w:tcW w:w="993" w:type="dxa"/>
            <w:vAlign w:val="center"/>
          </w:tcPr>
          <w:p w:rsidR="00FB762E" w:rsidRPr="005A0D4A" w:rsidRDefault="00FB762E">
            <w:pPr>
              <w:jc w:val="right"/>
              <w:rPr>
                <w:color w:val="000000"/>
                <w:sz w:val="26"/>
                <w:szCs w:val="26"/>
              </w:rPr>
            </w:pPr>
            <w:r w:rsidRPr="00C93118">
              <w:rPr>
                <w:color w:val="000000"/>
                <w:sz w:val="26"/>
                <w:szCs w:val="26"/>
              </w:rPr>
              <w:t>24.36%</w:t>
            </w:r>
          </w:p>
        </w:tc>
        <w:tc>
          <w:tcPr>
            <w:tcW w:w="992" w:type="dxa"/>
            <w:vAlign w:val="center"/>
          </w:tcPr>
          <w:p w:rsidR="00FB762E" w:rsidRPr="005A0D4A" w:rsidRDefault="00FB762E">
            <w:pPr>
              <w:jc w:val="right"/>
              <w:rPr>
                <w:color w:val="000000"/>
                <w:sz w:val="26"/>
                <w:szCs w:val="26"/>
              </w:rPr>
            </w:pPr>
            <w:r w:rsidRPr="00C93118">
              <w:rPr>
                <w:color w:val="000000"/>
                <w:sz w:val="26"/>
                <w:szCs w:val="26"/>
              </w:rPr>
              <w:t>24.75%</w:t>
            </w:r>
          </w:p>
        </w:tc>
        <w:tc>
          <w:tcPr>
            <w:tcW w:w="992" w:type="dxa"/>
            <w:vAlign w:val="center"/>
          </w:tcPr>
          <w:p w:rsidR="00FB762E" w:rsidRPr="005A0D4A" w:rsidRDefault="00FB762E">
            <w:pPr>
              <w:jc w:val="right"/>
              <w:rPr>
                <w:color w:val="000000"/>
                <w:sz w:val="26"/>
                <w:szCs w:val="26"/>
              </w:rPr>
            </w:pPr>
            <w:r w:rsidRPr="00C93118">
              <w:rPr>
                <w:color w:val="000000"/>
                <w:sz w:val="26"/>
                <w:szCs w:val="26"/>
              </w:rPr>
              <w:t>23.34%</w:t>
            </w:r>
          </w:p>
        </w:tc>
        <w:tc>
          <w:tcPr>
            <w:tcW w:w="951" w:type="dxa"/>
            <w:vAlign w:val="center"/>
          </w:tcPr>
          <w:p w:rsidR="00FB762E" w:rsidRPr="005A0D4A" w:rsidRDefault="00FB762E">
            <w:pPr>
              <w:jc w:val="right"/>
              <w:rPr>
                <w:color w:val="000000"/>
                <w:sz w:val="26"/>
                <w:szCs w:val="26"/>
              </w:rPr>
            </w:pPr>
            <w:r w:rsidRPr="00C93118">
              <w:rPr>
                <w:color w:val="000000"/>
                <w:sz w:val="26"/>
                <w:szCs w:val="26"/>
              </w:rPr>
              <w:t>24.12%</w:t>
            </w:r>
          </w:p>
        </w:tc>
      </w:tr>
    </w:tbl>
    <w:p w:rsidR="004C5A82" w:rsidRDefault="001F2BFF" w:rsidP="00D82424">
      <w:pPr>
        <w:numPr>
          <w:ilvl w:val="0"/>
          <w:numId w:val="25"/>
        </w:numPr>
        <w:tabs>
          <w:tab w:val="left" w:pos="1134"/>
        </w:tabs>
        <w:spacing w:beforeLines="50" w:before="120" w:afterLines="50" w:after="120" w:line="360" w:lineRule="auto"/>
        <w:ind w:left="1417" w:hanging="425"/>
        <w:jc w:val="both"/>
        <w:rPr>
          <w:rFonts w:eastAsia="標楷體"/>
          <w:b/>
          <w:sz w:val="28"/>
          <w:szCs w:val="26"/>
        </w:rPr>
      </w:pPr>
      <w:r w:rsidRPr="001F2BFF">
        <w:rPr>
          <w:rFonts w:eastAsia="標楷體" w:hint="eastAsia"/>
          <w:b/>
          <w:sz w:val="28"/>
          <w:szCs w:val="26"/>
        </w:rPr>
        <w:t>主要行業財務比率刊冊</w:t>
      </w:r>
    </w:p>
    <w:p w:rsidR="004C5A82" w:rsidRDefault="001F2BFF" w:rsidP="00D82424">
      <w:pPr>
        <w:spacing w:beforeLines="50" w:before="120" w:line="360" w:lineRule="auto"/>
        <w:ind w:leftChars="400" w:left="960" w:firstLineChars="200" w:firstLine="520"/>
        <w:jc w:val="both"/>
        <w:rPr>
          <w:rFonts w:eastAsia="標楷體"/>
          <w:bCs/>
          <w:sz w:val="26"/>
          <w:szCs w:val="26"/>
        </w:rPr>
      </w:pPr>
      <w:r w:rsidRPr="001F2BFF">
        <w:rPr>
          <w:rFonts w:eastAsia="標楷體" w:hint="eastAsia"/>
          <w:bCs/>
          <w:sz w:val="26"/>
          <w:szCs w:val="26"/>
        </w:rPr>
        <w:t>本所依主要行業財務比率刊冊中之</w:t>
      </w:r>
      <w:r w:rsidRPr="001F2BFF">
        <w:rPr>
          <w:rFonts w:eastAsia="標楷體" w:hint="eastAsia"/>
          <w:sz w:val="26"/>
          <w:szCs w:val="26"/>
        </w:rPr>
        <w:t>布疋批發業</w:t>
      </w:r>
      <w:r w:rsidRPr="001F2BFF">
        <w:rPr>
          <w:rFonts w:eastAsia="標楷體" w:hint="eastAsia"/>
          <w:bCs/>
          <w:sz w:val="26"/>
          <w:szCs w:val="26"/>
        </w:rPr>
        <w:t>（</w:t>
      </w:r>
      <w:r w:rsidRPr="001F2BFF">
        <w:rPr>
          <w:rFonts w:eastAsia="標楷體"/>
          <w:sz w:val="26"/>
          <w:szCs w:val="26"/>
        </w:rPr>
        <w:t>G4551</w:t>
      </w:r>
      <w:r w:rsidRPr="001F2BFF">
        <w:rPr>
          <w:rFonts w:eastAsia="標楷體" w:hint="eastAsia"/>
          <w:bCs/>
          <w:sz w:val="26"/>
          <w:szCs w:val="26"/>
        </w:rPr>
        <w:t>）作為瀚昌公司可比較對象，本所茲將該可比較對象</w:t>
      </w:r>
      <w:r w:rsidR="00587AC6">
        <w:rPr>
          <w:rFonts w:eastAsia="標楷體"/>
          <w:bCs/>
          <w:sz w:val="26"/>
          <w:szCs w:val="26"/>
        </w:rPr>
        <w:t>10</w:t>
      </w:r>
      <w:r w:rsidR="00587AC6">
        <w:rPr>
          <w:rFonts w:eastAsia="標楷體" w:hint="eastAsia"/>
          <w:bCs/>
          <w:sz w:val="26"/>
          <w:szCs w:val="26"/>
        </w:rPr>
        <w:t>2</w:t>
      </w:r>
      <w:r w:rsidRPr="001F2BFF">
        <w:rPr>
          <w:rFonts w:eastAsia="標楷體" w:hint="eastAsia"/>
          <w:bCs/>
          <w:sz w:val="26"/>
          <w:szCs w:val="26"/>
        </w:rPr>
        <w:t>～</w:t>
      </w:r>
      <w:r w:rsidR="00587AC6">
        <w:rPr>
          <w:rFonts w:eastAsia="標楷體"/>
          <w:bCs/>
          <w:sz w:val="26"/>
          <w:szCs w:val="26"/>
        </w:rPr>
        <w:t>10</w:t>
      </w:r>
      <w:r w:rsidR="00587AC6">
        <w:rPr>
          <w:rFonts w:eastAsia="標楷體" w:hint="eastAsia"/>
          <w:bCs/>
          <w:sz w:val="26"/>
          <w:szCs w:val="26"/>
        </w:rPr>
        <w:t>4</w:t>
      </w:r>
      <w:r w:rsidRPr="001F2BFF">
        <w:rPr>
          <w:rFonts w:eastAsia="標楷體" w:hint="eastAsia"/>
          <w:bCs/>
          <w:sz w:val="26"/>
          <w:szCs w:val="26"/>
        </w:rPr>
        <w:t>年度成本加價率統計資料摘述如下（請見附件</w:t>
      </w:r>
      <w:r w:rsidRPr="001F2BFF">
        <w:rPr>
          <w:rFonts w:eastAsia="標楷體"/>
          <w:bCs/>
          <w:sz w:val="26"/>
          <w:szCs w:val="26"/>
        </w:rPr>
        <w:t>E</w:t>
      </w:r>
      <w:r w:rsidRPr="001F2BFF">
        <w:rPr>
          <w:rFonts w:eastAsia="標楷體" w:hint="eastAsia"/>
          <w:bCs/>
          <w:sz w:val="26"/>
          <w:szCs w:val="26"/>
        </w:rPr>
        <w:t>）：</w:t>
      </w:r>
    </w:p>
    <w:tbl>
      <w:tblPr>
        <w:tblW w:w="4476" w:type="pct"/>
        <w:jc w:val="center"/>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1560"/>
        <w:gridCol w:w="1559"/>
        <w:gridCol w:w="1559"/>
        <w:gridCol w:w="1444"/>
      </w:tblGrid>
      <w:tr w:rsidR="008A7D5C" w:rsidRPr="005B356E" w:rsidTr="00C93118">
        <w:trPr>
          <w:trHeight w:val="430"/>
          <w:tblHeader/>
          <w:jc w:val="center"/>
        </w:trPr>
        <w:tc>
          <w:tcPr>
            <w:tcW w:w="1058" w:type="pct"/>
            <w:shd w:val="clear" w:color="auto" w:fill="4F81BD"/>
            <w:vAlign w:val="center"/>
          </w:tcPr>
          <w:p w:rsidR="00065927" w:rsidRPr="005B356E" w:rsidRDefault="00065927">
            <w:pPr>
              <w:kinsoku w:val="0"/>
              <w:overflowPunct w:val="0"/>
              <w:autoSpaceDE w:val="0"/>
              <w:autoSpaceDN w:val="0"/>
              <w:spacing w:line="0" w:lineRule="atLeast"/>
              <w:jc w:val="center"/>
              <w:rPr>
                <w:rFonts w:eastAsia="標楷體"/>
                <w:color w:val="FFFFFF"/>
                <w:sz w:val="26"/>
                <w:szCs w:val="26"/>
              </w:rPr>
            </w:pPr>
            <w:r w:rsidRPr="005B356E">
              <w:rPr>
                <w:rFonts w:eastAsia="標楷體" w:hint="eastAsia"/>
                <w:color w:val="FFFFFF"/>
                <w:sz w:val="26"/>
                <w:szCs w:val="26"/>
              </w:rPr>
              <w:t>年度</w:t>
            </w:r>
          </w:p>
        </w:tc>
        <w:tc>
          <w:tcPr>
            <w:tcW w:w="1004" w:type="pct"/>
            <w:shd w:val="clear" w:color="auto" w:fill="4F81BD"/>
            <w:vAlign w:val="center"/>
          </w:tcPr>
          <w:p w:rsidR="00065927" w:rsidRPr="005B356E" w:rsidRDefault="00065927">
            <w:pPr>
              <w:kinsoku w:val="0"/>
              <w:overflowPunct w:val="0"/>
              <w:autoSpaceDE w:val="0"/>
              <w:autoSpaceDN w:val="0"/>
              <w:spacing w:line="0" w:lineRule="atLeast"/>
              <w:jc w:val="center"/>
              <w:rPr>
                <w:rFonts w:eastAsia="標楷體"/>
                <w:color w:val="FFFFFF"/>
                <w:sz w:val="26"/>
                <w:szCs w:val="26"/>
              </w:rPr>
            </w:pPr>
            <w:r w:rsidRPr="005B356E">
              <w:rPr>
                <w:rFonts w:eastAsia="標楷體" w:hint="eastAsia"/>
                <w:color w:val="FFFFFF"/>
                <w:sz w:val="26"/>
                <w:szCs w:val="26"/>
              </w:rPr>
              <w:t>10</w:t>
            </w:r>
            <w:r w:rsidR="00587AC6">
              <w:rPr>
                <w:rFonts w:eastAsia="標楷體" w:hint="eastAsia"/>
                <w:color w:val="FFFFFF"/>
                <w:sz w:val="26"/>
                <w:szCs w:val="26"/>
              </w:rPr>
              <w:t>2</w:t>
            </w:r>
            <w:r w:rsidRPr="005B356E">
              <w:rPr>
                <w:rFonts w:eastAsia="標楷體" w:hint="eastAsia"/>
                <w:color w:val="FFFFFF"/>
                <w:sz w:val="26"/>
                <w:szCs w:val="26"/>
              </w:rPr>
              <w:t>年</w:t>
            </w:r>
          </w:p>
        </w:tc>
        <w:tc>
          <w:tcPr>
            <w:tcW w:w="1004" w:type="pct"/>
            <w:shd w:val="clear" w:color="auto" w:fill="4F81BD"/>
            <w:vAlign w:val="center"/>
          </w:tcPr>
          <w:p w:rsidR="00065927" w:rsidRPr="005B356E" w:rsidRDefault="00065927">
            <w:pPr>
              <w:kinsoku w:val="0"/>
              <w:overflowPunct w:val="0"/>
              <w:autoSpaceDE w:val="0"/>
              <w:autoSpaceDN w:val="0"/>
              <w:spacing w:line="0" w:lineRule="atLeast"/>
              <w:jc w:val="center"/>
              <w:rPr>
                <w:rFonts w:eastAsia="標楷體"/>
                <w:color w:val="FFFFFF"/>
                <w:sz w:val="26"/>
                <w:szCs w:val="26"/>
              </w:rPr>
            </w:pPr>
            <w:r w:rsidRPr="005B356E">
              <w:rPr>
                <w:rFonts w:eastAsia="標楷體" w:hint="eastAsia"/>
                <w:color w:val="FFFFFF"/>
                <w:sz w:val="26"/>
                <w:szCs w:val="26"/>
              </w:rPr>
              <w:t>10</w:t>
            </w:r>
            <w:r w:rsidR="00587AC6">
              <w:rPr>
                <w:rFonts w:eastAsia="標楷體" w:hint="eastAsia"/>
                <w:color w:val="FFFFFF"/>
                <w:sz w:val="26"/>
                <w:szCs w:val="26"/>
              </w:rPr>
              <w:t>3</w:t>
            </w:r>
            <w:r w:rsidRPr="005B356E">
              <w:rPr>
                <w:rFonts w:eastAsia="標楷體" w:hint="eastAsia"/>
                <w:color w:val="FFFFFF"/>
                <w:sz w:val="26"/>
                <w:szCs w:val="26"/>
              </w:rPr>
              <w:t>年</w:t>
            </w:r>
          </w:p>
        </w:tc>
        <w:tc>
          <w:tcPr>
            <w:tcW w:w="1004" w:type="pct"/>
            <w:shd w:val="clear" w:color="auto" w:fill="4F81BD"/>
            <w:vAlign w:val="center"/>
          </w:tcPr>
          <w:p w:rsidR="00065927" w:rsidRPr="005B356E" w:rsidRDefault="00A82E54">
            <w:pPr>
              <w:kinsoku w:val="0"/>
              <w:overflowPunct w:val="0"/>
              <w:autoSpaceDE w:val="0"/>
              <w:autoSpaceDN w:val="0"/>
              <w:spacing w:line="0" w:lineRule="atLeast"/>
              <w:jc w:val="center"/>
              <w:rPr>
                <w:rFonts w:eastAsia="標楷體"/>
                <w:color w:val="FFFFFF"/>
                <w:sz w:val="26"/>
                <w:szCs w:val="26"/>
              </w:rPr>
            </w:pPr>
            <w:r w:rsidRPr="005B356E">
              <w:rPr>
                <w:rFonts w:eastAsia="標楷體" w:hint="eastAsia"/>
                <w:color w:val="FFFFFF"/>
                <w:sz w:val="26"/>
                <w:szCs w:val="26"/>
              </w:rPr>
              <w:t>10</w:t>
            </w:r>
            <w:r w:rsidR="00587AC6">
              <w:rPr>
                <w:rFonts w:eastAsia="標楷體" w:hint="eastAsia"/>
                <w:color w:val="FFFFFF"/>
                <w:sz w:val="26"/>
                <w:szCs w:val="26"/>
              </w:rPr>
              <w:t>4</w:t>
            </w:r>
            <w:r w:rsidRPr="005B356E">
              <w:rPr>
                <w:rFonts w:eastAsia="標楷體" w:hint="eastAsia"/>
                <w:color w:val="FFFFFF"/>
                <w:sz w:val="26"/>
                <w:szCs w:val="26"/>
              </w:rPr>
              <w:t>年</w:t>
            </w:r>
          </w:p>
        </w:tc>
        <w:tc>
          <w:tcPr>
            <w:tcW w:w="931" w:type="pct"/>
            <w:shd w:val="clear" w:color="auto" w:fill="4F81BD"/>
            <w:vAlign w:val="center"/>
          </w:tcPr>
          <w:p w:rsidR="00065927" w:rsidRPr="005B356E" w:rsidRDefault="00065927">
            <w:pPr>
              <w:kinsoku w:val="0"/>
              <w:overflowPunct w:val="0"/>
              <w:autoSpaceDE w:val="0"/>
              <w:autoSpaceDN w:val="0"/>
              <w:spacing w:line="0" w:lineRule="atLeast"/>
              <w:jc w:val="center"/>
              <w:rPr>
                <w:rFonts w:eastAsia="標楷體"/>
                <w:color w:val="FFFFFF"/>
                <w:sz w:val="26"/>
                <w:szCs w:val="26"/>
              </w:rPr>
            </w:pPr>
            <w:r w:rsidRPr="005B356E">
              <w:rPr>
                <w:rFonts w:eastAsia="標楷體" w:hint="eastAsia"/>
                <w:color w:val="FFFFFF"/>
                <w:sz w:val="26"/>
                <w:szCs w:val="26"/>
              </w:rPr>
              <w:t>三年平均</w:t>
            </w:r>
          </w:p>
        </w:tc>
      </w:tr>
      <w:tr w:rsidR="00587AC6" w:rsidRPr="0011563F" w:rsidTr="00C93118">
        <w:trPr>
          <w:trHeight w:val="680"/>
          <w:jc w:val="center"/>
        </w:trPr>
        <w:tc>
          <w:tcPr>
            <w:tcW w:w="1058" w:type="pct"/>
            <w:vAlign w:val="center"/>
          </w:tcPr>
          <w:p w:rsidR="00587AC6" w:rsidRPr="0011563F" w:rsidRDefault="00587AC6">
            <w:pPr>
              <w:kinsoku w:val="0"/>
              <w:overflowPunct w:val="0"/>
              <w:autoSpaceDE w:val="0"/>
              <w:autoSpaceDN w:val="0"/>
              <w:spacing w:line="0" w:lineRule="atLeast"/>
              <w:jc w:val="center"/>
              <w:rPr>
                <w:rFonts w:eastAsia="標楷體"/>
                <w:sz w:val="26"/>
                <w:szCs w:val="26"/>
              </w:rPr>
            </w:pPr>
            <w:r w:rsidRPr="0011563F">
              <w:rPr>
                <w:rFonts w:eastAsia="標楷體" w:hint="eastAsia"/>
                <w:sz w:val="26"/>
                <w:szCs w:val="26"/>
              </w:rPr>
              <w:t>樣本數</w:t>
            </w:r>
          </w:p>
        </w:tc>
        <w:tc>
          <w:tcPr>
            <w:tcW w:w="1004" w:type="pct"/>
            <w:vAlign w:val="center"/>
          </w:tcPr>
          <w:p w:rsidR="00587AC6" w:rsidRPr="005A5B7F" w:rsidRDefault="00A70BCB">
            <w:pPr>
              <w:jc w:val="center"/>
              <w:rPr>
                <w:rFonts w:eastAsia="標楷體"/>
                <w:sz w:val="26"/>
                <w:szCs w:val="26"/>
              </w:rPr>
            </w:pPr>
            <w:r>
              <w:rPr>
                <w:rFonts w:eastAsia="標楷體" w:hint="eastAsia"/>
                <w:sz w:val="26"/>
                <w:szCs w:val="26"/>
              </w:rPr>
              <w:t>96</w:t>
            </w:r>
          </w:p>
        </w:tc>
        <w:tc>
          <w:tcPr>
            <w:tcW w:w="1004" w:type="pct"/>
            <w:vAlign w:val="center"/>
          </w:tcPr>
          <w:p w:rsidR="00587AC6" w:rsidRPr="005A5B7F" w:rsidRDefault="00587AC6">
            <w:pPr>
              <w:jc w:val="center"/>
              <w:rPr>
                <w:rFonts w:eastAsia="標楷體"/>
                <w:sz w:val="26"/>
                <w:szCs w:val="26"/>
              </w:rPr>
            </w:pPr>
            <w:r>
              <w:rPr>
                <w:rFonts w:eastAsia="標楷體" w:hint="eastAsia"/>
                <w:sz w:val="26"/>
                <w:szCs w:val="26"/>
              </w:rPr>
              <w:t>110</w:t>
            </w:r>
          </w:p>
        </w:tc>
        <w:tc>
          <w:tcPr>
            <w:tcW w:w="1004" w:type="pct"/>
            <w:vAlign w:val="center"/>
          </w:tcPr>
          <w:p w:rsidR="00587AC6" w:rsidRPr="005A5B7F" w:rsidRDefault="00587AC6">
            <w:pPr>
              <w:jc w:val="center"/>
              <w:rPr>
                <w:rFonts w:eastAsia="標楷體"/>
                <w:sz w:val="26"/>
                <w:szCs w:val="26"/>
              </w:rPr>
            </w:pPr>
            <w:r>
              <w:rPr>
                <w:rFonts w:eastAsia="標楷體" w:hint="eastAsia"/>
                <w:sz w:val="26"/>
                <w:szCs w:val="26"/>
              </w:rPr>
              <w:t>124</w:t>
            </w:r>
          </w:p>
        </w:tc>
        <w:tc>
          <w:tcPr>
            <w:tcW w:w="931" w:type="pct"/>
            <w:vAlign w:val="center"/>
          </w:tcPr>
          <w:p w:rsidR="00587AC6" w:rsidRPr="005A5B7F" w:rsidRDefault="00587AC6">
            <w:pPr>
              <w:jc w:val="center"/>
              <w:rPr>
                <w:rFonts w:eastAsia="標楷體"/>
                <w:sz w:val="26"/>
                <w:szCs w:val="26"/>
              </w:rPr>
            </w:pPr>
          </w:p>
        </w:tc>
      </w:tr>
      <w:tr w:rsidR="00D847CE" w:rsidRPr="006A5BB8" w:rsidTr="00C93118">
        <w:trPr>
          <w:trHeight w:val="680"/>
          <w:jc w:val="center"/>
        </w:trPr>
        <w:tc>
          <w:tcPr>
            <w:tcW w:w="1058" w:type="pct"/>
            <w:vAlign w:val="center"/>
          </w:tcPr>
          <w:p w:rsidR="00D847CE" w:rsidRDefault="00D847CE">
            <w:pPr>
              <w:kinsoku w:val="0"/>
              <w:overflowPunct w:val="0"/>
              <w:autoSpaceDE w:val="0"/>
              <w:autoSpaceDN w:val="0"/>
              <w:spacing w:line="0" w:lineRule="atLeast"/>
              <w:jc w:val="center"/>
              <w:rPr>
                <w:rFonts w:eastAsia="標楷體"/>
                <w:color w:val="000000"/>
                <w:sz w:val="26"/>
                <w:szCs w:val="26"/>
              </w:rPr>
            </w:pPr>
            <w:r w:rsidRPr="00BB4352">
              <w:rPr>
                <w:rFonts w:eastAsia="標楷體"/>
                <w:color w:val="000000"/>
                <w:sz w:val="26"/>
                <w:szCs w:val="26"/>
              </w:rPr>
              <w:t>第</w:t>
            </w:r>
            <w:r w:rsidRPr="00BB4352">
              <w:rPr>
                <w:rFonts w:eastAsia="標楷體" w:hint="eastAsia"/>
                <w:color w:val="000000"/>
                <w:sz w:val="26"/>
                <w:szCs w:val="26"/>
              </w:rPr>
              <w:t>25</w:t>
            </w:r>
            <w:r w:rsidRPr="00BB4352">
              <w:rPr>
                <w:rFonts w:eastAsia="標楷體"/>
                <w:color w:val="000000"/>
                <w:sz w:val="26"/>
                <w:szCs w:val="26"/>
              </w:rPr>
              <w:t>百</w:t>
            </w:r>
          </w:p>
          <w:p w:rsidR="00D847CE" w:rsidRPr="0011563F" w:rsidRDefault="00D847CE">
            <w:pPr>
              <w:kinsoku w:val="0"/>
              <w:overflowPunct w:val="0"/>
              <w:autoSpaceDE w:val="0"/>
              <w:autoSpaceDN w:val="0"/>
              <w:spacing w:line="0" w:lineRule="atLeast"/>
              <w:jc w:val="center"/>
              <w:rPr>
                <w:rFonts w:eastAsia="標楷體"/>
                <w:sz w:val="26"/>
                <w:szCs w:val="26"/>
              </w:rPr>
            </w:pPr>
            <w:r w:rsidRPr="00BB4352">
              <w:rPr>
                <w:rFonts w:eastAsia="標楷體"/>
                <w:color w:val="000000"/>
                <w:sz w:val="26"/>
                <w:szCs w:val="26"/>
              </w:rPr>
              <w:t>分位數</w:t>
            </w:r>
          </w:p>
        </w:tc>
        <w:tc>
          <w:tcPr>
            <w:tcW w:w="1004" w:type="pct"/>
            <w:vAlign w:val="center"/>
          </w:tcPr>
          <w:p w:rsidR="00D847CE" w:rsidRPr="005A5B7F" w:rsidRDefault="00D847CE">
            <w:pPr>
              <w:jc w:val="center"/>
              <w:rPr>
                <w:rFonts w:eastAsia="標楷體"/>
                <w:sz w:val="26"/>
                <w:szCs w:val="26"/>
              </w:rPr>
            </w:pPr>
            <w:r w:rsidRPr="00A82E54">
              <w:rPr>
                <w:rFonts w:eastAsia="標楷體"/>
                <w:sz w:val="26"/>
                <w:szCs w:val="26"/>
              </w:rPr>
              <w:t>9.17%</w:t>
            </w:r>
          </w:p>
        </w:tc>
        <w:tc>
          <w:tcPr>
            <w:tcW w:w="1004" w:type="pct"/>
            <w:vAlign w:val="center"/>
          </w:tcPr>
          <w:p w:rsidR="00D847CE" w:rsidRPr="00A82E54" w:rsidRDefault="00D847CE">
            <w:pPr>
              <w:jc w:val="center"/>
              <w:rPr>
                <w:rFonts w:eastAsia="標楷體"/>
                <w:sz w:val="26"/>
                <w:szCs w:val="26"/>
              </w:rPr>
            </w:pPr>
            <w:r>
              <w:rPr>
                <w:rFonts w:eastAsia="標楷體" w:hint="eastAsia"/>
                <w:sz w:val="26"/>
                <w:szCs w:val="26"/>
              </w:rPr>
              <w:t>7.76%</w:t>
            </w:r>
          </w:p>
        </w:tc>
        <w:tc>
          <w:tcPr>
            <w:tcW w:w="1004" w:type="pct"/>
            <w:vAlign w:val="center"/>
          </w:tcPr>
          <w:p w:rsidR="00D847CE" w:rsidRPr="00A82E54" w:rsidRDefault="00D847CE">
            <w:pPr>
              <w:jc w:val="center"/>
              <w:rPr>
                <w:rFonts w:eastAsia="標楷體"/>
                <w:sz w:val="26"/>
                <w:szCs w:val="26"/>
              </w:rPr>
            </w:pPr>
            <w:r>
              <w:rPr>
                <w:rFonts w:eastAsia="標楷體" w:hint="eastAsia"/>
                <w:sz w:val="26"/>
                <w:szCs w:val="26"/>
              </w:rPr>
              <w:t>8.93%</w:t>
            </w:r>
          </w:p>
        </w:tc>
        <w:tc>
          <w:tcPr>
            <w:tcW w:w="931" w:type="pct"/>
            <w:vAlign w:val="center"/>
          </w:tcPr>
          <w:p w:rsidR="00D847CE" w:rsidRPr="00D847CE" w:rsidRDefault="00D847CE">
            <w:pPr>
              <w:jc w:val="center"/>
              <w:rPr>
                <w:rFonts w:eastAsia="標楷體"/>
                <w:sz w:val="26"/>
                <w:szCs w:val="26"/>
              </w:rPr>
            </w:pPr>
            <w:r w:rsidRPr="00D847CE">
              <w:rPr>
                <w:rFonts w:eastAsia="標楷體"/>
                <w:sz w:val="26"/>
                <w:szCs w:val="26"/>
              </w:rPr>
              <w:t>8.62%</w:t>
            </w:r>
          </w:p>
        </w:tc>
      </w:tr>
      <w:tr w:rsidR="00D847CE" w:rsidRPr="0011563F" w:rsidTr="00C93118">
        <w:trPr>
          <w:trHeight w:val="680"/>
          <w:jc w:val="center"/>
        </w:trPr>
        <w:tc>
          <w:tcPr>
            <w:tcW w:w="1058" w:type="pct"/>
            <w:vAlign w:val="center"/>
          </w:tcPr>
          <w:p w:rsidR="00D847CE" w:rsidRPr="0011563F" w:rsidRDefault="00D847CE">
            <w:pPr>
              <w:kinsoku w:val="0"/>
              <w:overflowPunct w:val="0"/>
              <w:autoSpaceDE w:val="0"/>
              <w:autoSpaceDN w:val="0"/>
              <w:spacing w:line="0" w:lineRule="atLeast"/>
              <w:jc w:val="center"/>
              <w:rPr>
                <w:rFonts w:eastAsia="標楷體"/>
                <w:sz w:val="26"/>
                <w:szCs w:val="26"/>
              </w:rPr>
            </w:pPr>
            <w:r w:rsidRPr="00BB4352">
              <w:rPr>
                <w:rFonts w:eastAsia="標楷體" w:hint="eastAsia"/>
                <w:color w:val="000000"/>
                <w:sz w:val="26"/>
                <w:szCs w:val="26"/>
              </w:rPr>
              <w:t>中</w:t>
            </w:r>
            <w:r w:rsidRPr="00BB4352">
              <w:rPr>
                <w:rFonts w:eastAsia="標楷體"/>
                <w:color w:val="000000"/>
                <w:sz w:val="26"/>
                <w:szCs w:val="26"/>
              </w:rPr>
              <w:t>位數</w:t>
            </w:r>
          </w:p>
        </w:tc>
        <w:tc>
          <w:tcPr>
            <w:tcW w:w="1004" w:type="pct"/>
            <w:vAlign w:val="center"/>
          </w:tcPr>
          <w:p w:rsidR="00D847CE" w:rsidRPr="005A5B7F" w:rsidRDefault="00D847CE">
            <w:pPr>
              <w:jc w:val="center"/>
              <w:rPr>
                <w:rFonts w:eastAsia="標楷體"/>
                <w:sz w:val="26"/>
                <w:szCs w:val="26"/>
              </w:rPr>
            </w:pPr>
            <w:r w:rsidRPr="00A82E54">
              <w:rPr>
                <w:rFonts w:eastAsia="標楷體"/>
                <w:sz w:val="26"/>
                <w:szCs w:val="26"/>
              </w:rPr>
              <w:t>14.81%</w:t>
            </w:r>
          </w:p>
        </w:tc>
        <w:tc>
          <w:tcPr>
            <w:tcW w:w="1004" w:type="pct"/>
            <w:vAlign w:val="center"/>
          </w:tcPr>
          <w:p w:rsidR="00D847CE" w:rsidRPr="00A82E54" w:rsidRDefault="00D847CE">
            <w:pPr>
              <w:jc w:val="center"/>
              <w:rPr>
                <w:rFonts w:eastAsia="標楷體"/>
                <w:sz w:val="26"/>
                <w:szCs w:val="26"/>
              </w:rPr>
            </w:pPr>
            <w:r>
              <w:rPr>
                <w:rFonts w:eastAsia="標楷體" w:hint="eastAsia"/>
                <w:sz w:val="26"/>
                <w:szCs w:val="26"/>
              </w:rPr>
              <w:t>14.42%</w:t>
            </w:r>
          </w:p>
        </w:tc>
        <w:tc>
          <w:tcPr>
            <w:tcW w:w="1004" w:type="pct"/>
            <w:vAlign w:val="center"/>
          </w:tcPr>
          <w:p w:rsidR="00D847CE" w:rsidRPr="00A82E54" w:rsidRDefault="00D847CE">
            <w:pPr>
              <w:jc w:val="center"/>
              <w:rPr>
                <w:rFonts w:eastAsia="標楷體"/>
                <w:sz w:val="26"/>
                <w:szCs w:val="26"/>
              </w:rPr>
            </w:pPr>
            <w:r>
              <w:rPr>
                <w:rFonts w:eastAsia="標楷體" w:hint="eastAsia"/>
                <w:sz w:val="26"/>
                <w:szCs w:val="26"/>
              </w:rPr>
              <w:t>16.41%</w:t>
            </w:r>
          </w:p>
        </w:tc>
        <w:tc>
          <w:tcPr>
            <w:tcW w:w="931" w:type="pct"/>
            <w:vAlign w:val="center"/>
          </w:tcPr>
          <w:p w:rsidR="00D847CE" w:rsidRPr="00D847CE" w:rsidRDefault="00D847CE">
            <w:pPr>
              <w:jc w:val="center"/>
              <w:rPr>
                <w:rFonts w:eastAsia="標楷體"/>
                <w:sz w:val="26"/>
                <w:szCs w:val="26"/>
              </w:rPr>
            </w:pPr>
            <w:r w:rsidRPr="00D847CE">
              <w:rPr>
                <w:rFonts w:eastAsia="標楷體"/>
                <w:sz w:val="26"/>
                <w:szCs w:val="26"/>
              </w:rPr>
              <w:t>15.23%</w:t>
            </w:r>
          </w:p>
        </w:tc>
      </w:tr>
      <w:tr w:rsidR="00D847CE" w:rsidRPr="0011563F" w:rsidTr="00C93118">
        <w:trPr>
          <w:trHeight w:val="680"/>
          <w:jc w:val="center"/>
        </w:trPr>
        <w:tc>
          <w:tcPr>
            <w:tcW w:w="1058" w:type="pct"/>
            <w:vAlign w:val="center"/>
          </w:tcPr>
          <w:p w:rsidR="00D847CE" w:rsidRDefault="00D847CE">
            <w:pPr>
              <w:kinsoku w:val="0"/>
              <w:overflowPunct w:val="0"/>
              <w:autoSpaceDE w:val="0"/>
              <w:autoSpaceDN w:val="0"/>
              <w:spacing w:line="0" w:lineRule="atLeast"/>
              <w:jc w:val="center"/>
              <w:rPr>
                <w:rFonts w:eastAsia="標楷體"/>
                <w:color w:val="000000"/>
                <w:sz w:val="26"/>
                <w:szCs w:val="26"/>
              </w:rPr>
            </w:pPr>
            <w:r w:rsidRPr="00BB4352">
              <w:rPr>
                <w:rFonts w:eastAsia="標楷體"/>
                <w:color w:val="000000"/>
                <w:sz w:val="26"/>
                <w:szCs w:val="26"/>
              </w:rPr>
              <w:t>第</w:t>
            </w:r>
            <w:r w:rsidRPr="00BB4352">
              <w:rPr>
                <w:rFonts w:eastAsia="標楷體" w:hint="eastAsia"/>
                <w:color w:val="000000"/>
                <w:sz w:val="26"/>
                <w:szCs w:val="26"/>
              </w:rPr>
              <w:t>75</w:t>
            </w:r>
            <w:r w:rsidRPr="00BB4352">
              <w:rPr>
                <w:rFonts w:eastAsia="標楷體"/>
                <w:color w:val="000000"/>
                <w:sz w:val="26"/>
                <w:szCs w:val="26"/>
              </w:rPr>
              <w:t>百</w:t>
            </w:r>
          </w:p>
          <w:p w:rsidR="00D847CE" w:rsidRPr="0011563F" w:rsidRDefault="00D847CE">
            <w:pPr>
              <w:kinsoku w:val="0"/>
              <w:overflowPunct w:val="0"/>
              <w:autoSpaceDE w:val="0"/>
              <w:autoSpaceDN w:val="0"/>
              <w:spacing w:line="0" w:lineRule="atLeast"/>
              <w:jc w:val="center"/>
              <w:rPr>
                <w:rFonts w:eastAsia="標楷體"/>
                <w:sz w:val="26"/>
                <w:szCs w:val="26"/>
              </w:rPr>
            </w:pPr>
            <w:r w:rsidRPr="00BB4352">
              <w:rPr>
                <w:rFonts w:eastAsia="標楷體"/>
                <w:color w:val="000000"/>
                <w:sz w:val="26"/>
                <w:szCs w:val="26"/>
              </w:rPr>
              <w:t>分位數</w:t>
            </w:r>
          </w:p>
        </w:tc>
        <w:tc>
          <w:tcPr>
            <w:tcW w:w="1004" w:type="pct"/>
            <w:vAlign w:val="center"/>
          </w:tcPr>
          <w:p w:rsidR="00D847CE" w:rsidRPr="005A5B7F" w:rsidRDefault="00D847CE">
            <w:pPr>
              <w:jc w:val="center"/>
              <w:rPr>
                <w:rFonts w:eastAsia="標楷體"/>
                <w:sz w:val="26"/>
                <w:szCs w:val="26"/>
              </w:rPr>
            </w:pPr>
            <w:r w:rsidRPr="00A82E54">
              <w:rPr>
                <w:rFonts w:eastAsia="標楷體"/>
                <w:sz w:val="26"/>
                <w:szCs w:val="26"/>
              </w:rPr>
              <w:t>23.61%</w:t>
            </w:r>
          </w:p>
        </w:tc>
        <w:tc>
          <w:tcPr>
            <w:tcW w:w="1004" w:type="pct"/>
            <w:vAlign w:val="center"/>
          </w:tcPr>
          <w:p w:rsidR="00D847CE" w:rsidRPr="00A82E54" w:rsidRDefault="00D847CE">
            <w:pPr>
              <w:jc w:val="center"/>
              <w:rPr>
                <w:rFonts w:eastAsia="標楷體"/>
                <w:sz w:val="26"/>
                <w:szCs w:val="26"/>
              </w:rPr>
            </w:pPr>
            <w:r>
              <w:rPr>
                <w:rFonts w:eastAsia="標楷體" w:hint="eastAsia"/>
                <w:sz w:val="26"/>
                <w:szCs w:val="26"/>
              </w:rPr>
              <w:t>24.22%</w:t>
            </w:r>
          </w:p>
        </w:tc>
        <w:tc>
          <w:tcPr>
            <w:tcW w:w="1004" w:type="pct"/>
            <w:vAlign w:val="center"/>
          </w:tcPr>
          <w:p w:rsidR="00D847CE" w:rsidRPr="00A82E54" w:rsidRDefault="00D847CE">
            <w:pPr>
              <w:jc w:val="center"/>
              <w:rPr>
                <w:rFonts w:eastAsia="標楷體"/>
                <w:sz w:val="26"/>
                <w:szCs w:val="26"/>
              </w:rPr>
            </w:pPr>
            <w:r>
              <w:rPr>
                <w:rFonts w:eastAsia="標楷體" w:hint="eastAsia"/>
                <w:sz w:val="26"/>
                <w:szCs w:val="26"/>
              </w:rPr>
              <w:t>26.74%</w:t>
            </w:r>
          </w:p>
        </w:tc>
        <w:tc>
          <w:tcPr>
            <w:tcW w:w="931" w:type="pct"/>
            <w:vAlign w:val="center"/>
          </w:tcPr>
          <w:p w:rsidR="00D847CE" w:rsidRPr="00D847CE" w:rsidRDefault="00D847CE">
            <w:pPr>
              <w:jc w:val="center"/>
              <w:rPr>
                <w:rFonts w:eastAsia="標楷體"/>
                <w:sz w:val="26"/>
                <w:szCs w:val="26"/>
              </w:rPr>
            </w:pPr>
            <w:r w:rsidRPr="00D847CE">
              <w:rPr>
                <w:rFonts w:eastAsia="標楷體"/>
                <w:sz w:val="26"/>
                <w:szCs w:val="26"/>
              </w:rPr>
              <w:t>24.86%</w:t>
            </w:r>
          </w:p>
        </w:tc>
      </w:tr>
    </w:tbl>
    <w:p w:rsidR="004C5A82" w:rsidRDefault="00DE220A" w:rsidP="00D82424">
      <w:pPr>
        <w:pStyle w:val="2"/>
        <w:numPr>
          <w:ilvl w:val="1"/>
          <w:numId w:val="19"/>
        </w:numPr>
        <w:tabs>
          <w:tab w:val="left" w:pos="756"/>
        </w:tabs>
        <w:spacing w:beforeLines="100" w:before="240" w:afterLines="50" w:after="12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受測個體</w:t>
      </w:r>
      <w:r>
        <w:rPr>
          <w:rFonts w:ascii="Times New Roman" w:eastAsia="標楷體" w:hAnsi="Times New Roman" w:hint="eastAsia"/>
          <w:sz w:val="36"/>
          <w:szCs w:val="40"/>
        </w:rPr>
        <w:t>之成本加價</w:t>
      </w:r>
      <w:r w:rsidRPr="00EA272E">
        <w:rPr>
          <w:rFonts w:ascii="Times New Roman" w:eastAsia="標楷體" w:hAnsi="Times New Roman" w:hint="eastAsia"/>
          <w:sz w:val="36"/>
          <w:szCs w:val="40"/>
        </w:rPr>
        <w:t>率</w:t>
      </w:r>
    </w:p>
    <w:p w:rsidR="004C5A82" w:rsidRDefault="003F187F" w:rsidP="00D82424">
      <w:pPr>
        <w:pStyle w:val="3"/>
        <w:numPr>
          <w:ilvl w:val="0"/>
          <w:numId w:val="24"/>
        </w:numPr>
        <w:spacing w:beforeLines="50" w:before="120" w:afterLines="50" w:after="120" w:line="360" w:lineRule="auto"/>
        <w:ind w:leftChars="100" w:left="720"/>
        <w:jc w:val="both"/>
        <w:rPr>
          <w:rFonts w:ascii="Times New Roman" w:eastAsia="標楷體" w:hAnsi="Times New Roman"/>
          <w:sz w:val="32"/>
          <w:szCs w:val="26"/>
        </w:rPr>
      </w:pPr>
      <w:r w:rsidRPr="00D92058">
        <w:rPr>
          <w:rFonts w:ascii="Times New Roman" w:eastAsia="標楷體" w:hAnsi="Times New Roman" w:hint="eastAsia"/>
          <w:sz w:val="32"/>
          <w:szCs w:val="26"/>
        </w:rPr>
        <w:t>有形資產之移轉</w:t>
      </w:r>
    </w:p>
    <w:p w:rsidR="004C5A82" w:rsidRDefault="003F187F" w:rsidP="00D82424">
      <w:pPr>
        <w:numPr>
          <w:ilvl w:val="1"/>
          <w:numId w:val="24"/>
        </w:numPr>
        <w:tabs>
          <w:tab w:val="left" w:pos="1134"/>
        </w:tabs>
        <w:spacing w:beforeLines="50" w:before="120" w:afterLines="50" w:after="120" w:line="360" w:lineRule="auto"/>
        <w:jc w:val="both"/>
        <w:rPr>
          <w:rFonts w:eastAsia="標楷體"/>
          <w:b/>
          <w:sz w:val="28"/>
          <w:szCs w:val="26"/>
        </w:rPr>
      </w:pPr>
      <w:r w:rsidRPr="00ED5643">
        <w:rPr>
          <w:rFonts w:eastAsia="標楷體" w:hint="eastAsia"/>
          <w:b/>
          <w:sz w:val="28"/>
          <w:szCs w:val="26"/>
        </w:rPr>
        <w:t>銷貨</w:t>
      </w:r>
    </w:p>
    <w:p w:rsidR="004C5A82" w:rsidRDefault="00211437" w:rsidP="00D82424">
      <w:pPr>
        <w:autoSpaceDE w:val="0"/>
        <w:autoSpaceDN w:val="0"/>
        <w:adjustRightInd w:val="0"/>
        <w:spacing w:beforeLines="50" w:before="120" w:line="360" w:lineRule="auto"/>
        <w:ind w:leftChars="300" w:left="720" w:firstLineChars="200" w:firstLine="520"/>
        <w:jc w:val="both"/>
        <w:rPr>
          <w:rFonts w:eastAsia="標楷體"/>
          <w:sz w:val="26"/>
          <w:szCs w:val="26"/>
        </w:rPr>
      </w:pPr>
      <w:r>
        <w:rPr>
          <w:rFonts w:eastAsia="標楷體" w:hint="eastAsia"/>
          <w:sz w:val="26"/>
          <w:szCs w:val="26"/>
        </w:rPr>
        <w:t>105</w:t>
      </w:r>
      <w:r w:rsidR="00DE220A" w:rsidRPr="00D001AF">
        <w:rPr>
          <w:rFonts w:eastAsia="標楷體" w:hint="eastAsia"/>
          <w:sz w:val="26"/>
          <w:szCs w:val="26"/>
        </w:rPr>
        <w:t>年度</w:t>
      </w:r>
      <w:r w:rsidR="00DE220A">
        <w:rPr>
          <w:rFonts w:eastAsia="標楷體" w:hint="eastAsia"/>
          <w:sz w:val="26"/>
          <w:szCs w:val="26"/>
        </w:rPr>
        <w:t>瀚昌公司</w:t>
      </w:r>
      <w:r w:rsidR="00DE220A" w:rsidRPr="00D001AF">
        <w:rPr>
          <w:rFonts w:eastAsia="標楷體" w:hint="eastAsia"/>
          <w:sz w:val="26"/>
          <w:szCs w:val="26"/>
        </w:rPr>
        <w:t>與銷貨</w:t>
      </w:r>
      <w:r w:rsidR="00DE220A" w:rsidRPr="00D001AF">
        <w:rPr>
          <w:rFonts w:eastAsia="標楷體"/>
          <w:sz w:val="26"/>
          <w:szCs w:val="26"/>
        </w:rPr>
        <w:t>有關之</w:t>
      </w:r>
      <w:r w:rsidR="00DE220A" w:rsidRPr="00D001AF">
        <w:rPr>
          <w:rFonts w:eastAsia="標楷體" w:hint="eastAsia"/>
          <w:sz w:val="26"/>
          <w:szCs w:val="26"/>
        </w:rPr>
        <w:t>成本加價率</w:t>
      </w:r>
      <w:r w:rsidR="00DE220A" w:rsidRPr="00D001AF">
        <w:rPr>
          <w:rFonts w:eastAsia="標楷體"/>
          <w:sz w:val="26"/>
          <w:szCs w:val="26"/>
        </w:rPr>
        <w:t>資料</w:t>
      </w:r>
      <w:r w:rsidR="00DE220A" w:rsidRPr="00D001AF">
        <w:rPr>
          <w:rFonts w:eastAsia="標楷體" w:hint="eastAsia"/>
          <w:sz w:val="26"/>
          <w:szCs w:val="26"/>
        </w:rPr>
        <w:t>如下</w:t>
      </w:r>
      <w:r w:rsidR="00DE220A" w:rsidRPr="00D001AF">
        <w:rPr>
          <w:rFonts w:eastAsia="標楷體"/>
          <w:sz w:val="26"/>
          <w:szCs w:val="26"/>
        </w:rPr>
        <w:t>：</w:t>
      </w:r>
    </w:p>
    <w:p w:rsidR="00DE220A" w:rsidRPr="00496F8D" w:rsidRDefault="00DE220A" w:rsidP="00DE220A">
      <w:pPr>
        <w:pStyle w:val="33"/>
        <w:spacing w:line="0" w:lineRule="atLeast"/>
        <w:ind w:rightChars="24" w:right="58"/>
        <w:rPr>
          <w:rFonts w:ascii="新細明體" w:eastAsia="新細明體" w:hAnsi="新細明體"/>
          <w:b/>
          <w:sz w:val="20"/>
          <w:szCs w:val="20"/>
        </w:rPr>
      </w:pPr>
      <w:r>
        <w:rPr>
          <w:rFonts w:hint="eastAsia"/>
          <w:sz w:val="22"/>
          <w:szCs w:val="20"/>
        </w:rPr>
        <w:lastRenderedPageBreak/>
        <w:t xml:space="preserve">                                     </w:t>
      </w:r>
      <w:r w:rsidRPr="00D001AF">
        <w:rPr>
          <w:rFonts w:hint="eastAsia"/>
          <w:sz w:val="22"/>
          <w:szCs w:val="20"/>
        </w:rPr>
        <w:t xml:space="preserve">  </w:t>
      </w:r>
      <w:r w:rsidR="00496F8D">
        <w:rPr>
          <w:rFonts w:hint="eastAsia"/>
          <w:sz w:val="22"/>
          <w:szCs w:val="20"/>
        </w:rPr>
        <w:t xml:space="preserve">  </w:t>
      </w:r>
      <w:r w:rsidR="004B282D">
        <w:rPr>
          <w:rFonts w:hint="eastAsia"/>
          <w:sz w:val="22"/>
          <w:szCs w:val="20"/>
        </w:rPr>
        <w:t xml:space="preserve">  </w:t>
      </w:r>
      <w:r w:rsidR="00496F8D">
        <w:rPr>
          <w:rFonts w:hint="eastAsia"/>
          <w:sz w:val="22"/>
          <w:szCs w:val="20"/>
        </w:rPr>
        <w:t xml:space="preserve"> </w:t>
      </w:r>
      <w:r w:rsidRPr="00496F8D">
        <w:rPr>
          <w:rFonts w:ascii="新細明體" w:eastAsia="新細明體" w:hAnsi="新細明體"/>
          <w:sz w:val="20"/>
          <w:szCs w:val="20"/>
        </w:rPr>
        <w:t>單位：新台幣元</w:t>
      </w:r>
    </w:p>
    <w:tbl>
      <w:tblPr>
        <w:tblW w:w="4049" w:type="dxa"/>
        <w:jc w:val="center"/>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929"/>
        <w:gridCol w:w="2120"/>
      </w:tblGrid>
      <w:tr w:rsidR="00DE220A" w:rsidRPr="00BB4352" w:rsidTr="00352958">
        <w:trPr>
          <w:trHeight w:val="493"/>
          <w:jc w:val="center"/>
        </w:trPr>
        <w:tc>
          <w:tcPr>
            <w:tcW w:w="1929" w:type="dxa"/>
            <w:tcBorders>
              <w:bottom w:val="double" w:sz="4" w:space="0" w:color="auto"/>
            </w:tcBorders>
            <w:shd w:val="clear" w:color="auto" w:fill="4F81BD"/>
            <w:vAlign w:val="center"/>
          </w:tcPr>
          <w:p w:rsidR="00DE220A" w:rsidRPr="00BB4352" w:rsidRDefault="00DE220A" w:rsidP="00403BF7">
            <w:pPr>
              <w:jc w:val="center"/>
              <w:rPr>
                <w:rFonts w:eastAsia="標楷體" w:cs="新細明體"/>
                <w:bCs/>
                <w:color w:val="FFFFFF"/>
                <w:sz w:val="26"/>
                <w:szCs w:val="26"/>
              </w:rPr>
            </w:pPr>
            <w:bookmarkStart w:id="130" w:name="OLE_LINK3"/>
            <w:r w:rsidRPr="00BB4352">
              <w:rPr>
                <w:rFonts w:eastAsia="標楷體" w:hint="eastAsia"/>
                <w:bCs/>
                <w:color w:val="FFFFFF"/>
                <w:sz w:val="26"/>
                <w:szCs w:val="26"/>
              </w:rPr>
              <w:t>損益科目</w:t>
            </w:r>
          </w:p>
        </w:tc>
        <w:tc>
          <w:tcPr>
            <w:tcW w:w="2120" w:type="dxa"/>
            <w:tcBorders>
              <w:bottom w:val="double" w:sz="4" w:space="0" w:color="auto"/>
            </w:tcBorders>
            <w:shd w:val="clear" w:color="auto" w:fill="4F81BD"/>
            <w:vAlign w:val="center"/>
          </w:tcPr>
          <w:p w:rsidR="00DE220A" w:rsidRPr="00BB4352" w:rsidRDefault="00211437" w:rsidP="00540533">
            <w:pPr>
              <w:jc w:val="center"/>
              <w:rPr>
                <w:rFonts w:eastAsia="標楷體"/>
                <w:bCs/>
                <w:color w:val="FFFFFF"/>
                <w:sz w:val="26"/>
                <w:szCs w:val="26"/>
              </w:rPr>
            </w:pPr>
            <w:r>
              <w:rPr>
                <w:rFonts w:eastAsia="標楷體" w:hint="eastAsia"/>
                <w:bCs/>
                <w:color w:val="FFFFFF"/>
                <w:sz w:val="26"/>
                <w:szCs w:val="26"/>
              </w:rPr>
              <w:t>105</w:t>
            </w:r>
            <w:r w:rsidR="00DE220A" w:rsidRPr="00BB4352">
              <w:rPr>
                <w:rFonts w:eastAsia="標楷體" w:hint="eastAsia"/>
                <w:bCs/>
                <w:color w:val="FFFFFF"/>
                <w:sz w:val="26"/>
                <w:szCs w:val="26"/>
              </w:rPr>
              <w:t>年度</w:t>
            </w:r>
          </w:p>
        </w:tc>
      </w:tr>
      <w:tr w:rsidR="00DE220A" w:rsidRPr="00BB4352" w:rsidTr="00352958">
        <w:trPr>
          <w:trHeight w:val="597"/>
          <w:jc w:val="center"/>
        </w:trPr>
        <w:tc>
          <w:tcPr>
            <w:tcW w:w="1929" w:type="dxa"/>
            <w:tcBorders>
              <w:top w:val="double" w:sz="4" w:space="0" w:color="auto"/>
            </w:tcBorders>
            <w:vAlign w:val="center"/>
          </w:tcPr>
          <w:p w:rsidR="004C5A82" w:rsidRDefault="00DE220A" w:rsidP="00D82424">
            <w:pPr>
              <w:spacing w:beforeLines="50" w:before="120" w:afterLines="50" w:after="120"/>
              <w:jc w:val="center"/>
              <w:rPr>
                <w:rFonts w:eastAsia="標楷體" w:cs="新細明體"/>
                <w:sz w:val="26"/>
                <w:szCs w:val="26"/>
              </w:rPr>
            </w:pPr>
            <w:r w:rsidRPr="00BB4352">
              <w:rPr>
                <w:rFonts w:eastAsia="標楷體" w:hint="eastAsia"/>
                <w:sz w:val="26"/>
                <w:szCs w:val="26"/>
              </w:rPr>
              <w:t>營收淨額</w:t>
            </w:r>
          </w:p>
        </w:tc>
        <w:tc>
          <w:tcPr>
            <w:tcW w:w="2120" w:type="dxa"/>
            <w:tcBorders>
              <w:top w:val="double" w:sz="4" w:space="0" w:color="auto"/>
            </w:tcBorders>
            <w:vAlign w:val="center"/>
          </w:tcPr>
          <w:p w:rsidR="004C5A82" w:rsidRDefault="00A70BCB" w:rsidP="00D82424">
            <w:pPr>
              <w:spacing w:beforeLines="50" w:before="120" w:afterLines="50" w:after="120"/>
              <w:jc w:val="right"/>
              <w:rPr>
                <w:rFonts w:eastAsia="標楷體"/>
                <w:sz w:val="26"/>
                <w:szCs w:val="26"/>
              </w:rPr>
            </w:pPr>
            <w:r>
              <w:rPr>
                <w:rFonts w:eastAsia="標楷體" w:hint="eastAsia"/>
                <w:bCs/>
                <w:kern w:val="0"/>
                <w:sz w:val="26"/>
                <w:szCs w:val="26"/>
              </w:rPr>
              <w:t>233,485,250</w:t>
            </w:r>
          </w:p>
        </w:tc>
      </w:tr>
      <w:tr w:rsidR="00DE220A" w:rsidRPr="00BB4352" w:rsidTr="00352958">
        <w:trPr>
          <w:trHeight w:val="373"/>
          <w:jc w:val="center"/>
        </w:trPr>
        <w:tc>
          <w:tcPr>
            <w:tcW w:w="1929" w:type="dxa"/>
            <w:vAlign w:val="center"/>
          </w:tcPr>
          <w:p w:rsidR="004C5A82" w:rsidRDefault="00DE220A" w:rsidP="00D82424">
            <w:pPr>
              <w:spacing w:beforeLines="50" w:before="120" w:afterLines="50" w:after="120"/>
              <w:jc w:val="center"/>
              <w:rPr>
                <w:rFonts w:eastAsia="標楷體" w:cs="新細明體"/>
                <w:sz w:val="26"/>
                <w:szCs w:val="26"/>
              </w:rPr>
            </w:pPr>
            <w:r w:rsidRPr="00BB4352">
              <w:rPr>
                <w:rFonts w:eastAsia="標楷體" w:hint="eastAsia"/>
                <w:sz w:val="26"/>
                <w:szCs w:val="26"/>
              </w:rPr>
              <w:t>營業成本</w:t>
            </w:r>
          </w:p>
        </w:tc>
        <w:tc>
          <w:tcPr>
            <w:tcW w:w="2120" w:type="dxa"/>
            <w:vAlign w:val="center"/>
          </w:tcPr>
          <w:p w:rsidR="004C5A82" w:rsidRDefault="00A70BCB" w:rsidP="00D82424">
            <w:pPr>
              <w:spacing w:beforeLines="50" w:before="120" w:afterLines="50" w:after="120"/>
              <w:jc w:val="right"/>
              <w:rPr>
                <w:rFonts w:eastAsia="標楷體"/>
                <w:sz w:val="26"/>
                <w:szCs w:val="26"/>
              </w:rPr>
            </w:pPr>
            <w:r>
              <w:rPr>
                <w:rFonts w:eastAsia="標楷體" w:hint="eastAsia"/>
                <w:sz w:val="26"/>
                <w:szCs w:val="26"/>
              </w:rPr>
              <w:t>211</w:t>
            </w:r>
            <w:r>
              <w:rPr>
                <w:rFonts w:eastAsia="標楷體" w:hint="eastAsia"/>
                <w:bCs/>
                <w:kern w:val="0"/>
                <w:sz w:val="26"/>
                <w:szCs w:val="26"/>
              </w:rPr>
              <w:t>,</w:t>
            </w:r>
            <w:r>
              <w:rPr>
                <w:rFonts w:eastAsia="標楷體" w:hint="eastAsia"/>
                <w:sz w:val="26"/>
                <w:szCs w:val="26"/>
              </w:rPr>
              <w:t>563</w:t>
            </w:r>
            <w:r>
              <w:rPr>
                <w:rFonts w:eastAsia="標楷體" w:hint="eastAsia"/>
                <w:bCs/>
                <w:kern w:val="0"/>
                <w:sz w:val="26"/>
                <w:szCs w:val="26"/>
              </w:rPr>
              <w:t>,</w:t>
            </w:r>
            <w:r>
              <w:rPr>
                <w:rFonts w:eastAsia="標楷體" w:hint="eastAsia"/>
                <w:sz w:val="26"/>
                <w:szCs w:val="26"/>
              </w:rPr>
              <w:t>239</w:t>
            </w:r>
          </w:p>
        </w:tc>
      </w:tr>
      <w:tr w:rsidR="00DE220A" w:rsidRPr="00BB4352" w:rsidTr="00352958">
        <w:trPr>
          <w:trHeight w:val="373"/>
          <w:jc w:val="center"/>
        </w:trPr>
        <w:tc>
          <w:tcPr>
            <w:tcW w:w="1929" w:type="dxa"/>
            <w:vAlign w:val="center"/>
          </w:tcPr>
          <w:p w:rsidR="004C5A82" w:rsidRDefault="00DE220A" w:rsidP="00D82424">
            <w:pPr>
              <w:spacing w:beforeLines="50" w:before="120" w:afterLines="50" w:after="120"/>
              <w:jc w:val="center"/>
              <w:rPr>
                <w:rFonts w:eastAsia="標楷體" w:cs="新細明體"/>
                <w:sz w:val="26"/>
                <w:szCs w:val="26"/>
              </w:rPr>
            </w:pPr>
            <w:r w:rsidRPr="00BB4352">
              <w:rPr>
                <w:rFonts w:eastAsia="標楷體" w:hint="eastAsia"/>
                <w:sz w:val="26"/>
                <w:szCs w:val="26"/>
              </w:rPr>
              <w:t>營業毛利</w:t>
            </w:r>
          </w:p>
        </w:tc>
        <w:tc>
          <w:tcPr>
            <w:tcW w:w="2120" w:type="dxa"/>
            <w:vAlign w:val="center"/>
          </w:tcPr>
          <w:p w:rsidR="004C5A82" w:rsidRDefault="00A70BCB" w:rsidP="00D82424">
            <w:pPr>
              <w:spacing w:beforeLines="50" w:before="120" w:afterLines="50" w:after="120"/>
              <w:jc w:val="right"/>
              <w:rPr>
                <w:rFonts w:eastAsia="標楷體"/>
                <w:sz w:val="26"/>
                <w:szCs w:val="26"/>
              </w:rPr>
            </w:pPr>
            <w:r>
              <w:rPr>
                <w:rFonts w:eastAsia="標楷體" w:hint="eastAsia"/>
                <w:sz w:val="26"/>
                <w:szCs w:val="26"/>
              </w:rPr>
              <w:t>21</w:t>
            </w:r>
            <w:r>
              <w:rPr>
                <w:rFonts w:eastAsia="標楷體" w:hint="eastAsia"/>
                <w:bCs/>
                <w:kern w:val="0"/>
                <w:sz w:val="26"/>
                <w:szCs w:val="26"/>
              </w:rPr>
              <w:t>,</w:t>
            </w:r>
            <w:r>
              <w:rPr>
                <w:rFonts w:eastAsia="標楷體" w:hint="eastAsia"/>
                <w:sz w:val="26"/>
                <w:szCs w:val="26"/>
              </w:rPr>
              <w:t>922</w:t>
            </w:r>
            <w:r>
              <w:rPr>
                <w:rFonts w:eastAsia="標楷體" w:hint="eastAsia"/>
                <w:bCs/>
                <w:kern w:val="0"/>
                <w:sz w:val="26"/>
                <w:szCs w:val="26"/>
              </w:rPr>
              <w:t>,</w:t>
            </w:r>
            <w:r>
              <w:rPr>
                <w:rFonts w:eastAsia="標楷體" w:hint="eastAsia"/>
                <w:sz w:val="26"/>
                <w:szCs w:val="26"/>
              </w:rPr>
              <w:t>011</w:t>
            </w:r>
          </w:p>
        </w:tc>
      </w:tr>
      <w:tr w:rsidR="00DE220A" w:rsidRPr="00DE220A" w:rsidTr="00352958">
        <w:trPr>
          <w:jc w:val="center"/>
        </w:trPr>
        <w:tc>
          <w:tcPr>
            <w:tcW w:w="1929" w:type="dxa"/>
            <w:vAlign w:val="center"/>
          </w:tcPr>
          <w:p w:rsidR="004C5A82" w:rsidRDefault="00DE220A" w:rsidP="00D82424">
            <w:pPr>
              <w:spacing w:beforeLines="50" w:before="120" w:afterLines="50" w:after="120"/>
              <w:jc w:val="center"/>
              <w:rPr>
                <w:rFonts w:eastAsia="標楷體" w:cs="新細明體"/>
                <w:sz w:val="26"/>
                <w:szCs w:val="26"/>
              </w:rPr>
            </w:pPr>
            <w:r>
              <w:rPr>
                <w:rFonts w:eastAsia="標楷體" w:hint="eastAsia"/>
                <w:sz w:val="26"/>
                <w:szCs w:val="26"/>
              </w:rPr>
              <w:t>成本加價率</w:t>
            </w:r>
            <w:r>
              <w:rPr>
                <w:rStyle w:val="af2"/>
                <w:rFonts w:eastAsia="標楷體"/>
                <w:sz w:val="26"/>
                <w:szCs w:val="26"/>
              </w:rPr>
              <w:footnoteReference w:id="8"/>
            </w:r>
          </w:p>
        </w:tc>
        <w:tc>
          <w:tcPr>
            <w:tcW w:w="2120" w:type="dxa"/>
            <w:vAlign w:val="center"/>
          </w:tcPr>
          <w:p w:rsidR="004C5A82" w:rsidRDefault="00A70BCB" w:rsidP="00D82424">
            <w:pPr>
              <w:spacing w:beforeLines="50" w:before="120" w:afterLines="50" w:after="120"/>
              <w:jc w:val="right"/>
              <w:rPr>
                <w:rFonts w:eastAsia="標楷體"/>
                <w:sz w:val="26"/>
                <w:szCs w:val="26"/>
              </w:rPr>
            </w:pPr>
            <w:r>
              <w:rPr>
                <w:rFonts w:eastAsia="標楷體" w:hint="eastAsia"/>
                <w:sz w:val="26"/>
                <w:szCs w:val="26"/>
              </w:rPr>
              <w:t>10.36</w:t>
            </w:r>
            <w:r w:rsidR="00352958">
              <w:rPr>
                <w:rFonts w:eastAsia="標楷體" w:hint="eastAsia"/>
                <w:sz w:val="26"/>
                <w:szCs w:val="26"/>
              </w:rPr>
              <w:t>%</w:t>
            </w:r>
          </w:p>
        </w:tc>
      </w:tr>
    </w:tbl>
    <w:bookmarkEnd w:id="130"/>
    <w:p w:rsidR="004C5A82" w:rsidRDefault="00DE220A" w:rsidP="00D82424">
      <w:pPr>
        <w:pStyle w:val="2"/>
        <w:numPr>
          <w:ilvl w:val="1"/>
          <w:numId w:val="19"/>
        </w:numPr>
        <w:tabs>
          <w:tab w:val="left" w:pos="756"/>
        </w:tabs>
        <w:spacing w:beforeLines="100" w:before="240" w:afterLines="50" w:after="12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評估受控交易</w:t>
      </w:r>
      <w:r w:rsidRPr="00EA272E">
        <w:rPr>
          <w:rFonts w:ascii="Times New Roman" w:eastAsia="標楷體" w:hAnsi="Times New Roman" w:hint="eastAsia"/>
          <w:sz w:val="36"/>
          <w:szCs w:val="40"/>
        </w:rPr>
        <w:t>之常規交易</w:t>
      </w:r>
      <w:r w:rsidRPr="00EA272E">
        <w:rPr>
          <w:rFonts w:ascii="Times New Roman" w:eastAsia="標楷體" w:hAnsi="Times New Roman"/>
          <w:sz w:val="36"/>
          <w:szCs w:val="40"/>
        </w:rPr>
        <w:t>結果</w:t>
      </w:r>
    </w:p>
    <w:p w:rsidR="004C5A82" w:rsidRDefault="00DE220A" w:rsidP="00D82424">
      <w:pPr>
        <w:pStyle w:val="3"/>
        <w:numPr>
          <w:ilvl w:val="1"/>
          <w:numId w:val="25"/>
        </w:numPr>
        <w:spacing w:beforeLines="50" w:before="120" w:afterLines="50" w:after="120" w:line="360" w:lineRule="auto"/>
        <w:jc w:val="both"/>
        <w:rPr>
          <w:rFonts w:ascii="Times New Roman" w:eastAsia="標楷體" w:hAnsi="Times New Roman"/>
          <w:sz w:val="32"/>
          <w:szCs w:val="26"/>
        </w:rPr>
      </w:pPr>
      <w:r w:rsidRPr="00D92058">
        <w:rPr>
          <w:rFonts w:ascii="Times New Roman" w:eastAsia="標楷體" w:hAnsi="Times New Roman" w:hint="eastAsia"/>
          <w:sz w:val="32"/>
          <w:szCs w:val="26"/>
        </w:rPr>
        <w:t>有形資產之移轉</w:t>
      </w:r>
      <w:r w:rsidR="00D809C8" w:rsidRPr="003E7AE3">
        <w:rPr>
          <w:rFonts w:ascii="Times New Roman" w:eastAsia="標楷體" w:hAnsi="Times New Roman"/>
          <w:sz w:val="32"/>
          <w:szCs w:val="26"/>
        </w:rPr>
        <w:t>—</w:t>
      </w:r>
      <w:r w:rsidR="00D809C8" w:rsidRPr="003E7AE3">
        <w:rPr>
          <w:rFonts w:eastAsia="標楷體" w:hint="eastAsia"/>
          <w:sz w:val="28"/>
          <w:szCs w:val="26"/>
        </w:rPr>
        <w:t>銷貨</w:t>
      </w:r>
    </w:p>
    <w:p w:rsidR="004C5A82" w:rsidRDefault="00DE220A" w:rsidP="00D82424">
      <w:pPr>
        <w:spacing w:beforeLines="50" w:before="120" w:afterLines="50" w:after="120" w:line="360" w:lineRule="auto"/>
        <w:ind w:leftChars="300" w:left="720" w:firstLineChars="200" w:firstLine="520"/>
        <w:jc w:val="both"/>
        <w:rPr>
          <w:rFonts w:eastAsia="標楷體"/>
          <w:sz w:val="26"/>
          <w:szCs w:val="26"/>
        </w:rPr>
      </w:pPr>
      <w:r w:rsidRPr="0009496F">
        <w:rPr>
          <w:rFonts w:eastAsia="標楷體" w:hint="eastAsia"/>
          <w:sz w:val="26"/>
          <w:szCs w:val="26"/>
        </w:rPr>
        <w:t>瀚昌公司</w:t>
      </w:r>
      <w:r w:rsidR="00211437">
        <w:rPr>
          <w:rFonts w:eastAsia="標楷體" w:hint="eastAsia"/>
          <w:sz w:val="26"/>
          <w:szCs w:val="26"/>
        </w:rPr>
        <w:t>105</w:t>
      </w:r>
      <w:r w:rsidR="0024479C">
        <w:rPr>
          <w:rFonts w:eastAsia="標楷體" w:hint="eastAsia"/>
          <w:sz w:val="26"/>
          <w:szCs w:val="26"/>
        </w:rPr>
        <w:t>會計</w:t>
      </w:r>
      <w:r w:rsidRPr="0009496F">
        <w:rPr>
          <w:rFonts w:eastAsia="標楷體" w:hint="eastAsia"/>
          <w:sz w:val="26"/>
          <w:szCs w:val="26"/>
        </w:rPr>
        <w:t>年度銷貨予</w:t>
      </w:r>
      <w:r w:rsidRPr="0009496F">
        <w:rPr>
          <w:rFonts w:eastAsia="標楷體" w:hint="eastAsia"/>
          <w:sz w:val="26"/>
          <w:szCs w:val="26"/>
        </w:rPr>
        <w:t>PT</w:t>
      </w:r>
      <w:r>
        <w:rPr>
          <w:rFonts w:eastAsia="標楷體" w:hint="eastAsia"/>
          <w:sz w:val="26"/>
          <w:szCs w:val="26"/>
        </w:rPr>
        <w:t>之</w:t>
      </w:r>
      <w:r w:rsidRPr="0009496F">
        <w:rPr>
          <w:rFonts w:eastAsia="標楷體" w:hint="eastAsia"/>
          <w:sz w:val="26"/>
          <w:szCs w:val="26"/>
        </w:rPr>
        <w:t>成本加價率</w:t>
      </w:r>
      <w:r>
        <w:rPr>
          <w:rFonts w:eastAsia="標楷體" w:hint="eastAsia"/>
          <w:sz w:val="26"/>
          <w:szCs w:val="26"/>
        </w:rPr>
        <w:t>為</w:t>
      </w:r>
      <w:r w:rsidR="00352958">
        <w:rPr>
          <w:rFonts w:eastAsia="標楷體" w:hint="eastAsia"/>
          <w:sz w:val="26"/>
          <w:szCs w:val="26"/>
        </w:rPr>
        <w:t>10</w:t>
      </w:r>
      <w:r w:rsidR="00A45C68">
        <w:rPr>
          <w:rFonts w:eastAsia="標楷體" w:hint="eastAsia"/>
          <w:sz w:val="26"/>
          <w:szCs w:val="26"/>
        </w:rPr>
        <w:t>.</w:t>
      </w:r>
      <w:r w:rsidR="00A70BCB">
        <w:rPr>
          <w:rFonts w:eastAsia="標楷體" w:hint="eastAsia"/>
          <w:sz w:val="26"/>
          <w:szCs w:val="26"/>
        </w:rPr>
        <w:t>36</w:t>
      </w:r>
      <w:r w:rsidR="00A45C68">
        <w:rPr>
          <w:rFonts w:eastAsia="標楷體" w:hint="eastAsia"/>
          <w:sz w:val="26"/>
          <w:szCs w:val="26"/>
        </w:rPr>
        <w:t>%</w:t>
      </w:r>
      <w:r w:rsidRPr="00AF6AF1">
        <w:rPr>
          <w:rFonts w:eastAsia="標楷體" w:hint="eastAsia"/>
          <w:sz w:val="26"/>
          <w:szCs w:val="26"/>
        </w:rPr>
        <w:t>，</w:t>
      </w:r>
      <w:r w:rsidR="002D1908">
        <w:rPr>
          <w:rFonts w:eastAsia="標楷體" w:hint="eastAsia"/>
          <w:sz w:val="26"/>
          <w:szCs w:val="26"/>
        </w:rPr>
        <w:t>落</w:t>
      </w:r>
      <w:r w:rsidR="002D1908" w:rsidRPr="003D6CCD">
        <w:rPr>
          <w:rFonts w:eastAsia="標楷體" w:hint="eastAsia"/>
          <w:sz w:val="26"/>
          <w:szCs w:val="26"/>
        </w:rPr>
        <w:t>於</w:t>
      </w:r>
      <w:r w:rsidR="00245BD4">
        <w:rPr>
          <w:rFonts w:eastAsia="標楷體" w:hint="eastAsia"/>
          <w:sz w:val="26"/>
          <w:szCs w:val="26"/>
        </w:rPr>
        <w:t>ONESOURCE</w:t>
      </w:r>
      <w:r w:rsidR="00245BD4">
        <w:rPr>
          <w:rFonts w:eastAsia="標楷體" w:hint="eastAsia"/>
          <w:sz w:val="26"/>
          <w:szCs w:val="26"/>
        </w:rPr>
        <w:t>資料庫</w:t>
      </w:r>
      <w:r w:rsidR="002D1908" w:rsidRPr="003D6CCD">
        <w:rPr>
          <w:rFonts w:eastAsia="標楷體" w:hint="eastAsia"/>
          <w:sz w:val="26"/>
          <w:szCs w:val="26"/>
        </w:rPr>
        <w:t>所選可比較對象經資本性調整後之常規交易範圍</w:t>
      </w:r>
      <w:bookmarkStart w:id="131" w:name="OLE_LINK2"/>
      <w:r w:rsidR="00D847CE">
        <w:rPr>
          <w:rFonts w:eastAsia="標楷體" w:hint="eastAsia"/>
          <w:sz w:val="26"/>
          <w:szCs w:val="26"/>
        </w:rPr>
        <w:t>9.</w:t>
      </w:r>
      <w:r w:rsidR="00E402DA">
        <w:rPr>
          <w:rFonts w:eastAsia="標楷體" w:hint="eastAsia"/>
          <w:sz w:val="26"/>
          <w:szCs w:val="26"/>
        </w:rPr>
        <w:t>2</w:t>
      </w:r>
      <w:r w:rsidR="00D847CE">
        <w:rPr>
          <w:rFonts w:eastAsia="標楷體" w:hint="eastAsia"/>
          <w:sz w:val="26"/>
          <w:szCs w:val="26"/>
        </w:rPr>
        <w:t>7</w:t>
      </w:r>
      <w:r w:rsidRPr="005C42D7">
        <w:rPr>
          <w:rFonts w:eastAsia="標楷體" w:hint="eastAsia"/>
          <w:sz w:val="26"/>
          <w:szCs w:val="26"/>
        </w:rPr>
        <w:t>%</w:t>
      </w:r>
      <w:r w:rsidRPr="005C42D7">
        <w:rPr>
          <w:rFonts w:eastAsia="標楷體" w:hint="eastAsia"/>
          <w:sz w:val="26"/>
          <w:szCs w:val="26"/>
        </w:rPr>
        <w:t>～</w:t>
      </w:r>
      <w:r w:rsidR="00D847CE">
        <w:rPr>
          <w:rFonts w:eastAsia="標楷體" w:hint="eastAsia"/>
          <w:sz w:val="26"/>
          <w:szCs w:val="26"/>
        </w:rPr>
        <w:t>2</w:t>
      </w:r>
      <w:r w:rsidR="005D0C58">
        <w:rPr>
          <w:rFonts w:eastAsia="標楷體" w:hint="eastAsia"/>
          <w:sz w:val="26"/>
          <w:szCs w:val="26"/>
        </w:rPr>
        <w:t>4</w:t>
      </w:r>
      <w:r w:rsidR="00D847CE">
        <w:rPr>
          <w:rFonts w:eastAsia="標楷體" w:hint="eastAsia"/>
          <w:sz w:val="26"/>
          <w:szCs w:val="26"/>
        </w:rPr>
        <w:t>.</w:t>
      </w:r>
      <w:r w:rsidR="005D0C58">
        <w:rPr>
          <w:rFonts w:eastAsia="標楷體" w:hint="eastAsia"/>
          <w:sz w:val="26"/>
          <w:szCs w:val="26"/>
        </w:rPr>
        <w:t>1</w:t>
      </w:r>
      <w:r w:rsidR="00D847CE">
        <w:rPr>
          <w:rFonts w:eastAsia="標楷體" w:hint="eastAsia"/>
          <w:sz w:val="26"/>
          <w:szCs w:val="26"/>
        </w:rPr>
        <w:t>2</w:t>
      </w:r>
      <w:r w:rsidRPr="005C42D7">
        <w:rPr>
          <w:rFonts w:eastAsia="標楷體" w:hint="eastAsia"/>
          <w:sz w:val="26"/>
          <w:szCs w:val="26"/>
        </w:rPr>
        <w:t>%</w:t>
      </w:r>
      <w:bookmarkEnd w:id="131"/>
      <w:r w:rsidRPr="00A72A6F">
        <w:rPr>
          <w:rFonts w:eastAsia="標楷體" w:hint="eastAsia"/>
          <w:sz w:val="26"/>
          <w:szCs w:val="26"/>
        </w:rPr>
        <w:t>內</w:t>
      </w:r>
      <w:r w:rsidRPr="0009496F">
        <w:rPr>
          <w:rFonts w:eastAsia="標楷體" w:hint="eastAsia"/>
          <w:sz w:val="26"/>
          <w:szCs w:val="26"/>
        </w:rPr>
        <w:t>，</w:t>
      </w:r>
      <w:r w:rsidR="002D1908" w:rsidRPr="003D6CCD">
        <w:rPr>
          <w:rFonts w:eastAsia="標楷體" w:hint="eastAsia"/>
          <w:sz w:val="26"/>
          <w:szCs w:val="26"/>
        </w:rPr>
        <w:t>亦</w:t>
      </w:r>
      <w:r w:rsidR="002D1908">
        <w:rPr>
          <w:rFonts w:eastAsia="標楷體" w:hint="eastAsia"/>
          <w:sz w:val="26"/>
          <w:szCs w:val="26"/>
        </w:rPr>
        <w:t>落</w:t>
      </w:r>
      <w:r w:rsidR="002D1908" w:rsidRPr="003D6CCD">
        <w:rPr>
          <w:rFonts w:eastAsia="標楷體" w:hint="eastAsia"/>
          <w:sz w:val="26"/>
          <w:szCs w:val="26"/>
        </w:rPr>
        <w:t>於</w:t>
      </w:r>
      <w:r w:rsidR="001F2BFF" w:rsidRPr="001F2BFF">
        <w:rPr>
          <w:rFonts w:eastAsia="標楷體" w:hint="eastAsia"/>
          <w:sz w:val="26"/>
          <w:szCs w:val="26"/>
        </w:rPr>
        <w:t>主要行業財務比率刊冊所選可比較對象常規交易範圍</w:t>
      </w:r>
      <w:r w:rsidR="000C0FCD">
        <w:rPr>
          <w:rFonts w:eastAsia="標楷體"/>
          <w:sz w:val="26"/>
          <w:szCs w:val="26"/>
        </w:rPr>
        <w:t>8.</w:t>
      </w:r>
      <w:r w:rsidR="000C0FCD">
        <w:rPr>
          <w:rFonts w:eastAsia="標楷體" w:hint="eastAsia"/>
          <w:sz w:val="26"/>
          <w:szCs w:val="26"/>
        </w:rPr>
        <w:t>62</w:t>
      </w:r>
      <w:r w:rsidR="001F2BFF" w:rsidRPr="001F2BFF">
        <w:rPr>
          <w:rFonts w:eastAsia="標楷體"/>
          <w:sz w:val="26"/>
          <w:szCs w:val="26"/>
        </w:rPr>
        <w:t>%</w:t>
      </w:r>
      <w:r w:rsidR="001F2BFF" w:rsidRPr="001F2BFF">
        <w:rPr>
          <w:rFonts w:eastAsia="標楷體" w:hint="eastAsia"/>
          <w:sz w:val="26"/>
          <w:szCs w:val="26"/>
        </w:rPr>
        <w:t>～</w:t>
      </w:r>
      <w:r w:rsidR="000C0FCD">
        <w:rPr>
          <w:rFonts w:eastAsia="標楷體"/>
          <w:sz w:val="26"/>
          <w:szCs w:val="26"/>
        </w:rPr>
        <w:t>2</w:t>
      </w:r>
      <w:r w:rsidR="000C0FCD">
        <w:rPr>
          <w:rFonts w:eastAsia="標楷體" w:hint="eastAsia"/>
          <w:sz w:val="26"/>
          <w:szCs w:val="26"/>
        </w:rPr>
        <w:t>4</w:t>
      </w:r>
      <w:r w:rsidR="000C0FCD">
        <w:rPr>
          <w:rFonts w:eastAsia="標楷體"/>
          <w:sz w:val="26"/>
          <w:szCs w:val="26"/>
        </w:rPr>
        <w:t>.</w:t>
      </w:r>
      <w:r w:rsidR="000C0FCD">
        <w:rPr>
          <w:rFonts w:eastAsia="標楷體" w:hint="eastAsia"/>
          <w:sz w:val="26"/>
          <w:szCs w:val="26"/>
        </w:rPr>
        <w:t>86</w:t>
      </w:r>
      <w:r w:rsidR="001F2BFF" w:rsidRPr="001F2BFF">
        <w:rPr>
          <w:rFonts w:eastAsia="標楷體"/>
          <w:sz w:val="26"/>
          <w:szCs w:val="26"/>
        </w:rPr>
        <w:t>%</w:t>
      </w:r>
      <w:r w:rsidR="002D1908" w:rsidRPr="002604B7">
        <w:rPr>
          <w:rFonts w:eastAsia="標楷體" w:hint="eastAsia"/>
          <w:sz w:val="26"/>
          <w:szCs w:val="26"/>
        </w:rPr>
        <w:t>內，</w:t>
      </w:r>
      <w:r w:rsidR="001F2BFF">
        <w:rPr>
          <w:rFonts w:eastAsia="標楷體" w:hint="eastAsia"/>
          <w:sz w:val="26"/>
          <w:szCs w:val="26"/>
        </w:rPr>
        <w:t>推論瀚昌</w:t>
      </w:r>
      <w:r w:rsidRPr="0009496F">
        <w:rPr>
          <w:rFonts w:eastAsia="標楷體" w:hint="eastAsia"/>
          <w:sz w:val="26"/>
          <w:szCs w:val="26"/>
        </w:rPr>
        <w:t>公司</w:t>
      </w:r>
      <w:r w:rsidR="00211437">
        <w:rPr>
          <w:rFonts w:eastAsia="標楷體" w:hint="eastAsia"/>
          <w:sz w:val="26"/>
          <w:szCs w:val="26"/>
        </w:rPr>
        <w:t>105</w:t>
      </w:r>
      <w:r w:rsidR="00BD1BFB">
        <w:rPr>
          <w:rFonts w:eastAsia="標楷體" w:hint="eastAsia"/>
          <w:sz w:val="26"/>
          <w:szCs w:val="26"/>
        </w:rPr>
        <w:t>會計</w:t>
      </w:r>
      <w:r w:rsidRPr="0009496F">
        <w:rPr>
          <w:rFonts w:eastAsia="標楷體" w:hint="eastAsia"/>
          <w:sz w:val="26"/>
          <w:szCs w:val="26"/>
        </w:rPr>
        <w:t>年度該受控交易之移轉訂價符合常規。</w:t>
      </w:r>
    </w:p>
    <w:p w:rsidR="004C5A82" w:rsidRDefault="004C5A82" w:rsidP="00D82424">
      <w:pPr>
        <w:spacing w:beforeLines="50" w:before="120" w:afterLines="50" w:after="120" w:line="360" w:lineRule="auto"/>
        <w:jc w:val="both"/>
        <w:rPr>
          <w:rFonts w:eastAsia="標楷體"/>
          <w:sz w:val="26"/>
          <w:szCs w:val="26"/>
        </w:rPr>
      </w:pPr>
    </w:p>
    <w:p w:rsidR="00F9092E" w:rsidRPr="0068427C" w:rsidRDefault="00F9092E" w:rsidP="00D82424">
      <w:pPr>
        <w:tabs>
          <w:tab w:val="left" w:pos="1134"/>
        </w:tabs>
        <w:spacing w:beforeLines="50" w:before="120" w:afterLines="50" w:after="120" w:line="360" w:lineRule="auto"/>
        <w:jc w:val="both"/>
        <w:rPr>
          <w:rFonts w:eastAsia="標楷體"/>
          <w:b/>
          <w:sz w:val="28"/>
          <w:szCs w:val="26"/>
        </w:rPr>
        <w:sectPr w:rsidR="00F9092E" w:rsidRPr="0068427C" w:rsidSect="00DD5AB2">
          <w:type w:val="oddPage"/>
          <w:pgSz w:w="11906" w:h="16838" w:code="9"/>
          <w:pgMar w:top="2160" w:right="1440" w:bottom="1814" w:left="1440" w:header="851" w:footer="567" w:gutter="567"/>
          <w:cols w:space="425"/>
          <w:docGrid w:linePitch="360"/>
        </w:sectPr>
      </w:pPr>
    </w:p>
    <w:bookmarkStart w:id="132" w:name="_Toc253154521"/>
    <w:bookmarkStart w:id="133" w:name="_Toc253154589"/>
    <w:bookmarkStart w:id="134" w:name="_Toc272326020"/>
    <w:bookmarkStart w:id="135" w:name="_Toc272326648"/>
    <w:bookmarkStart w:id="136" w:name="_Toc272326827"/>
    <w:bookmarkStart w:id="137" w:name="_Toc275960660"/>
    <w:bookmarkStart w:id="138" w:name="_Toc449536309"/>
    <w:p w:rsidR="00EC5E5A" w:rsidRPr="00EA272E" w:rsidRDefault="00A63CF7"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0800" behindDoc="0" locked="0" layoutInCell="1" allowOverlap="1">
                <wp:simplePos x="0" y="0"/>
                <wp:positionH relativeFrom="column">
                  <wp:posOffset>4667250</wp:posOffset>
                </wp:positionH>
                <wp:positionV relativeFrom="paragraph">
                  <wp:posOffset>0</wp:posOffset>
                </wp:positionV>
                <wp:extent cx="720090" cy="720090"/>
                <wp:effectExtent l="7620" t="9525" r="5715" b="13335"/>
                <wp:wrapNone/>
                <wp:docPr id="6"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30BD8" w:rsidRPr="0068427C" w:rsidRDefault="00630BD8"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76" type="#_x0000_t202" style="position:absolute;left:0;text-align:left;margin-left:367.5pt;margin-top:0;width:56.7pt;height:5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">
                <v:textbox>
                  <w:txbxContent>
                    <w:p w:rsidR="00630BD8" w:rsidRPr="0068427C" w:rsidRDefault="00630BD8"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32"/>
      <w:bookmarkEnd w:id="133"/>
      <w:bookmarkEnd w:id="134"/>
      <w:bookmarkEnd w:id="135"/>
      <w:bookmarkEnd w:id="136"/>
      <w:bookmarkEnd w:id="137"/>
      <w:bookmarkEnd w:id="138"/>
    </w:p>
    <w:p w:rsidR="00EC5E5A" w:rsidRPr="00EA272E" w:rsidRDefault="00EC5E5A" w:rsidP="00EC5E5A">
      <w:pPr>
        <w:jc w:val="right"/>
        <w:rPr>
          <w:rFonts w:eastAsia="標楷體"/>
        </w:rPr>
      </w:pPr>
    </w:p>
    <w:p w:rsidR="00EC5E5A" w:rsidRPr="00EA272E" w:rsidRDefault="00EC5E5A" w:rsidP="00EC5E5A">
      <w:pPr>
        <w:jc w:val="right"/>
        <w:rPr>
          <w:rFonts w:eastAsia="標楷體"/>
        </w:rPr>
      </w:pPr>
    </w:p>
    <w:p w:rsidR="00567251" w:rsidRPr="000E26E4" w:rsidRDefault="00F9092E" w:rsidP="00957B5E">
      <w:pPr>
        <w:pStyle w:val="1"/>
        <w:numPr>
          <w:ilvl w:val="0"/>
          <w:numId w:val="32"/>
        </w:numPr>
        <w:spacing w:before="100" w:beforeAutospacing="1" w:after="100" w:afterAutospacing="1" w:line="360" w:lineRule="auto"/>
        <w:ind w:rightChars="-19" w:right="-46"/>
        <w:jc w:val="center"/>
        <w:rPr>
          <w:rFonts w:ascii="Times New Roman" w:eastAsia="標楷體" w:hAnsi="Times New Roman"/>
          <w:sz w:val="44"/>
          <w:szCs w:val="46"/>
        </w:rPr>
      </w:pPr>
      <w:bookmarkStart w:id="139" w:name="_Toc449536310"/>
      <w:bookmarkStart w:id="140" w:name="OLE_LINK1"/>
      <w:r w:rsidRPr="000E26E4">
        <w:rPr>
          <w:rFonts w:ascii="Times New Roman" w:eastAsia="標楷體" w:hAnsi="Times New Roman" w:hint="eastAsia"/>
          <w:sz w:val="44"/>
          <w:szCs w:val="46"/>
        </w:rPr>
        <w:t>結論</w:t>
      </w:r>
      <w:bookmarkEnd w:id="139"/>
    </w:p>
    <w:p w:rsidR="004C5A82" w:rsidRDefault="00D77C18" w:rsidP="00D82424">
      <w:pPr>
        <w:spacing w:before="100" w:beforeAutospacing="1" w:afterLines="50" w:after="120" w:line="360" w:lineRule="auto"/>
        <w:ind w:firstLineChars="200" w:firstLine="520"/>
        <w:rPr>
          <w:rFonts w:eastAsia="標楷體"/>
          <w:sz w:val="26"/>
          <w:szCs w:val="26"/>
        </w:rPr>
      </w:pPr>
      <w:bookmarkStart w:id="141" w:name="_Toc166242748"/>
      <w:bookmarkEnd w:id="140"/>
      <w:r w:rsidRPr="00F63249">
        <w:rPr>
          <w:rFonts w:eastAsia="標楷體"/>
          <w:sz w:val="26"/>
          <w:szCs w:val="26"/>
        </w:rPr>
        <w:t>本</w:t>
      </w:r>
      <w:r w:rsidRPr="00F63249">
        <w:rPr>
          <w:rFonts w:eastAsia="標楷體" w:hint="eastAsia"/>
          <w:sz w:val="26"/>
          <w:szCs w:val="26"/>
        </w:rPr>
        <w:t>文據</w:t>
      </w:r>
      <w:r w:rsidRPr="00F63249">
        <w:rPr>
          <w:rFonts w:eastAsia="標楷體"/>
          <w:sz w:val="26"/>
          <w:szCs w:val="26"/>
        </w:rPr>
        <w:t>結論之正確性，端賴</w:t>
      </w:r>
      <w:r w:rsidRPr="00F63249">
        <w:rPr>
          <w:rFonts w:eastAsia="標楷體" w:hint="eastAsia"/>
          <w:sz w:val="26"/>
          <w:szCs w:val="26"/>
        </w:rPr>
        <w:t>瀚昌公司</w:t>
      </w:r>
      <w:r w:rsidRPr="00F63249">
        <w:rPr>
          <w:rFonts w:eastAsia="標楷體"/>
          <w:sz w:val="26"/>
          <w:szCs w:val="26"/>
        </w:rPr>
        <w:t>管理當局提供資料之正確性，以及本所對其與各關係企業間受控交易之充分瞭解而得致。</w:t>
      </w:r>
    </w:p>
    <w:p w:rsidR="004C5A82" w:rsidRDefault="00D77C18" w:rsidP="00D82424">
      <w:pPr>
        <w:spacing w:beforeLines="50" w:before="120" w:afterLines="50" w:after="120" w:line="360" w:lineRule="auto"/>
        <w:ind w:firstLineChars="200" w:firstLine="520"/>
        <w:rPr>
          <w:rFonts w:eastAsia="標楷體"/>
          <w:sz w:val="26"/>
          <w:szCs w:val="26"/>
        </w:rPr>
      </w:pPr>
      <w:r w:rsidRPr="00F63249">
        <w:rPr>
          <w:rFonts w:eastAsia="標楷體"/>
          <w:sz w:val="26"/>
          <w:szCs w:val="26"/>
        </w:rPr>
        <w:t>本所</w:t>
      </w:r>
      <w:r w:rsidRPr="00F63249">
        <w:rPr>
          <w:rFonts w:eastAsia="標楷體" w:hint="eastAsia"/>
          <w:sz w:val="26"/>
          <w:szCs w:val="26"/>
        </w:rPr>
        <w:t>於本文據中</w:t>
      </w:r>
      <w:r w:rsidRPr="00F63249">
        <w:rPr>
          <w:rFonts w:eastAsia="標楷體"/>
          <w:sz w:val="26"/>
          <w:szCs w:val="26"/>
        </w:rPr>
        <w:t>採用</w:t>
      </w:r>
      <w:r w:rsidRPr="00F63249">
        <w:rPr>
          <w:rFonts w:eastAsia="標楷體" w:hint="eastAsia"/>
          <w:sz w:val="26"/>
          <w:szCs w:val="26"/>
        </w:rPr>
        <w:t>之</w:t>
      </w:r>
      <w:r w:rsidRPr="00F63249">
        <w:rPr>
          <w:rFonts w:eastAsia="標楷體"/>
          <w:sz w:val="26"/>
          <w:szCs w:val="26"/>
        </w:rPr>
        <w:t>可比較對象皆來自獨立且可驗證之來源，</w:t>
      </w:r>
      <w:r w:rsidRPr="00F63249">
        <w:rPr>
          <w:rFonts w:eastAsia="標楷體" w:hint="eastAsia"/>
          <w:sz w:val="26"/>
          <w:szCs w:val="26"/>
        </w:rPr>
        <w:t>即取自</w:t>
      </w:r>
      <w:r w:rsidR="00D809C8" w:rsidRPr="00023055">
        <w:rPr>
          <w:rFonts w:eastAsia="標楷體" w:hint="eastAsia"/>
          <w:sz w:val="26"/>
          <w:szCs w:val="26"/>
        </w:rPr>
        <w:t>『</w:t>
      </w:r>
      <w:r w:rsidR="00A45C68">
        <w:rPr>
          <w:rFonts w:eastAsia="標楷體" w:hint="eastAsia"/>
          <w:sz w:val="26"/>
          <w:szCs w:val="26"/>
        </w:rPr>
        <w:t>ONESOURCE</w:t>
      </w:r>
      <w:r w:rsidR="00A45C68">
        <w:rPr>
          <w:rFonts w:eastAsia="標楷體" w:hint="eastAsia"/>
          <w:sz w:val="26"/>
          <w:szCs w:val="26"/>
        </w:rPr>
        <w:t>資料庫</w:t>
      </w:r>
      <w:r w:rsidR="00D809C8" w:rsidRPr="00023055">
        <w:rPr>
          <w:rFonts w:eastAsia="標楷體" w:hint="eastAsia"/>
          <w:sz w:val="26"/>
          <w:szCs w:val="26"/>
        </w:rPr>
        <w:t>』及『主要行業財</w:t>
      </w:r>
      <w:r w:rsidR="00D809C8">
        <w:rPr>
          <w:rFonts w:eastAsia="標楷體" w:hint="eastAsia"/>
          <w:sz w:val="26"/>
          <w:szCs w:val="26"/>
        </w:rPr>
        <w:t>務比率刊冊』</w:t>
      </w:r>
      <w:r w:rsidR="00D809C8" w:rsidRPr="00EA272E">
        <w:rPr>
          <w:rFonts w:eastAsia="標楷體" w:hint="eastAsia"/>
          <w:sz w:val="26"/>
          <w:szCs w:val="26"/>
        </w:rPr>
        <w:t>之資料</w:t>
      </w:r>
      <w:r w:rsidR="00D809C8" w:rsidRPr="00EA272E">
        <w:rPr>
          <w:rFonts w:eastAsia="標楷體"/>
          <w:sz w:val="26"/>
          <w:szCs w:val="26"/>
        </w:rPr>
        <w:t>。</w:t>
      </w:r>
    </w:p>
    <w:p w:rsidR="004C5A82" w:rsidRDefault="00D77C18" w:rsidP="00D82424">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分析結果</w:t>
      </w:r>
    </w:p>
    <w:p w:rsidR="004C5A82" w:rsidRDefault="00D77C18" w:rsidP="00D82424">
      <w:pPr>
        <w:pStyle w:val="3"/>
        <w:numPr>
          <w:ilvl w:val="1"/>
          <w:numId w:val="25"/>
        </w:numPr>
        <w:spacing w:beforeLines="50" w:before="120" w:afterLines="50" w:after="120" w:line="360" w:lineRule="auto"/>
        <w:jc w:val="both"/>
        <w:rPr>
          <w:rFonts w:ascii="Times New Roman" w:eastAsia="標楷體"/>
          <w:sz w:val="32"/>
        </w:rPr>
      </w:pPr>
      <w:r w:rsidRPr="002C775B">
        <w:rPr>
          <w:rFonts w:ascii="Times New Roman" w:eastAsia="標楷體" w:hint="eastAsia"/>
          <w:sz w:val="32"/>
        </w:rPr>
        <w:t>有形資產之移轉</w:t>
      </w:r>
      <w:r w:rsidR="002D1908">
        <w:rPr>
          <w:rFonts w:ascii="Times New Roman" w:eastAsia="標楷體"/>
          <w:sz w:val="32"/>
        </w:rPr>
        <w:t>—</w:t>
      </w:r>
      <w:r w:rsidR="002D1908">
        <w:rPr>
          <w:rFonts w:ascii="Times New Roman" w:eastAsia="標楷體" w:hint="eastAsia"/>
          <w:sz w:val="32"/>
        </w:rPr>
        <w:t>銷貨</w:t>
      </w:r>
    </w:p>
    <w:p w:rsidR="004C5A82" w:rsidRDefault="00D77C18" w:rsidP="00D82424">
      <w:pPr>
        <w:spacing w:beforeLines="50" w:before="120" w:afterLines="50" w:after="120" w:line="360" w:lineRule="auto"/>
        <w:ind w:leftChars="200" w:left="480" w:firstLineChars="200" w:firstLine="520"/>
        <w:jc w:val="both"/>
        <w:rPr>
          <w:rFonts w:eastAsia="標楷體"/>
          <w:sz w:val="26"/>
          <w:szCs w:val="26"/>
        </w:rPr>
      </w:pPr>
      <w:r w:rsidRPr="008A2D23">
        <w:rPr>
          <w:rFonts w:eastAsia="標楷體" w:hint="eastAsia"/>
          <w:sz w:val="26"/>
          <w:szCs w:val="26"/>
        </w:rPr>
        <w:t>瀚昌公司銷貨予</w:t>
      </w:r>
      <w:r w:rsidRPr="008A2D23">
        <w:rPr>
          <w:rFonts w:eastAsia="標楷體" w:hint="eastAsia"/>
          <w:sz w:val="26"/>
          <w:szCs w:val="26"/>
        </w:rPr>
        <w:t>P</w:t>
      </w:r>
      <w:r w:rsidRPr="00F3504B">
        <w:rPr>
          <w:rFonts w:eastAsia="標楷體" w:hint="eastAsia"/>
          <w:sz w:val="26"/>
          <w:szCs w:val="26"/>
        </w:rPr>
        <w:t xml:space="preserve">T </w:t>
      </w:r>
      <w:r w:rsidRPr="00F3504B">
        <w:rPr>
          <w:rFonts w:eastAsia="標楷體" w:hint="eastAsia"/>
          <w:sz w:val="26"/>
          <w:szCs w:val="26"/>
        </w:rPr>
        <w:t>之受控交易</w:t>
      </w:r>
      <w:r w:rsidRPr="002C775B">
        <w:rPr>
          <w:rFonts w:eastAsia="標楷體" w:hint="eastAsia"/>
          <w:sz w:val="26"/>
          <w:szCs w:val="26"/>
        </w:rPr>
        <w:t>，</w:t>
      </w:r>
      <w:r>
        <w:rPr>
          <w:rFonts w:eastAsia="標楷體" w:hint="eastAsia"/>
          <w:sz w:val="26"/>
          <w:szCs w:val="26"/>
        </w:rPr>
        <w:t>採</w:t>
      </w:r>
      <w:r w:rsidRPr="00F3504B">
        <w:rPr>
          <w:rFonts w:eastAsia="標楷體" w:hint="eastAsia"/>
          <w:sz w:val="26"/>
          <w:szCs w:val="26"/>
        </w:rPr>
        <w:t>用成本加價法為</w:t>
      </w:r>
      <w:r w:rsidRPr="00EA272E">
        <w:rPr>
          <w:rFonts w:eastAsia="標楷體"/>
          <w:sz w:val="26"/>
          <w:szCs w:val="26"/>
        </w:rPr>
        <w:t>評估</w:t>
      </w:r>
      <w:r>
        <w:rPr>
          <w:rFonts w:eastAsia="標楷體" w:hint="eastAsia"/>
          <w:sz w:val="26"/>
          <w:szCs w:val="26"/>
        </w:rPr>
        <w:t>該受控交易之最適常規交易方法，並</w:t>
      </w:r>
      <w:r w:rsidRPr="00EA272E">
        <w:rPr>
          <w:rFonts w:eastAsia="標楷體" w:hint="eastAsia"/>
          <w:sz w:val="26"/>
          <w:szCs w:val="26"/>
        </w:rPr>
        <w:t>以</w:t>
      </w:r>
      <w:r>
        <w:rPr>
          <w:rFonts w:eastAsia="標楷體" w:hint="eastAsia"/>
          <w:sz w:val="26"/>
          <w:szCs w:val="26"/>
        </w:rPr>
        <w:t>瀚昌公司</w:t>
      </w:r>
      <w:r w:rsidRPr="00EA272E">
        <w:rPr>
          <w:rFonts w:eastAsia="標楷體" w:hint="eastAsia"/>
          <w:sz w:val="26"/>
          <w:szCs w:val="26"/>
        </w:rPr>
        <w:t>為受測個體</w:t>
      </w:r>
      <w:r>
        <w:rPr>
          <w:rFonts w:eastAsia="標楷體" w:hint="eastAsia"/>
          <w:sz w:val="26"/>
          <w:szCs w:val="26"/>
        </w:rPr>
        <w:t>。</w:t>
      </w:r>
    </w:p>
    <w:p w:rsidR="004C5A82" w:rsidRDefault="0023124C" w:rsidP="00D82424">
      <w:pPr>
        <w:spacing w:beforeLines="50" w:before="120" w:afterLines="50" w:after="120" w:line="360" w:lineRule="auto"/>
        <w:ind w:leftChars="200" w:left="480" w:firstLineChars="200" w:firstLine="520"/>
        <w:jc w:val="both"/>
        <w:rPr>
          <w:rFonts w:eastAsia="標楷體"/>
          <w:sz w:val="26"/>
          <w:szCs w:val="26"/>
        </w:rPr>
      </w:pPr>
      <w:r w:rsidRPr="009552BA">
        <w:rPr>
          <w:rFonts w:eastAsia="標楷體" w:hint="eastAsia"/>
          <w:sz w:val="26"/>
          <w:szCs w:val="26"/>
        </w:rPr>
        <w:t>經分析，</w:t>
      </w:r>
      <w:r w:rsidR="00D77C18" w:rsidRPr="009552BA">
        <w:rPr>
          <w:rFonts w:eastAsia="標楷體" w:hint="eastAsia"/>
          <w:sz w:val="26"/>
          <w:szCs w:val="26"/>
        </w:rPr>
        <w:t>瀚昌公司</w:t>
      </w:r>
      <w:r w:rsidR="00211437">
        <w:rPr>
          <w:rFonts w:eastAsia="標楷體" w:hint="eastAsia"/>
          <w:sz w:val="26"/>
          <w:szCs w:val="26"/>
        </w:rPr>
        <w:t>105</w:t>
      </w:r>
      <w:r w:rsidR="0024479C" w:rsidRPr="009552BA">
        <w:rPr>
          <w:rFonts w:eastAsia="標楷體" w:hint="eastAsia"/>
          <w:sz w:val="26"/>
          <w:szCs w:val="26"/>
        </w:rPr>
        <w:t>會計</w:t>
      </w:r>
      <w:r w:rsidR="00D77C18" w:rsidRPr="009552BA">
        <w:rPr>
          <w:rFonts w:eastAsia="標楷體" w:hint="eastAsia"/>
          <w:sz w:val="26"/>
          <w:szCs w:val="26"/>
        </w:rPr>
        <w:t>年度銷貨予</w:t>
      </w:r>
      <w:r w:rsidR="00D77C18" w:rsidRPr="009552BA">
        <w:rPr>
          <w:rFonts w:eastAsia="標楷體" w:hint="eastAsia"/>
          <w:sz w:val="26"/>
          <w:szCs w:val="26"/>
        </w:rPr>
        <w:t>PT</w:t>
      </w:r>
      <w:r w:rsidR="00D77C18" w:rsidRPr="009552BA">
        <w:rPr>
          <w:rFonts w:eastAsia="標楷體" w:hint="eastAsia"/>
          <w:sz w:val="26"/>
          <w:szCs w:val="26"/>
        </w:rPr>
        <w:t>之成本加價率為</w:t>
      </w:r>
      <w:r w:rsidR="009552BA" w:rsidRPr="009552BA">
        <w:rPr>
          <w:rFonts w:eastAsia="標楷體" w:hint="eastAsia"/>
          <w:sz w:val="26"/>
          <w:szCs w:val="26"/>
        </w:rPr>
        <w:t>1</w:t>
      </w:r>
      <w:r w:rsidR="00352958">
        <w:rPr>
          <w:rFonts w:eastAsia="標楷體" w:hint="eastAsia"/>
          <w:sz w:val="26"/>
          <w:szCs w:val="26"/>
        </w:rPr>
        <w:t>0.</w:t>
      </w:r>
      <w:r w:rsidR="00A70BCB">
        <w:rPr>
          <w:rFonts w:eastAsia="標楷體" w:hint="eastAsia"/>
          <w:sz w:val="26"/>
          <w:szCs w:val="26"/>
        </w:rPr>
        <w:t>36</w:t>
      </w:r>
      <w:r w:rsidR="009552BA" w:rsidRPr="009552BA">
        <w:rPr>
          <w:rFonts w:eastAsia="標楷體" w:hint="eastAsia"/>
          <w:sz w:val="26"/>
          <w:szCs w:val="26"/>
        </w:rPr>
        <w:t>%</w:t>
      </w:r>
      <w:r w:rsidR="009552BA" w:rsidRPr="009552BA">
        <w:rPr>
          <w:rFonts w:eastAsia="標楷體" w:hint="eastAsia"/>
          <w:sz w:val="26"/>
          <w:szCs w:val="26"/>
        </w:rPr>
        <w:t>，</w:t>
      </w:r>
      <w:r w:rsidR="002D1908" w:rsidRPr="009552BA">
        <w:rPr>
          <w:rFonts w:eastAsia="標楷體" w:hint="eastAsia"/>
          <w:sz w:val="26"/>
          <w:szCs w:val="26"/>
        </w:rPr>
        <w:t>落於</w:t>
      </w:r>
      <w:r w:rsidR="00245BD4" w:rsidRPr="009552BA">
        <w:rPr>
          <w:rFonts w:eastAsia="標楷體" w:hint="eastAsia"/>
          <w:sz w:val="26"/>
          <w:szCs w:val="26"/>
        </w:rPr>
        <w:t>ONESOURCE</w:t>
      </w:r>
      <w:r w:rsidR="00245BD4" w:rsidRPr="009552BA">
        <w:rPr>
          <w:rFonts w:eastAsia="標楷體" w:hint="eastAsia"/>
          <w:sz w:val="26"/>
          <w:szCs w:val="26"/>
        </w:rPr>
        <w:t>資料庫</w:t>
      </w:r>
      <w:r w:rsidR="002D1908" w:rsidRPr="009552BA">
        <w:rPr>
          <w:rFonts w:eastAsia="標楷體" w:hint="eastAsia"/>
          <w:sz w:val="26"/>
          <w:szCs w:val="26"/>
        </w:rPr>
        <w:t>所選可比較對象經資本性調整後之常規交易範圍</w:t>
      </w:r>
      <w:r w:rsidR="00D847CE">
        <w:rPr>
          <w:rFonts w:eastAsia="標楷體" w:hint="eastAsia"/>
          <w:sz w:val="26"/>
          <w:szCs w:val="26"/>
        </w:rPr>
        <w:t>9.27</w:t>
      </w:r>
      <w:r w:rsidR="00D847CE" w:rsidRPr="005C42D7">
        <w:rPr>
          <w:rFonts w:eastAsia="標楷體" w:hint="eastAsia"/>
          <w:sz w:val="26"/>
          <w:szCs w:val="26"/>
        </w:rPr>
        <w:t>%</w:t>
      </w:r>
      <w:r w:rsidR="00D847CE" w:rsidRPr="005C42D7">
        <w:rPr>
          <w:rFonts w:eastAsia="標楷體" w:hint="eastAsia"/>
          <w:sz w:val="26"/>
          <w:szCs w:val="26"/>
        </w:rPr>
        <w:t>～</w:t>
      </w:r>
      <w:r w:rsidR="00D847CE">
        <w:rPr>
          <w:rFonts w:eastAsia="標楷體" w:hint="eastAsia"/>
          <w:sz w:val="26"/>
          <w:szCs w:val="26"/>
        </w:rPr>
        <w:t>2</w:t>
      </w:r>
      <w:r w:rsidR="005D0C58">
        <w:rPr>
          <w:rFonts w:eastAsia="標楷體" w:hint="eastAsia"/>
          <w:sz w:val="26"/>
          <w:szCs w:val="26"/>
        </w:rPr>
        <w:t>4</w:t>
      </w:r>
      <w:r w:rsidR="00D847CE">
        <w:rPr>
          <w:rFonts w:eastAsia="標楷體" w:hint="eastAsia"/>
          <w:sz w:val="26"/>
          <w:szCs w:val="26"/>
        </w:rPr>
        <w:t>.</w:t>
      </w:r>
      <w:r w:rsidR="005D0C58">
        <w:rPr>
          <w:rFonts w:eastAsia="標楷體" w:hint="eastAsia"/>
          <w:sz w:val="26"/>
          <w:szCs w:val="26"/>
        </w:rPr>
        <w:t>1</w:t>
      </w:r>
      <w:r w:rsidR="00D847CE">
        <w:rPr>
          <w:rFonts w:eastAsia="標楷體" w:hint="eastAsia"/>
          <w:sz w:val="26"/>
          <w:szCs w:val="26"/>
        </w:rPr>
        <w:t>2</w:t>
      </w:r>
      <w:r w:rsidR="00D847CE" w:rsidRPr="005C42D7">
        <w:rPr>
          <w:rFonts w:eastAsia="標楷體" w:hint="eastAsia"/>
          <w:sz w:val="26"/>
          <w:szCs w:val="26"/>
        </w:rPr>
        <w:t>%</w:t>
      </w:r>
      <w:r w:rsidR="002E3C4B" w:rsidRPr="00A72A6F">
        <w:rPr>
          <w:rFonts w:eastAsia="標楷體" w:hint="eastAsia"/>
          <w:sz w:val="26"/>
          <w:szCs w:val="26"/>
        </w:rPr>
        <w:t>內</w:t>
      </w:r>
      <w:r w:rsidR="002D1908" w:rsidRPr="009552BA">
        <w:rPr>
          <w:rFonts w:eastAsia="標楷體" w:hint="eastAsia"/>
          <w:sz w:val="26"/>
          <w:szCs w:val="26"/>
        </w:rPr>
        <w:t>，亦落</w:t>
      </w:r>
      <w:r w:rsidR="002D1908" w:rsidRPr="002604B7">
        <w:rPr>
          <w:rFonts w:eastAsia="標楷體" w:hint="eastAsia"/>
          <w:sz w:val="26"/>
          <w:szCs w:val="26"/>
        </w:rPr>
        <w:t>於</w:t>
      </w:r>
      <w:r w:rsidR="001F2BFF" w:rsidRPr="001F2BFF">
        <w:rPr>
          <w:rFonts w:eastAsia="標楷體" w:hint="eastAsia"/>
          <w:sz w:val="26"/>
          <w:szCs w:val="26"/>
        </w:rPr>
        <w:t>主要行業財務比率刊冊所選可比較對象常規交易範圍</w:t>
      </w:r>
      <w:r w:rsidR="000C0FCD">
        <w:rPr>
          <w:rFonts w:eastAsia="標楷體"/>
          <w:sz w:val="26"/>
          <w:szCs w:val="26"/>
        </w:rPr>
        <w:t>8.</w:t>
      </w:r>
      <w:r w:rsidR="000C0FCD">
        <w:rPr>
          <w:rFonts w:eastAsia="標楷體" w:hint="eastAsia"/>
          <w:sz w:val="26"/>
          <w:szCs w:val="26"/>
        </w:rPr>
        <w:t>62</w:t>
      </w:r>
      <w:r w:rsidR="001F2BFF" w:rsidRPr="001F2BFF">
        <w:rPr>
          <w:rFonts w:eastAsia="標楷體"/>
          <w:sz w:val="26"/>
          <w:szCs w:val="26"/>
        </w:rPr>
        <w:t>%</w:t>
      </w:r>
      <w:r w:rsidR="001F2BFF" w:rsidRPr="001F2BFF">
        <w:rPr>
          <w:rFonts w:eastAsia="標楷體" w:hint="eastAsia"/>
          <w:sz w:val="26"/>
          <w:szCs w:val="26"/>
        </w:rPr>
        <w:t>～</w:t>
      </w:r>
      <w:r w:rsidR="000C0FCD">
        <w:rPr>
          <w:rFonts w:eastAsia="標楷體"/>
          <w:sz w:val="26"/>
          <w:szCs w:val="26"/>
        </w:rPr>
        <w:t>2</w:t>
      </w:r>
      <w:r w:rsidR="000C0FCD">
        <w:rPr>
          <w:rFonts w:eastAsia="標楷體" w:hint="eastAsia"/>
          <w:sz w:val="26"/>
          <w:szCs w:val="26"/>
        </w:rPr>
        <w:t>4</w:t>
      </w:r>
      <w:r w:rsidR="001F2BFF" w:rsidRPr="001F2BFF">
        <w:rPr>
          <w:rFonts w:eastAsia="標楷體"/>
          <w:sz w:val="26"/>
          <w:szCs w:val="26"/>
        </w:rPr>
        <w:t>.</w:t>
      </w:r>
      <w:r w:rsidR="000C0FCD">
        <w:rPr>
          <w:rFonts w:eastAsia="標楷體" w:hint="eastAsia"/>
          <w:sz w:val="26"/>
          <w:szCs w:val="26"/>
        </w:rPr>
        <w:t>86</w:t>
      </w:r>
      <w:r w:rsidR="001F2BFF" w:rsidRPr="001F2BFF">
        <w:rPr>
          <w:rFonts w:eastAsia="標楷體"/>
          <w:sz w:val="26"/>
          <w:szCs w:val="26"/>
        </w:rPr>
        <w:t>%</w:t>
      </w:r>
      <w:r w:rsidR="001F2BFF" w:rsidRPr="001F2BFF">
        <w:rPr>
          <w:rFonts w:eastAsia="標楷體" w:hint="eastAsia"/>
          <w:sz w:val="26"/>
          <w:szCs w:val="26"/>
        </w:rPr>
        <w:t>內</w:t>
      </w:r>
      <w:r w:rsidR="009552BA" w:rsidRPr="002604B7">
        <w:rPr>
          <w:rFonts w:eastAsia="標楷體" w:hint="eastAsia"/>
          <w:sz w:val="26"/>
          <w:szCs w:val="26"/>
        </w:rPr>
        <w:t>，</w:t>
      </w:r>
      <w:r w:rsidR="00D77C18" w:rsidRPr="009552BA">
        <w:rPr>
          <w:rFonts w:eastAsia="標楷體" w:hint="eastAsia"/>
          <w:sz w:val="26"/>
          <w:szCs w:val="26"/>
        </w:rPr>
        <w:t>推論瀚昌公司</w:t>
      </w:r>
      <w:r w:rsidR="00211437">
        <w:rPr>
          <w:rFonts w:eastAsia="標楷體" w:hint="eastAsia"/>
          <w:sz w:val="26"/>
          <w:szCs w:val="26"/>
        </w:rPr>
        <w:t>105</w:t>
      </w:r>
      <w:r w:rsidRPr="009552BA">
        <w:rPr>
          <w:rFonts w:eastAsia="標楷體" w:hint="eastAsia"/>
          <w:sz w:val="26"/>
          <w:szCs w:val="26"/>
        </w:rPr>
        <w:t>會計</w:t>
      </w:r>
      <w:r w:rsidR="00D77C18" w:rsidRPr="009552BA">
        <w:rPr>
          <w:rFonts w:eastAsia="標楷體" w:hint="eastAsia"/>
          <w:sz w:val="26"/>
          <w:szCs w:val="26"/>
        </w:rPr>
        <w:t>年度該受控交易之移轉訂價符合常規。</w:t>
      </w:r>
    </w:p>
    <w:p w:rsidR="006140D5" w:rsidRDefault="006140D5" w:rsidP="00D82424">
      <w:pPr>
        <w:spacing w:beforeLines="50" w:before="120" w:afterLines="50" w:after="120" w:line="360" w:lineRule="auto"/>
        <w:ind w:leftChars="200" w:left="480" w:firstLineChars="200" w:firstLine="520"/>
        <w:jc w:val="both"/>
        <w:rPr>
          <w:rFonts w:eastAsia="標楷體"/>
          <w:sz w:val="26"/>
          <w:szCs w:val="26"/>
        </w:rPr>
      </w:pPr>
    </w:p>
    <w:p w:rsidR="006140D5" w:rsidRDefault="006140D5" w:rsidP="00D82424">
      <w:pPr>
        <w:spacing w:beforeLines="50" w:before="120" w:afterLines="50" w:after="120" w:line="360" w:lineRule="auto"/>
        <w:ind w:leftChars="200" w:left="480" w:firstLineChars="200" w:firstLine="520"/>
        <w:jc w:val="both"/>
        <w:rPr>
          <w:rFonts w:eastAsia="標楷體"/>
          <w:sz w:val="26"/>
          <w:szCs w:val="26"/>
        </w:rPr>
      </w:pPr>
    </w:p>
    <w:p w:rsidR="004C5A82" w:rsidRDefault="00D77C18" w:rsidP="00D82424">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建議</w:t>
      </w:r>
    </w:p>
    <w:p w:rsidR="004C5A82" w:rsidRDefault="00D77C18" w:rsidP="00D82424">
      <w:pPr>
        <w:spacing w:beforeLines="50" w:before="120" w:afterLines="50" w:after="120" w:line="360" w:lineRule="auto"/>
        <w:ind w:firstLineChars="200" w:firstLine="520"/>
        <w:rPr>
          <w:rFonts w:eastAsia="標楷體"/>
          <w:sz w:val="26"/>
          <w:szCs w:val="26"/>
        </w:rPr>
      </w:pPr>
      <w:r w:rsidRPr="004A30D6">
        <w:rPr>
          <w:rFonts w:eastAsia="標楷體"/>
          <w:sz w:val="26"/>
          <w:szCs w:val="26"/>
        </w:rPr>
        <w:t>本所建議</w:t>
      </w:r>
      <w:r w:rsidRPr="004A30D6">
        <w:rPr>
          <w:rFonts w:eastAsia="標楷體" w:hint="eastAsia"/>
          <w:sz w:val="26"/>
          <w:szCs w:val="26"/>
        </w:rPr>
        <w:t>瀚昌公司</w:t>
      </w:r>
      <w:r w:rsidRPr="004A30D6">
        <w:rPr>
          <w:rFonts w:eastAsia="標楷體"/>
          <w:sz w:val="26"/>
          <w:szCs w:val="26"/>
        </w:rPr>
        <w:t>每年應根據當時之經濟情況，對營運狀況進行測試，以檢視移轉訂價是否仍符合常規，若不合常規，則需加以調整。</w:t>
      </w:r>
    </w:p>
    <w:p w:rsidR="00FE3A90" w:rsidRDefault="00D77C18" w:rsidP="00E51FFD">
      <w:pPr>
        <w:spacing w:before="100" w:beforeAutospacing="1" w:afterLines="50" w:after="120" w:line="360" w:lineRule="auto"/>
        <w:ind w:firstLineChars="200" w:firstLine="520"/>
      </w:pPr>
      <w:r w:rsidRPr="004A30D6">
        <w:rPr>
          <w:rFonts w:eastAsia="標楷體"/>
          <w:sz w:val="26"/>
          <w:szCs w:val="26"/>
        </w:rPr>
        <w:t>本所必須提醒本</w:t>
      </w:r>
      <w:r w:rsidRPr="004A30D6">
        <w:rPr>
          <w:rFonts w:eastAsia="標楷體" w:hint="eastAsia"/>
          <w:sz w:val="26"/>
          <w:szCs w:val="26"/>
        </w:rPr>
        <w:t>文據</w:t>
      </w:r>
      <w:r w:rsidRPr="004A30D6">
        <w:rPr>
          <w:rFonts w:eastAsia="標楷體"/>
          <w:sz w:val="26"/>
          <w:szCs w:val="26"/>
        </w:rPr>
        <w:t>之使用者，若</w:t>
      </w:r>
      <w:r w:rsidRPr="004A30D6">
        <w:rPr>
          <w:rFonts w:eastAsia="標楷體" w:hint="eastAsia"/>
          <w:sz w:val="26"/>
          <w:szCs w:val="26"/>
        </w:rPr>
        <w:t>瀚昌公司</w:t>
      </w:r>
      <w:r w:rsidRPr="004A30D6">
        <w:rPr>
          <w:rFonts w:eastAsia="標楷體"/>
          <w:sz w:val="26"/>
          <w:szCs w:val="26"/>
        </w:rPr>
        <w:t>執行之功能及承擔之風險有顯著變化，均會對本</w:t>
      </w:r>
      <w:r w:rsidRPr="004A30D6">
        <w:rPr>
          <w:rFonts w:eastAsia="標楷體" w:hint="eastAsia"/>
          <w:sz w:val="26"/>
          <w:szCs w:val="26"/>
        </w:rPr>
        <w:t>文據</w:t>
      </w:r>
      <w:r w:rsidRPr="004A30D6">
        <w:rPr>
          <w:rFonts w:eastAsia="標楷體"/>
          <w:sz w:val="26"/>
          <w:szCs w:val="26"/>
        </w:rPr>
        <w:t>之分析以及所選出之可比較對象有所影響，進而影響利潤指標及常規交易範圍。</w:t>
      </w:r>
      <w:bookmarkEnd w:id="141"/>
    </w:p>
    <w:sectPr w:rsidR="00FE3A90" w:rsidSect="00DD5AB2">
      <w:headerReference w:type="even" r:id="rId40"/>
      <w:headerReference w:type="default" r:id="rId41"/>
      <w:footerReference w:type="even" r:id="rId42"/>
      <w:headerReference w:type="first" r:id="rId43"/>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937" w:rsidRDefault="005F1937">
      <w:r>
        <w:separator/>
      </w:r>
    </w:p>
  </w:endnote>
  <w:endnote w:type="continuationSeparator" w:id="0">
    <w:p w:rsidR="005F1937" w:rsidRDefault="005F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rsidP="00986C9C">
    <w:pPr>
      <w:pStyle w:val="a9"/>
      <w:jc w:val="center"/>
    </w:pPr>
    <w:r w:rsidRPr="001E62D4">
      <w:t xml:space="preserve">© </w:t>
    </w:r>
    <w:r w:rsidRPr="00477BEE">
      <w:rPr>
        <w:rFonts w:eastAsia="標楷體" w:hAnsi="標楷體" w:hint="eastAsia"/>
        <w:bCs/>
      </w:rPr>
      <w:t>201</w:t>
    </w:r>
    <w:r>
      <w:rPr>
        <w:rFonts w:eastAsia="標楷體" w:hAnsi="標楷體" w:hint="eastAsia"/>
        <w:bCs/>
      </w:rPr>
      <w:t>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rsidP="00986C9C">
    <w:pPr>
      <w:pStyle w:val="a9"/>
      <w:jc w:val="center"/>
    </w:pPr>
    <w:r w:rsidRPr="001E62D4">
      <w:t xml:space="preserve">© </w:t>
    </w:r>
    <w:r w:rsidRPr="00F0583B">
      <w:rPr>
        <w:rFonts w:eastAsia="標楷體" w:hAnsi="標楷體" w:hint="eastAsia"/>
        <w:bCs/>
      </w:rPr>
      <w:t>201</w:t>
    </w:r>
    <w:r>
      <w:rPr>
        <w:rFonts w:eastAsia="標楷體" w:hAnsi="標楷體" w:hint="eastAsia"/>
        <w:bCs/>
      </w:rPr>
      <w:t>7</w:t>
    </w:r>
    <w:r w:rsidRPr="00BF1978">
      <w:rPr>
        <w:color w:val="00CCFF"/>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9"/>
    </w:pPr>
    <w:r>
      <w:fldChar w:fldCharType="begin"/>
    </w:r>
    <w:r>
      <w:instrText xml:space="preserve"> PAGE   \* MERGEFORMAT </w:instrText>
    </w:r>
    <w:r>
      <w:fldChar w:fldCharType="separate"/>
    </w:r>
    <w:r w:rsidR="00C07881" w:rsidRPr="00C07881">
      <w:rPr>
        <w:noProof/>
        <w:lang w:val="zh-TW"/>
      </w:rPr>
      <w:t>34</w:t>
    </w:r>
    <w:r>
      <w:rPr>
        <w:noProof/>
        <w:lang w:val="zh-TW"/>
      </w:rPr>
      <w:fldChar w:fldCharType="end"/>
    </w:r>
  </w:p>
  <w:p w:rsidR="00630BD8" w:rsidRDefault="00630BD8" w:rsidP="008469CA">
    <w:pPr>
      <w:pStyle w:val="a9"/>
      <w:jc w:val="center"/>
    </w:pPr>
    <w:r w:rsidRPr="001E62D4">
      <w:t xml:space="preserve">© </w:t>
    </w:r>
    <w:r w:rsidRPr="00142BD9">
      <w:rPr>
        <w:rFonts w:eastAsia="標楷體" w:hAnsi="標楷體" w:hint="eastAsia"/>
        <w:bCs/>
      </w:rPr>
      <w:t>201</w:t>
    </w:r>
    <w:r>
      <w:rPr>
        <w:rFonts w:eastAsia="標楷體" w:hAnsi="標楷體" w:hint="eastAsia"/>
        <w:bCs/>
      </w:rPr>
      <w:t>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9"/>
      <w:jc w:val="right"/>
    </w:pPr>
    <w:r>
      <w:fldChar w:fldCharType="begin"/>
    </w:r>
    <w:r>
      <w:instrText xml:space="preserve"> PAGE   \* MERGEFORMAT </w:instrText>
    </w:r>
    <w:r>
      <w:fldChar w:fldCharType="separate"/>
    </w:r>
    <w:r w:rsidR="00C07881" w:rsidRPr="00C07881">
      <w:rPr>
        <w:noProof/>
        <w:lang w:val="zh-TW"/>
      </w:rPr>
      <w:t>51</w:t>
    </w:r>
    <w:r>
      <w:rPr>
        <w:noProof/>
        <w:lang w:val="zh-TW"/>
      </w:rPr>
      <w:fldChar w:fldCharType="end"/>
    </w:r>
  </w:p>
  <w:p w:rsidR="00630BD8" w:rsidRDefault="00630BD8" w:rsidP="008469CA">
    <w:pPr>
      <w:pStyle w:val="a9"/>
      <w:jc w:val="center"/>
    </w:pPr>
    <w:r w:rsidRPr="001E62D4">
      <w:t xml:space="preserve">© </w:t>
    </w:r>
    <w:r w:rsidRPr="00142BD9">
      <w:rPr>
        <w:rFonts w:eastAsia="標楷體" w:hAnsi="標楷體" w:hint="eastAsia"/>
        <w:bCs/>
      </w:rPr>
      <w:t>201</w:t>
    </w:r>
    <w:r>
      <w:rPr>
        <w:rFonts w:eastAsia="標楷體" w:hAnsi="標楷體" w:hint="eastAsia"/>
        <w:bCs/>
      </w:rPr>
      <w:t>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9"/>
    </w:pPr>
    <w:r>
      <w:fldChar w:fldCharType="begin"/>
    </w:r>
    <w:r>
      <w:instrText xml:space="preserve"> PAGE   \* MERGEFORMAT </w:instrText>
    </w:r>
    <w:r>
      <w:fldChar w:fldCharType="separate"/>
    </w:r>
    <w:r w:rsidR="00C07881" w:rsidRPr="00C07881">
      <w:rPr>
        <w:noProof/>
        <w:lang w:val="zh-TW"/>
      </w:rPr>
      <w:t>50</w:t>
    </w:r>
    <w:r>
      <w:rPr>
        <w:noProof/>
        <w:lang w:val="zh-TW"/>
      </w:rPr>
      <w:fldChar w:fldCharType="end"/>
    </w:r>
  </w:p>
  <w:p w:rsidR="00630BD8" w:rsidRDefault="00630BD8" w:rsidP="008469CA">
    <w:pPr>
      <w:pStyle w:val="a9"/>
      <w:jc w:val="center"/>
    </w:pPr>
    <w:r w:rsidRPr="001E62D4">
      <w:t>©</w:t>
    </w:r>
    <w:r w:rsidRPr="00FB01FC">
      <w:t xml:space="preserve"> </w:t>
    </w:r>
    <w:r w:rsidRPr="00FB01FC">
      <w:rPr>
        <w:rFonts w:eastAsia="標楷體" w:hAnsi="標楷體" w:hint="eastAsia"/>
        <w:bCs/>
      </w:rPr>
      <w:t>201</w:t>
    </w:r>
    <w:r>
      <w:rPr>
        <w:rFonts w:eastAsia="標楷體" w:hAnsi="標楷體" w:hint="eastAsia"/>
        <w:bCs/>
      </w:rPr>
      <w:t>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9"/>
    </w:pPr>
    <w:r>
      <w:fldChar w:fldCharType="begin"/>
    </w:r>
    <w:r>
      <w:instrText xml:space="preserve"> PAGE   \* MERGEFORMAT </w:instrText>
    </w:r>
    <w:r>
      <w:fldChar w:fldCharType="separate"/>
    </w:r>
    <w:r w:rsidR="00C07881" w:rsidRPr="00C07881">
      <w:rPr>
        <w:noProof/>
        <w:lang w:val="zh-TW"/>
      </w:rPr>
      <w:t>52</w:t>
    </w:r>
    <w:r>
      <w:rPr>
        <w:noProof/>
        <w:lang w:val="zh-TW"/>
      </w:rPr>
      <w:fldChar w:fldCharType="end"/>
    </w:r>
  </w:p>
  <w:p w:rsidR="00630BD8" w:rsidRDefault="00630BD8" w:rsidP="00986C9C">
    <w:pPr>
      <w:pStyle w:val="a9"/>
      <w:jc w:val="center"/>
    </w:pPr>
    <w:r w:rsidRPr="001E62D4">
      <w:t xml:space="preserve">© </w:t>
    </w:r>
    <w:r w:rsidRPr="00FB01FC">
      <w:rPr>
        <w:rFonts w:eastAsia="標楷體" w:hAnsi="標楷體" w:hint="eastAsia"/>
        <w:bCs/>
      </w:rPr>
      <w:t>201</w:t>
    </w:r>
    <w:r>
      <w:rPr>
        <w:rFonts w:eastAsia="標楷體" w:hAnsi="標楷體" w:hint="eastAsia"/>
        <w:bCs/>
      </w:rPr>
      <w:t>7</w:t>
    </w:r>
    <w:r w:rsidRPr="00FB01FC">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937" w:rsidRDefault="005F1937">
      <w:r>
        <w:separator/>
      </w:r>
    </w:p>
  </w:footnote>
  <w:footnote w:type="continuationSeparator" w:id="0">
    <w:p w:rsidR="005F1937" w:rsidRDefault="005F1937">
      <w:r>
        <w:continuationSeparator/>
      </w:r>
    </w:p>
  </w:footnote>
  <w:footnote w:id="1">
    <w:p w:rsidR="00630BD8" w:rsidRDefault="00630BD8" w:rsidP="00596949">
      <w:pPr>
        <w:pStyle w:val="af1"/>
      </w:pPr>
      <w:r>
        <w:rPr>
          <w:rStyle w:val="af2"/>
        </w:rPr>
        <w:footnoteRef/>
      </w:r>
      <w:r>
        <w:t xml:space="preserve"> </w:t>
      </w:r>
      <w:r>
        <w:rPr>
          <w:rFonts w:hint="eastAsia"/>
        </w:rPr>
        <w:t>資料來源</w:t>
      </w:r>
      <w:r>
        <w:rPr>
          <w:rFonts w:hint="eastAsia"/>
        </w:rPr>
        <w:t xml:space="preserve">: </w:t>
      </w:r>
      <w:hyperlink r:id="rId1" w:history="1">
        <w:r w:rsidRPr="005B356E">
          <w:rPr>
            <w:rStyle w:val="a4"/>
            <w:color w:val="000000" w:themeColor="text1"/>
            <w:u w:val="none"/>
          </w:rPr>
          <w:t>http://www2.itis.org.tw/PubReport/PubReport_Detail.aspx?rpno=57578462</w:t>
        </w:r>
      </w:hyperlink>
    </w:p>
    <w:p w:rsidR="00630BD8" w:rsidRPr="001C47E9" w:rsidRDefault="00630BD8" w:rsidP="001C47E9">
      <w:pPr>
        <w:pStyle w:val="af1"/>
      </w:pPr>
      <w:r w:rsidRPr="001C47E9">
        <w:t>http://www.ettoday.net/news/20151024/585116.htm?feature=profile_002&amp;tab_id=303</w:t>
      </w:r>
    </w:p>
    <w:p w:rsidR="00630BD8" w:rsidRPr="00DE1A53" w:rsidRDefault="00630BD8" w:rsidP="00596949">
      <w:pPr>
        <w:pStyle w:val="af1"/>
      </w:pPr>
    </w:p>
  </w:footnote>
  <w:footnote w:id="2">
    <w:p w:rsidR="00630BD8" w:rsidRPr="005642E7" w:rsidRDefault="00630BD8" w:rsidP="00596949">
      <w:pPr>
        <w:pStyle w:val="af1"/>
      </w:pPr>
      <w:r>
        <w:rPr>
          <w:rStyle w:val="af2"/>
        </w:rPr>
        <w:footnoteRef/>
      </w:r>
      <w:r>
        <w:t xml:space="preserve"> </w:t>
      </w:r>
      <w:r>
        <w:rPr>
          <w:rFonts w:hint="eastAsia"/>
        </w:rPr>
        <w:t>資料來源</w:t>
      </w:r>
      <w:r>
        <w:rPr>
          <w:rFonts w:hint="eastAsia"/>
        </w:rPr>
        <w:t xml:space="preserve">: </w:t>
      </w:r>
      <w:r w:rsidRPr="0092589D">
        <w:t>http://www.bm.nfu.edu.tw/Chinese/download/PwuTsai/ind07.pdf</w:t>
      </w:r>
    </w:p>
  </w:footnote>
  <w:footnote w:id="3">
    <w:p w:rsidR="00630BD8" w:rsidRPr="00075F43" w:rsidRDefault="00630BD8" w:rsidP="00596949">
      <w:pPr>
        <w:pStyle w:val="af1"/>
      </w:pPr>
      <w:r w:rsidRPr="00C217B6">
        <w:rPr>
          <w:rStyle w:val="af2"/>
        </w:rPr>
        <w:footnoteRef/>
      </w:r>
      <w:r w:rsidRPr="00C217B6">
        <w:t xml:space="preserve"> </w:t>
      </w:r>
      <w:r w:rsidRPr="00C217B6">
        <w:rPr>
          <w:rFonts w:hint="eastAsia"/>
        </w:rPr>
        <w:t>資料來源</w:t>
      </w:r>
      <w:r w:rsidRPr="00C217B6">
        <w:t xml:space="preserve">: </w:t>
      </w:r>
      <w:proofErr w:type="gramStart"/>
      <w:r w:rsidRPr="00C217B6">
        <w:t>106</w:t>
      </w:r>
      <w:proofErr w:type="gramEnd"/>
      <w:r w:rsidRPr="00C217B6">
        <w:rPr>
          <w:rFonts w:hint="eastAsia"/>
        </w:rPr>
        <w:t>年度股市總</w:t>
      </w:r>
      <w:proofErr w:type="gramStart"/>
      <w:r w:rsidRPr="00C217B6">
        <w:rPr>
          <w:rFonts w:hint="eastAsia"/>
        </w:rPr>
        <w:t>覽</w:t>
      </w:r>
      <w:proofErr w:type="gramEnd"/>
    </w:p>
  </w:footnote>
  <w:footnote w:id="4">
    <w:p w:rsidR="00630BD8" w:rsidRPr="00684F74" w:rsidRDefault="00630BD8" w:rsidP="00596949">
      <w:pPr>
        <w:pStyle w:val="af1"/>
      </w:pPr>
      <w:r>
        <w:rPr>
          <w:rStyle w:val="af2"/>
        </w:rPr>
        <w:footnoteRef/>
      </w:r>
      <w:r>
        <w:t xml:space="preserve"> </w:t>
      </w:r>
      <w:r>
        <w:rPr>
          <w:rFonts w:hint="eastAsia"/>
        </w:rPr>
        <w:t>資料來源</w:t>
      </w:r>
      <w:r>
        <w:rPr>
          <w:rFonts w:hint="eastAsia"/>
        </w:rPr>
        <w:t>:</w:t>
      </w:r>
      <w:r w:rsidRPr="007431D9">
        <w:t xml:space="preserve"> </w:t>
      </w:r>
      <w:r w:rsidRPr="003837BA">
        <w:t>http://big5.chinairn.com/news/20140212/114707601.html</w:t>
      </w:r>
    </w:p>
  </w:footnote>
  <w:footnote w:id="5">
    <w:p w:rsidR="00630BD8" w:rsidRDefault="00630BD8" w:rsidP="001E7072">
      <w:pPr>
        <w:pStyle w:val="af1"/>
        <w:rPr>
          <w:rFonts w:hAnsi="新細明體"/>
        </w:rPr>
      </w:pPr>
      <w:r>
        <w:rPr>
          <w:rStyle w:val="af2"/>
        </w:rPr>
        <w:footnoteRef/>
      </w:r>
      <w:r>
        <w:t xml:space="preserve"> </w:t>
      </w:r>
      <w:r w:rsidRPr="00E40652">
        <w:rPr>
          <w:rFonts w:hAnsi="新細明體"/>
        </w:rPr>
        <w:t>「</w:t>
      </w:r>
      <w:proofErr w:type="gramStart"/>
      <w:r w:rsidRPr="00E40652">
        <w:rPr>
          <w:rFonts w:hAnsi="新細明體"/>
        </w:rPr>
        <w:t>機能性紡品</w:t>
      </w:r>
      <w:proofErr w:type="gramEnd"/>
      <w:r w:rsidRPr="00E40652">
        <w:rPr>
          <w:rFonts w:hAnsi="新細明體"/>
        </w:rPr>
        <w:t>」可以概略以「舒適性」跟「安全性」兩種功能取向來做區分，舒適性包括彈性、</w:t>
      </w:r>
    </w:p>
    <w:p w:rsidR="00630BD8" w:rsidRPr="00393B2D" w:rsidRDefault="00630BD8" w:rsidP="001E7072">
      <w:pPr>
        <w:pStyle w:val="af1"/>
      </w:pPr>
      <w:r w:rsidRPr="00E40652">
        <w:rPr>
          <w:rFonts w:hAnsi="新細明體"/>
        </w:rPr>
        <w:t>涼爽或吸濕排汗的功能；安全性則例如抗紫外線、防火、</w:t>
      </w:r>
      <w:proofErr w:type="gramStart"/>
      <w:r w:rsidRPr="00E40652">
        <w:rPr>
          <w:rFonts w:hAnsi="新細明體"/>
        </w:rPr>
        <w:t>阻燃</w:t>
      </w:r>
      <w:proofErr w:type="gramEnd"/>
      <w:r w:rsidRPr="00E40652">
        <w:rPr>
          <w:rFonts w:hAnsi="新細明體"/>
        </w:rPr>
        <w:t>、抗菌、高強力的功能。</w:t>
      </w:r>
    </w:p>
  </w:footnote>
  <w:footnote w:id="6">
    <w:p w:rsidR="00630BD8" w:rsidRPr="00AA0DD0" w:rsidRDefault="00630BD8" w:rsidP="000D4180">
      <w:pPr>
        <w:pStyle w:val="af1"/>
      </w:pPr>
      <w:r>
        <w:rPr>
          <w:rStyle w:val="af2"/>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 w:id="7">
    <w:p w:rsidR="00630BD8" w:rsidRPr="00C0551B" w:rsidRDefault="00630BD8" w:rsidP="00876C5E">
      <w:pPr>
        <w:pStyle w:val="af1"/>
      </w:pPr>
      <w:r w:rsidRPr="00C0551B">
        <w:rPr>
          <w:rStyle w:val="af2"/>
        </w:rPr>
        <w:footnoteRef/>
      </w:r>
      <w:r w:rsidRPr="00C0551B">
        <w:rPr>
          <w:rFonts w:ascii="Arial" w:hAnsi="Arial" w:cs="Arial" w:hint="eastAsia"/>
        </w:rPr>
        <w:t xml:space="preserve"> </w:t>
      </w:r>
      <w:r w:rsidRPr="00C0551B">
        <w:rPr>
          <w:rFonts w:ascii="Arial" w:hAnsi="Arial" w:cs="Arial"/>
        </w:rPr>
        <w:t>美國基本利率</w:t>
      </w:r>
      <w:r w:rsidRPr="00C0551B">
        <w:rPr>
          <w:rFonts w:ascii="Arial" w:hAnsi="Arial" w:cs="Arial" w:hint="eastAsia"/>
        </w:rPr>
        <w:t>（</w:t>
      </w:r>
      <w:r w:rsidRPr="00C0551B">
        <w:rPr>
          <w:rFonts w:ascii="Arial" w:hAnsi="Arial" w:cs="Arial"/>
        </w:rPr>
        <w:t>US Prime Rate</w:t>
      </w:r>
      <w:r w:rsidRPr="00C0551B">
        <w:rPr>
          <w:rFonts w:ascii="Arial" w:hAnsi="Arial" w:cs="Arial" w:hint="eastAsia"/>
        </w:rPr>
        <w:t>）：</w:t>
      </w:r>
      <w:r w:rsidRPr="00C0551B">
        <w:rPr>
          <w:rFonts w:ascii="Arial" w:hAnsi="Arial" w:cs="Arial"/>
        </w:rPr>
        <w:t>美國銀行向其主要企業客戶貸款所依照的利率</w:t>
      </w:r>
      <w:r w:rsidRPr="00C0551B">
        <w:rPr>
          <w:rFonts w:ascii="Arial" w:hAnsi="Arial" w:cs="Arial" w:hint="eastAsia"/>
        </w:rPr>
        <w:t>。</w:t>
      </w:r>
    </w:p>
  </w:footnote>
  <w:footnote w:id="8">
    <w:p w:rsidR="00630BD8" w:rsidRDefault="00630BD8" w:rsidP="00DE220A">
      <w:pPr>
        <w:pStyle w:val="af1"/>
      </w:pPr>
      <w:r>
        <w:rPr>
          <w:rStyle w:val="af2"/>
        </w:rPr>
        <w:footnoteRef/>
      </w:r>
      <w:r>
        <w:rPr>
          <w:rFonts w:eastAsia="標楷體" w:hAnsi="標楷體" w:hint="eastAsia"/>
        </w:rPr>
        <w:t xml:space="preserve"> </w:t>
      </w:r>
      <w:r w:rsidRPr="002A2997">
        <w:rPr>
          <w:rFonts w:ascii="新細明體" w:hAnsi="新細明體"/>
        </w:rPr>
        <w:t>毛利/購進之成本</w:t>
      </w:r>
      <w:r>
        <w:rPr>
          <w:rFonts w:ascii="新細明體" w:hAnsi="新細明體" w:hint="eastAsia"/>
        </w:rPr>
        <w:t>或自行製造之成本</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A63CF7">
    <w:pPr>
      <w:pStyle w:val="a8"/>
    </w:pPr>
    <w:r>
      <w:rPr>
        <w:noProof/>
      </w:rPr>
      <mc:AlternateContent>
        <mc:Choice Requires="wps">
          <w:drawing>
            <wp:anchor distT="0" distB="0" distL="114300" distR="114300" simplePos="0" relativeHeight="251660800" behindDoc="0" locked="0" layoutInCell="1" allowOverlap="1">
              <wp:simplePos x="0" y="0"/>
              <wp:positionH relativeFrom="column">
                <wp:posOffset>4012565</wp:posOffset>
              </wp:positionH>
              <wp:positionV relativeFrom="paragraph">
                <wp:posOffset>6985</wp:posOffset>
              </wp:positionV>
              <wp:extent cx="1453515" cy="586740"/>
              <wp:effectExtent l="2540" t="4445" r="1270" b="0"/>
              <wp:wrapNone/>
              <wp:docPr id="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BD8" w:rsidRDefault="00630BD8" w:rsidP="00953261">
                          <w:pPr>
                            <w:jc w:val="right"/>
                            <w:rPr>
                              <w:rFonts w:eastAsia="標楷體" w:hAnsi="標楷體"/>
                              <w:bCs/>
                              <w:color w:val="0070C0"/>
                              <w:sz w:val="20"/>
                              <w:szCs w:val="20"/>
                            </w:rPr>
                          </w:pPr>
                          <w:proofErr w:type="gramStart"/>
                          <w:r w:rsidRPr="00694D0C">
                            <w:rPr>
                              <w:rFonts w:eastAsia="標楷體" w:hAnsi="標楷體" w:hint="eastAsia"/>
                              <w:bCs/>
                              <w:sz w:val="20"/>
                              <w:szCs w:val="20"/>
                            </w:rPr>
                            <w:t>瀚</w:t>
                          </w:r>
                          <w:proofErr w:type="gramEnd"/>
                          <w:r w:rsidRPr="00694D0C">
                            <w:rPr>
                              <w:rFonts w:eastAsia="標楷體" w:hAnsi="標楷體" w:hint="eastAsia"/>
                              <w:bCs/>
                              <w:sz w:val="20"/>
                              <w:szCs w:val="20"/>
                            </w:rPr>
                            <w:t>昌股份有限公司</w:t>
                          </w:r>
                        </w:p>
                        <w:p w:rsidR="00630BD8" w:rsidRDefault="00630BD8" w:rsidP="00953261">
                          <w:pPr>
                            <w:jc w:val="right"/>
                            <w:rPr>
                              <w:rFonts w:eastAsia="標楷體" w:hAnsi="標楷體"/>
                              <w:bCs/>
                              <w:sz w:val="20"/>
                              <w:szCs w:val="20"/>
                            </w:rPr>
                          </w:pPr>
                          <w:r w:rsidRPr="005A73C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630BD8" w:rsidRPr="0087751B" w:rsidRDefault="00630BD8" w:rsidP="00953261">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8" type="#_x0000_t202" style="position:absolute;margin-left:315.95pt;margin-top:.55pt;width:114.45pt;height:46.2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" filled="f" stroked="f">
              <v:textbox style="mso-fit-shape-to-text:t">
                <w:txbxContent>
                  <w:p w:rsidR="00630BD8" w:rsidRDefault="00630BD8" w:rsidP="00953261">
                    <w:pPr>
                      <w:jc w:val="right"/>
                      <w:rPr>
                        <w:rFonts w:eastAsia="標楷體" w:hAnsi="標楷體"/>
                        <w:bCs/>
                        <w:color w:val="0070C0"/>
                        <w:sz w:val="20"/>
                        <w:szCs w:val="20"/>
                      </w:rPr>
                    </w:pPr>
                    <w:r w:rsidRPr="00694D0C">
                      <w:rPr>
                        <w:rFonts w:eastAsia="標楷體" w:hAnsi="標楷體" w:hint="eastAsia"/>
                        <w:bCs/>
                        <w:sz w:val="20"/>
                        <w:szCs w:val="20"/>
                      </w:rPr>
                      <w:t>瀚昌股份有限公司</w:t>
                    </w:r>
                  </w:p>
                  <w:p w:rsidR="00630BD8" w:rsidRDefault="00630BD8" w:rsidP="00953261">
                    <w:pPr>
                      <w:jc w:val="right"/>
                      <w:rPr>
                        <w:rFonts w:eastAsia="標楷體" w:hAnsi="標楷體"/>
                        <w:bCs/>
                        <w:sz w:val="20"/>
                        <w:szCs w:val="20"/>
                      </w:rPr>
                    </w:pPr>
                    <w:r w:rsidRPr="005A73C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630BD8" w:rsidRPr="0087751B" w:rsidRDefault="00630BD8" w:rsidP="00953261">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A63CF7">
    <w:pPr>
      <w:pStyle w:val="a8"/>
    </w:pPr>
    <w:r>
      <w:rPr>
        <w:noProof/>
      </w:rPr>
      <mc:AlternateContent>
        <mc:Choice Requires="wps">
          <w:drawing>
            <wp:anchor distT="0" distB="0" distL="114300" distR="114300" simplePos="0" relativeHeight="251661824" behindDoc="0" locked="0" layoutInCell="1" allowOverlap="1">
              <wp:simplePos x="0" y="0"/>
              <wp:positionH relativeFrom="column">
                <wp:posOffset>3990340</wp:posOffset>
              </wp:positionH>
              <wp:positionV relativeFrom="paragraph">
                <wp:posOffset>42545</wp:posOffset>
              </wp:positionV>
              <wp:extent cx="1453515" cy="586740"/>
              <wp:effectExtent l="0" t="1905" r="4445" b="1905"/>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BD8" w:rsidRPr="00FB01FC" w:rsidRDefault="00630BD8" w:rsidP="00953261">
                          <w:pPr>
                            <w:jc w:val="right"/>
                            <w:rPr>
                              <w:rFonts w:eastAsia="標楷體" w:hAnsi="標楷體"/>
                              <w:bCs/>
                              <w:sz w:val="20"/>
                              <w:szCs w:val="20"/>
                            </w:rPr>
                          </w:pPr>
                          <w:proofErr w:type="gramStart"/>
                          <w:r w:rsidRPr="00694D0C">
                            <w:rPr>
                              <w:rFonts w:eastAsia="標楷體" w:hAnsi="標楷體" w:hint="eastAsia"/>
                              <w:bCs/>
                              <w:sz w:val="20"/>
                              <w:szCs w:val="20"/>
                            </w:rPr>
                            <w:t>瀚</w:t>
                          </w:r>
                          <w:proofErr w:type="gramEnd"/>
                          <w:r w:rsidRPr="00FB01FC">
                            <w:rPr>
                              <w:rFonts w:eastAsia="標楷體" w:hAnsi="標楷體" w:hint="eastAsia"/>
                              <w:bCs/>
                              <w:sz w:val="20"/>
                              <w:szCs w:val="20"/>
                            </w:rPr>
                            <w:t>昌股份有限公司</w:t>
                          </w:r>
                        </w:p>
                        <w:p w:rsidR="00630BD8" w:rsidRDefault="00630BD8" w:rsidP="00953261">
                          <w:pPr>
                            <w:jc w:val="right"/>
                            <w:rPr>
                              <w:rFonts w:eastAsia="標楷體" w:hAnsi="標楷體"/>
                              <w:bCs/>
                              <w:sz w:val="20"/>
                              <w:szCs w:val="20"/>
                            </w:rPr>
                          </w:pPr>
                          <w:r w:rsidRPr="00FB01FC">
                            <w:rPr>
                              <w:rFonts w:eastAsia="標楷體" w:hAnsi="標楷體" w:hint="eastAsia"/>
                              <w:bCs/>
                              <w:sz w:val="20"/>
                              <w:szCs w:val="20"/>
                            </w:rPr>
                            <w:t>10</w:t>
                          </w:r>
                          <w:r>
                            <w:rPr>
                              <w:rFonts w:eastAsia="標楷體" w:hAnsi="標楷體" w:hint="eastAsia"/>
                              <w:bCs/>
                              <w:sz w:val="20"/>
                              <w:szCs w:val="20"/>
                            </w:rPr>
                            <w:t>5</w:t>
                          </w:r>
                          <w:r w:rsidRPr="00FB01FC">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630BD8" w:rsidRPr="000E26E4" w:rsidRDefault="00630BD8" w:rsidP="00953261">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79" type="#_x0000_t202" style="position:absolute;margin-left:314.2pt;margin-top:3.35pt;width:114.45pt;height:46.2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GZ3uA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" filled="f" stroked="f">
              <v:textbox style="mso-fit-shape-to-text:t">
                <w:txbxContent>
                  <w:p w:rsidR="00630BD8" w:rsidRPr="00FB01FC" w:rsidRDefault="00630BD8" w:rsidP="00953261">
                    <w:pPr>
                      <w:jc w:val="right"/>
                      <w:rPr>
                        <w:rFonts w:eastAsia="標楷體" w:hAnsi="標楷體"/>
                        <w:bCs/>
                        <w:sz w:val="20"/>
                        <w:szCs w:val="20"/>
                      </w:rPr>
                    </w:pPr>
                    <w:r w:rsidRPr="00694D0C">
                      <w:rPr>
                        <w:rFonts w:eastAsia="標楷體" w:hAnsi="標楷體" w:hint="eastAsia"/>
                        <w:bCs/>
                        <w:sz w:val="20"/>
                        <w:szCs w:val="20"/>
                      </w:rPr>
                      <w:t>瀚</w:t>
                    </w:r>
                    <w:r w:rsidRPr="00FB01FC">
                      <w:rPr>
                        <w:rFonts w:eastAsia="標楷體" w:hAnsi="標楷體" w:hint="eastAsia"/>
                        <w:bCs/>
                        <w:sz w:val="20"/>
                        <w:szCs w:val="20"/>
                      </w:rPr>
                      <w:t>昌股份有限公司</w:t>
                    </w:r>
                  </w:p>
                  <w:p w:rsidR="00630BD8" w:rsidRDefault="00630BD8" w:rsidP="00953261">
                    <w:pPr>
                      <w:jc w:val="right"/>
                      <w:rPr>
                        <w:rFonts w:eastAsia="標楷體" w:hAnsi="標楷體"/>
                        <w:bCs/>
                        <w:sz w:val="20"/>
                        <w:szCs w:val="20"/>
                      </w:rPr>
                    </w:pPr>
                    <w:r w:rsidRPr="00FB01FC">
                      <w:rPr>
                        <w:rFonts w:eastAsia="標楷體" w:hAnsi="標楷體" w:hint="eastAsia"/>
                        <w:bCs/>
                        <w:sz w:val="20"/>
                        <w:szCs w:val="20"/>
                      </w:rPr>
                      <w:t>10</w:t>
                    </w:r>
                    <w:r>
                      <w:rPr>
                        <w:rFonts w:eastAsia="標楷體" w:hAnsi="標楷體" w:hint="eastAsia"/>
                        <w:bCs/>
                        <w:sz w:val="20"/>
                        <w:szCs w:val="20"/>
                      </w:rPr>
                      <w:t>5</w:t>
                    </w:r>
                    <w:r w:rsidRPr="00FB01FC">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630BD8" w:rsidRPr="000E26E4" w:rsidRDefault="00630BD8" w:rsidP="00953261">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A63CF7">
    <w:pPr>
      <w:pStyle w:val="a8"/>
    </w:pPr>
    <w:r>
      <w:rPr>
        <w:noProof/>
      </w:rPr>
      <mc:AlternateContent>
        <mc:Choice Requires="wps">
          <w:drawing>
            <wp:anchor distT="0" distB="0" distL="114300" distR="114300" simplePos="0" relativeHeight="251662848" behindDoc="0" locked="0" layoutInCell="1" allowOverlap="1">
              <wp:simplePos x="0" y="0"/>
              <wp:positionH relativeFrom="column">
                <wp:posOffset>4018915</wp:posOffset>
              </wp:positionH>
              <wp:positionV relativeFrom="paragraph">
                <wp:posOffset>42545</wp:posOffset>
              </wp:positionV>
              <wp:extent cx="1453515" cy="586740"/>
              <wp:effectExtent l="0" t="1905" r="4445" b="1905"/>
              <wp:wrapNone/>
              <wp:docPr id="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BD8" w:rsidRPr="00FB01FC" w:rsidRDefault="00630BD8" w:rsidP="00174819">
                          <w:pPr>
                            <w:jc w:val="right"/>
                            <w:rPr>
                              <w:rFonts w:eastAsia="標楷體" w:hAnsi="標楷體"/>
                              <w:bCs/>
                              <w:sz w:val="20"/>
                              <w:szCs w:val="20"/>
                            </w:rPr>
                          </w:pPr>
                          <w:proofErr w:type="gramStart"/>
                          <w:r w:rsidRPr="00694D0C">
                            <w:rPr>
                              <w:rFonts w:eastAsia="標楷體" w:hAnsi="標楷體" w:hint="eastAsia"/>
                              <w:bCs/>
                              <w:sz w:val="20"/>
                              <w:szCs w:val="20"/>
                            </w:rPr>
                            <w:t>瀚</w:t>
                          </w:r>
                          <w:proofErr w:type="gramEnd"/>
                          <w:r w:rsidRPr="00FB01FC">
                            <w:rPr>
                              <w:rFonts w:eastAsia="標楷體" w:hAnsi="標楷體" w:hint="eastAsia"/>
                              <w:bCs/>
                              <w:sz w:val="20"/>
                              <w:szCs w:val="20"/>
                            </w:rPr>
                            <w:t>昌股份有限公司</w:t>
                          </w:r>
                        </w:p>
                        <w:p w:rsidR="00630BD8" w:rsidRDefault="00630BD8" w:rsidP="00174819">
                          <w:pPr>
                            <w:jc w:val="right"/>
                            <w:rPr>
                              <w:rFonts w:eastAsia="標楷體" w:hAnsi="標楷體"/>
                              <w:bCs/>
                              <w:sz w:val="20"/>
                              <w:szCs w:val="20"/>
                            </w:rPr>
                          </w:pPr>
                          <w:r w:rsidRPr="00FB01FC">
                            <w:rPr>
                              <w:rFonts w:eastAsia="標楷體" w:hAnsi="標楷體" w:hint="eastAsia"/>
                              <w:bCs/>
                              <w:sz w:val="20"/>
                              <w:szCs w:val="20"/>
                            </w:rPr>
                            <w:t>10</w:t>
                          </w:r>
                          <w:r>
                            <w:rPr>
                              <w:rFonts w:eastAsia="標楷體" w:hAnsi="標楷體" w:hint="eastAsia"/>
                              <w:bCs/>
                              <w:sz w:val="20"/>
                              <w:szCs w:val="20"/>
                            </w:rPr>
                            <w:t>5</w:t>
                          </w:r>
                          <w:r w:rsidRPr="00FB01FC">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630BD8" w:rsidRPr="000E26E4" w:rsidRDefault="00630BD8" w:rsidP="00174819">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4" o:spid="_x0000_s1080" type="#_x0000_t202" style="position:absolute;margin-left:316.45pt;margin-top:3.35pt;width:114.45pt;height:46.2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" filled="f" stroked="f">
              <v:textbox style="mso-fit-shape-to-text:t">
                <w:txbxContent>
                  <w:p w:rsidR="00630BD8" w:rsidRPr="00FB01FC" w:rsidRDefault="00630BD8" w:rsidP="00174819">
                    <w:pPr>
                      <w:jc w:val="right"/>
                      <w:rPr>
                        <w:rFonts w:eastAsia="標楷體" w:hAnsi="標楷體"/>
                        <w:bCs/>
                        <w:sz w:val="20"/>
                        <w:szCs w:val="20"/>
                      </w:rPr>
                    </w:pPr>
                    <w:r w:rsidRPr="00694D0C">
                      <w:rPr>
                        <w:rFonts w:eastAsia="標楷體" w:hAnsi="標楷體" w:hint="eastAsia"/>
                        <w:bCs/>
                        <w:sz w:val="20"/>
                        <w:szCs w:val="20"/>
                      </w:rPr>
                      <w:t>瀚</w:t>
                    </w:r>
                    <w:r w:rsidRPr="00FB01FC">
                      <w:rPr>
                        <w:rFonts w:eastAsia="標楷體" w:hAnsi="標楷體" w:hint="eastAsia"/>
                        <w:bCs/>
                        <w:sz w:val="20"/>
                        <w:szCs w:val="20"/>
                      </w:rPr>
                      <w:t>昌股份有限公司</w:t>
                    </w:r>
                  </w:p>
                  <w:p w:rsidR="00630BD8" w:rsidRDefault="00630BD8" w:rsidP="00174819">
                    <w:pPr>
                      <w:jc w:val="right"/>
                      <w:rPr>
                        <w:rFonts w:eastAsia="標楷體" w:hAnsi="標楷體"/>
                        <w:bCs/>
                        <w:sz w:val="20"/>
                        <w:szCs w:val="20"/>
                      </w:rPr>
                    </w:pPr>
                    <w:r w:rsidRPr="00FB01FC">
                      <w:rPr>
                        <w:rFonts w:eastAsia="標楷體" w:hAnsi="標楷體" w:hint="eastAsia"/>
                        <w:bCs/>
                        <w:sz w:val="20"/>
                        <w:szCs w:val="20"/>
                      </w:rPr>
                      <w:t>10</w:t>
                    </w:r>
                    <w:r>
                      <w:rPr>
                        <w:rFonts w:eastAsia="標楷體" w:hAnsi="標楷體" w:hint="eastAsia"/>
                        <w:bCs/>
                        <w:sz w:val="20"/>
                        <w:szCs w:val="20"/>
                      </w:rPr>
                      <w:t>5</w:t>
                    </w:r>
                    <w:r w:rsidRPr="00FB01FC">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630BD8" w:rsidRPr="000E26E4" w:rsidRDefault="00630BD8" w:rsidP="00174819">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A63CF7">
    <w:pPr>
      <w:pStyle w:val="a8"/>
    </w:pPr>
    <w:r>
      <w:rPr>
        <w:noProof/>
      </w:rPr>
      <mc:AlternateContent>
        <mc:Choice Requires="wps">
          <w:drawing>
            <wp:anchor distT="0" distB="0" distL="114300" distR="114300" simplePos="0" relativeHeight="251658752" behindDoc="0" locked="0" layoutInCell="1" allowOverlap="1">
              <wp:simplePos x="0" y="0"/>
              <wp:positionH relativeFrom="column">
                <wp:posOffset>-18415</wp:posOffset>
              </wp:positionH>
              <wp:positionV relativeFrom="paragraph">
                <wp:posOffset>675005</wp:posOffset>
              </wp:positionV>
              <wp:extent cx="5829300" cy="0"/>
              <wp:effectExtent l="10160" t="8255" r="8890" b="10795"/>
              <wp:wrapNone/>
              <wp:docPr id="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zZ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Q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Tdw82RYCAAAqBAAADgAAAAAAAAAAAAAAAAAuAgAAZHJzL2Uyb0RvYy54bWxQSwECLQAUAAYA&#10;CAAAACEAY30zst8AAAAKAQAADwAAAAAAAAAAAAAAAABwBAAAZHJzL2Rvd25yZXYueG1sUEsFBgAA&#10;AAAEAAQA8wAAAHwFAAAAAA==&#10;" strokecolor="#00009a" strokeweight="1.25pt"/>
          </w:pict>
        </mc:Fallback>
      </mc:AlternateContent>
    </w:r>
    <w:r w:rsidR="00630BD8">
      <w:rPr>
        <w:noProof/>
      </w:rPr>
      <w:drawing>
        <wp:inline distT="0" distB="0" distL="0" distR="0">
          <wp:extent cx="2286000" cy="609600"/>
          <wp:effectExtent l="19050" t="0" r="0" b="0"/>
          <wp:docPr id="9"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A63CF7">
    <w:pPr>
      <w:pStyle w:val="a8"/>
    </w:pPr>
    <w:r>
      <w:rPr>
        <w:noProof/>
      </w:rPr>
      <mc:AlternateContent>
        <mc:Choice Requires="wps">
          <w:drawing>
            <wp:anchor distT="0" distB="0" distL="114300" distR="114300" simplePos="0" relativeHeight="251659776" behindDoc="0" locked="0" layoutInCell="1" allowOverlap="1">
              <wp:simplePos x="0" y="0"/>
              <wp:positionH relativeFrom="column">
                <wp:posOffset>3992245</wp:posOffset>
              </wp:positionH>
              <wp:positionV relativeFrom="paragraph">
                <wp:posOffset>63500</wp:posOffset>
              </wp:positionV>
              <wp:extent cx="1453515" cy="586740"/>
              <wp:effectExtent l="1270" t="3810" r="2540" b="0"/>
              <wp:wrapNone/>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BD8" w:rsidRPr="00694D0C" w:rsidRDefault="00630BD8" w:rsidP="00FB55C1">
                          <w:pPr>
                            <w:jc w:val="right"/>
                            <w:rPr>
                              <w:rFonts w:eastAsia="標楷體" w:hAnsi="標楷體"/>
                              <w:bCs/>
                              <w:sz w:val="20"/>
                              <w:szCs w:val="20"/>
                            </w:rPr>
                          </w:pPr>
                          <w:proofErr w:type="gramStart"/>
                          <w:r w:rsidRPr="00694D0C">
                            <w:rPr>
                              <w:rFonts w:eastAsia="標楷體" w:hAnsi="標楷體" w:hint="eastAsia"/>
                              <w:bCs/>
                              <w:sz w:val="20"/>
                              <w:szCs w:val="20"/>
                            </w:rPr>
                            <w:t>瀚</w:t>
                          </w:r>
                          <w:proofErr w:type="gramEnd"/>
                          <w:r w:rsidRPr="00694D0C">
                            <w:rPr>
                              <w:rFonts w:eastAsia="標楷體" w:hAnsi="標楷體" w:hint="eastAsia"/>
                              <w:bCs/>
                              <w:sz w:val="20"/>
                              <w:szCs w:val="20"/>
                            </w:rPr>
                            <w:t>昌股份有限公司</w:t>
                          </w:r>
                        </w:p>
                        <w:p w:rsidR="00630BD8" w:rsidRDefault="00630BD8" w:rsidP="00FB55C1">
                          <w:pPr>
                            <w:jc w:val="right"/>
                            <w:rPr>
                              <w:rFonts w:eastAsia="標楷體" w:hAnsi="標楷體"/>
                              <w:bCs/>
                              <w:sz w:val="20"/>
                              <w:szCs w:val="20"/>
                            </w:rPr>
                          </w:pPr>
                          <w:r w:rsidRPr="00694D0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630BD8" w:rsidRPr="007C04EB" w:rsidRDefault="00630BD8" w:rsidP="00FB55C1">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7" type="#_x0000_t202" style="position:absolute;margin-left:314.35pt;margin-top:5pt;width:114.45pt;height:46.2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" filled="f" stroked="f">
              <v:textbox style="mso-fit-shape-to-text:t">
                <w:txbxContent>
                  <w:p w:rsidR="00630BD8" w:rsidRPr="00694D0C" w:rsidRDefault="00630BD8" w:rsidP="00FB55C1">
                    <w:pPr>
                      <w:jc w:val="right"/>
                      <w:rPr>
                        <w:rFonts w:eastAsia="標楷體" w:hAnsi="標楷體"/>
                        <w:bCs/>
                        <w:sz w:val="20"/>
                        <w:szCs w:val="20"/>
                      </w:rPr>
                    </w:pPr>
                    <w:r w:rsidRPr="00694D0C">
                      <w:rPr>
                        <w:rFonts w:eastAsia="標楷體" w:hAnsi="標楷體" w:hint="eastAsia"/>
                        <w:bCs/>
                        <w:sz w:val="20"/>
                        <w:szCs w:val="20"/>
                      </w:rPr>
                      <w:t>瀚昌股份有限公司</w:t>
                    </w:r>
                  </w:p>
                  <w:p w:rsidR="00630BD8" w:rsidRDefault="00630BD8" w:rsidP="00FB55C1">
                    <w:pPr>
                      <w:jc w:val="right"/>
                      <w:rPr>
                        <w:rFonts w:eastAsia="標楷體" w:hAnsi="標楷體"/>
                        <w:bCs/>
                        <w:sz w:val="20"/>
                        <w:szCs w:val="20"/>
                      </w:rPr>
                    </w:pPr>
                    <w:r w:rsidRPr="00694D0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630BD8" w:rsidRPr="007C04EB" w:rsidRDefault="00630BD8" w:rsidP="00FB55C1">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BD8" w:rsidRDefault="00630BD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28"/>
      </v:shape>
    </w:pict>
  </w:numPicBullet>
  <w:abstractNum w:abstractNumId="0">
    <w:nsid w:val="00904EC7"/>
    <w:multiLevelType w:val="hybridMultilevel"/>
    <w:tmpl w:val="DFA078DE"/>
    <w:lvl w:ilvl="0" w:tplc="7B0E30E4">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3">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1206DD8"/>
    <w:multiLevelType w:val="hybridMultilevel"/>
    <w:tmpl w:val="B19C3EAA"/>
    <w:lvl w:ilvl="0" w:tplc="04090001">
      <w:start w:val="1"/>
      <w:numFmt w:val="bullet"/>
      <w:lvlText w:val=""/>
      <w:lvlJc w:val="left"/>
      <w:pPr>
        <w:ind w:left="1190" w:hanging="480"/>
      </w:pPr>
      <w:rPr>
        <w:rFonts w:ascii="Wingdings" w:hAnsi="Wingdings" w:hint="default"/>
        <w:b/>
        <w:color w:val="auto"/>
      </w:rPr>
    </w:lvl>
    <w:lvl w:ilvl="1" w:tplc="04090003" w:tentative="1">
      <w:start w:val="1"/>
      <w:numFmt w:val="bullet"/>
      <w:lvlText w:val=""/>
      <w:lvlJc w:val="left"/>
      <w:pPr>
        <w:ind w:left="1670" w:hanging="480"/>
      </w:pPr>
      <w:rPr>
        <w:rFonts w:ascii="Wingdings" w:hAnsi="Wingdings" w:hint="default"/>
      </w:rPr>
    </w:lvl>
    <w:lvl w:ilvl="2" w:tplc="04090005" w:tentative="1">
      <w:start w:val="1"/>
      <w:numFmt w:val="bullet"/>
      <w:lvlText w:val=""/>
      <w:lvlJc w:val="left"/>
      <w:pPr>
        <w:ind w:left="2150" w:hanging="480"/>
      </w:pPr>
      <w:rPr>
        <w:rFonts w:ascii="Wingdings" w:hAnsi="Wingdings" w:hint="default"/>
      </w:rPr>
    </w:lvl>
    <w:lvl w:ilvl="3" w:tplc="04090001" w:tentative="1">
      <w:start w:val="1"/>
      <w:numFmt w:val="bullet"/>
      <w:lvlText w:val=""/>
      <w:lvlJc w:val="left"/>
      <w:pPr>
        <w:ind w:left="2630" w:hanging="480"/>
      </w:pPr>
      <w:rPr>
        <w:rFonts w:ascii="Wingdings" w:hAnsi="Wingdings" w:hint="default"/>
      </w:rPr>
    </w:lvl>
    <w:lvl w:ilvl="4" w:tplc="04090003" w:tentative="1">
      <w:start w:val="1"/>
      <w:numFmt w:val="bullet"/>
      <w:lvlText w:val=""/>
      <w:lvlJc w:val="left"/>
      <w:pPr>
        <w:ind w:left="3110" w:hanging="480"/>
      </w:pPr>
      <w:rPr>
        <w:rFonts w:ascii="Wingdings" w:hAnsi="Wingdings" w:hint="default"/>
      </w:rPr>
    </w:lvl>
    <w:lvl w:ilvl="5" w:tplc="04090005" w:tentative="1">
      <w:start w:val="1"/>
      <w:numFmt w:val="bullet"/>
      <w:lvlText w:val=""/>
      <w:lvlJc w:val="left"/>
      <w:pPr>
        <w:ind w:left="3590" w:hanging="480"/>
      </w:pPr>
      <w:rPr>
        <w:rFonts w:ascii="Wingdings" w:hAnsi="Wingdings" w:hint="default"/>
      </w:rPr>
    </w:lvl>
    <w:lvl w:ilvl="6" w:tplc="04090001" w:tentative="1">
      <w:start w:val="1"/>
      <w:numFmt w:val="bullet"/>
      <w:lvlText w:val=""/>
      <w:lvlJc w:val="left"/>
      <w:pPr>
        <w:ind w:left="4070" w:hanging="480"/>
      </w:pPr>
      <w:rPr>
        <w:rFonts w:ascii="Wingdings" w:hAnsi="Wingdings" w:hint="default"/>
      </w:rPr>
    </w:lvl>
    <w:lvl w:ilvl="7" w:tplc="04090003" w:tentative="1">
      <w:start w:val="1"/>
      <w:numFmt w:val="bullet"/>
      <w:lvlText w:val=""/>
      <w:lvlJc w:val="left"/>
      <w:pPr>
        <w:ind w:left="4550" w:hanging="480"/>
      </w:pPr>
      <w:rPr>
        <w:rFonts w:ascii="Wingdings" w:hAnsi="Wingdings" w:hint="default"/>
      </w:rPr>
    </w:lvl>
    <w:lvl w:ilvl="8" w:tplc="04090005" w:tentative="1">
      <w:start w:val="1"/>
      <w:numFmt w:val="bullet"/>
      <w:lvlText w:val=""/>
      <w:lvlJc w:val="left"/>
      <w:pPr>
        <w:ind w:left="5030" w:hanging="480"/>
      </w:pPr>
      <w:rPr>
        <w:rFonts w:ascii="Wingdings" w:hAnsi="Wingdings" w:hint="default"/>
      </w:rPr>
    </w:lvl>
  </w:abstractNum>
  <w:abstractNum w:abstractNumId="7">
    <w:nsid w:val="227B7EEB"/>
    <w:multiLevelType w:val="hybridMultilevel"/>
    <w:tmpl w:val="D7CEBB9E"/>
    <w:lvl w:ilvl="0" w:tplc="43464E18">
      <w:start w:val="1"/>
      <w:numFmt w:val="decimal"/>
      <w:lvlText w:val="%1、"/>
      <w:lvlJc w:val="left"/>
      <w:pPr>
        <w:tabs>
          <w:tab w:val="num" w:pos="1800"/>
        </w:tabs>
        <w:ind w:left="1800" w:hanging="360"/>
      </w:pPr>
      <w:rPr>
        <w:rFonts w:ascii="Times New Roman" w:eastAsia="標楷體" w:hAnsi="Times New Roman" w:hint="default"/>
        <w:b w:val="0"/>
        <w:i w:val="0"/>
        <w:sz w:val="26"/>
        <w:szCs w:val="26"/>
      </w:rPr>
    </w:lvl>
    <w:lvl w:ilvl="1" w:tplc="04090007">
      <w:start w:val="1"/>
      <w:numFmt w:val="bullet"/>
      <w:lvlText w:val=""/>
      <w:lvlPicBulletId w:val="0"/>
      <w:lvlJc w:val="left"/>
      <w:pPr>
        <w:tabs>
          <w:tab w:val="num" w:pos="960"/>
        </w:tabs>
        <w:ind w:left="960" w:hanging="480"/>
      </w:pPr>
      <w:rPr>
        <w:rFonts w:ascii="Wingdings" w:hAnsi="Wingdings" w:hint="default"/>
        <w:b w:val="0"/>
        <w:i w:val="0"/>
        <w:sz w:val="24"/>
        <w:szCs w:val="24"/>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25A5698B"/>
    <w:multiLevelType w:val="hybridMultilevel"/>
    <w:tmpl w:val="679AF5F6"/>
    <w:lvl w:ilvl="0" w:tplc="0409000F">
      <w:start w:val="1"/>
      <w:numFmt w:val="decimal"/>
      <w:lvlText w:val="%1."/>
      <w:lvlJc w:val="left"/>
      <w:pPr>
        <w:ind w:left="480" w:hanging="480"/>
      </w:pPr>
    </w:lvl>
    <w:lvl w:ilvl="1" w:tplc="AA8C57F8">
      <w:start w:val="1"/>
      <w:numFmt w:val="taiwaneseCountingThousand"/>
      <w:lvlText w:val="（%2）"/>
      <w:lvlJc w:val="left"/>
      <w:pPr>
        <w:tabs>
          <w:tab w:val="num" w:pos="1335"/>
        </w:tabs>
        <w:ind w:left="1335" w:hanging="85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7E959B0"/>
    <w:multiLevelType w:val="hybridMultilevel"/>
    <w:tmpl w:val="167E3A76"/>
    <w:lvl w:ilvl="0" w:tplc="E2E0715C">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CDF120B"/>
    <w:multiLevelType w:val="hybridMultilevel"/>
    <w:tmpl w:val="D3EC9E92"/>
    <w:lvl w:ilvl="0" w:tplc="EAAC5BE8">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14">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19C6435"/>
    <w:multiLevelType w:val="hybridMultilevel"/>
    <w:tmpl w:val="506212A6"/>
    <w:lvl w:ilvl="0" w:tplc="93940582">
      <w:start w:val="1"/>
      <w:numFmt w:val="decimal"/>
      <w:lvlText w:val="%1、"/>
      <w:lvlJc w:val="left"/>
      <w:pPr>
        <w:ind w:left="1920" w:hanging="480"/>
      </w:pPr>
      <w:rPr>
        <w:rFonts w:hint="default"/>
      </w:rPr>
    </w:lvl>
    <w:lvl w:ilvl="1" w:tplc="B540F3E8">
      <w:start w:val="1"/>
      <w:numFmt w:val="decimal"/>
      <w:lvlText w:val="(%2)"/>
      <w:lvlJc w:val="left"/>
      <w:pPr>
        <w:tabs>
          <w:tab w:val="num" w:pos="960"/>
        </w:tabs>
        <w:ind w:left="960" w:hanging="48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00F2F85"/>
    <w:multiLevelType w:val="hybridMultilevel"/>
    <w:tmpl w:val="466894B6"/>
    <w:lvl w:ilvl="0" w:tplc="9ABE1A54">
      <w:start w:val="1"/>
      <w:numFmt w:val="taiwaneseCountingThousand"/>
      <w:lvlText w:val="(%1)"/>
      <w:lvlJc w:val="left"/>
      <w:pPr>
        <w:ind w:left="1440" w:hanging="480"/>
      </w:pPr>
      <w:rPr>
        <w:rFonts w:ascii="Times New Roman" w:hint="default"/>
      </w:rPr>
    </w:lvl>
    <w:lvl w:ilvl="1" w:tplc="EA264578">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81A45D6"/>
    <w:multiLevelType w:val="hybridMultilevel"/>
    <w:tmpl w:val="5978C868"/>
    <w:lvl w:ilvl="0" w:tplc="93940582">
      <w:start w:val="1"/>
      <w:numFmt w:val="decimal"/>
      <w:lvlText w:val="%1、"/>
      <w:lvlJc w:val="left"/>
      <w:pPr>
        <w:ind w:left="1920" w:hanging="480"/>
      </w:pPr>
      <w:rPr>
        <w:rFonts w:hint="default"/>
      </w:rPr>
    </w:lvl>
    <w:lvl w:ilvl="1" w:tplc="BAB67F28">
      <w:start w:val="1"/>
      <w:numFmt w:val="decimal"/>
      <w:lvlText w:val="(%2)"/>
      <w:lvlJc w:val="left"/>
      <w:pPr>
        <w:tabs>
          <w:tab w:val="num" w:pos="960"/>
        </w:tabs>
        <w:ind w:left="960" w:hanging="480"/>
      </w:pPr>
      <w:rPr>
        <w:rFonts w:hint="eastAsia"/>
      </w:rPr>
    </w:lvl>
    <w:lvl w:ilvl="2" w:tplc="ED4C3BA4">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1">
    <w:nsid w:val="52DB54DA"/>
    <w:multiLevelType w:val="hybridMultilevel"/>
    <w:tmpl w:val="EDA2E88E"/>
    <w:lvl w:ilvl="0" w:tplc="F968C91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3">
    <w:nsid w:val="580F7DD0"/>
    <w:multiLevelType w:val="hybridMultilevel"/>
    <w:tmpl w:val="CF70751A"/>
    <w:lvl w:ilvl="0" w:tplc="25F6C832">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DA26452"/>
    <w:multiLevelType w:val="multilevel"/>
    <w:tmpl w:val="4B0ED5EC"/>
    <w:lvl w:ilvl="0">
      <w:start w:val="1"/>
      <w:numFmt w:val="ideographLegalTraditional"/>
      <w:pStyle w:val="1"/>
      <w:suff w:val="nothing"/>
      <w:lvlText w:val="第%1章、"/>
      <w:lvlJc w:val="center"/>
      <w:pPr>
        <w:ind w:left="3965" w:hanging="137"/>
      </w:pPr>
      <w:rPr>
        <w:rFonts w:ascii="Times New Roman" w:eastAsia="標楷體" w:hAnsi="Times New Roman" w:hint="default"/>
        <w:b/>
        <w:i w:val="0"/>
        <w:strike w:val="0"/>
        <w:dstrike w:val="0"/>
        <w:color w:val="000000"/>
        <w:sz w:val="44"/>
        <w:szCs w:val="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5">
    <w:nsid w:val="629C3A3C"/>
    <w:multiLevelType w:val="hybridMultilevel"/>
    <w:tmpl w:val="56DC9890"/>
    <w:lvl w:ilvl="0" w:tplc="409613AA">
      <w:start w:val="1"/>
      <w:numFmt w:val="taiwaneseCountingThousand"/>
      <w:lvlText w:val="(%1)"/>
      <w:lvlJc w:val="left"/>
      <w:pPr>
        <w:ind w:left="1440" w:hanging="480"/>
      </w:pPr>
      <w:rPr>
        <w:rFonts w:ascii="Times New Roman" w:hint="default"/>
      </w:rPr>
    </w:lvl>
    <w:lvl w:ilvl="1" w:tplc="EA264578">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3922B38"/>
    <w:multiLevelType w:val="hybridMultilevel"/>
    <w:tmpl w:val="7D9AE2F4"/>
    <w:lvl w:ilvl="0" w:tplc="61A0BB9E">
      <w:start w:val="1"/>
      <w:numFmt w:val="taiwaneseCountingThousand"/>
      <w:suff w:val="nothing"/>
      <w:lvlText w:val="（%1）"/>
      <w:lvlJc w:val="left"/>
      <w:pPr>
        <w:ind w:left="765" w:hanging="765"/>
      </w:pPr>
      <w:rPr>
        <w:rFonts w:hint="default"/>
        <w:color w:val="auto"/>
      </w:rPr>
    </w:lvl>
    <w:lvl w:ilvl="1" w:tplc="9E72057A">
      <w:start w:val="1"/>
      <w:numFmt w:val="taiwaneseCountingThousand"/>
      <w:lvlText w:val="（%2）"/>
      <w:lvlJc w:val="left"/>
      <w:pPr>
        <w:tabs>
          <w:tab w:val="num" w:pos="1720"/>
        </w:tabs>
        <w:ind w:left="1720" w:hanging="720"/>
      </w:pPr>
      <w:rPr>
        <w:rFonts w:hint="eastAsia"/>
        <w:b w:val="0"/>
        <w:i w:val="0"/>
        <w:color w:val="auto"/>
      </w:rPr>
    </w:lvl>
    <w:lvl w:ilvl="2" w:tplc="0409001B">
      <w:start w:val="1"/>
      <w:numFmt w:val="lowerRoman"/>
      <w:lvlText w:val="%3."/>
      <w:lvlJc w:val="right"/>
      <w:pPr>
        <w:ind w:left="1960" w:hanging="480"/>
      </w:pPr>
    </w:lvl>
    <w:lvl w:ilvl="3" w:tplc="F43081A6">
      <w:start w:val="1"/>
      <w:numFmt w:val="decimal"/>
      <w:lvlText w:val="%4."/>
      <w:lvlJc w:val="left"/>
      <w:pPr>
        <w:ind w:left="0" w:firstLine="0"/>
      </w:pPr>
      <w:rPr>
        <w:rFonts w:ascii="Times New Roman" w:hAnsi="Times New Roman" w:hint="default"/>
        <w:b/>
        <w:u w:val="none"/>
      </w:rPr>
    </w:lvl>
    <w:lvl w:ilvl="4" w:tplc="04090019">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27">
    <w:nsid w:val="64973D9C"/>
    <w:multiLevelType w:val="hybridMultilevel"/>
    <w:tmpl w:val="1A94DE12"/>
    <w:lvl w:ilvl="0" w:tplc="04090009">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nsid w:val="697A3F0E"/>
    <w:multiLevelType w:val="hybridMultilevel"/>
    <w:tmpl w:val="DE5059C6"/>
    <w:lvl w:ilvl="0" w:tplc="891A0B4E">
      <w:start w:val="1"/>
      <w:numFmt w:val="ideographLegalTraditional"/>
      <w:lvlText w:val="第%1章、"/>
      <w:lvlJc w:val="left"/>
      <w:pPr>
        <w:ind w:left="144" w:hanging="480"/>
      </w:pPr>
      <w:rPr>
        <w:rFonts w:ascii="Times New Roman" w:eastAsia="標楷體" w:hAnsi="Times New Roman" w:hint="default"/>
        <w:b/>
        <w:i w:val="0"/>
        <w:caps w:val="0"/>
        <w:strike w:val="0"/>
        <w:dstrike w:val="0"/>
        <w:vanish w:val="0"/>
        <w:color w:val="000000"/>
        <w:sz w:val="44"/>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624" w:hanging="480"/>
      </w:pPr>
    </w:lvl>
    <w:lvl w:ilvl="2" w:tplc="0409001B" w:tentative="1">
      <w:start w:val="1"/>
      <w:numFmt w:val="lowerRoman"/>
      <w:lvlText w:val="%3."/>
      <w:lvlJc w:val="right"/>
      <w:pPr>
        <w:ind w:left="1104" w:hanging="480"/>
      </w:pPr>
    </w:lvl>
    <w:lvl w:ilvl="3" w:tplc="0409000F" w:tentative="1">
      <w:start w:val="1"/>
      <w:numFmt w:val="decimal"/>
      <w:lvlText w:val="%4."/>
      <w:lvlJc w:val="left"/>
      <w:pPr>
        <w:ind w:left="1584" w:hanging="480"/>
      </w:pPr>
    </w:lvl>
    <w:lvl w:ilvl="4" w:tplc="04090019" w:tentative="1">
      <w:start w:val="1"/>
      <w:numFmt w:val="ideographTraditional"/>
      <w:lvlText w:val="%5、"/>
      <w:lvlJc w:val="left"/>
      <w:pPr>
        <w:ind w:left="2064" w:hanging="480"/>
      </w:pPr>
    </w:lvl>
    <w:lvl w:ilvl="5" w:tplc="0409001B" w:tentative="1">
      <w:start w:val="1"/>
      <w:numFmt w:val="lowerRoman"/>
      <w:lvlText w:val="%6."/>
      <w:lvlJc w:val="right"/>
      <w:pPr>
        <w:ind w:left="2544" w:hanging="480"/>
      </w:pPr>
    </w:lvl>
    <w:lvl w:ilvl="6" w:tplc="0409000F" w:tentative="1">
      <w:start w:val="1"/>
      <w:numFmt w:val="decimal"/>
      <w:lvlText w:val="%7."/>
      <w:lvlJc w:val="left"/>
      <w:pPr>
        <w:ind w:left="3024" w:hanging="480"/>
      </w:pPr>
    </w:lvl>
    <w:lvl w:ilvl="7" w:tplc="04090019" w:tentative="1">
      <w:start w:val="1"/>
      <w:numFmt w:val="ideographTraditional"/>
      <w:lvlText w:val="%8、"/>
      <w:lvlJc w:val="left"/>
      <w:pPr>
        <w:ind w:left="3504" w:hanging="480"/>
      </w:pPr>
    </w:lvl>
    <w:lvl w:ilvl="8" w:tplc="0409001B" w:tentative="1">
      <w:start w:val="1"/>
      <w:numFmt w:val="lowerRoman"/>
      <w:lvlText w:val="%9."/>
      <w:lvlJc w:val="right"/>
      <w:pPr>
        <w:ind w:left="3984" w:hanging="480"/>
      </w:pPr>
    </w:lvl>
  </w:abstractNum>
  <w:abstractNum w:abstractNumId="30">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9F1730"/>
    <w:multiLevelType w:val="hybridMultilevel"/>
    <w:tmpl w:val="5D888DF6"/>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86E7385"/>
    <w:multiLevelType w:val="hybridMultilevel"/>
    <w:tmpl w:val="21DA1434"/>
    <w:lvl w:ilvl="0" w:tplc="0409000B">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
    <w:nsid w:val="78BE6A73"/>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B786AE7"/>
    <w:multiLevelType w:val="hybridMultilevel"/>
    <w:tmpl w:val="C9EE401C"/>
    <w:lvl w:ilvl="0" w:tplc="BAB67F28">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36">
    <w:nsid w:val="7C5E75B3"/>
    <w:multiLevelType w:val="hybridMultilevel"/>
    <w:tmpl w:val="4A482F10"/>
    <w:lvl w:ilvl="0" w:tplc="04090009">
      <w:start w:val="1"/>
      <w:numFmt w:val="bullet"/>
      <w:lvlText w:val=""/>
      <w:lvlJc w:val="left"/>
      <w:pPr>
        <w:ind w:left="480" w:hanging="48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num>
  <w:num w:numId="5">
    <w:abstractNumId w:val="33"/>
  </w:num>
  <w:num w:numId="6">
    <w:abstractNumId w:val="20"/>
  </w:num>
  <w:num w:numId="7">
    <w:abstractNumId w:val="5"/>
  </w:num>
  <w:num w:numId="8">
    <w:abstractNumId w:val="16"/>
  </w:num>
  <w:num w:numId="9">
    <w:abstractNumId w:val="19"/>
  </w:num>
  <w:num w:numId="10">
    <w:abstractNumId w:val="18"/>
  </w:num>
  <w:num w:numId="11">
    <w:abstractNumId w:val="28"/>
  </w:num>
  <w:num w:numId="12">
    <w:abstractNumId w:val="4"/>
  </w:num>
  <w:num w:numId="13">
    <w:abstractNumId w:val="30"/>
  </w:num>
  <w:num w:numId="14">
    <w:abstractNumId w:val="15"/>
  </w:num>
  <w:num w:numId="15">
    <w:abstractNumId w:val="37"/>
  </w:num>
  <w:num w:numId="16">
    <w:abstractNumId w:val="3"/>
  </w:num>
  <w:num w:numId="17">
    <w:abstractNumId w:val="2"/>
  </w:num>
  <w:num w:numId="18">
    <w:abstractNumId w:val="27"/>
  </w:num>
  <w:num w:numId="19">
    <w:abstractNumId w:val="22"/>
  </w:num>
  <w:num w:numId="20">
    <w:abstractNumId w:val="0"/>
  </w:num>
  <w:num w:numId="21">
    <w:abstractNumId w:val="9"/>
  </w:num>
  <w:num w:numId="22">
    <w:abstractNumId w:val="21"/>
  </w:num>
  <w:num w:numId="23">
    <w:abstractNumId w:val="17"/>
  </w:num>
  <w:num w:numId="24">
    <w:abstractNumId w:val="25"/>
  </w:num>
  <w:num w:numId="25">
    <w:abstractNumId w:val="36"/>
  </w:num>
  <w:num w:numId="26">
    <w:abstractNumId w:val="14"/>
  </w:num>
  <w:num w:numId="27">
    <w:abstractNumId w:val="35"/>
  </w:num>
  <w:num w:numId="28">
    <w:abstractNumId w:val="10"/>
  </w:num>
  <w:num w:numId="29">
    <w:abstractNumId w:val="26"/>
  </w:num>
  <w:num w:numId="30">
    <w:abstractNumId w:val="8"/>
  </w:num>
  <w:num w:numId="31">
    <w:abstractNumId w:val="7"/>
  </w:num>
  <w:num w:numId="32">
    <w:abstractNumId w:val="29"/>
  </w:num>
  <w:num w:numId="33">
    <w:abstractNumId w:val="11"/>
  </w:num>
  <w:num w:numId="34">
    <w:abstractNumId w:val="31"/>
  </w:num>
  <w:num w:numId="35">
    <w:abstractNumId w:val="23"/>
  </w:num>
  <w:num w:numId="36">
    <w:abstractNumId w:val="6"/>
  </w:num>
  <w:num w:numId="37">
    <w:abstractNumId w:val="34"/>
  </w:num>
  <w:num w:numId="38">
    <w:abstractNumId w:val="13"/>
  </w:num>
  <w:num w:numId="39">
    <w:abstractNumId w:val="32"/>
  </w:num>
  <w:num w:numId="40">
    <w:abstractNumId w:val="24"/>
  </w:num>
  <w:num w:numId="41">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DA"/>
    <w:rsid w:val="000008F2"/>
    <w:rsid w:val="0000146A"/>
    <w:rsid w:val="00002FEF"/>
    <w:rsid w:val="0000396A"/>
    <w:rsid w:val="00003F0B"/>
    <w:rsid w:val="0000482D"/>
    <w:rsid w:val="00004DF5"/>
    <w:rsid w:val="00005903"/>
    <w:rsid w:val="00005C24"/>
    <w:rsid w:val="00006730"/>
    <w:rsid w:val="00006B75"/>
    <w:rsid w:val="0000725C"/>
    <w:rsid w:val="00007409"/>
    <w:rsid w:val="00007A94"/>
    <w:rsid w:val="000112B6"/>
    <w:rsid w:val="000117C3"/>
    <w:rsid w:val="0001195B"/>
    <w:rsid w:val="000119A6"/>
    <w:rsid w:val="00011CDC"/>
    <w:rsid w:val="000123AB"/>
    <w:rsid w:val="0001285A"/>
    <w:rsid w:val="00013DE8"/>
    <w:rsid w:val="00013F10"/>
    <w:rsid w:val="000145D7"/>
    <w:rsid w:val="0001467F"/>
    <w:rsid w:val="00014E40"/>
    <w:rsid w:val="000162AE"/>
    <w:rsid w:val="000167D4"/>
    <w:rsid w:val="00017471"/>
    <w:rsid w:val="00021102"/>
    <w:rsid w:val="00021A3D"/>
    <w:rsid w:val="00021BF2"/>
    <w:rsid w:val="00022233"/>
    <w:rsid w:val="0002223F"/>
    <w:rsid w:val="00022373"/>
    <w:rsid w:val="000224EA"/>
    <w:rsid w:val="0002273A"/>
    <w:rsid w:val="00022C2C"/>
    <w:rsid w:val="000232B7"/>
    <w:rsid w:val="00023865"/>
    <w:rsid w:val="00023B31"/>
    <w:rsid w:val="00023B84"/>
    <w:rsid w:val="0002410D"/>
    <w:rsid w:val="00024852"/>
    <w:rsid w:val="00025109"/>
    <w:rsid w:val="00025808"/>
    <w:rsid w:val="00025CBA"/>
    <w:rsid w:val="00025E6F"/>
    <w:rsid w:val="0002636C"/>
    <w:rsid w:val="00026CE3"/>
    <w:rsid w:val="000303C4"/>
    <w:rsid w:val="0003101C"/>
    <w:rsid w:val="00031237"/>
    <w:rsid w:val="000312DC"/>
    <w:rsid w:val="000314E8"/>
    <w:rsid w:val="0003204E"/>
    <w:rsid w:val="00032268"/>
    <w:rsid w:val="00032392"/>
    <w:rsid w:val="00032FA0"/>
    <w:rsid w:val="00034AA3"/>
    <w:rsid w:val="0003507F"/>
    <w:rsid w:val="0003551C"/>
    <w:rsid w:val="00035D3C"/>
    <w:rsid w:val="000362F5"/>
    <w:rsid w:val="000363E0"/>
    <w:rsid w:val="000378D3"/>
    <w:rsid w:val="0003792D"/>
    <w:rsid w:val="00037A86"/>
    <w:rsid w:val="00037C8F"/>
    <w:rsid w:val="00037DEC"/>
    <w:rsid w:val="0004140E"/>
    <w:rsid w:val="0004249D"/>
    <w:rsid w:val="00042ED9"/>
    <w:rsid w:val="00043046"/>
    <w:rsid w:val="000438A2"/>
    <w:rsid w:val="000444EA"/>
    <w:rsid w:val="000447DF"/>
    <w:rsid w:val="000449C2"/>
    <w:rsid w:val="0004618B"/>
    <w:rsid w:val="000466B0"/>
    <w:rsid w:val="000468EB"/>
    <w:rsid w:val="00046EBB"/>
    <w:rsid w:val="000501BE"/>
    <w:rsid w:val="000507B1"/>
    <w:rsid w:val="000508C9"/>
    <w:rsid w:val="00051584"/>
    <w:rsid w:val="00051C9B"/>
    <w:rsid w:val="00051F70"/>
    <w:rsid w:val="00053BA9"/>
    <w:rsid w:val="00053CED"/>
    <w:rsid w:val="00054D4D"/>
    <w:rsid w:val="0005580B"/>
    <w:rsid w:val="00056B5E"/>
    <w:rsid w:val="00057513"/>
    <w:rsid w:val="000605B9"/>
    <w:rsid w:val="00060BE9"/>
    <w:rsid w:val="00060E4A"/>
    <w:rsid w:val="000628AC"/>
    <w:rsid w:val="00062E25"/>
    <w:rsid w:val="00064192"/>
    <w:rsid w:val="000646BE"/>
    <w:rsid w:val="00064957"/>
    <w:rsid w:val="00064C2D"/>
    <w:rsid w:val="00064C8E"/>
    <w:rsid w:val="00065927"/>
    <w:rsid w:val="00066078"/>
    <w:rsid w:val="0006628A"/>
    <w:rsid w:val="000671C5"/>
    <w:rsid w:val="000702AA"/>
    <w:rsid w:val="00070339"/>
    <w:rsid w:val="00071232"/>
    <w:rsid w:val="00071E36"/>
    <w:rsid w:val="0007209D"/>
    <w:rsid w:val="00072A32"/>
    <w:rsid w:val="00074150"/>
    <w:rsid w:val="00074FC8"/>
    <w:rsid w:val="00075418"/>
    <w:rsid w:val="00075B4D"/>
    <w:rsid w:val="0007600B"/>
    <w:rsid w:val="0007706A"/>
    <w:rsid w:val="00077D6F"/>
    <w:rsid w:val="000800CC"/>
    <w:rsid w:val="00080F31"/>
    <w:rsid w:val="000816AB"/>
    <w:rsid w:val="00082501"/>
    <w:rsid w:val="00082BE9"/>
    <w:rsid w:val="00082D4F"/>
    <w:rsid w:val="00083312"/>
    <w:rsid w:val="00083B37"/>
    <w:rsid w:val="00084602"/>
    <w:rsid w:val="000847E4"/>
    <w:rsid w:val="00084E3B"/>
    <w:rsid w:val="00085D02"/>
    <w:rsid w:val="00085E00"/>
    <w:rsid w:val="00085EDE"/>
    <w:rsid w:val="00087057"/>
    <w:rsid w:val="00091420"/>
    <w:rsid w:val="000915E7"/>
    <w:rsid w:val="000933FE"/>
    <w:rsid w:val="00095C2C"/>
    <w:rsid w:val="00097101"/>
    <w:rsid w:val="000A1C01"/>
    <w:rsid w:val="000A33D2"/>
    <w:rsid w:val="000A39BF"/>
    <w:rsid w:val="000A4DF3"/>
    <w:rsid w:val="000A4E77"/>
    <w:rsid w:val="000A517A"/>
    <w:rsid w:val="000A5F0A"/>
    <w:rsid w:val="000A6283"/>
    <w:rsid w:val="000A6E85"/>
    <w:rsid w:val="000B0039"/>
    <w:rsid w:val="000B1BCF"/>
    <w:rsid w:val="000B2940"/>
    <w:rsid w:val="000B2D48"/>
    <w:rsid w:val="000B2EA4"/>
    <w:rsid w:val="000B2EFF"/>
    <w:rsid w:val="000B31ED"/>
    <w:rsid w:val="000B38E8"/>
    <w:rsid w:val="000B4A66"/>
    <w:rsid w:val="000B4F4A"/>
    <w:rsid w:val="000B5483"/>
    <w:rsid w:val="000B570B"/>
    <w:rsid w:val="000B598B"/>
    <w:rsid w:val="000B5CA0"/>
    <w:rsid w:val="000B6072"/>
    <w:rsid w:val="000B6B59"/>
    <w:rsid w:val="000C0FCD"/>
    <w:rsid w:val="000C130D"/>
    <w:rsid w:val="000C2025"/>
    <w:rsid w:val="000C2378"/>
    <w:rsid w:val="000C2693"/>
    <w:rsid w:val="000C38C2"/>
    <w:rsid w:val="000C4503"/>
    <w:rsid w:val="000C4AE1"/>
    <w:rsid w:val="000C4B9F"/>
    <w:rsid w:val="000C5EB3"/>
    <w:rsid w:val="000C6315"/>
    <w:rsid w:val="000C7B36"/>
    <w:rsid w:val="000D0796"/>
    <w:rsid w:val="000D0B5B"/>
    <w:rsid w:val="000D220C"/>
    <w:rsid w:val="000D2392"/>
    <w:rsid w:val="000D36CC"/>
    <w:rsid w:val="000D4180"/>
    <w:rsid w:val="000D5E5C"/>
    <w:rsid w:val="000D5F5F"/>
    <w:rsid w:val="000D61BA"/>
    <w:rsid w:val="000D6297"/>
    <w:rsid w:val="000D7B29"/>
    <w:rsid w:val="000D7DB7"/>
    <w:rsid w:val="000E09FA"/>
    <w:rsid w:val="000E1257"/>
    <w:rsid w:val="000E12D9"/>
    <w:rsid w:val="000E249D"/>
    <w:rsid w:val="000E26E4"/>
    <w:rsid w:val="000E3239"/>
    <w:rsid w:val="000E3291"/>
    <w:rsid w:val="000E34BB"/>
    <w:rsid w:val="000E461C"/>
    <w:rsid w:val="000E53FF"/>
    <w:rsid w:val="000E5571"/>
    <w:rsid w:val="000E6096"/>
    <w:rsid w:val="000E6478"/>
    <w:rsid w:val="000E713B"/>
    <w:rsid w:val="000E71EE"/>
    <w:rsid w:val="000E7614"/>
    <w:rsid w:val="000E7653"/>
    <w:rsid w:val="000E7B16"/>
    <w:rsid w:val="000F0FDD"/>
    <w:rsid w:val="000F1DF4"/>
    <w:rsid w:val="000F3946"/>
    <w:rsid w:val="000F6513"/>
    <w:rsid w:val="000F6C38"/>
    <w:rsid w:val="0010050D"/>
    <w:rsid w:val="00100814"/>
    <w:rsid w:val="00100863"/>
    <w:rsid w:val="0010197A"/>
    <w:rsid w:val="00101F0A"/>
    <w:rsid w:val="00102287"/>
    <w:rsid w:val="001024DD"/>
    <w:rsid w:val="00102DD5"/>
    <w:rsid w:val="001030BD"/>
    <w:rsid w:val="00103197"/>
    <w:rsid w:val="001034D8"/>
    <w:rsid w:val="0010388F"/>
    <w:rsid w:val="0010399D"/>
    <w:rsid w:val="001045FF"/>
    <w:rsid w:val="001053D6"/>
    <w:rsid w:val="00105A31"/>
    <w:rsid w:val="00106F2A"/>
    <w:rsid w:val="001070FF"/>
    <w:rsid w:val="00107264"/>
    <w:rsid w:val="00110CB0"/>
    <w:rsid w:val="00111510"/>
    <w:rsid w:val="00111558"/>
    <w:rsid w:val="00111B33"/>
    <w:rsid w:val="001132C0"/>
    <w:rsid w:val="0011381E"/>
    <w:rsid w:val="00113913"/>
    <w:rsid w:val="00113EBF"/>
    <w:rsid w:val="00114657"/>
    <w:rsid w:val="00114CA3"/>
    <w:rsid w:val="00115407"/>
    <w:rsid w:val="0011587C"/>
    <w:rsid w:val="00115D83"/>
    <w:rsid w:val="00115F5C"/>
    <w:rsid w:val="00116A13"/>
    <w:rsid w:val="001172DB"/>
    <w:rsid w:val="00117BF8"/>
    <w:rsid w:val="0012062A"/>
    <w:rsid w:val="00120943"/>
    <w:rsid w:val="001217CC"/>
    <w:rsid w:val="0012217B"/>
    <w:rsid w:val="001222E7"/>
    <w:rsid w:val="001223EC"/>
    <w:rsid w:val="001226E1"/>
    <w:rsid w:val="0012509B"/>
    <w:rsid w:val="00125F3A"/>
    <w:rsid w:val="00127EBB"/>
    <w:rsid w:val="001301AF"/>
    <w:rsid w:val="0013082F"/>
    <w:rsid w:val="001312CB"/>
    <w:rsid w:val="001313A1"/>
    <w:rsid w:val="001323AD"/>
    <w:rsid w:val="00132504"/>
    <w:rsid w:val="00132724"/>
    <w:rsid w:val="00132FBC"/>
    <w:rsid w:val="00134327"/>
    <w:rsid w:val="0013442B"/>
    <w:rsid w:val="0013497D"/>
    <w:rsid w:val="00134EE9"/>
    <w:rsid w:val="0013545D"/>
    <w:rsid w:val="00136D61"/>
    <w:rsid w:val="00137126"/>
    <w:rsid w:val="00137498"/>
    <w:rsid w:val="00137E06"/>
    <w:rsid w:val="00141966"/>
    <w:rsid w:val="00141B5E"/>
    <w:rsid w:val="00141C3F"/>
    <w:rsid w:val="00142BD9"/>
    <w:rsid w:val="001503BD"/>
    <w:rsid w:val="00150943"/>
    <w:rsid w:val="0015260B"/>
    <w:rsid w:val="00152CC5"/>
    <w:rsid w:val="00153B83"/>
    <w:rsid w:val="00153C50"/>
    <w:rsid w:val="00153CFF"/>
    <w:rsid w:val="00154143"/>
    <w:rsid w:val="001542BD"/>
    <w:rsid w:val="001554A1"/>
    <w:rsid w:val="0015628F"/>
    <w:rsid w:val="00156638"/>
    <w:rsid w:val="00156C90"/>
    <w:rsid w:val="00157005"/>
    <w:rsid w:val="001572E4"/>
    <w:rsid w:val="00157D3E"/>
    <w:rsid w:val="001601F8"/>
    <w:rsid w:val="00160779"/>
    <w:rsid w:val="0016078E"/>
    <w:rsid w:val="00162258"/>
    <w:rsid w:val="00162666"/>
    <w:rsid w:val="0016284D"/>
    <w:rsid w:val="00162888"/>
    <w:rsid w:val="00162D2B"/>
    <w:rsid w:val="0016341B"/>
    <w:rsid w:val="001649CB"/>
    <w:rsid w:val="00164E98"/>
    <w:rsid w:val="00165939"/>
    <w:rsid w:val="00165A58"/>
    <w:rsid w:val="00166290"/>
    <w:rsid w:val="001675CF"/>
    <w:rsid w:val="00170885"/>
    <w:rsid w:val="00170BD8"/>
    <w:rsid w:val="001712D6"/>
    <w:rsid w:val="001713B4"/>
    <w:rsid w:val="001718CF"/>
    <w:rsid w:val="00171A23"/>
    <w:rsid w:val="00171D72"/>
    <w:rsid w:val="0017256C"/>
    <w:rsid w:val="001726E4"/>
    <w:rsid w:val="00173A90"/>
    <w:rsid w:val="00173BBE"/>
    <w:rsid w:val="00173FE0"/>
    <w:rsid w:val="001746D8"/>
    <w:rsid w:val="00174819"/>
    <w:rsid w:val="00174C7A"/>
    <w:rsid w:val="00175D4E"/>
    <w:rsid w:val="0017771E"/>
    <w:rsid w:val="001779AE"/>
    <w:rsid w:val="00177A4C"/>
    <w:rsid w:val="00180CA7"/>
    <w:rsid w:val="00181B67"/>
    <w:rsid w:val="00183F9B"/>
    <w:rsid w:val="00184098"/>
    <w:rsid w:val="00184391"/>
    <w:rsid w:val="001845FF"/>
    <w:rsid w:val="00184A70"/>
    <w:rsid w:val="001853F4"/>
    <w:rsid w:val="00185C6A"/>
    <w:rsid w:val="00185CA9"/>
    <w:rsid w:val="00185D40"/>
    <w:rsid w:val="00186182"/>
    <w:rsid w:val="00186829"/>
    <w:rsid w:val="001871CD"/>
    <w:rsid w:val="001903D5"/>
    <w:rsid w:val="00190871"/>
    <w:rsid w:val="00190F2C"/>
    <w:rsid w:val="00191344"/>
    <w:rsid w:val="0019231C"/>
    <w:rsid w:val="001923B8"/>
    <w:rsid w:val="00192595"/>
    <w:rsid w:val="00194B6B"/>
    <w:rsid w:val="00195289"/>
    <w:rsid w:val="0019562C"/>
    <w:rsid w:val="00195A3C"/>
    <w:rsid w:val="00196262"/>
    <w:rsid w:val="001963A8"/>
    <w:rsid w:val="00196773"/>
    <w:rsid w:val="001A075D"/>
    <w:rsid w:val="001A0DB6"/>
    <w:rsid w:val="001A0E9A"/>
    <w:rsid w:val="001A2239"/>
    <w:rsid w:val="001A238F"/>
    <w:rsid w:val="001A267E"/>
    <w:rsid w:val="001A3A0F"/>
    <w:rsid w:val="001A58BF"/>
    <w:rsid w:val="001A5EE5"/>
    <w:rsid w:val="001A7B6B"/>
    <w:rsid w:val="001B01F1"/>
    <w:rsid w:val="001B057F"/>
    <w:rsid w:val="001B1877"/>
    <w:rsid w:val="001B30C3"/>
    <w:rsid w:val="001B37B6"/>
    <w:rsid w:val="001B3B76"/>
    <w:rsid w:val="001B5752"/>
    <w:rsid w:val="001B6117"/>
    <w:rsid w:val="001B797F"/>
    <w:rsid w:val="001C0F87"/>
    <w:rsid w:val="001C1AD9"/>
    <w:rsid w:val="001C1F2D"/>
    <w:rsid w:val="001C249E"/>
    <w:rsid w:val="001C3273"/>
    <w:rsid w:val="001C3AC4"/>
    <w:rsid w:val="001C3DDF"/>
    <w:rsid w:val="001C47E9"/>
    <w:rsid w:val="001C59AA"/>
    <w:rsid w:val="001C5A12"/>
    <w:rsid w:val="001C5A9B"/>
    <w:rsid w:val="001C6736"/>
    <w:rsid w:val="001C67FF"/>
    <w:rsid w:val="001C7A96"/>
    <w:rsid w:val="001D03D7"/>
    <w:rsid w:val="001D1851"/>
    <w:rsid w:val="001D2191"/>
    <w:rsid w:val="001D280D"/>
    <w:rsid w:val="001D3790"/>
    <w:rsid w:val="001D4A2D"/>
    <w:rsid w:val="001D70E7"/>
    <w:rsid w:val="001D7994"/>
    <w:rsid w:val="001D7A44"/>
    <w:rsid w:val="001D7FE7"/>
    <w:rsid w:val="001E079D"/>
    <w:rsid w:val="001E0BA0"/>
    <w:rsid w:val="001E154B"/>
    <w:rsid w:val="001E157A"/>
    <w:rsid w:val="001E15BA"/>
    <w:rsid w:val="001E20C6"/>
    <w:rsid w:val="001E271B"/>
    <w:rsid w:val="001E32CE"/>
    <w:rsid w:val="001E457C"/>
    <w:rsid w:val="001E4C86"/>
    <w:rsid w:val="001E5881"/>
    <w:rsid w:val="001E6104"/>
    <w:rsid w:val="001E681F"/>
    <w:rsid w:val="001E7072"/>
    <w:rsid w:val="001E70BD"/>
    <w:rsid w:val="001E7194"/>
    <w:rsid w:val="001E7C25"/>
    <w:rsid w:val="001F1376"/>
    <w:rsid w:val="001F2BF3"/>
    <w:rsid w:val="001F2BFF"/>
    <w:rsid w:val="001F2F22"/>
    <w:rsid w:val="001F3090"/>
    <w:rsid w:val="001F34C1"/>
    <w:rsid w:val="001F3778"/>
    <w:rsid w:val="001F43DB"/>
    <w:rsid w:val="001F49CB"/>
    <w:rsid w:val="001F5BF7"/>
    <w:rsid w:val="0020337C"/>
    <w:rsid w:val="00203A2E"/>
    <w:rsid w:val="00203F28"/>
    <w:rsid w:val="002042A0"/>
    <w:rsid w:val="00204D40"/>
    <w:rsid w:val="002061B6"/>
    <w:rsid w:val="002068EA"/>
    <w:rsid w:val="00206F80"/>
    <w:rsid w:val="002078DF"/>
    <w:rsid w:val="0021011C"/>
    <w:rsid w:val="00210D4A"/>
    <w:rsid w:val="00211437"/>
    <w:rsid w:val="002119A1"/>
    <w:rsid w:val="00211AA8"/>
    <w:rsid w:val="00212A5E"/>
    <w:rsid w:val="00212FF5"/>
    <w:rsid w:val="00213712"/>
    <w:rsid w:val="00213D3F"/>
    <w:rsid w:val="0021526A"/>
    <w:rsid w:val="002155BD"/>
    <w:rsid w:val="002162B9"/>
    <w:rsid w:val="0022102E"/>
    <w:rsid w:val="0022197F"/>
    <w:rsid w:val="002221AD"/>
    <w:rsid w:val="00222BF9"/>
    <w:rsid w:val="00223C8B"/>
    <w:rsid w:val="00224F91"/>
    <w:rsid w:val="00227521"/>
    <w:rsid w:val="002275FD"/>
    <w:rsid w:val="00227796"/>
    <w:rsid w:val="00231073"/>
    <w:rsid w:val="0023124C"/>
    <w:rsid w:val="00232442"/>
    <w:rsid w:val="002329E2"/>
    <w:rsid w:val="00232A16"/>
    <w:rsid w:val="0023450A"/>
    <w:rsid w:val="00234519"/>
    <w:rsid w:val="0023698C"/>
    <w:rsid w:val="002369C2"/>
    <w:rsid w:val="00237049"/>
    <w:rsid w:val="002374DB"/>
    <w:rsid w:val="00241AC5"/>
    <w:rsid w:val="00241CA3"/>
    <w:rsid w:val="002425C5"/>
    <w:rsid w:val="00242BB2"/>
    <w:rsid w:val="00242C71"/>
    <w:rsid w:val="00242D49"/>
    <w:rsid w:val="00242E3C"/>
    <w:rsid w:val="00242F73"/>
    <w:rsid w:val="0024364D"/>
    <w:rsid w:val="002444A0"/>
    <w:rsid w:val="0024479C"/>
    <w:rsid w:val="00245BD4"/>
    <w:rsid w:val="00245C2F"/>
    <w:rsid w:val="0024731F"/>
    <w:rsid w:val="002474B2"/>
    <w:rsid w:val="00247894"/>
    <w:rsid w:val="0025005F"/>
    <w:rsid w:val="00250723"/>
    <w:rsid w:val="00250BDB"/>
    <w:rsid w:val="00250C74"/>
    <w:rsid w:val="00251C56"/>
    <w:rsid w:val="0025226A"/>
    <w:rsid w:val="0025324E"/>
    <w:rsid w:val="00253476"/>
    <w:rsid w:val="00253825"/>
    <w:rsid w:val="00253AF7"/>
    <w:rsid w:val="00253F7A"/>
    <w:rsid w:val="002545B5"/>
    <w:rsid w:val="0025494F"/>
    <w:rsid w:val="0025570B"/>
    <w:rsid w:val="00255EAD"/>
    <w:rsid w:val="0025612B"/>
    <w:rsid w:val="002571CA"/>
    <w:rsid w:val="0025780E"/>
    <w:rsid w:val="0025782F"/>
    <w:rsid w:val="00257F91"/>
    <w:rsid w:val="002600EC"/>
    <w:rsid w:val="002604B7"/>
    <w:rsid w:val="00260731"/>
    <w:rsid w:val="002608FE"/>
    <w:rsid w:val="00261EDC"/>
    <w:rsid w:val="0026234D"/>
    <w:rsid w:val="002625AA"/>
    <w:rsid w:val="002629A4"/>
    <w:rsid w:val="00263137"/>
    <w:rsid w:val="0026325F"/>
    <w:rsid w:val="00263A77"/>
    <w:rsid w:val="00264343"/>
    <w:rsid w:val="0026495D"/>
    <w:rsid w:val="00264E5E"/>
    <w:rsid w:val="0026608F"/>
    <w:rsid w:val="002663AA"/>
    <w:rsid w:val="00266521"/>
    <w:rsid w:val="00266582"/>
    <w:rsid w:val="002669F2"/>
    <w:rsid w:val="00266A2B"/>
    <w:rsid w:val="00266D93"/>
    <w:rsid w:val="00267176"/>
    <w:rsid w:val="002674FE"/>
    <w:rsid w:val="002676CC"/>
    <w:rsid w:val="00267828"/>
    <w:rsid w:val="00270528"/>
    <w:rsid w:val="00270752"/>
    <w:rsid w:val="00271566"/>
    <w:rsid w:val="00271E82"/>
    <w:rsid w:val="00271EE3"/>
    <w:rsid w:val="00271FEE"/>
    <w:rsid w:val="002723B6"/>
    <w:rsid w:val="00272522"/>
    <w:rsid w:val="00272EEE"/>
    <w:rsid w:val="00273902"/>
    <w:rsid w:val="002740F3"/>
    <w:rsid w:val="002742D9"/>
    <w:rsid w:val="00274955"/>
    <w:rsid w:val="00274AC1"/>
    <w:rsid w:val="00275687"/>
    <w:rsid w:val="00275855"/>
    <w:rsid w:val="00275FAE"/>
    <w:rsid w:val="00276082"/>
    <w:rsid w:val="00277034"/>
    <w:rsid w:val="002770F4"/>
    <w:rsid w:val="002775D3"/>
    <w:rsid w:val="00277A69"/>
    <w:rsid w:val="00280AF4"/>
    <w:rsid w:val="00281EDC"/>
    <w:rsid w:val="002820C5"/>
    <w:rsid w:val="00283541"/>
    <w:rsid w:val="002846A4"/>
    <w:rsid w:val="00285874"/>
    <w:rsid w:val="00286B97"/>
    <w:rsid w:val="00287119"/>
    <w:rsid w:val="00287762"/>
    <w:rsid w:val="00290D21"/>
    <w:rsid w:val="00290DAC"/>
    <w:rsid w:val="002926CE"/>
    <w:rsid w:val="00292B87"/>
    <w:rsid w:val="00292D58"/>
    <w:rsid w:val="0029322A"/>
    <w:rsid w:val="00293834"/>
    <w:rsid w:val="00293A6D"/>
    <w:rsid w:val="00293C61"/>
    <w:rsid w:val="002940F3"/>
    <w:rsid w:val="00294C53"/>
    <w:rsid w:val="00294F97"/>
    <w:rsid w:val="00295021"/>
    <w:rsid w:val="002963F9"/>
    <w:rsid w:val="00296F28"/>
    <w:rsid w:val="00297B34"/>
    <w:rsid w:val="002A0914"/>
    <w:rsid w:val="002A0C44"/>
    <w:rsid w:val="002A0F03"/>
    <w:rsid w:val="002A1C25"/>
    <w:rsid w:val="002A28D1"/>
    <w:rsid w:val="002A2B2C"/>
    <w:rsid w:val="002A4011"/>
    <w:rsid w:val="002A4839"/>
    <w:rsid w:val="002A5011"/>
    <w:rsid w:val="002A53C8"/>
    <w:rsid w:val="002A567C"/>
    <w:rsid w:val="002A6A8A"/>
    <w:rsid w:val="002A76A6"/>
    <w:rsid w:val="002A7C34"/>
    <w:rsid w:val="002B07B7"/>
    <w:rsid w:val="002B0C83"/>
    <w:rsid w:val="002B2497"/>
    <w:rsid w:val="002B287F"/>
    <w:rsid w:val="002B2DB9"/>
    <w:rsid w:val="002B2F68"/>
    <w:rsid w:val="002B306E"/>
    <w:rsid w:val="002B3B56"/>
    <w:rsid w:val="002B563D"/>
    <w:rsid w:val="002B5FED"/>
    <w:rsid w:val="002B63D9"/>
    <w:rsid w:val="002B6A0B"/>
    <w:rsid w:val="002B6B61"/>
    <w:rsid w:val="002B6B9E"/>
    <w:rsid w:val="002B7C67"/>
    <w:rsid w:val="002B7EB5"/>
    <w:rsid w:val="002C0D03"/>
    <w:rsid w:val="002C0EB6"/>
    <w:rsid w:val="002C1CD5"/>
    <w:rsid w:val="002C254D"/>
    <w:rsid w:val="002C2953"/>
    <w:rsid w:val="002C47A3"/>
    <w:rsid w:val="002C52DC"/>
    <w:rsid w:val="002C5BE3"/>
    <w:rsid w:val="002C5EA1"/>
    <w:rsid w:val="002C68C1"/>
    <w:rsid w:val="002C68C2"/>
    <w:rsid w:val="002C6D61"/>
    <w:rsid w:val="002C775B"/>
    <w:rsid w:val="002C7D93"/>
    <w:rsid w:val="002D0EAF"/>
    <w:rsid w:val="002D139D"/>
    <w:rsid w:val="002D174A"/>
    <w:rsid w:val="002D1908"/>
    <w:rsid w:val="002D1A01"/>
    <w:rsid w:val="002D4302"/>
    <w:rsid w:val="002D444C"/>
    <w:rsid w:val="002D47D7"/>
    <w:rsid w:val="002D4C9D"/>
    <w:rsid w:val="002D4D92"/>
    <w:rsid w:val="002D5297"/>
    <w:rsid w:val="002D5918"/>
    <w:rsid w:val="002D5986"/>
    <w:rsid w:val="002D60BE"/>
    <w:rsid w:val="002D6833"/>
    <w:rsid w:val="002D725A"/>
    <w:rsid w:val="002E0071"/>
    <w:rsid w:val="002E0478"/>
    <w:rsid w:val="002E0C8C"/>
    <w:rsid w:val="002E15A1"/>
    <w:rsid w:val="002E1795"/>
    <w:rsid w:val="002E1888"/>
    <w:rsid w:val="002E1FA3"/>
    <w:rsid w:val="002E2C74"/>
    <w:rsid w:val="002E3500"/>
    <w:rsid w:val="002E3A00"/>
    <w:rsid w:val="002E3B74"/>
    <w:rsid w:val="002E3C4B"/>
    <w:rsid w:val="002E4890"/>
    <w:rsid w:val="002E499B"/>
    <w:rsid w:val="002E5000"/>
    <w:rsid w:val="002E5352"/>
    <w:rsid w:val="002E66C8"/>
    <w:rsid w:val="002E6AE4"/>
    <w:rsid w:val="002E6AEC"/>
    <w:rsid w:val="002E6C8E"/>
    <w:rsid w:val="002E6DFF"/>
    <w:rsid w:val="002E7637"/>
    <w:rsid w:val="002F08E8"/>
    <w:rsid w:val="002F2184"/>
    <w:rsid w:val="002F21AD"/>
    <w:rsid w:val="002F22FF"/>
    <w:rsid w:val="002F3404"/>
    <w:rsid w:val="002F3463"/>
    <w:rsid w:val="002F3485"/>
    <w:rsid w:val="002F3604"/>
    <w:rsid w:val="002F39D1"/>
    <w:rsid w:val="002F3E24"/>
    <w:rsid w:val="002F551E"/>
    <w:rsid w:val="002F5CBE"/>
    <w:rsid w:val="002F5FC5"/>
    <w:rsid w:val="002F6393"/>
    <w:rsid w:val="002F6D60"/>
    <w:rsid w:val="002F765C"/>
    <w:rsid w:val="00301381"/>
    <w:rsid w:val="00301B6A"/>
    <w:rsid w:val="003029BB"/>
    <w:rsid w:val="0030307F"/>
    <w:rsid w:val="00303164"/>
    <w:rsid w:val="003037C0"/>
    <w:rsid w:val="00304135"/>
    <w:rsid w:val="003046F7"/>
    <w:rsid w:val="00305142"/>
    <w:rsid w:val="00305B6F"/>
    <w:rsid w:val="00305F77"/>
    <w:rsid w:val="00306C4E"/>
    <w:rsid w:val="00307A04"/>
    <w:rsid w:val="00307D12"/>
    <w:rsid w:val="0031026B"/>
    <w:rsid w:val="0031050B"/>
    <w:rsid w:val="00310762"/>
    <w:rsid w:val="00310B41"/>
    <w:rsid w:val="00310C89"/>
    <w:rsid w:val="00310DF8"/>
    <w:rsid w:val="003118D9"/>
    <w:rsid w:val="0031277A"/>
    <w:rsid w:val="003133EB"/>
    <w:rsid w:val="00313C0B"/>
    <w:rsid w:val="00313CEF"/>
    <w:rsid w:val="00314AA2"/>
    <w:rsid w:val="00314BE0"/>
    <w:rsid w:val="00314C62"/>
    <w:rsid w:val="00314E23"/>
    <w:rsid w:val="003154D9"/>
    <w:rsid w:val="00315B09"/>
    <w:rsid w:val="003165B8"/>
    <w:rsid w:val="003169FD"/>
    <w:rsid w:val="0032029B"/>
    <w:rsid w:val="00321922"/>
    <w:rsid w:val="00321B1E"/>
    <w:rsid w:val="00321F34"/>
    <w:rsid w:val="00322244"/>
    <w:rsid w:val="00322A88"/>
    <w:rsid w:val="00322C08"/>
    <w:rsid w:val="00322EC1"/>
    <w:rsid w:val="00323E1A"/>
    <w:rsid w:val="003247D5"/>
    <w:rsid w:val="00324E71"/>
    <w:rsid w:val="003250B9"/>
    <w:rsid w:val="0032534F"/>
    <w:rsid w:val="00327681"/>
    <w:rsid w:val="003278D5"/>
    <w:rsid w:val="0033001B"/>
    <w:rsid w:val="003304D0"/>
    <w:rsid w:val="00330E57"/>
    <w:rsid w:val="0033135E"/>
    <w:rsid w:val="003314F6"/>
    <w:rsid w:val="00331987"/>
    <w:rsid w:val="00331C6A"/>
    <w:rsid w:val="00332A10"/>
    <w:rsid w:val="00332F8F"/>
    <w:rsid w:val="003339D1"/>
    <w:rsid w:val="00333E13"/>
    <w:rsid w:val="00334363"/>
    <w:rsid w:val="00335273"/>
    <w:rsid w:val="00335343"/>
    <w:rsid w:val="0033592A"/>
    <w:rsid w:val="00335DA9"/>
    <w:rsid w:val="00336EE0"/>
    <w:rsid w:val="00337437"/>
    <w:rsid w:val="003415B7"/>
    <w:rsid w:val="003418D1"/>
    <w:rsid w:val="003426BC"/>
    <w:rsid w:val="00344B6D"/>
    <w:rsid w:val="003455AD"/>
    <w:rsid w:val="00346AB8"/>
    <w:rsid w:val="00346D23"/>
    <w:rsid w:val="003477CD"/>
    <w:rsid w:val="003478F8"/>
    <w:rsid w:val="00347D4B"/>
    <w:rsid w:val="00350011"/>
    <w:rsid w:val="00350CA9"/>
    <w:rsid w:val="00350F7A"/>
    <w:rsid w:val="003517C0"/>
    <w:rsid w:val="00352542"/>
    <w:rsid w:val="00352958"/>
    <w:rsid w:val="00352C55"/>
    <w:rsid w:val="00352F9A"/>
    <w:rsid w:val="00353597"/>
    <w:rsid w:val="00353EB6"/>
    <w:rsid w:val="00354418"/>
    <w:rsid w:val="00354740"/>
    <w:rsid w:val="003558B8"/>
    <w:rsid w:val="00355BD8"/>
    <w:rsid w:val="0035627C"/>
    <w:rsid w:val="003564CB"/>
    <w:rsid w:val="003566F9"/>
    <w:rsid w:val="00356936"/>
    <w:rsid w:val="00356CA5"/>
    <w:rsid w:val="00357C54"/>
    <w:rsid w:val="00357E1B"/>
    <w:rsid w:val="00360859"/>
    <w:rsid w:val="00360F36"/>
    <w:rsid w:val="00361E25"/>
    <w:rsid w:val="00362371"/>
    <w:rsid w:val="003626B7"/>
    <w:rsid w:val="003628B9"/>
    <w:rsid w:val="003629A4"/>
    <w:rsid w:val="003629C0"/>
    <w:rsid w:val="00363DF2"/>
    <w:rsid w:val="00364FAF"/>
    <w:rsid w:val="0036519F"/>
    <w:rsid w:val="00365696"/>
    <w:rsid w:val="00365D31"/>
    <w:rsid w:val="00366491"/>
    <w:rsid w:val="003669B1"/>
    <w:rsid w:val="00367B0A"/>
    <w:rsid w:val="003708A7"/>
    <w:rsid w:val="003709F4"/>
    <w:rsid w:val="00372B13"/>
    <w:rsid w:val="00372F8E"/>
    <w:rsid w:val="00373051"/>
    <w:rsid w:val="003730FB"/>
    <w:rsid w:val="0037356A"/>
    <w:rsid w:val="00374B4C"/>
    <w:rsid w:val="00374F0E"/>
    <w:rsid w:val="003750AB"/>
    <w:rsid w:val="00375265"/>
    <w:rsid w:val="00375D90"/>
    <w:rsid w:val="003764D4"/>
    <w:rsid w:val="00376527"/>
    <w:rsid w:val="00376C61"/>
    <w:rsid w:val="00376CC4"/>
    <w:rsid w:val="0037782E"/>
    <w:rsid w:val="00377B8B"/>
    <w:rsid w:val="00377F38"/>
    <w:rsid w:val="00380859"/>
    <w:rsid w:val="00380D3F"/>
    <w:rsid w:val="00381E76"/>
    <w:rsid w:val="00382F82"/>
    <w:rsid w:val="003837BA"/>
    <w:rsid w:val="00383F39"/>
    <w:rsid w:val="00384224"/>
    <w:rsid w:val="00384865"/>
    <w:rsid w:val="00384E6D"/>
    <w:rsid w:val="00385156"/>
    <w:rsid w:val="0038636E"/>
    <w:rsid w:val="0038698D"/>
    <w:rsid w:val="0038755E"/>
    <w:rsid w:val="00390046"/>
    <w:rsid w:val="00390768"/>
    <w:rsid w:val="00390FBA"/>
    <w:rsid w:val="003913C8"/>
    <w:rsid w:val="003913EF"/>
    <w:rsid w:val="003915DB"/>
    <w:rsid w:val="00391FAB"/>
    <w:rsid w:val="00392343"/>
    <w:rsid w:val="0039241F"/>
    <w:rsid w:val="00393E1F"/>
    <w:rsid w:val="00395613"/>
    <w:rsid w:val="003959D5"/>
    <w:rsid w:val="003967A0"/>
    <w:rsid w:val="00396C60"/>
    <w:rsid w:val="00396F86"/>
    <w:rsid w:val="003976A4"/>
    <w:rsid w:val="00397F28"/>
    <w:rsid w:val="003A00ED"/>
    <w:rsid w:val="003A040C"/>
    <w:rsid w:val="003A099B"/>
    <w:rsid w:val="003A1B0D"/>
    <w:rsid w:val="003A1C16"/>
    <w:rsid w:val="003A2167"/>
    <w:rsid w:val="003A2268"/>
    <w:rsid w:val="003A35AD"/>
    <w:rsid w:val="003A4547"/>
    <w:rsid w:val="003A4B6B"/>
    <w:rsid w:val="003A4E40"/>
    <w:rsid w:val="003A53A8"/>
    <w:rsid w:val="003A7E89"/>
    <w:rsid w:val="003B1188"/>
    <w:rsid w:val="003B136F"/>
    <w:rsid w:val="003B17DD"/>
    <w:rsid w:val="003B1A7C"/>
    <w:rsid w:val="003B32F1"/>
    <w:rsid w:val="003B4339"/>
    <w:rsid w:val="003B5075"/>
    <w:rsid w:val="003B5EE5"/>
    <w:rsid w:val="003B5F38"/>
    <w:rsid w:val="003B65CE"/>
    <w:rsid w:val="003B65E3"/>
    <w:rsid w:val="003B747E"/>
    <w:rsid w:val="003C1758"/>
    <w:rsid w:val="003C177E"/>
    <w:rsid w:val="003C1F69"/>
    <w:rsid w:val="003C2119"/>
    <w:rsid w:val="003C2126"/>
    <w:rsid w:val="003C2511"/>
    <w:rsid w:val="003C28BD"/>
    <w:rsid w:val="003C291C"/>
    <w:rsid w:val="003C3DB2"/>
    <w:rsid w:val="003C40DD"/>
    <w:rsid w:val="003C5499"/>
    <w:rsid w:val="003C5E39"/>
    <w:rsid w:val="003C6AB4"/>
    <w:rsid w:val="003C6FD1"/>
    <w:rsid w:val="003C714C"/>
    <w:rsid w:val="003C7167"/>
    <w:rsid w:val="003C73C1"/>
    <w:rsid w:val="003C7978"/>
    <w:rsid w:val="003D0975"/>
    <w:rsid w:val="003D1349"/>
    <w:rsid w:val="003D26F4"/>
    <w:rsid w:val="003D3FB8"/>
    <w:rsid w:val="003D505B"/>
    <w:rsid w:val="003D6761"/>
    <w:rsid w:val="003D6A30"/>
    <w:rsid w:val="003D71FA"/>
    <w:rsid w:val="003D7976"/>
    <w:rsid w:val="003D7CA0"/>
    <w:rsid w:val="003E079A"/>
    <w:rsid w:val="003E0C6E"/>
    <w:rsid w:val="003E0CFC"/>
    <w:rsid w:val="003E34B2"/>
    <w:rsid w:val="003E3591"/>
    <w:rsid w:val="003E3717"/>
    <w:rsid w:val="003E552E"/>
    <w:rsid w:val="003E55CF"/>
    <w:rsid w:val="003E5C5D"/>
    <w:rsid w:val="003E5CC0"/>
    <w:rsid w:val="003E7AE3"/>
    <w:rsid w:val="003F1861"/>
    <w:rsid w:val="003F187F"/>
    <w:rsid w:val="003F2F7F"/>
    <w:rsid w:val="003F32E6"/>
    <w:rsid w:val="003F3BB8"/>
    <w:rsid w:val="003F44FF"/>
    <w:rsid w:val="003F4FF2"/>
    <w:rsid w:val="003F5DB9"/>
    <w:rsid w:val="003F6B53"/>
    <w:rsid w:val="003F753E"/>
    <w:rsid w:val="003F785B"/>
    <w:rsid w:val="003F78CC"/>
    <w:rsid w:val="003F7C42"/>
    <w:rsid w:val="003F7DE9"/>
    <w:rsid w:val="004009A8"/>
    <w:rsid w:val="00401215"/>
    <w:rsid w:val="004012DE"/>
    <w:rsid w:val="004013AF"/>
    <w:rsid w:val="004016D6"/>
    <w:rsid w:val="004020E3"/>
    <w:rsid w:val="004021C5"/>
    <w:rsid w:val="0040266F"/>
    <w:rsid w:val="00402C3E"/>
    <w:rsid w:val="00403BF7"/>
    <w:rsid w:val="00404FF9"/>
    <w:rsid w:val="004074C1"/>
    <w:rsid w:val="004114C1"/>
    <w:rsid w:val="0041159C"/>
    <w:rsid w:val="004115D0"/>
    <w:rsid w:val="004119D4"/>
    <w:rsid w:val="0041273E"/>
    <w:rsid w:val="00412C78"/>
    <w:rsid w:val="0041323E"/>
    <w:rsid w:val="00413319"/>
    <w:rsid w:val="00413E77"/>
    <w:rsid w:val="004142DD"/>
    <w:rsid w:val="004147C3"/>
    <w:rsid w:val="00414D8A"/>
    <w:rsid w:val="00415999"/>
    <w:rsid w:val="00415C39"/>
    <w:rsid w:val="0041621C"/>
    <w:rsid w:val="004169C7"/>
    <w:rsid w:val="00420A41"/>
    <w:rsid w:val="00420AFB"/>
    <w:rsid w:val="00420F12"/>
    <w:rsid w:val="00421490"/>
    <w:rsid w:val="0042186E"/>
    <w:rsid w:val="004219DE"/>
    <w:rsid w:val="00421AB1"/>
    <w:rsid w:val="004223D7"/>
    <w:rsid w:val="00422B39"/>
    <w:rsid w:val="00423767"/>
    <w:rsid w:val="00424A9B"/>
    <w:rsid w:val="00425E96"/>
    <w:rsid w:val="00426587"/>
    <w:rsid w:val="00427229"/>
    <w:rsid w:val="004303CE"/>
    <w:rsid w:val="00430832"/>
    <w:rsid w:val="0043124D"/>
    <w:rsid w:val="00432328"/>
    <w:rsid w:val="004326EA"/>
    <w:rsid w:val="0043296F"/>
    <w:rsid w:val="0043417E"/>
    <w:rsid w:val="0043492B"/>
    <w:rsid w:val="00434FAE"/>
    <w:rsid w:val="0043523A"/>
    <w:rsid w:val="00435B4C"/>
    <w:rsid w:val="00436C85"/>
    <w:rsid w:val="004379E9"/>
    <w:rsid w:val="00440658"/>
    <w:rsid w:val="00440C12"/>
    <w:rsid w:val="0044175F"/>
    <w:rsid w:val="00441C5D"/>
    <w:rsid w:val="00441CC4"/>
    <w:rsid w:val="0044220E"/>
    <w:rsid w:val="0044314A"/>
    <w:rsid w:val="00444900"/>
    <w:rsid w:val="0044536F"/>
    <w:rsid w:val="00445C2C"/>
    <w:rsid w:val="004471E1"/>
    <w:rsid w:val="00447A94"/>
    <w:rsid w:val="00450487"/>
    <w:rsid w:val="0045084A"/>
    <w:rsid w:val="00450D1F"/>
    <w:rsid w:val="00451030"/>
    <w:rsid w:val="004511E5"/>
    <w:rsid w:val="004519CE"/>
    <w:rsid w:val="00451A1D"/>
    <w:rsid w:val="00452B74"/>
    <w:rsid w:val="0045332F"/>
    <w:rsid w:val="00453CFB"/>
    <w:rsid w:val="00454C1A"/>
    <w:rsid w:val="00455345"/>
    <w:rsid w:val="004555A3"/>
    <w:rsid w:val="00455676"/>
    <w:rsid w:val="004564EE"/>
    <w:rsid w:val="004570D6"/>
    <w:rsid w:val="004574AF"/>
    <w:rsid w:val="00457E29"/>
    <w:rsid w:val="004609E9"/>
    <w:rsid w:val="00460A1C"/>
    <w:rsid w:val="0046187D"/>
    <w:rsid w:val="00461F96"/>
    <w:rsid w:val="00462E02"/>
    <w:rsid w:val="0046339D"/>
    <w:rsid w:val="00463D3C"/>
    <w:rsid w:val="00463D7B"/>
    <w:rsid w:val="004644C8"/>
    <w:rsid w:val="00464B44"/>
    <w:rsid w:val="00465608"/>
    <w:rsid w:val="0046625E"/>
    <w:rsid w:val="004662A5"/>
    <w:rsid w:val="0046646A"/>
    <w:rsid w:val="00466BBB"/>
    <w:rsid w:val="00466C8A"/>
    <w:rsid w:val="0046792A"/>
    <w:rsid w:val="00467E4D"/>
    <w:rsid w:val="0047048D"/>
    <w:rsid w:val="004707E0"/>
    <w:rsid w:val="00470A52"/>
    <w:rsid w:val="00470AB3"/>
    <w:rsid w:val="004711A9"/>
    <w:rsid w:val="00471675"/>
    <w:rsid w:val="004725BC"/>
    <w:rsid w:val="004728D7"/>
    <w:rsid w:val="00472B0F"/>
    <w:rsid w:val="00474158"/>
    <w:rsid w:val="00474523"/>
    <w:rsid w:val="00475548"/>
    <w:rsid w:val="00475B62"/>
    <w:rsid w:val="0047691A"/>
    <w:rsid w:val="00476B0E"/>
    <w:rsid w:val="00476BBB"/>
    <w:rsid w:val="00477BEE"/>
    <w:rsid w:val="004807E8"/>
    <w:rsid w:val="00480C0A"/>
    <w:rsid w:val="00481332"/>
    <w:rsid w:val="00481C15"/>
    <w:rsid w:val="00482840"/>
    <w:rsid w:val="0048289A"/>
    <w:rsid w:val="004839FE"/>
    <w:rsid w:val="00484CD5"/>
    <w:rsid w:val="0048600C"/>
    <w:rsid w:val="00486EA8"/>
    <w:rsid w:val="00487FDC"/>
    <w:rsid w:val="00490D83"/>
    <w:rsid w:val="00491174"/>
    <w:rsid w:val="00491490"/>
    <w:rsid w:val="00492590"/>
    <w:rsid w:val="00492776"/>
    <w:rsid w:val="00492E9C"/>
    <w:rsid w:val="00492F49"/>
    <w:rsid w:val="004938B9"/>
    <w:rsid w:val="004939AD"/>
    <w:rsid w:val="0049422A"/>
    <w:rsid w:val="004942EE"/>
    <w:rsid w:val="0049463D"/>
    <w:rsid w:val="0049485A"/>
    <w:rsid w:val="004950E6"/>
    <w:rsid w:val="00495415"/>
    <w:rsid w:val="00495886"/>
    <w:rsid w:val="00496326"/>
    <w:rsid w:val="00496DD7"/>
    <w:rsid w:val="00496F8D"/>
    <w:rsid w:val="004971F1"/>
    <w:rsid w:val="004979A3"/>
    <w:rsid w:val="004A0040"/>
    <w:rsid w:val="004A036F"/>
    <w:rsid w:val="004A0671"/>
    <w:rsid w:val="004A123A"/>
    <w:rsid w:val="004A15BC"/>
    <w:rsid w:val="004A1669"/>
    <w:rsid w:val="004A1B4D"/>
    <w:rsid w:val="004A24FD"/>
    <w:rsid w:val="004A2C20"/>
    <w:rsid w:val="004A2C9E"/>
    <w:rsid w:val="004A3DC1"/>
    <w:rsid w:val="004A4B24"/>
    <w:rsid w:val="004A4FE7"/>
    <w:rsid w:val="004A636C"/>
    <w:rsid w:val="004A65C8"/>
    <w:rsid w:val="004B080A"/>
    <w:rsid w:val="004B0DE9"/>
    <w:rsid w:val="004B282D"/>
    <w:rsid w:val="004B2DB4"/>
    <w:rsid w:val="004B2EFD"/>
    <w:rsid w:val="004B3171"/>
    <w:rsid w:val="004B347A"/>
    <w:rsid w:val="004B45C0"/>
    <w:rsid w:val="004B4647"/>
    <w:rsid w:val="004B471F"/>
    <w:rsid w:val="004B4A90"/>
    <w:rsid w:val="004B5503"/>
    <w:rsid w:val="004B6A73"/>
    <w:rsid w:val="004B74F1"/>
    <w:rsid w:val="004B78BE"/>
    <w:rsid w:val="004C05E4"/>
    <w:rsid w:val="004C0AAC"/>
    <w:rsid w:val="004C0C1C"/>
    <w:rsid w:val="004C0C55"/>
    <w:rsid w:val="004C2350"/>
    <w:rsid w:val="004C273F"/>
    <w:rsid w:val="004C2A43"/>
    <w:rsid w:val="004C467C"/>
    <w:rsid w:val="004C491C"/>
    <w:rsid w:val="004C4FDD"/>
    <w:rsid w:val="004C52D9"/>
    <w:rsid w:val="004C5A82"/>
    <w:rsid w:val="004C5F41"/>
    <w:rsid w:val="004C6152"/>
    <w:rsid w:val="004C71F7"/>
    <w:rsid w:val="004C762C"/>
    <w:rsid w:val="004C7D3C"/>
    <w:rsid w:val="004D01BD"/>
    <w:rsid w:val="004D07E6"/>
    <w:rsid w:val="004D097C"/>
    <w:rsid w:val="004D0B7A"/>
    <w:rsid w:val="004D134B"/>
    <w:rsid w:val="004D284E"/>
    <w:rsid w:val="004D30CC"/>
    <w:rsid w:val="004D3E3B"/>
    <w:rsid w:val="004D3FAD"/>
    <w:rsid w:val="004D429F"/>
    <w:rsid w:val="004D42B4"/>
    <w:rsid w:val="004D46E6"/>
    <w:rsid w:val="004D4B9D"/>
    <w:rsid w:val="004D52C1"/>
    <w:rsid w:val="004D55D2"/>
    <w:rsid w:val="004D6843"/>
    <w:rsid w:val="004D6E07"/>
    <w:rsid w:val="004D6E93"/>
    <w:rsid w:val="004D7EB7"/>
    <w:rsid w:val="004E0F14"/>
    <w:rsid w:val="004E1F54"/>
    <w:rsid w:val="004E1FFA"/>
    <w:rsid w:val="004E27FD"/>
    <w:rsid w:val="004E29CD"/>
    <w:rsid w:val="004E2AE6"/>
    <w:rsid w:val="004E450A"/>
    <w:rsid w:val="004E45B3"/>
    <w:rsid w:val="004E4F89"/>
    <w:rsid w:val="004E5721"/>
    <w:rsid w:val="004E57BC"/>
    <w:rsid w:val="004E5A56"/>
    <w:rsid w:val="004E6198"/>
    <w:rsid w:val="004E6C73"/>
    <w:rsid w:val="004E6EAF"/>
    <w:rsid w:val="004E7057"/>
    <w:rsid w:val="004E719F"/>
    <w:rsid w:val="004E7635"/>
    <w:rsid w:val="004E7BE5"/>
    <w:rsid w:val="004E7E33"/>
    <w:rsid w:val="004F06CA"/>
    <w:rsid w:val="004F1DBC"/>
    <w:rsid w:val="004F1E0B"/>
    <w:rsid w:val="004F2BFB"/>
    <w:rsid w:val="004F35BA"/>
    <w:rsid w:val="004F3CFB"/>
    <w:rsid w:val="004F4001"/>
    <w:rsid w:val="004F4845"/>
    <w:rsid w:val="004F4A2B"/>
    <w:rsid w:val="004F4AB1"/>
    <w:rsid w:val="004F50E8"/>
    <w:rsid w:val="004F6199"/>
    <w:rsid w:val="004F68F9"/>
    <w:rsid w:val="004F70C1"/>
    <w:rsid w:val="004F73CD"/>
    <w:rsid w:val="004F7982"/>
    <w:rsid w:val="005009EC"/>
    <w:rsid w:val="0050197D"/>
    <w:rsid w:val="005037F5"/>
    <w:rsid w:val="00503D7F"/>
    <w:rsid w:val="00503FBF"/>
    <w:rsid w:val="00504AB5"/>
    <w:rsid w:val="005057C2"/>
    <w:rsid w:val="00507665"/>
    <w:rsid w:val="00507DB6"/>
    <w:rsid w:val="005108FA"/>
    <w:rsid w:val="00511A87"/>
    <w:rsid w:val="00511EBB"/>
    <w:rsid w:val="0051463B"/>
    <w:rsid w:val="0051475E"/>
    <w:rsid w:val="00514BF1"/>
    <w:rsid w:val="00514EB0"/>
    <w:rsid w:val="00515D60"/>
    <w:rsid w:val="00516533"/>
    <w:rsid w:val="005171E9"/>
    <w:rsid w:val="005174C6"/>
    <w:rsid w:val="00517579"/>
    <w:rsid w:val="0052048A"/>
    <w:rsid w:val="00520776"/>
    <w:rsid w:val="00520A03"/>
    <w:rsid w:val="00522271"/>
    <w:rsid w:val="0052299C"/>
    <w:rsid w:val="00522D97"/>
    <w:rsid w:val="0052415F"/>
    <w:rsid w:val="00524547"/>
    <w:rsid w:val="0052663C"/>
    <w:rsid w:val="005268EA"/>
    <w:rsid w:val="0052715C"/>
    <w:rsid w:val="00527778"/>
    <w:rsid w:val="00527DA3"/>
    <w:rsid w:val="005333D3"/>
    <w:rsid w:val="005339EC"/>
    <w:rsid w:val="0053574B"/>
    <w:rsid w:val="00535EC5"/>
    <w:rsid w:val="00535F07"/>
    <w:rsid w:val="005362FE"/>
    <w:rsid w:val="00536987"/>
    <w:rsid w:val="00536B12"/>
    <w:rsid w:val="00537048"/>
    <w:rsid w:val="00540533"/>
    <w:rsid w:val="005410B6"/>
    <w:rsid w:val="00541AD0"/>
    <w:rsid w:val="0054235C"/>
    <w:rsid w:val="00542A85"/>
    <w:rsid w:val="0054379E"/>
    <w:rsid w:val="00543873"/>
    <w:rsid w:val="00543D9E"/>
    <w:rsid w:val="005452E6"/>
    <w:rsid w:val="00545C0C"/>
    <w:rsid w:val="00547671"/>
    <w:rsid w:val="00551AA0"/>
    <w:rsid w:val="005522FA"/>
    <w:rsid w:val="00552364"/>
    <w:rsid w:val="005523B8"/>
    <w:rsid w:val="0055294D"/>
    <w:rsid w:val="00553F51"/>
    <w:rsid w:val="00554167"/>
    <w:rsid w:val="00554CD8"/>
    <w:rsid w:val="00555059"/>
    <w:rsid w:val="005607EE"/>
    <w:rsid w:val="00560EE8"/>
    <w:rsid w:val="00561628"/>
    <w:rsid w:val="00562393"/>
    <w:rsid w:val="00562465"/>
    <w:rsid w:val="00564BA4"/>
    <w:rsid w:val="00564BF5"/>
    <w:rsid w:val="00564DDA"/>
    <w:rsid w:val="00565640"/>
    <w:rsid w:val="0056650A"/>
    <w:rsid w:val="00566722"/>
    <w:rsid w:val="005670F3"/>
    <w:rsid w:val="00567251"/>
    <w:rsid w:val="005675EC"/>
    <w:rsid w:val="005677FD"/>
    <w:rsid w:val="005679C9"/>
    <w:rsid w:val="00567AC1"/>
    <w:rsid w:val="005705D9"/>
    <w:rsid w:val="00571359"/>
    <w:rsid w:val="00573204"/>
    <w:rsid w:val="0057351A"/>
    <w:rsid w:val="00574C3D"/>
    <w:rsid w:val="00576284"/>
    <w:rsid w:val="00576429"/>
    <w:rsid w:val="00576AD1"/>
    <w:rsid w:val="00576E38"/>
    <w:rsid w:val="00576E83"/>
    <w:rsid w:val="005775E6"/>
    <w:rsid w:val="005777D5"/>
    <w:rsid w:val="00577CEA"/>
    <w:rsid w:val="00580428"/>
    <w:rsid w:val="00580556"/>
    <w:rsid w:val="005807C4"/>
    <w:rsid w:val="00580E1A"/>
    <w:rsid w:val="00581703"/>
    <w:rsid w:val="00581A67"/>
    <w:rsid w:val="00581D25"/>
    <w:rsid w:val="005827A6"/>
    <w:rsid w:val="00582F87"/>
    <w:rsid w:val="00583101"/>
    <w:rsid w:val="00584017"/>
    <w:rsid w:val="0058432D"/>
    <w:rsid w:val="005847D9"/>
    <w:rsid w:val="00585449"/>
    <w:rsid w:val="005854E7"/>
    <w:rsid w:val="005855DE"/>
    <w:rsid w:val="005857F0"/>
    <w:rsid w:val="005873F2"/>
    <w:rsid w:val="00587AC6"/>
    <w:rsid w:val="00587B0F"/>
    <w:rsid w:val="00591420"/>
    <w:rsid w:val="00591798"/>
    <w:rsid w:val="0059272B"/>
    <w:rsid w:val="00593C5A"/>
    <w:rsid w:val="00593D11"/>
    <w:rsid w:val="0059400C"/>
    <w:rsid w:val="00594272"/>
    <w:rsid w:val="00594BEF"/>
    <w:rsid w:val="0059513A"/>
    <w:rsid w:val="00595606"/>
    <w:rsid w:val="00595A2F"/>
    <w:rsid w:val="00595ECC"/>
    <w:rsid w:val="0059624C"/>
    <w:rsid w:val="00596755"/>
    <w:rsid w:val="005967CF"/>
    <w:rsid w:val="00596949"/>
    <w:rsid w:val="00596A63"/>
    <w:rsid w:val="00597125"/>
    <w:rsid w:val="00597590"/>
    <w:rsid w:val="005A0D4A"/>
    <w:rsid w:val="005A0E3B"/>
    <w:rsid w:val="005A0F79"/>
    <w:rsid w:val="005A10B3"/>
    <w:rsid w:val="005A1D2B"/>
    <w:rsid w:val="005A1F44"/>
    <w:rsid w:val="005A220D"/>
    <w:rsid w:val="005A2541"/>
    <w:rsid w:val="005A2759"/>
    <w:rsid w:val="005A27EF"/>
    <w:rsid w:val="005A2C6F"/>
    <w:rsid w:val="005A3A7C"/>
    <w:rsid w:val="005A4196"/>
    <w:rsid w:val="005A4E51"/>
    <w:rsid w:val="005A5B7F"/>
    <w:rsid w:val="005A6817"/>
    <w:rsid w:val="005A73CC"/>
    <w:rsid w:val="005A76F8"/>
    <w:rsid w:val="005A7C76"/>
    <w:rsid w:val="005B0238"/>
    <w:rsid w:val="005B0B57"/>
    <w:rsid w:val="005B0E5C"/>
    <w:rsid w:val="005B1031"/>
    <w:rsid w:val="005B1BBF"/>
    <w:rsid w:val="005B25FD"/>
    <w:rsid w:val="005B2DA0"/>
    <w:rsid w:val="005B31AB"/>
    <w:rsid w:val="005B356E"/>
    <w:rsid w:val="005B3F63"/>
    <w:rsid w:val="005B57EB"/>
    <w:rsid w:val="005B6BA3"/>
    <w:rsid w:val="005B6C5F"/>
    <w:rsid w:val="005B7314"/>
    <w:rsid w:val="005C00AA"/>
    <w:rsid w:val="005C03EC"/>
    <w:rsid w:val="005C0916"/>
    <w:rsid w:val="005C14C5"/>
    <w:rsid w:val="005C190D"/>
    <w:rsid w:val="005C1DCE"/>
    <w:rsid w:val="005C2A51"/>
    <w:rsid w:val="005C38A7"/>
    <w:rsid w:val="005C3B44"/>
    <w:rsid w:val="005C3CA9"/>
    <w:rsid w:val="005C42D7"/>
    <w:rsid w:val="005C6620"/>
    <w:rsid w:val="005C7DA9"/>
    <w:rsid w:val="005C7FFC"/>
    <w:rsid w:val="005D0C58"/>
    <w:rsid w:val="005D0C7F"/>
    <w:rsid w:val="005D0DE5"/>
    <w:rsid w:val="005D112B"/>
    <w:rsid w:val="005D1191"/>
    <w:rsid w:val="005D11C3"/>
    <w:rsid w:val="005D1657"/>
    <w:rsid w:val="005D3004"/>
    <w:rsid w:val="005D3511"/>
    <w:rsid w:val="005D3CAE"/>
    <w:rsid w:val="005D3E7D"/>
    <w:rsid w:val="005D4507"/>
    <w:rsid w:val="005D46F3"/>
    <w:rsid w:val="005D4A9E"/>
    <w:rsid w:val="005D58D0"/>
    <w:rsid w:val="005D59DA"/>
    <w:rsid w:val="005D5F93"/>
    <w:rsid w:val="005D701B"/>
    <w:rsid w:val="005D789E"/>
    <w:rsid w:val="005E1078"/>
    <w:rsid w:val="005E22A2"/>
    <w:rsid w:val="005E2C76"/>
    <w:rsid w:val="005E2E54"/>
    <w:rsid w:val="005E34E9"/>
    <w:rsid w:val="005E3FA7"/>
    <w:rsid w:val="005E4045"/>
    <w:rsid w:val="005E4330"/>
    <w:rsid w:val="005E433E"/>
    <w:rsid w:val="005E46C4"/>
    <w:rsid w:val="005E46C6"/>
    <w:rsid w:val="005E49AC"/>
    <w:rsid w:val="005E5206"/>
    <w:rsid w:val="005E5229"/>
    <w:rsid w:val="005E7B14"/>
    <w:rsid w:val="005F0128"/>
    <w:rsid w:val="005F055E"/>
    <w:rsid w:val="005F0902"/>
    <w:rsid w:val="005F0A9E"/>
    <w:rsid w:val="005F1937"/>
    <w:rsid w:val="005F1A52"/>
    <w:rsid w:val="005F1B26"/>
    <w:rsid w:val="005F2169"/>
    <w:rsid w:val="005F2F50"/>
    <w:rsid w:val="005F2F9C"/>
    <w:rsid w:val="005F3466"/>
    <w:rsid w:val="005F4679"/>
    <w:rsid w:val="005F4A16"/>
    <w:rsid w:val="005F4C34"/>
    <w:rsid w:val="005F573C"/>
    <w:rsid w:val="005F6F74"/>
    <w:rsid w:val="005F76FC"/>
    <w:rsid w:val="006000EB"/>
    <w:rsid w:val="006003A3"/>
    <w:rsid w:val="00600500"/>
    <w:rsid w:val="006010B0"/>
    <w:rsid w:val="00601165"/>
    <w:rsid w:val="0060221E"/>
    <w:rsid w:val="00602566"/>
    <w:rsid w:val="00603C2D"/>
    <w:rsid w:val="00603FA8"/>
    <w:rsid w:val="006045F1"/>
    <w:rsid w:val="006050AC"/>
    <w:rsid w:val="0060594E"/>
    <w:rsid w:val="00605D7C"/>
    <w:rsid w:val="006078D2"/>
    <w:rsid w:val="006078F9"/>
    <w:rsid w:val="00607ABA"/>
    <w:rsid w:val="00607B14"/>
    <w:rsid w:val="00607BEE"/>
    <w:rsid w:val="00610336"/>
    <w:rsid w:val="0061128F"/>
    <w:rsid w:val="006116AD"/>
    <w:rsid w:val="006137A4"/>
    <w:rsid w:val="00613F9A"/>
    <w:rsid w:val="006140D5"/>
    <w:rsid w:val="0061439A"/>
    <w:rsid w:val="00614464"/>
    <w:rsid w:val="00614FD0"/>
    <w:rsid w:val="00615044"/>
    <w:rsid w:val="006150DF"/>
    <w:rsid w:val="00615B21"/>
    <w:rsid w:val="0061633D"/>
    <w:rsid w:val="0061641E"/>
    <w:rsid w:val="006169C2"/>
    <w:rsid w:val="006176B6"/>
    <w:rsid w:val="00620116"/>
    <w:rsid w:val="00620C7B"/>
    <w:rsid w:val="006214E1"/>
    <w:rsid w:val="00621ABB"/>
    <w:rsid w:val="00621F72"/>
    <w:rsid w:val="00621FDE"/>
    <w:rsid w:val="00622428"/>
    <w:rsid w:val="00622534"/>
    <w:rsid w:val="0062369D"/>
    <w:rsid w:val="006252D5"/>
    <w:rsid w:val="0062550C"/>
    <w:rsid w:val="00626D59"/>
    <w:rsid w:val="00627777"/>
    <w:rsid w:val="00630BD8"/>
    <w:rsid w:val="00631EC6"/>
    <w:rsid w:val="006320B0"/>
    <w:rsid w:val="00632370"/>
    <w:rsid w:val="006324F6"/>
    <w:rsid w:val="006330D8"/>
    <w:rsid w:val="006335CE"/>
    <w:rsid w:val="0063413A"/>
    <w:rsid w:val="00634909"/>
    <w:rsid w:val="00634B07"/>
    <w:rsid w:val="006354BD"/>
    <w:rsid w:val="00635663"/>
    <w:rsid w:val="00636FD3"/>
    <w:rsid w:val="0063761C"/>
    <w:rsid w:val="00637A92"/>
    <w:rsid w:val="00637D87"/>
    <w:rsid w:val="00637F7A"/>
    <w:rsid w:val="00640C06"/>
    <w:rsid w:val="00642EFB"/>
    <w:rsid w:val="00643188"/>
    <w:rsid w:val="00643747"/>
    <w:rsid w:val="00643A11"/>
    <w:rsid w:val="00644471"/>
    <w:rsid w:val="006448FC"/>
    <w:rsid w:val="00644EFB"/>
    <w:rsid w:val="006459D8"/>
    <w:rsid w:val="00645A6C"/>
    <w:rsid w:val="00646CB0"/>
    <w:rsid w:val="006500A7"/>
    <w:rsid w:val="00650274"/>
    <w:rsid w:val="00650A97"/>
    <w:rsid w:val="00652E97"/>
    <w:rsid w:val="00653745"/>
    <w:rsid w:val="00653B4B"/>
    <w:rsid w:val="00654EF2"/>
    <w:rsid w:val="0065689C"/>
    <w:rsid w:val="00656939"/>
    <w:rsid w:val="006578D7"/>
    <w:rsid w:val="00660CC7"/>
    <w:rsid w:val="00660D11"/>
    <w:rsid w:val="0066156A"/>
    <w:rsid w:val="006616B6"/>
    <w:rsid w:val="00661853"/>
    <w:rsid w:val="00661A01"/>
    <w:rsid w:val="006620A5"/>
    <w:rsid w:val="00662B13"/>
    <w:rsid w:val="006630DB"/>
    <w:rsid w:val="006639D0"/>
    <w:rsid w:val="00663A0B"/>
    <w:rsid w:val="006642F9"/>
    <w:rsid w:val="006664E2"/>
    <w:rsid w:val="00666AB1"/>
    <w:rsid w:val="00667515"/>
    <w:rsid w:val="00671BE3"/>
    <w:rsid w:val="006721BD"/>
    <w:rsid w:val="006736AD"/>
    <w:rsid w:val="00673B36"/>
    <w:rsid w:val="00673DD2"/>
    <w:rsid w:val="00674643"/>
    <w:rsid w:val="0067520D"/>
    <w:rsid w:val="00676860"/>
    <w:rsid w:val="00680128"/>
    <w:rsid w:val="006804B3"/>
    <w:rsid w:val="006809EB"/>
    <w:rsid w:val="00680D69"/>
    <w:rsid w:val="0068130F"/>
    <w:rsid w:val="00681921"/>
    <w:rsid w:val="00682004"/>
    <w:rsid w:val="00682B7E"/>
    <w:rsid w:val="00682E9C"/>
    <w:rsid w:val="00683B1A"/>
    <w:rsid w:val="00684117"/>
    <w:rsid w:val="0068427C"/>
    <w:rsid w:val="006846E3"/>
    <w:rsid w:val="00684E6D"/>
    <w:rsid w:val="00685BCB"/>
    <w:rsid w:val="006864E0"/>
    <w:rsid w:val="0068681E"/>
    <w:rsid w:val="00686BE5"/>
    <w:rsid w:val="00686FAB"/>
    <w:rsid w:val="006879D4"/>
    <w:rsid w:val="00690F56"/>
    <w:rsid w:val="00691B0B"/>
    <w:rsid w:val="00692BC7"/>
    <w:rsid w:val="00693E68"/>
    <w:rsid w:val="0069474D"/>
    <w:rsid w:val="00694D0C"/>
    <w:rsid w:val="00694D7A"/>
    <w:rsid w:val="00694D8D"/>
    <w:rsid w:val="00695322"/>
    <w:rsid w:val="00695CBD"/>
    <w:rsid w:val="006967EB"/>
    <w:rsid w:val="00697715"/>
    <w:rsid w:val="006A073F"/>
    <w:rsid w:val="006A091A"/>
    <w:rsid w:val="006A0F0D"/>
    <w:rsid w:val="006A12DF"/>
    <w:rsid w:val="006A19C5"/>
    <w:rsid w:val="006A1DD5"/>
    <w:rsid w:val="006A1FA2"/>
    <w:rsid w:val="006A27F6"/>
    <w:rsid w:val="006A3010"/>
    <w:rsid w:val="006A3EF5"/>
    <w:rsid w:val="006A42B8"/>
    <w:rsid w:val="006A46A8"/>
    <w:rsid w:val="006A5515"/>
    <w:rsid w:val="006A5BB8"/>
    <w:rsid w:val="006A772F"/>
    <w:rsid w:val="006A7EC6"/>
    <w:rsid w:val="006B02D2"/>
    <w:rsid w:val="006B0591"/>
    <w:rsid w:val="006B27E3"/>
    <w:rsid w:val="006B2AC9"/>
    <w:rsid w:val="006B2BE2"/>
    <w:rsid w:val="006B3AF5"/>
    <w:rsid w:val="006B3D8D"/>
    <w:rsid w:val="006B464F"/>
    <w:rsid w:val="006B48D1"/>
    <w:rsid w:val="006B59E7"/>
    <w:rsid w:val="006B5C5E"/>
    <w:rsid w:val="006B5C6D"/>
    <w:rsid w:val="006B654A"/>
    <w:rsid w:val="006B67FD"/>
    <w:rsid w:val="006B69C2"/>
    <w:rsid w:val="006B6BFE"/>
    <w:rsid w:val="006C13C9"/>
    <w:rsid w:val="006C1DB8"/>
    <w:rsid w:val="006C1EDC"/>
    <w:rsid w:val="006C1F42"/>
    <w:rsid w:val="006C2812"/>
    <w:rsid w:val="006C2EED"/>
    <w:rsid w:val="006C362F"/>
    <w:rsid w:val="006C36E2"/>
    <w:rsid w:val="006C370A"/>
    <w:rsid w:val="006C39E3"/>
    <w:rsid w:val="006C3EB3"/>
    <w:rsid w:val="006C4300"/>
    <w:rsid w:val="006C440D"/>
    <w:rsid w:val="006C4545"/>
    <w:rsid w:val="006C6DE1"/>
    <w:rsid w:val="006C7006"/>
    <w:rsid w:val="006D0E20"/>
    <w:rsid w:val="006D1696"/>
    <w:rsid w:val="006D3240"/>
    <w:rsid w:val="006D39A8"/>
    <w:rsid w:val="006D47A7"/>
    <w:rsid w:val="006D4D29"/>
    <w:rsid w:val="006D56B1"/>
    <w:rsid w:val="006D5949"/>
    <w:rsid w:val="006D5DD1"/>
    <w:rsid w:val="006D691E"/>
    <w:rsid w:val="006D7380"/>
    <w:rsid w:val="006D7455"/>
    <w:rsid w:val="006E057A"/>
    <w:rsid w:val="006E216D"/>
    <w:rsid w:val="006E35A7"/>
    <w:rsid w:val="006E3E31"/>
    <w:rsid w:val="006E73FC"/>
    <w:rsid w:val="006F0FA0"/>
    <w:rsid w:val="006F15A3"/>
    <w:rsid w:val="006F195C"/>
    <w:rsid w:val="006F1A90"/>
    <w:rsid w:val="006F202B"/>
    <w:rsid w:val="006F2634"/>
    <w:rsid w:val="006F31DB"/>
    <w:rsid w:val="006F4288"/>
    <w:rsid w:val="006F4B11"/>
    <w:rsid w:val="006F4B79"/>
    <w:rsid w:val="006F4D5B"/>
    <w:rsid w:val="006F54C6"/>
    <w:rsid w:val="006F5A7E"/>
    <w:rsid w:val="006F67B8"/>
    <w:rsid w:val="006F69C9"/>
    <w:rsid w:val="00700606"/>
    <w:rsid w:val="00700737"/>
    <w:rsid w:val="00700CB4"/>
    <w:rsid w:val="00701483"/>
    <w:rsid w:val="007016CE"/>
    <w:rsid w:val="00701D08"/>
    <w:rsid w:val="00701F5E"/>
    <w:rsid w:val="00702F92"/>
    <w:rsid w:val="007036A6"/>
    <w:rsid w:val="00703E0A"/>
    <w:rsid w:val="0070429E"/>
    <w:rsid w:val="00704696"/>
    <w:rsid w:val="00704FE2"/>
    <w:rsid w:val="007057FF"/>
    <w:rsid w:val="007060C5"/>
    <w:rsid w:val="00706D2B"/>
    <w:rsid w:val="00707217"/>
    <w:rsid w:val="00707402"/>
    <w:rsid w:val="00707B45"/>
    <w:rsid w:val="00707FE3"/>
    <w:rsid w:val="00710A74"/>
    <w:rsid w:val="00711518"/>
    <w:rsid w:val="0071206E"/>
    <w:rsid w:val="0071226F"/>
    <w:rsid w:val="00712383"/>
    <w:rsid w:val="0071371C"/>
    <w:rsid w:val="00713F68"/>
    <w:rsid w:val="007146B4"/>
    <w:rsid w:val="00714A2A"/>
    <w:rsid w:val="00714B4B"/>
    <w:rsid w:val="00714F7A"/>
    <w:rsid w:val="0071576B"/>
    <w:rsid w:val="0071596D"/>
    <w:rsid w:val="007159BD"/>
    <w:rsid w:val="00715F92"/>
    <w:rsid w:val="00716413"/>
    <w:rsid w:val="00716E1F"/>
    <w:rsid w:val="0071703A"/>
    <w:rsid w:val="00720840"/>
    <w:rsid w:val="007225F5"/>
    <w:rsid w:val="007241CD"/>
    <w:rsid w:val="00724A1A"/>
    <w:rsid w:val="00725ECD"/>
    <w:rsid w:val="00726903"/>
    <w:rsid w:val="007273B0"/>
    <w:rsid w:val="0072762B"/>
    <w:rsid w:val="00727E16"/>
    <w:rsid w:val="00730567"/>
    <w:rsid w:val="00730CA2"/>
    <w:rsid w:val="00730CE4"/>
    <w:rsid w:val="00731177"/>
    <w:rsid w:val="00731605"/>
    <w:rsid w:val="00732AA9"/>
    <w:rsid w:val="00732B8A"/>
    <w:rsid w:val="00733365"/>
    <w:rsid w:val="00733F80"/>
    <w:rsid w:val="00735142"/>
    <w:rsid w:val="007353D2"/>
    <w:rsid w:val="00736516"/>
    <w:rsid w:val="00736BD4"/>
    <w:rsid w:val="00736EFA"/>
    <w:rsid w:val="00737C96"/>
    <w:rsid w:val="007413E8"/>
    <w:rsid w:val="00741476"/>
    <w:rsid w:val="00741D60"/>
    <w:rsid w:val="00742ACD"/>
    <w:rsid w:val="00744225"/>
    <w:rsid w:val="00746E5D"/>
    <w:rsid w:val="007470D1"/>
    <w:rsid w:val="00747A7B"/>
    <w:rsid w:val="00747D45"/>
    <w:rsid w:val="0075109A"/>
    <w:rsid w:val="00751DBE"/>
    <w:rsid w:val="00752245"/>
    <w:rsid w:val="00753877"/>
    <w:rsid w:val="00753963"/>
    <w:rsid w:val="00754070"/>
    <w:rsid w:val="00754B34"/>
    <w:rsid w:val="00754F45"/>
    <w:rsid w:val="00756208"/>
    <w:rsid w:val="00756EBE"/>
    <w:rsid w:val="00757125"/>
    <w:rsid w:val="00757A84"/>
    <w:rsid w:val="00757B04"/>
    <w:rsid w:val="00757E1B"/>
    <w:rsid w:val="0076045E"/>
    <w:rsid w:val="007614D0"/>
    <w:rsid w:val="007617D2"/>
    <w:rsid w:val="00762313"/>
    <w:rsid w:val="00762CEF"/>
    <w:rsid w:val="00762DDE"/>
    <w:rsid w:val="007631CC"/>
    <w:rsid w:val="00763AAE"/>
    <w:rsid w:val="00763B3E"/>
    <w:rsid w:val="00763B8E"/>
    <w:rsid w:val="00763EAA"/>
    <w:rsid w:val="00764360"/>
    <w:rsid w:val="00766040"/>
    <w:rsid w:val="007661A6"/>
    <w:rsid w:val="00766B8E"/>
    <w:rsid w:val="00766F59"/>
    <w:rsid w:val="00767895"/>
    <w:rsid w:val="007678E5"/>
    <w:rsid w:val="0076791A"/>
    <w:rsid w:val="00767B01"/>
    <w:rsid w:val="00767BDC"/>
    <w:rsid w:val="00767D4D"/>
    <w:rsid w:val="0077026E"/>
    <w:rsid w:val="00770C8A"/>
    <w:rsid w:val="00770EB5"/>
    <w:rsid w:val="00770ED8"/>
    <w:rsid w:val="00771FD0"/>
    <w:rsid w:val="00772169"/>
    <w:rsid w:val="00772554"/>
    <w:rsid w:val="007727A3"/>
    <w:rsid w:val="00773AED"/>
    <w:rsid w:val="00773BA7"/>
    <w:rsid w:val="00773F24"/>
    <w:rsid w:val="00774652"/>
    <w:rsid w:val="00774FED"/>
    <w:rsid w:val="00776444"/>
    <w:rsid w:val="007766F1"/>
    <w:rsid w:val="007769A3"/>
    <w:rsid w:val="00776F00"/>
    <w:rsid w:val="00777323"/>
    <w:rsid w:val="007776D2"/>
    <w:rsid w:val="00777FC7"/>
    <w:rsid w:val="00781CBD"/>
    <w:rsid w:val="00781ED3"/>
    <w:rsid w:val="007821E9"/>
    <w:rsid w:val="007831BE"/>
    <w:rsid w:val="00783DA1"/>
    <w:rsid w:val="00784900"/>
    <w:rsid w:val="0078498A"/>
    <w:rsid w:val="007857BC"/>
    <w:rsid w:val="007857E0"/>
    <w:rsid w:val="00786976"/>
    <w:rsid w:val="00787ECC"/>
    <w:rsid w:val="007916E5"/>
    <w:rsid w:val="00791D14"/>
    <w:rsid w:val="00792E19"/>
    <w:rsid w:val="00793139"/>
    <w:rsid w:val="00793D55"/>
    <w:rsid w:val="007954E2"/>
    <w:rsid w:val="0079614E"/>
    <w:rsid w:val="00796808"/>
    <w:rsid w:val="00797483"/>
    <w:rsid w:val="007A00AF"/>
    <w:rsid w:val="007A0AF0"/>
    <w:rsid w:val="007A2449"/>
    <w:rsid w:val="007A30DF"/>
    <w:rsid w:val="007A3185"/>
    <w:rsid w:val="007A3CB4"/>
    <w:rsid w:val="007A4CB3"/>
    <w:rsid w:val="007A5134"/>
    <w:rsid w:val="007A6001"/>
    <w:rsid w:val="007A67A2"/>
    <w:rsid w:val="007A69F9"/>
    <w:rsid w:val="007B05BE"/>
    <w:rsid w:val="007B09D7"/>
    <w:rsid w:val="007B09DC"/>
    <w:rsid w:val="007B1101"/>
    <w:rsid w:val="007B1A94"/>
    <w:rsid w:val="007B277C"/>
    <w:rsid w:val="007B29C0"/>
    <w:rsid w:val="007B4054"/>
    <w:rsid w:val="007B4993"/>
    <w:rsid w:val="007B4D7F"/>
    <w:rsid w:val="007B501A"/>
    <w:rsid w:val="007B5744"/>
    <w:rsid w:val="007B5DC7"/>
    <w:rsid w:val="007B6377"/>
    <w:rsid w:val="007B74E2"/>
    <w:rsid w:val="007B7597"/>
    <w:rsid w:val="007C012E"/>
    <w:rsid w:val="007C0B9D"/>
    <w:rsid w:val="007C2EA9"/>
    <w:rsid w:val="007C2FDB"/>
    <w:rsid w:val="007C31B1"/>
    <w:rsid w:val="007C3221"/>
    <w:rsid w:val="007C3E33"/>
    <w:rsid w:val="007C4142"/>
    <w:rsid w:val="007C5B7D"/>
    <w:rsid w:val="007C5FEA"/>
    <w:rsid w:val="007C682E"/>
    <w:rsid w:val="007C748A"/>
    <w:rsid w:val="007D05E6"/>
    <w:rsid w:val="007D07FA"/>
    <w:rsid w:val="007D0A74"/>
    <w:rsid w:val="007D2FD2"/>
    <w:rsid w:val="007D37A8"/>
    <w:rsid w:val="007D3C20"/>
    <w:rsid w:val="007D5024"/>
    <w:rsid w:val="007D6575"/>
    <w:rsid w:val="007D6C19"/>
    <w:rsid w:val="007D7089"/>
    <w:rsid w:val="007D7B44"/>
    <w:rsid w:val="007D7E5D"/>
    <w:rsid w:val="007E089A"/>
    <w:rsid w:val="007E0B39"/>
    <w:rsid w:val="007E13D5"/>
    <w:rsid w:val="007E168C"/>
    <w:rsid w:val="007E17D3"/>
    <w:rsid w:val="007E1E92"/>
    <w:rsid w:val="007E2C14"/>
    <w:rsid w:val="007E3B3D"/>
    <w:rsid w:val="007E6272"/>
    <w:rsid w:val="007E6C7A"/>
    <w:rsid w:val="007E70F4"/>
    <w:rsid w:val="007E7B47"/>
    <w:rsid w:val="007F00F7"/>
    <w:rsid w:val="007F099E"/>
    <w:rsid w:val="007F0AC7"/>
    <w:rsid w:val="007F183E"/>
    <w:rsid w:val="007F25B5"/>
    <w:rsid w:val="007F2BF0"/>
    <w:rsid w:val="007F324F"/>
    <w:rsid w:val="007F32AC"/>
    <w:rsid w:val="007F3EF4"/>
    <w:rsid w:val="007F431A"/>
    <w:rsid w:val="007F445B"/>
    <w:rsid w:val="007F491D"/>
    <w:rsid w:val="007F4C0D"/>
    <w:rsid w:val="007F4C81"/>
    <w:rsid w:val="007F4D4F"/>
    <w:rsid w:val="007F5789"/>
    <w:rsid w:val="007F5E48"/>
    <w:rsid w:val="007F5E75"/>
    <w:rsid w:val="007F5F86"/>
    <w:rsid w:val="007F66B7"/>
    <w:rsid w:val="007F6873"/>
    <w:rsid w:val="007F6DC0"/>
    <w:rsid w:val="007F6DE4"/>
    <w:rsid w:val="007F7426"/>
    <w:rsid w:val="007F78B1"/>
    <w:rsid w:val="007F7944"/>
    <w:rsid w:val="008002B5"/>
    <w:rsid w:val="00800F6D"/>
    <w:rsid w:val="008015F8"/>
    <w:rsid w:val="00801BBC"/>
    <w:rsid w:val="00802BDF"/>
    <w:rsid w:val="008037C5"/>
    <w:rsid w:val="008059EF"/>
    <w:rsid w:val="0080631A"/>
    <w:rsid w:val="008109B8"/>
    <w:rsid w:val="00810BD1"/>
    <w:rsid w:val="00810EC8"/>
    <w:rsid w:val="0081108D"/>
    <w:rsid w:val="008118C7"/>
    <w:rsid w:val="0081192A"/>
    <w:rsid w:val="008119F3"/>
    <w:rsid w:val="00812217"/>
    <w:rsid w:val="008123B7"/>
    <w:rsid w:val="00812635"/>
    <w:rsid w:val="00812AC3"/>
    <w:rsid w:val="00813320"/>
    <w:rsid w:val="00813D23"/>
    <w:rsid w:val="00816DD3"/>
    <w:rsid w:val="008202C4"/>
    <w:rsid w:val="00821B4F"/>
    <w:rsid w:val="008222A9"/>
    <w:rsid w:val="00822964"/>
    <w:rsid w:val="00823237"/>
    <w:rsid w:val="00824120"/>
    <w:rsid w:val="00824ABC"/>
    <w:rsid w:val="0082533B"/>
    <w:rsid w:val="008260DE"/>
    <w:rsid w:val="00827A54"/>
    <w:rsid w:val="00827ECC"/>
    <w:rsid w:val="00830158"/>
    <w:rsid w:val="00830C07"/>
    <w:rsid w:val="00830FB3"/>
    <w:rsid w:val="008316B3"/>
    <w:rsid w:val="0083185A"/>
    <w:rsid w:val="0083287B"/>
    <w:rsid w:val="0083389C"/>
    <w:rsid w:val="00833992"/>
    <w:rsid w:val="00833AFD"/>
    <w:rsid w:val="00834667"/>
    <w:rsid w:val="00834E74"/>
    <w:rsid w:val="00834ED2"/>
    <w:rsid w:val="00836432"/>
    <w:rsid w:val="00836EF5"/>
    <w:rsid w:val="0083719D"/>
    <w:rsid w:val="008407D8"/>
    <w:rsid w:val="00840E0D"/>
    <w:rsid w:val="00840ED2"/>
    <w:rsid w:val="00840EDA"/>
    <w:rsid w:val="00842451"/>
    <w:rsid w:val="00842562"/>
    <w:rsid w:val="00843679"/>
    <w:rsid w:val="00843CBE"/>
    <w:rsid w:val="00844EC9"/>
    <w:rsid w:val="00845FAA"/>
    <w:rsid w:val="008463E6"/>
    <w:rsid w:val="008469CA"/>
    <w:rsid w:val="00847794"/>
    <w:rsid w:val="008509EC"/>
    <w:rsid w:val="00850DC4"/>
    <w:rsid w:val="00850FE1"/>
    <w:rsid w:val="00851089"/>
    <w:rsid w:val="008522B5"/>
    <w:rsid w:val="008531FD"/>
    <w:rsid w:val="00853578"/>
    <w:rsid w:val="008537C4"/>
    <w:rsid w:val="00854B2D"/>
    <w:rsid w:val="00856547"/>
    <w:rsid w:val="00856CF9"/>
    <w:rsid w:val="00857FCD"/>
    <w:rsid w:val="00860517"/>
    <w:rsid w:val="008618B6"/>
    <w:rsid w:val="00862A56"/>
    <w:rsid w:val="00862F44"/>
    <w:rsid w:val="00864C32"/>
    <w:rsid w:val="00865EE3"/>
    <w:rsid w:val="008669B6"/>
    <w:rsid w:val="00866CD8"/>
    <w:rsid w:val="0087006D"/>
    <w:rsid w:val="00870B77"/>
    <w:rsid w:val="0087101E"/>
    <w:rsid w:val="0087118D"/>
    <w:rsid w:val="00871211"/>
    <w:rsid w:val="008716C2"/>
    <w:rsid w:val="008719FC"/>
    <w:rsid w:val="00871E39"/>
    <w:rsid w:val="008727AC"/>
    <w:rsid w:val="00872A63"/>
    <w:rsid w:val="00873B2D"/>
    <w:rsid w:val="00873B3B"/>
    <w:rsid w:val="00873FBC"/>
    <w:rsid w:val="0087455F"/>
    <w:rsid w:val="008748A0"/>
    <w:rsid w:val="00874F35"/>
    <w:rsid w:val="00875B41"/>
    <w:rsid w:val="00875D6A"/>
    <w:rsid w:val="00875D85"/>
    <w:rsid w:val="00876AC6"/>
    <w:rsid w:val="00876C5E"/>
    <w:rsid w:val="00876F3C"/>
    <w:rsid w:val="0087727A"/>
    <w:rsid w:val="0087751B"/>
    <w:rsid w:val="0087775B"/>
    <w:rsid w:val="008777D5"/>
    <w:rsid w:val="008818DA"/>
    <w:rsid w:val="008821CE"/>
    <w:rsid w:val="00882A88"/>
    <w:rsid w:val="00882FC9"/>
    <w:rsid w:val="0088312D"/>
    <w:rsid w:val="0088389F"/>
    <w:rsid w:val="00884040"/>
    <w:rsid w:val="00884061"/>
    <w:rsid w:val="008845A3"/>
    <w:rsid w:val="00884AE2"/>
    <w:rsid w:val="00885383"/>
    <w:rsid w:val="0088607F"/>
    <w:rsid w:val="0088760E"/>
    <w:rsid w:val="008877B2"/>
    <w:rsid w:val="008900BF"/>
    <w:rsid w:val="008900F3"/>
    <w:rsid w:val="0089099A"/>
    <w:rsid w:val="00890D2B"/>
    <w:rsid w:val="008915C8"/>
    <w:rsid w:val="008917E2"/>
    <w:rsid w:val="00894296"/>
    <w:rsid w:val="0089504C"/>
    <w:rsid w:val="00895A92"/>
    <w:rsid w:val="008963BE"/>
    <w:rsid w:val="00896421"/>
    <w:rsid w:val="00896D2E"/>
    <w:rsid w:val="0089743E"/>
    <w:rsid w:val="00897A76"/>
    <w:rsid w:val="00897BB1"/>
    <w:rsid w:val="008A09DB"/>
    <w:rsid w:val="008A152B"/>
    <w:rsid w:val="008A1978"/>
    <w:rsid w:val="008A288C"/>
    <w:rsid w:val="008A326B"/>
    <w:rsid w:val="008A3471"/>
    <w:rsid w:val="008A4367"/>
    <w:rsid w:val="008A508E"/>
    <w:rsid w:val="008A52DF"/>
    <w:rsid w:val="008A55EF"/>
    <w:rsid w:val="008A6441"/>
    <w:rsid w:val="008A68F9"/>
    <w:rsid w:val="008A7139"/>
    <w:rsid w:val="008A78A2"/>
    <w:rsid w:val="008A7D5C"/>
    <w:rsid w:val="008B041D"/>
    <w:rsid w:val="008B0766"/>
    <w:rsid w:val="008B0969"/>
    <w:rsid w:val="008B0FBC"/>
    <w:rsid w:val="008B297D"/>
    <w:rsid w:val="008B3772"/>
    <w:rsid w:val="008B3796"/>
    <w:rsid w:val="008B38F5"/>
    <w:rsid w:val="008B3C80"/>
    <w:rsid w:val="008B4517"/>
    <w:rsid w:val="008B5299"/>
    <w:rsid w:val="008B5837"/>
    <w:rsid w:val="008B6C2C"/>
    <w:rsid w:val="008B6C94"/>
    <w:rsid w:val="008B6EE5"/>
    <w:rsid w:val="008B7915"/>
    <w:rsid w:val="008C046F"/>
    <w:rsid w:val="008C0764"/>
    <w:rsid w:val="008C08E2"/>
    <w:rsid w:val="008C1BC1"/>
    <w:rsid w:val="008C24F7"/>
    <w:rsid w:val="008C2832"/>
    <w:rsid w:val="008C2BD6"/>
    <w:rsid w:val="008C2DC4"/>
    <w:rsid w:val="008C3032"/>
    <w:rsid w:val="008C408E"/>
    <w:rsid w:val="008C4E8C"/>
    <w:rsid w:val="008C4FED"/>
    <w:rsid w:val="008C5CCC"/>
    <w:rsid w:val="008C639C"/>
    <w:rsid w:val="008C6E18"/>
    <w:rsid w:val="008C6F22"/>
    <w:rsid w:val="008D0195"/>
    <w:rsid w:val="008D14FC"/>
    <w:rsid w:val="008D2283"/>
    <w:rsid w:val="008D2507"/>
    <w:rsid w:val="008D2E41"/>
    <w:rsid w:val="008D3231"/>
    <w:rsid w:val="008D4426"/>
    <w:rsid w:val="008D48C2"/>
    <w:rsid w:val="008D4D02"/>
    <w:rsid w:val="008D4FEF"/>
    <w:rsid w:val="008D5D8B"/>
    <w:rsid w:val="008D6169"/>
    <w:rsid w:val="008D61D2"/>
    <w:rsid w:val="008D7C34"/>
    <w:rsid w:val="008E0161"/>
    <w:rsid w:val="008E0285"/>
    <w:rsid w:val="008E08B4"/>
    <w:rsid w:val="008E0EB4"/>
    <w:rsid w:val="008E0F34"/>
    <w:rsid w:val="008E1224"/>
    <w:rsid w:val="008E1573"/>
    <w:rsid w:val="008E1C02"/>
    <w:rsid w:val="008E2C9E"/>
    <w:rsid w:val="008E312F"/>
    <w:rsid w:val="008E3EE6"/>
    <w:rsid w:val="008E4E0D"/>
    <w:rsid w:val="008E57D5"/>
    <w:rsid w:val="008E6111"/>
    <w:rsid w:val="008E6F47"/>
    <w:rsid w:val="008E7A79"/>
    <w:rsid w:val="008F062C"/>
    <w:rsid w:val="008F0678"/>
    <w:rsid w:val="008F08A9"/>
    <w:rsid w:val="008F11AB"/>
    <w:rsid w:val="008F1422"/>
    <w:rsid w:val="008F22C1"/>
    <w:rsid w:val="008F3D95"/>
    <w:rsid w:val="008F4066"/>
    <w:rsid w:val="008F4903"/>
    <w:rsid w:val="008F6489"/>
    <w:rsid w:val="008F667B"/>
    <w:rsid w:val="008F68F9"/>
    <w:rsid w:val="008F70B3"/>
    <w:rsid w:val="008F71A8"/>
    <w:rsid w:val="00900F2A"/>
    <w:rsid w:val="00901F7F"/>
    <w:rsid w:val="0090271E"/>
    <w:rsid w:val="0090308D"/>
    <w:rsid w:val="0090496E"/>
    <w:rsid w:val="00904995"/>
    <w:rsid w:val="00904BBC"/>
    <w:rsid w:val="00905C76"/>
    <w:rsid w:val="00906A9F"/>
    <w:rsid w:val="00906B15"/>
    <w:rsid w:val="00906F2B"/>
    <w:rsid w:val="009077D7"/>
    <w:rsid w:val="00910401"/>
    <w:rsid w:val="0091073C"/>
    <w:rsid w:val="00911705"/>
    <w:rsid w:val="00911972"/>
    <w:rsid w:val="00912BFF"/>
    <w:rsid w:val="00913116"/>
    <w:rsid w:val="00914678"/>
    <w:rsid w:val="0091516D"/>
    <w:rsid w:val="00915780"/>
    <w:rsid w:val="0091646A"/>
    <w:rsid w:val="009167DB"/>
    <w:rsid w:val="009168E8"/>
    <w:rsid w:val="00917300"/>
    <w:rsid w:val="00917CA3"/>
    <w:rsid w:val="00920578"/>
    <w:rsid w:val="00921263"/>
    <w:rsid w:val="0092131F"/>
    <w:rsid w:val="00921685"/>
    <w:rsid w:val="009222B8"/>
    <w:rsid w:val="00922FF8"/>
    <w:rsid w:val="009258D9"/>
    <w:rsid w:val="00925BA8"/>
    <w:rsid w:val="0092640C"/>
    <w:rsid w:val="0092749E"/>
    <w:rsid w:val="0092787C"/>
    <w:rsid w:val="00927BFC"/>
    <w:rsid w:val="00931071"/>
    <w:rsid w:val="009316FF"/>
    <w:rsid w:val="009319B8"/>
    <w:rsid w:val="00932517"/>
    <w:rsid w:val="00933461"/>
    <w:rsid w:val="00933913"/>
    <w:rsid w:val="00934027"/>
    <w:rsid w:val="00935824"/>
    <w:rsid w:val="009367F8"/>
    <w:rsid w:val="00936C11"/>
    <w:rsid w:val="00940412"/>
    <w:rsid w:val="009404D6"/>
    <w:rsid w:val="009409DC"/>
    <w:rsid w:val="0094133F"/>
    <w:rsid w:val="00941632"/>
    <w:rsid w:val="00941EA4"/>
    <w:rsid w:val="0094437D"/>
    <w:rsid w:val="009447FE"/>
    <w:rsid w:val="0094489A"/>
    <w:rsid w:val="009467D9"/>
    <w:rsid w:val="00946CFF"/>
    <w:rsid w:val="00947FDC"/>
    <w:rsid w:val="00950506"/>
    <w:rsid w:val="009508DE"/>
    <w:rsid w:val="00951B98"/>
    <w:rsid w:val="00952110"/>
    <w:rsid w:val="0095277A"/>
    <w:rsid w:val="00952B84"/>
    <w:rsid w:val="009530A9"/>
    <w:rsid w:val="00953252"/>
    <w:rsid w:val="00953261"/>
    <w:rsid w:val="009537B5"/>
    <w:rsid w:val="009552BA"/>
    <w:rsid w:val="00955870"/>
    <w:rsid w:val="0095592A"/>
    <w:rsid w:val="00955A47"/>
    <w:rsid w:val="00956EDA"/>
    <w:rsid w:val="00957065"/>
    <w:rsid w:val="00957B5E"/>
    <w:rsid w:val="0096034D"/>
    <w:rsid w:val="00960CD5"/>
    <w:rsid w:val="009616C8"/>
    <w:rsid w:val="00961F06"/>
    <w:rsid w:val="00962B77"/>
    <w:rsid w:val="00963BED"/>
    <w:rsid w:val="0096448D"/>
    <w:rsid w:val="00964997"/>
    <w:rsid w:val="00965062"/>
    <w:rsid w:val="0096521D"/>
    <w:rsid w:val="00965A81"/>
    <w:rsid w:val="00966EA0"/>
    <w:rsid w:val="009675E5"/>
    <w:rsid w:val="009713BE"/>
    <w:rsid w:val="00971D7D"/>
    <w:rsid w:val="0097223D"/>
    <w:rsid w:val="00972451"/>
    <w:rsid w:val="00972CDA"/>
    <w:rsid w:val="0097322A"/>
    <w:rsid w:val="00974174"/>
    <w:rsid w:val="009752A8"/>
    <w:rsid w:val="009753EA"/>
    <w:rsid w:val="009763CF"/>
    <w:rsid w:val="00976B38"/>
    <w:rsid w:val="009771C4"/>
    <w:rsid w:val="009773A9"/>
    <w:rsid w:val="00977447"/>
    <w:rsid w:val="009779E8"/>
    <w:rsid w:val="00977B20"/>
    <w:rsid w:val="00977C93"/>
    <w:rsid w:val="0098077F"/>
    <w:rsid w:val="00981A24"/>
    <w:rsid w:val="00981BF0"/>
    <w:rsid w:val="0098411E"/>
    <w:rsid w:val="009849D2"/>
    <w:rsid w:val="0098579C"/>
    <w:rsid w:val="00986605"/>
    <w:rsid w:val="009867C5"/>
    <w:rsid w:val="00986C9C"/>
    <w:rsid w:val="00986CAA"/>
    <w:rsid w:val="009873DB"/>
    <w:rsid w:val="009904BF"/>
    <w:rsid w:val="0099210D"/>
    <w:rsid w:val="009934CF"/>
    <w:rsid w:val="009937B3"/>
    <w:rsid w:val="00993B46"/>
    <w:rsid w:val="0099470E"/>
    <w:rsid w:val="00994CD4"/>
    <w:rsid w:val="00995A28"/>
    <w:rsid w:val="00995F8B"/>
    <w:rsid w:val="009967C6"/>
    <w:rsid w:val="0099702B"/>
    <w:rsid w:val="0099704A"/>
    <w:rsid w:val="009976BF"/>
    <w:rsid w:val="00997E6D"/>
    <w:rsid w:val="009A0075"/>
    <w:rsid w:val="009A0429"/>
    <w:rsid w:val="009A08A6"/>
    <w:rsid w:val="009A18BF"/>
    <w:rsid w:val="009A1C87"/>
    <w:rsid w:val="009A1D78"/>
    <w:rsid w:val="009A1E6A"/>
    <w:rsid w:val="009A2CF7"/>
    <w:rsid w:val="009A2D80"/>
    <w:rsid w:val="009A31ED"/>
    <w:rsid w:val="009A5B82"/>
    <w:rsid w:val="009A66AF"/>
    <w:rsid w:val="009A6E32"/>
    <w:rsid w:val="009A7C89"/>
    <w:rsid w:val="009B01A8"/>
    <w:rsid w:val="009B0574"/>
    <w:rsid w:val="009B07FC"/>
    <w:rsid w:val="009B122F"/>
    <w:rsid w:val="009B17BF"/>
    <w:rsid w:val="009B1856"/>
    <w:rsid w:val="009B3F94"/>
    <w:rsid w:val="009B3FB7"/>
    <w:rsid w:val="009B4211"/>
    <w:rsid w:val="009B4860"/>
    <w:rsid w:val="009B4954"/>
    <w:rsid w:val="009B534A"/>
    <w:rsid w:val="009B5610"/>
    <w:rsid w:val="009B5926"/>
    <w:rsid w:val="009B5A96"/>
    <w:rsid w:val="009B5B4B"/>
    <w:rsid w:val="009B762A"/>
    <w:rsid w:val="009C0506"/>
    <w:rsid w:val="009C06AE"/>
    <w:rsid w:val="009C09D3"/>
    <w:rsid w:val="009C0EE0"/>
    <w:rsid w:val="009C1FAE"/>
    <w:rsid w:val="009C23C4"/>
    <w:rsid w:val="009C2F09"/>
    <w:rsid w:val="009C3269"/>
    <w:rsid w:val="009C349D"/>
    <w:rsid w:val="009C3521"/>
    <w:rsid w:val="009C4AEE"/>
    <w:rsid w:val="009C5E01"/>
    <w:rsid w:val="009C6716"/>
    <w:rsid w:val="009C7534"/>
    <w:rsid w:val="009C7B49"/>
    <w:rsid w:val="009C7BFB"/>
    <w:rsid w:val="009C7E99"/>
    <w:rsid w:val="009D091D"/>
    <w:rsid w:val="009D1299"/>
    <w:rsid w:val="009D1EDC"/>
    <w:rsid w:val="009D2285"/>
    <w:rsid w:val="009D29B1"/>
    <w:rsid w:val="009D2B10"/>
    <w:rsid w:val="009D2F4A"/>
    <w:rsid w:val="009D3401"/>
    <w:rsid w:val="009D4CF3"/>
    <w:rsid w:val="009D5435"/>
    <w:rsid w:val="009D5545"/>
    <w:rsid w:val="009D5B07"/>
    <w:rsid w:val="009D5C97"/>
    <w:rsid w:val="009D673E"/>
    <w:rsid w:val="009D6905"/>
    <w:rsid w:val="009D6D17"/>
    <w:rsid w:val="009D7EDC"/>
    <w:rsid w:val="009E0168"/>
    <w:rsid w:val="009E054D"/>
    <w:rsid w:val="009E0917"/>
    <w:rsid w:val="009E0E44"/>
    <w:rsid w:val="009E114E"/>
    <w:rsid w:val="009E1568"/>
    <w:rsid w:val="009E425C"/>
    <w:rsid w:val="009E52A9"/>
    <w:rsid w:val="009E5DC0"/>
    <w:rsid w:val="009E6052"/>
    <w:rsid w:val="009F0D3E"/>
    <w:rsid w:val="009F1267"/>
    <w:rsid w:val="009F1C7B"/>
    <w:rsid w:val="009F2963"/>
    <w:rsid w:val="009F2AF4"/>
    <w:rsid w:val="009F3542"/>
    <w:rsid w:val="009F3970"/>
    <w:rsid w:val="009F3A80"/>
    <w:rsid w:val="009F4A0F"/>
    <w:rsid w:val="009F4F15"/>
    <w:rsid w:val="009F5A99"/>
    <w:rsid w:val="009F6889"/>
    <w:rsid w:val="009F78B6"/>
    <w:rsid w:val="00A00355"/>
    <w:rsid w:val="00A01018"/>
    <w:rsid w:val="00A01070"/>
    <w:rsid w:val="00A013F6"/>
    <w:rsid w:val="00A0162B"/>
    <w:rsid w:val="00A03797"/>
    <w:rsid w:val="00A03E1C"/>
    <w:rsid w:val="00A041C3"/>
    <w:rsid w:val="00A076ED"/>
    <w:rsid w:val="00A11922"/>
    <w:rsid w:val="00A1238E"/>
    <w:rsid w:val="00A123C6"/>
    <w:rsid w:val="00A12A6C"/>
    <w:rsid w:val="00A1313E"/>
    <w:rsid w:val="00A13814"/>
    <w:rsid w:val="00A13C4B"/>
    <w:rsid w:val="00A13C97"/>
    <w:rsid w:val="00A13F38"/>
    <w:rsid w:val="00A14326"/>
    <w:rsid w:val="00A14E7F"/>
    <w:rsid w:val="00A16B4B"/>
    <w:rsid w:val="00A223F6"/>
    <w:rsid w:val="00A2296E"/>
    <w:rsid w:val="00A2320B"/>
    <w:rsid w:val="00A2350C"/>
    <w:rsid w:val="00A23D50"/>
    <w:rsid w:val="00A23E00"/>
    <w:rsid w:val="00A24458"/>
    <w:rsid w:val="00A24518"/>
    <w:rsid w:val="00A24728"/>
    <w:rsid w:val="00A250A6"/>
    <w:rsid w:val="00A25C23"/>
    <w:rsid w:val="00A2686B"/>
    <w:rsid w:val="00A26F83"/>
    <w:rsid w:val="00A305AA"/>
    <w:rsid w:val="00A30889"/>
    <w:rsid w:val="00A30A60"/>
    <w:rsid w:val="00A30A6C"/>
    <w:rsid w:val="00A30B4D"/>
    <w:rsid w:val="00A30C39"/>
    <w:rsid w:val="00A3127C"/>
    <w:rsid w:val="00A317C3"/>
    <w:rsid w:val="00A31F77"/>
    <w:rsid w:val="00A3233A"/>
    <w:rsid w:val="00A32773"/>
    <w:rsid w:val="00A32796"/>
    <w:rsid w:val="00A32806"/>
    <w:rsid w:val="00A32F19"/>
    <w:rsid w:val="00A337F5"/>
    <w:rsid w:val="00A33987"/>
    <w:rsid w:val="00A33FCF"/>
    <w:rsid w:val="00A3462E"/>
    <w:rsid w:val="00A3552E"/>
    <w:rsid w:val="00A35A0F"/>
    <w:rsid w:val="00A374C4"/>
    <w:rsid w:val="00A41386"/>
    <w:rsid w:val="00A4142F"/>
    <w:rsid w:val="00A4198D"/>
    <w:rsid w:val="00A42203"/>
    <w:rsid w:val="00A4285A"/>
    <w:rsid w:val="00A429CF"/>
    <w:rsid w:val="00A42CF2"/>
    <w:rsid w:val="00A43131"/>
    <w:rsid w:val="00A439EA"/>
    <w:rsid w:val="00A43D6E"/>
    <w:rsid w:val="00A43F6B"/>
    <w:rsid w:val="00A45C09"/>
    <w:rsid w:val="00A45C68"/>
    <w:rsid w:val="00A4645E"/>
    <w:rsid w:val="00A46B3D"/>
    <w:rsid w:val="00A4707F"/>
    <w:rsid w:val="00A471F4"/>
    <w:rsid w:val="00A47986"/>
    <w:rsid w:val="00A47EF4"/>
    <w:rsid w:val="00A50DD6"/>
    <w:rsid w:val="00A52004"/>
    <w:rsid w:val="00A520CF"/>
    <w:rsid w:val="00A52170"/>
    <w:rsid w:val="00A52440"/>
    <w:rsid w:val="00A527FA"/>
    <w:rsid w:val="00A52862"/>
    <w:rsid w:val="00A52E0C"/>
    <w:rsid w:val="00A541E3"/>
    <w:rsid w:val="00A544E1"/>
    <w:rsid w:val="00A54E02"/>
    <w:rsid w:val="00A54E29"/>
    <w:rsid w:val="00A55CA7"/>
    <w:rsid w:val="00A566FB"/>
    <w:rsid w:val="00A5680E"/>
    <w:rsid w:val="00A56C3F"/>
    <w:rsid w:val="00A56FE8"/>
    <w:rsid w:val="00A5747C"/>
    <w:rsid w:val="00A57AE3"/>
    <w:rsid w:val="00A57FAD"/>
    <w:rsid w:val="00A60AF1"/>
    <w:rsid w:val="00A60DF2"/>
    <w:rsid w:val="00A62107"/>
    <w:rsid w:val="00A63CF7"/>
    <w:rsid w:val="00A644B0"/>
    <w:rsid w:val="00A6473B"/>
    <w:rsid w:val="00A647FA"/>
    <w:rsid w:val="00A6678D"/>
    <w:rsid w:val="00A66B49"/>
    <w:rsid w:val="00A67579"/>
    <w:rsid w:val="00A67A50"/>
    <w:rsid w:val="00A707E0"/>
    <w:rsid w:val="00A709DF"/>
    <w:rsid w:val="00A70B98"/>
    <w:rsid w:val="00A70BCB"/>
    <w:rsid w:val="00A7138A"/>
    <w:rsid w:val="00A71440"/>
    <w:rsid w:val="00A71EA9"/>
    <w:rsid w:val="00A72140"/>
    <w:rsid w:val="00A728D4"/>
    <w:rsid w:val="00A72A6F"/>
    <w:rsid w:val="00A734F5"/>
    <w:rsid w:val="00A756E9"/>
    <w:rsid w:val="00A75C7F"/>
    <w:rsid w:val="00A75E6C"/>
    <w:rsid w:val="00A76407"/>
    <w:rsid w:val="00A76CE2"/>
    <w:rsid w:val="00A80542"/>
    <w:rsid w:val="00A80750"/>
    <w:rsid w:val="00A80B25"/>
    <w:rsid w:val="00A8253B"/>
    <w:rsid w:val="00A82581"/>
    <w:rsid w:val="00A82E54"/>
    <w:rsid w:val="00A82E7F"/>
    <w:rsid w:val="00A83B96"/>
    <w:rsid w:val="00A850FA"/>
    <w:rsid w:val="00A867B5"/>
    <w:rsid w:val="00A86B07"/>
    <w:rsid w:val="00A878F0"/>
    <w:rsid w:val="00A87F88"/>
    <w:rsid w:val="00A900BC"/>
    <w:rsid w:val="00A900D8"/>
    <w:rsid w:val="00A90936"/>
    <w:rsid w:val="00A9179E"/>
    <w:rsid w:val="00A919D4"/>
    <w:rsid w:val="00A919F2"/>
    <w:rsid w:val="00A91D75"/>
    <w:rsid w:val="00A938D2"/>
    <w:rsid w:val="00A953F5"/>
    <w:rsid w:val="00A95625"/>
    <w:rsid w:val="00A95F2B"/>
    <w:rsid w:val="00A962DF"/>
    <w:rsid w:val="00A96305"/>
    <w:rsid w:val="00A97577"/>
    <w:rsid w:val="00AA09FF"/>
    <w:rsid w:val="00AA0D89"/>
    <w:rsid w:val="00AA0DD0"/>
    <w:rsid w:val="00AA0EFA"/>
    <w:rsid w:val="00AA1020"/>
    <w:rsid w:val="00AA108A"/>
    <w:rsid w:val="00AA126C"/>
    <w:rsid w:val="00AA1563"/>
    <w:rsid w:val="00AA1B07"/>
    <w:rsid w:val="00AA2D23"/>
    <w:rsid w:val="00AA307C"/>
    <w:rsid w:val="00AA3653"/>
    <w:rsid w:val="00AA416A"/>
    <w:rsid w:val="00AA4B67"/>
    <w:rsid w:val="00AA500A"/>
    <w:rsid w:val="00AA55B3"/>
    <w:rsid w:val="00AA5874"/>
    <w:rsid w:val="00AA59D9"/>
    <w:rsid w:val="00AA5EFD"/>
    <w:rsid w:val="00AA68C6"/>
    <w:rsid w:val="00AA70BE"/>
    <w:rsid w:val="00AA78B8"/>
    <w:rsid w:val="00AB0746"/>
    <w:rsid w:val="00AB07E8"/>
    <w:rsid w:val="00AB0992"/>
    <w:rsid w:val="00AB10C1"/>
    <w:rsid w:val="00AB20D5"/>
    <w:rsid w:val="00AB2AF8"/>
    <w:rsid w:val="00AB3AFB"/>
    <w:rsid w:val="00AB3B6F"/>
    <w:rsid w:val="00AB3D8C"/>
    <w:rsid w:val="00AB43BF"/>
    <w:rsid w:val="00AB5966"/>
    <w:rsid w:val="00AB79A2"/>
    <w:rsid w:val="00AB79F3"/>
    <w:rsid w:val="00AB7B43"/>
    <w:rsid w:val="00AB7F90"/>
    <w:rsid w:val="00AC0168"/>
    <w:rsid w:val="00AC0221"/>
    <w:rsid w:val="00AC100B"/>
    <w:rsid w:val="00AC13FB"/>
    <w:rsid w:val="00AC1411"/>
    <w:rsid w:val="00AC24CA"/>
    <w:rsid w:val="00AC34C1"/>
    <w:rsid w:val="00AC4D08"/>
    <w:rsid w:val="00AC5367"/>
    <w:rsid w:val="00AC5384"/>
    <w:rsid w:val="00AC53CA"/>
    <w:rsid w:val="00AC55EB"/>
    <w:rsid w:val="00AC565D"/>
    <w:rsid w:val="00AC5973"/>
    <w:rsid w:val="00AC6DF7"/>
    <w:rsid w:val="00AC6E59"/>
    <w:rsid w:val="00AC6F6D"/>
    <w:rsid w:val="00AC79F4"/>
    <w:rsid w:val="00AD03EB"/>
    <w:rsid w:val="00AD0A5C"/>
    <w:rsid w:val="00AD1C9C"/>
    <w:rsid w:val="00AD1F61"/>
    <w:rsid w:val="00AD2202"/>
    <w:rsid w:val="00AD2234"/>
    <w:rsid w:val="00AD34F0"/>
    <w:rsid w:val="00AD353F"/>
    <w:rsid w:val="00AD3572"/>
    <w:rsid w:val="00AD3E91"/>
    <w:rsid w:val="00AD445B"/>
    <w:rsid w:val="00AD4E28"/>
    <w:rsid w:val="00AD525C"/>
    <w:rsid w:val="00AD5E6C"/>
    <w:rsid w:val="00AD7811"/>
    <w:rsid w:val="00AD7907"/>
    <w:rsid w:val="00AD7975"/>
    <w:rsid w:val="00AE03BA"/>
    <w:rsid w:val="00AE16B4"/>
    <w:rsid w:val="00AE1B51"/>
    <w:rsid w:val="00AE2F73"/>
    <w:rsid w:val="00AE3B30"/>
    <w:rsid w:val="00AE3D3A"/>
    <w:rsid w:val="00AE4DC2"/>
    <w:rsid w:val="00AE4EDB"/>
    <w:rsid w:val="00AE577D"/>
    <w:rsid w:val="00AE5AFC"/>
    <w:rsid w:val="00AE651F"/>
    <w:rsid w:val="00AE658E"/>
    <w:rsid w:val="00AE6CEC"/>
    <w:rsid w:val="00AE79FB"/>
    <w:rsid w:val="00AE7A28"/>
    <w:rsid w:val="00AF04D8"/>
    <w:rsid w:val="00AF0AE3"/>
    <w:rsid w:val="00AF142A"/>
    <w:rsid w:val="00AF3A9F"/>
    <w:rsid w:val="00AF5158"/>
    <w:rsid w:val="00AF5261"/>
    <w:rsid w:val="00AF6677"/>
    <w:rsid w:val="00AF6AA9"/>
    <w:rsid w:val="00AF6AF1"/>
    <w:rsid w:val="00AF724A"/>
    <w:rsid w:val="00AF73D3"/>
    <w:rsid w:val="00AF783B"/>
    <w:rsid w:val="00B0042C"/>
    <w:rsid w:val="00B01764"/>
    <w:rsid w:val="00B04A5C"/>
    <w:rsid w:val="00B053D1"/>
    <w:rsid w:val="00B05B12"/>
    <w:rsid w:val="00B05DD7"/>
    <w:rsid w:val="00B071C3"/>
    <w:rsid w:val="00B078E7"/>
    <w:rsid w:val="00B07D2E"/>
    <w:rsid w:val="00B07D73"/>
    <w:rsid w:val="00B1001D"/>
    <w:rsid w:val="00B10DF3"/>
    <w:rsid w:val="00B11195"/>
    <w:rsid w:val="00B1269E"/>
    <w:rsid w:val="00B12B86"/>
    <w:rsid w:val="00B12D41"/>
    <w:rsid w:val="00B12EED"/>
    <w:rsid w:val="00B13778"/>
    <w:rsid w:val="00B143D4"/>
    <w:rsid w:val="00B1484F"/>
    <w:rsid w:val="00B15466"/>
    <w:rsid w:val="00B1597E"/>
    <w:rsid w:val="00B15B1B"/>
    <w:rsid w:val="00B15B29"/>
    <w:rsid w:val="00B20873"/>
    <w:rsid w:val="00B20DB7"/>
    <w:rsid w:val="00B21104"/>
    <w:rsid w:val="00B21173"/>
    <w:rsid w:val="00B2132E"/>
    <w:rsid w:val="00B217F7"/>
    <w:rsid w:val="00B21A99"/>
    <w:rsid w:val="00B21BA7"/>
    <w:rsid w:val="00B22A14"/>
    <w:rsid w:val="00B23864"/>
    <w:rsid w:val="00B2442A"/>
    <w:rsid w:val="00B24C52"/>
    <w:rsid w:val="00B25691"/>
    <w:rsid w:val="00B25EE5"/>
    <w:rsid w:val="00B25F55"/>
    <w:rsid w:val="00B26006"/>
    <w:rsid w:val="00B26A86"/>
    <w:rsid w:val="00B26C26"/>
    <w:rsid w:val="00B274EE"/>
    <w:rsid w:val="00B276E3"/>
    <w:rsid w:val="00B30226"/>
    <w:rsid w:val="00B310CF"/>
    <w:rsid w:val="00B3126F"/>
    <w:rsid w:val="00B313CD"/>
    <w:rsid w:val="00B32202"/>
    <w:rsid w:val="00B32585"/>
    <w:rsid w:val="00B32BA9"/>
    <w:rsid w:val="00B32CBC"/>
    <w:rsid w:val="00B32EC5"/>
    <w:rsid w:val="00B3407B"/>
    <w:rsid w:val="00B342D9"/>
    <w:rsid w:val="00B345BC"/>
    <w:rsid w:val="00B34C93"/>
    <w:rsid w:val="00B3509F"/>
    <w:rsid w:val="00B350D9"/>
    <w:rsid w:val="00B3514F"/>
    <w:rsid w:val="00B353AF"/>
    <w:rsid w:val="00B36759"/>
    <w:rsid w:val="00B36891"/>
    <w:rsid w:val="00B37EA2"/>
    <w:rsid w:val="00B41CB3"/>
    <w:rsid w:val="00B4224E"/>
    <w:rsid w:val="00B42B65"/>
    <w:rsid w:val="00B42B6A"/>
    <w:rsid w:val="00B43156"/>
    <w:rsid w:val="00B446AF"/>
    <w:rsid w:val="00B44BE7"/>
    <w:rsid w:val="00B46E54"/>
    <w:rsid w:val="00B46EDA"/>
    <w:rsid w:val="00B47C98"/>
    <w:rsid w:val="00B50300"/>
    <w:rsid w:val="00B503D5"/>
    <w:rsid w:val="00B5040B"/>
    <w:rsid w:val="00B5068C"/>
    <w:rsid w:val="00B508BC"/>
    <w:rsid w:val="00B50AEE"/>
    <w:rsid w:val="00B525C9"/>
    <w:rsid w:val="00B52BEE"/>
    <w:rsid w:val="00B52C16"/>
    <w:rsid w:val="00B5366E"/>
    <w:rsid w:val="00B55E13"/>
    <w:rsid w:val="00B566F5"/>
    <w:rsid w:val="00B5765D"/>
    <w:rsid w:val="00B57816"/>
    <w:rsid w:val="00B57C89"/>
    <w:rsid w:val="00B57E9B"/>
    <w:rsid w:val="00B604C8"/>
    <w:rsid w:val="00B6075C"/>
    <w:rsid w:val="00B60BDE"/>
    <w:rsid w:val="00B60FDC"/>
    <w:rsid w:val="00B61724"/>
    <w:rsid w:val="00B61B6E"/>
    <w:rsid w:val="00B6298A"/>
    <w:rsid w:val="00B65803"/>
    <w:rsid w:val="00B659A1"/>
    <w:rsid w:val="00B65B65"/>
    <w:rsid w:val="00B66129"/>
    <w:rsid w:val="00B66197"/>
    <w:rsid w:val="00B67C01"/>
    <w:rsid w:val="00B70201"/>
    <w:rsid w:val="00B702F0"/>
    <w:rsid w:val="00B70549"/>
    <w:rsid w:val="00B70B3B"/>
    <w:rsid w:val="00B70BFB"/>
    <w:rsid w:val="00B71A49"/>
    <w:rsid w:val="00B72D18"/>
    <w:rsid w:val="00B72E7E"/>
    <w:rsid w:val="00B72F88"/>
    <w:rsid w:val="00B742DE"/>
    <w:rsid w:val="00B74A7C"/>
    <w:rsid w:val="00B751C6"/>
    <w:rsid w:val="00B7597D"/>
    <w:rsid w:val="00B75A60"/>
    <w:rsid w:val="00B762D7"/>
    <w:rsid w:val="00B76A93"/>
    <w:rsid w:val="00B77E1D"/>
    <w:rsid w:val="00B80186"/>
    <w:rsid w:val="00B80553"/>
    <w:rsid w:val="00B808CD"/>
    <w:rsid w:val="00B80CEA"/>
    <w:rsid w:val="00B81DE5"/>
    <w:rsid w:val="00B8406A"/>
    <w:rsid w:val="00B857C1"/>
    <w:rsid w:val="00B85C47"/>
    <w:rsid w:val="00B86045"/>
    <w:rsid w:val="00B864BD"/>
    <w:rsid w:val="00B86CA5"/>
    <w:rsid w:val="00B8732C"/>
    <w:rsid w:val="00B876E0"/>
    <w:rsid w:val="00B9055B"/>
    <w:rsid w:val="00B91344"/>
    <w:rsid w:val="00B915A0"/>
    <w:rsid w:val="00B915FB"/>
    <w:rsid w:val="00B91D46"/>
    <w:rsid w:val="00B9203D"/>
    <w:rsid w:val="00B92561"/>
    <w:rsid w:val="00B94497"/>
    <w:rsid w:val="00B94F93"/>
    <w:rsid w:val="00B95C46"/>
    <w:rsid w:val="00B95EC7"/>
    <w:rsid w:val="00B962E0"/>
    <w:rsid w:val="00B97039"/>
    <w:rsid w:val="00B97491"/>
    <w:rsid w:val="00B97EFB"/>
    <w:rsid w:val="00BA035E"/>
    <w:rsid w:val="00BA0488"/>
    <w:rsid w:val="00BA0F0E"/>
    <w:rsid w:val="00BA0F1D"/>
    <w:rsid w:val="00BA2595"/>
    <w:rsid w:val="00BA29C4"/>
    <w:rsid w:val="00BA31A3"/>
    <w:rsid w:val="00BA3B4D"/>
    <w:rsid w:val="00BA3D8D"/>
    <w:rsid w:val="00BA4DC9"/>
    <w:rsid w:val="00BA5278"/>
    <w:rsid w:val="00BA5780"/>
    <w:rsid w:val="00BA7704"/>
    <w:rsid w:val="00BA7846"/>
    <w:rsid w:val="00BB0710"/>
    <w:rsid w:val="00BB1572"/>
    <w:rsid w:val="00BB1733"/>
    <w:rsid w:val="00BB306A"/>
    <w:rsid w:val="00BB3DA2"/>
    <w:rsid w:val="00BB4352"/>
    <w:rsid w:val="00BB48D0"/>
    <w:rsid w:val="00BB4DBA"/>
    <w:rsid w:val="00BB56AC"/>
    <w:rsid w:val="00BB6BD4"/>
    <w:rsid w:val="00BB739B"/>
    <w:rsid w:val="00BB7E38"/>
    <w:rsid w:val="00BC15D8"/>
    <w:rsid w:val="00BC28E7"/>
    <w:rsid w:val="00BC2E9D"/>
    <w:rsid w:val="00BC37BD"/>
    <w:rsid w:val="00BC39D2"/>
    <w:rsid w:val="00BC3E14"/>
    <w:rsid w:val="00BC559F"/>
    <w:rsid w:val="00BC709E"/>
    <w:rsid w:val="00BC7114"/>
    <w:rsid w:val="00BC7BF5"/>
    <w:rsid w:val="00BD0BC2"/>
    <w:rsid w:val="00BD0E3E"/>
    <w:rsid w:val="00BD139E"/>
    <w:rsid w:val="00BD158E"/>
    <w:rsid w:val="00BD1BFB"/>
    <w:rsid w:val="00BD1F9E"/>
    <w:rsid w:val="00BD2F10"/>
    <w:rsid w:val="00BD319E"/>
    <w:rsid w:val="00BD3FF3"/>
    <w:rsid w:val="00BD46EE"/>
    <w:rsid w:val="00BD67BA"/>
    <w:rsid w:val="00BD6915"/>
    <w:rsid w:val="00BD6F3C"/>
    <w:rsid w:val="00BD7039"/>
    <w:rsid w:val="00BD786C"/>
    <w:rsid w:val="00BE0491"/>
    <w:rsid w:val="00BE183F"/>
    <w:rsid w:val="00BE1D50"/>
    <w:rsid w:val="00BE220A"/>
    <w:rsid w:val="00BE222C"/>
    <w:rsid w:val="00BE2B44"/>
    <w:rsid w:val="00BE3E7D"/>
    <w:rsid w:val="00BE43DA"/>
    <w:rsid w:val="00BE4BE0"/>
    <w:rsid w:val="00BE4D2F"/>
    <w:rsid w:val="00BE4FA3"/>
    <w:rsid w:val="00BE4FBE"/>
    <w:rsid w:val="00BE4FEB"/>
    <w:rsid w:val="00BE51D0"/>
    <w:rsid w:val="00BE5AE9"/>
    <w:rsid w:val="00BE60E4"/>
    <w:rsid w:val="00BE6BDA"/>
    <w:rsid w:val="00BF0C3E"/>
    <w:rsid w:val="00BF1978"/>
    <w:rsid w:val="00BF1D44"/>
    <w:rsid w:val="00BF201B"/>
    <w:rsid w:val="00BF21B1"/>
    <w:rsid w:val="00BF2F50"/>
    <w:rsid w:val="00BF38BD"/>
    <w:rsid w:val="00BF53BD"/>
    <w:rsid w:val="00BF5F37"/>
    <w:rsid w:val="00BF6515"/>
    <w:rsid w:val="00BF65B9"/>
    <w:rsid w:val="00BF6935"/>
    <w:rsid w:val="00BF69C6"/>
    <w:rsid w:val="00BF6F6A"/>
    <w:rsid w:val="00C0264D"/>
    <w:rsid w:val="00C0342B"/>
    <w:rsid w:val="00C0351F"/>
    <w:rsid w:val="00C0414F"/>
    <w:rsid w:val="00C04F61"/>
    <w:rsid w:val="00C04F84"/>
    <w:rsid w:val="00C0551B"/>
    <w:rsid w:val="00C05601"/>
    <w:rsid w:val="00C05C9B"/>
    <w:rsid w:val="00C06D02"/>
    <w:rsid w:val="00C06E46"/>
    <w:rsid w:val="00C06F61"/>
    <w:rsid w:val="00C074E7"/>
    <w:rsid w:val="00C07881"/>
    <w:rsid w:val="00C0796A"/>
    <w:rsid w:val="00C07EB0"/>
    <w:rsid w:val="00C10676"/>
    <w:rsid w:val="00C10D72"/>
    <w:rsid w:val="00C11E99"/>
    <w:rsid w:val="00C11FD7"/>
    <w:rsid w:val="00C14478"/>
    <w:rsid w:val="00C152D7"/>
    <w:rsid w:val="00C17059"/>
    <w:rsid w:val="00C20708"/>
    <w:rsid w:val="00C20EB7"/>
    <w:rsid w:val="00C210D6"/>
    <w:rsid w:val="00C21252"/>
    <w:rsid w:val="00C216A8"/>
    <w:rsid w:val="00C217B6"/>
    <w:rsid w:val="00C22193"/>
    <w:rsid w:val="00C23996"/>
    <w:rsid w:val="00C23B0D"/>
    <w:rsid w:val="00C25D30"/>
    <w:rsid w:val="00C307F1"/>
    <w:rsid w:val="00C30897"/>
    <w:rsid w:val="00C322E6"/>
    <w:rsid w:val="00C32408"/>
    <w:rsid w:val="00C325AE"/>
    <w:rsid w:val="00C33DC3"/>
    <w:rsid w:val="00C3434A"/>
    <w:rsid w:val="00C3458E"/>
    <w:rsid w:val="00C34847"/>
    <w:rsid w:val="00C35E41"/>
    <w:rsid w:val="00C36045"/>
    <w:rsid w:val="00C36C6D"/>
    <w:rsid w:val="00C36D85"/>
    <w:rsid w:val="00C3778E"/>
    <w:rsid w:val="00C40C4C"/>
    <w:rsid w:val="00C4105F"/>
    <w:rsid w:val="00C41A5D"/>
    <w:rsid w:val="00C41CE9"/>
    <w:rsid w:val="00C42B79"/>
    <w:rsid w:val="00C4343B"/>
    <w:rsid w:val="00C437B4"/>
    <w:rsid w:val="00C43B71"/>
    <w:rsid w:val="00C44742"/>
    <w:rsid w:val="00C4475D"/>
    <w:rsid w:val="00C45220"/>
    <w:rsid w:val="00C4650C"/>
    <w:rsid w:val="00C46E50"/>
    <w:rsid w:val="00C507AF"/>
    <w:rsid w:val="00C51211"/>
    <w:rsid w:val="00C51721"/>
    <w:rsid w:val="00C5228F"/>
    <w:rsid w:val="00C52903"/>
    <w:rsid w:val="00C52DB6"/>
    <w:rsid w:val="00C53DAF"/>
    <w:rsid w:val="00C54A08"/>
    <w:rsid w:val="00C550F2"/>
    <w:rsid w:val="00C557C1"/>
    <w:rsid w:val="00C55F9E"/>
    <w:rsid w:val="00C5706D"/>
    <w:rsid w:val="00C578C6"/>
    <w:rsid w:val="00C57D57"/>
    <w:rsid w:val="00C6027B"/>
    <w:rsid w:val="00C60339"/>
    <w:rsid w:val="00C609D2"/>
    <w:rsid w:val="00C60B0A"/>
    <w:rsid w:val="00C610DB"/>
    <w:rsid w:val="00C614CD"/>
    <w:rsid w:val="00C61769"/>
    <w:rsid w:val="00C61C2C"/>
    <w:rsid w:val="00C621D6"/>
    <w:rsid w:val="00C633D0"/>
    <w:rsid w:val="00C63468"/>
    <w:rsid w:val="00C64263"/>
    <w:rsid w:val="00C642E2"/>
    <w:rsid w:val="00C66657"/>
    <w:rsid w:val="00C6789D"/>
    <w:rsid w:val="00C70C27"/>
    <w:rsid w:val="00C722A8"/>
    <w:rsid w:val="00C727A6"/>
    <w:rsid w:val="00C728FB"/>
    <w:rsid w:val="00C72A29"/>
    <w:rsid w:val="00C73AAC"/>
    <w:rsid w:val="00C73AF0"/>
    <w:rsid w:val="00C73BB0"/>
    <w:rsid w:val="00C74B6C"/>
    <w:rsid w:val="00C75374"/>
    <w:rsid w:val="00C753FC"/>
    <w:rsid w:val="00C75DFA"/>
    <w:rsid w:val="00C762EA"/>
    <w:rsid w:val="00C76C98"/>
    <w:rsid w:val="00C775B1"/>
    <w:rsid w:val="00C77C56"/>
    <w:rsid w:val="00C80203"/>
    <w:rsid w:val="00C80371"/>
    <w:rsid w:val="00C836A5"/>
    <w:rsid w:val="00C8393E"/>
    <w:rsid w:val="00C841AB"/>
    <w:rsid w:val="00C8451A"/>
    <w:rsid w:val="00C85302"/>
    <w:rsid w:val="00C85B70"/>
    <w:rsid w:val="00C85E1B"/>
    <w:rsid w:val="00C85F99"/>
    <w:rsid w:val="00C86DDB"/>
    <w:rsid w:val="00C879B8"/>
    <w:rsid w:val="00C914AE"/>
    <w:rsid w:val="00C91CBD"/>
    <w:rsid w:val="00C923E2"/>
    <w:rsid w:val="00C93118"/>
    <w:rsid w:val="00C93E66"/>
    <w:rsid w:val="00C93EB3"/>
    <w:rsid w:val="00C944BA"/>
    <w:rsid w:val="00C9451D"/>
    <w:rsid w:val="00C957EA"/>
    <w:rsid w:val="00C95CB8"/>
    <w:rsid w:val="00C95F57"/>
    <w:rsid w:val="00C9604F"/>
    <w:rsid w:val="00CA06DF"/>
    <w:rsid w:val="00CA074F"/>
    <w:rsid w:val="00CA30AE"/>
    <w:rsid w:val="00CA3C31"/>
    <w:rsid w:val="00CA48A2"/>
    <w:rsid w:val="00CA6986"/>
    <w:rsid w:val="00CA7357"/>
    <w:rsid w:val="00CB1443"/>
    <w:rsid w:val="00CB1665"/>
    <w:rsid w:val="00CB1A03"/>
    <w:rsid w:val="00CB1A5A"/>
    <w:rsid w:val="00CB265A"/>
    <w:rsid w:val="00CB2FA0"/>
    <w:rsid w:val="00CB30AA"/>
    <w:rsid w:val="00CB36F9"/>
    <w:rsid w:val="00CB534A"/>
    <w:rsid w:val="00CB5D49"/>
    <w:rsid w:val="00CB6178"/>
    <w:rsid w:val="00CB63D1"/>
    <w:rsid w:val="00CB641C"/>
    <w:rsid w:val="00CB6995"/>
    <w:rsid w:val="00CB70C1"/>
    <w:rsid w:val="00CB75C5"/>
    <w:rsid w:val="00CB79B2"/>
    <w:rsid w:val="00CB7AAE"/>
    <w:rsid w:val="00CC0089"/>
    <w:rsid w:val="00CC0AA0"/>
    <w:rsid w:val="00CC0CED"/>
    <w:rsid w:val="00CC1B6E"/>
    <w:rsid w:val="00CC1FD9"/>
    <w:rsid w:val="00CC2D34"/>
    <w:rsid w:val="00CC4AC9"/>
    <w:rsid w:val="00CC5223"/>
    <w:rsid w:val="00CC5279"/>
    <w:rsid w:val="00CC5BB5"/>
    <w:rsid w:val="00CC5D27"/>
    <w:rsid w:val="00CC6284"/>
    <w:rsid w:val="00CC6A04"/>
    <w:rsid w:val="00CC6A9A"/>
    <w:rsid w:val="00CC6B2A"/>
    <w:rsid w:val="00CC6BE0"/>
    <w:rsid w:val="00CC7278"/>
    <w:rsid w:val="00CC7AF9"/>
    <w:rsid w:val="00CD04A9"/>
    <w:rsid w:val="00CD08B9"/>
    <w:rsid w:val="00CD099F"/>
    <w:rsid w:val="00CD09BE"/>
    <w:rsid w:val="00CD0FF1"/>
    <w:rsid w:val="00CD13BA"/>
    <w:rsid w:val="00CD17FB"/>
    <w:rsid w:val="00CD2092"/>
    <w:rsid w:val="00CD22A4"/>
    <w:rsid w:val="00CD264E"/>
    <w:rsid w:val="00CD27CD"/>
    <w:rsid w:val="00CD441B"/>
    <w:rsid w:val="00CD4A55"/>
    <w:rsid w:val="00CD4C91"/>
    <w:rsid w:val="00CD4EAF"/>
    <w:rsid w:val="00CD5A32"/>
    <w:rsid w:val="00CD5B3A"/>
    <w:rsid w:val="00CD6072"/>
    <w:rsid w:val="00CD7B18"/>
    <w:rsid w:val="00CE0709"/>
    <w:rsid w:val="00CE2002"/>
    <w:rsid w:val="00CE219F"/>
    <w:rsid w:val="00CE23C3"/>
    <w:rsid w:val="00CE23D1"/>
    <w:rsid w:val="00CE254F"/>
    <w:rsid w:val="00CE330D"/>
    <w:rsid w:val="00CE3431"/>
    <w:rsid w:val="00CE38EE"/>
    <w:rsid w:val="00CE3E69"/>
    <w:rsid w:val="00CE4604"/>
    <w:rsid w:val="00CE5CBE"/>
    <w:rsid w:val="00CE6122"/>
    <w:rsid w:val="00CE6F46"/>
    <w:rsid w:val="00CE74A0"/>
    <w:rsid w:val="00CE7551"/>
    <w:rsid w:val="00CE7B17"/>
    <w:rsid w:val="00CE7B23"/>
    <w:rsid w:val="00CE7B30"/>
    <w:rsid w:val="00CF043B"/>
    <w:rsid w:val="00CF10A1"/>
    <w:rsid w:val="00CF13E9"/>
    <w:rsid w:val="00CF1919"/>
    <w:rsid w:val="00CF1958"/>
    <w:rsid w:val="00CF222B"/>
    <w:rsid w:val="00CF23E3"/>
    <w:rsid w:val="00CF23F1"/>
    <w:rsid w:val="00CF2DC6"/>
    <w:rsid w:val="00CF32A7"/>
    <w:rsid w:val="00CF3B12"/>
    <w:rsid w:val="00CF3B65"/>
    <w:rsid w:val="00CF3E2D"/>
    <w:rsid w:val="00CF3F9A"/>
    <w:rsid w:val="00CF4216"/>
    <w:rsid w:val="00CF522D"/>
    <w:rsid w:val="00CF5C22"/>
    <w:rsid w:val="00CF63D4"/>
    <w:rsid w:val="00CF6D79"/>
    <w:rsid w:val="00CF6FE2"/>
    <w:rsid w:val="00D024C3"/>
    <w:rsid w:val="00D02841"/>
    <w:rsid w:val="00D02B75"/>
    <w:rsid w:val="00D04639"/>
    <w:rsid w:val="00D04A61"/>
    <w:rsid w:val="00D0513E"/>
    <w:rsid w:val="00D10425"/>
    <w:rsid w:val="00D10585"/>
    <w:rsid w:val="00D1148F"/>
    <w:rsid w:val="00D11776"/>
    <w:rsid w:val="00D11BA5"/>
    <w:rsid w:val="00D12B9A"/>
    <w:rsid w:val="00D12C71"/>
    <w:rsid w:val="00D131B2"/>
    <w:rsid w:val="00D1350D"/>
    <w:rsid w:val="00D13556"/>
    <w:rsid w:val="00D16C7E"/>
    <w:rsid w:val="00D16FCC"/>
    <w:rsid w:val="00D17FDC"/>
    <w:rsid w:val="00D20C5D"/>
    <w:rsid w:val="00D20E26"/>
    <w:rsid w:val="00D21813"/>
    <w:rsid w:val="00D2188B"/>
    <w:rsid w:val="00D21ACE"/>
    <w:rsid w:val="00D21FE9"/>
    <w:rsid w:val="00D22A9D"/>
    <w:rsid w:val="00D23062"/>
    <w:rsid w:val="00D24017"/>
    <w:rsid w:val="00D247A0"/>
    <w:rsid w:val="00D24BC9"/>
    <w:rsid w:val="00D25354"/>
    <w:rsid w:val="00D2578A"/>
    <w:rsid w:val="00D2607D"/>
    <w:rsid w:val="00D26623"/>
    <w:rsid w:val="00D30146"/>
    <w:rsid w:val="00D3020C"/>
    <w:rsid w:val="00D30C39"/>
    <w:rsid w:val="00D31105"/>
    <w:rsid w:val="00D31122"/>
    <w:rsid w:val="00D3135F"/>
    <w:rsid w:val="00D32EE1"/>
    <w:rsid w:val="00D337AC"/>
    <w:rsid w:val="00D33BD3"/>
    <w:rsid w:val="00D34E57"/>
    <w:rsid w:val="00D34F11"/>
    <w:rsid w:val="00D368DE"/>
    <w:rsid w:val="00D36C13"/>
    <w:rsid w:val="00D37CC2"/>
    <w:rsid w:val="00D40458"/>
    <w:rsid w:val="00D40697"/>
    <w:rsid w:val="00D40B82"/>
    <w:rsid w:val="00D41066"/>
    <w:rsid w:val="00D413D0"/>
    <w:rsid w:val="00D41F02"/>
    <w:rsid w:val="00D42871"/>
    <w:rsid w:val="00D42FA9"/>
    <w:rsid w:val="00D4326B"/>
    <w:rsid w:val="00D4384A"/>
    <w:rsid w:val="00D4414D"/>
    <w:rsid w:val="00D4454F"/>
    <w:rsid w:val="00D45094"/>
    <w:rsid w:val="00D45A63"/>
    <w:rsid w:val="00D45C3D"/>
    <w:rsid w:val="00D45F9A"/>
    <w:rsid w:val="00D47486"/>
    <w:rsid w:val="00D47A6D"/>
    <w:rsid w:val="00D47E85"/>
    <w:rsid w:val="00D5039E"/>
    <w:rsid w:val="00D50CA4"/>
    <w:rsid w:val="00D50DFB"/>
    <w:rsid w:val="00D50E7A"/>
    <w:rsid w:val="00D52775"/>
    <w:rsid w:val="00D52B16"/>
    <w:rsid w:val="00D52CBA"/>
    <w:rsid w:val="00D52EC1"/>
    <w:rsid w:val="00D53BB8"/>
    <w:rsid w:val="00D54A08"/>
    <w:rsid w:val="00D5648B"/>
    <w:rsid w:val="00D57227"/>
    <w:rsid w:val="00D57516"/>
    <w:rsid w:val="00D575D6"/>
    <w:rsid w:val="00D57B95"/>
    <w:rsid w:val="00D609D6"/>
    <w:rsid w:val="00D60B78"/>
    <w:rsid w:val="00D61445"/>
    <w:rsid w:val="00D61567"/>
    <w:rsid w:val="00D6187B"/>
    <w:rsid w:val="00D61F78"/>
    <w:rsid w:val="00D62264"/>
    <w:rsid w:val="00D62B5B"/>
    <w:rsid w:val="00D63BE5"/>
    <w:rsid w:val="00D65359"/>
    <w:rsid w:val="00D654B4"/>
    <w:rsid w:val="00D6637F"/>
    <w:rsid w:val="00D666BF"/>
    <w:rsid w:val="00D66ADC"/>
    <w:rsid w:val="00D66E09"/>
    <w:rsid w:val="00D66EF3"/>
    <w:rsid w:val="00D671F1"/>
    <w:rsid w:val="00D67263"/>
    <w:rsid w:val="00D7026D"/>
    <w:rsid w:val="00D71068"/>
    <w:rsid w:val="00D71381"/>
    <w:rsid w:val="00D71B0C"/>
    <w:rsid w:val="00D72340"/>
    <w:rsid w:val="00D72861"/>
    <w:rsid w:val="00D72D1F"/>
    <w:rsid w:val="00D73370"/>
    <w:rsid w:val="00D739FB"/>
    <w:rsid w:val="00D73FA2"/>
    <w:rsid w:val="00D742A9"/>
    <w:rsid w:val="00D749F2"/>
    <w:rsid w:val="00D74BF8"/>
    <w:rsid w:val="00D75461"/>
    <w:rsid w:val="00D75EE8"/>
    <w:rsid w:val="00D7636C"/>
    <w:rsid w:val="00D766C4"/>
    <w:rsid w:val="00D76D44"/>
    <w:rsid w:val="00D77337"/>
    <w:rsid w:val="00D774A0"/>
    <w:rsid w:val="00D77C18"/>
    <w:rsid w:val="00D809C8"/>
    <w:rsid w:val="00D81156"/>
    <w:rsid w:val="00D82367"/>
    <w:rsid w:val="00D82424"/>
    <w:rsid w:val="00D835C6"/>
    <w:rsid w:val="00D845CB"/>
    <w:rsid w:val="00D847CE"/>
    <w:rsid w:val="00D848BE"/>
    <w:rsid w:val="00D84AF4"/>
    <w:rsid w:val="00D84DBF"/>
    <w:rsid w:val="00D85970"/>
    <w:rsid w:val="00D85DD3"/>
    <w:rsid w:val="00D85E5D"/>
    <w:rsid w:val="00D86529"/>
    <w:rsid w:val="00D86C66"/>
    <w:rsid w:val="00D8709F"/>
    <w:rsid w:val="00D870FC"/>
    <w:rsid w:val="00D87AED"/>
    <w:rsid w:val="00D91183"/>
    <w:rsid w:val="00D917A3"/>
    <w:rsid w:val="00D92058"/>
    <w:rsid w:val="00D922F0"/>
    <w:rsid w:val="00D92413"/>
    <w:rsid w:val="00D92780"/>
    <w:rsid w:val="00D9375D"/>
    <w:rsid w:val="00D937A0"/>
    <w:rsid w:val="00D93F1D"/>
    <w:rsid w:val="00D945B4"/>
    <w:rsid w:val="00D94831"/>
    <w:rsid w:val="00D94A4D"/>
    <w:rsid w:val="00D95F30"/>
    <w:rsid w:val="00D96628"/>
    <w:rsid w:val="00D96FFD"/>
    <w:rsid w:val="00D973F2"/>
    <w:rsid w:val="00D9755A"/>
    <w:rsid w:val="00DA0A1A"/>
    <w:rsid w:val="00DA1179"/>
    <w:rsid w:val="00DA1929"/>
    <w:rsid w:val="00DA1B23"/>
    <w:rsid w:val="00DA3DC2"/>
    <w:rsid w:val="00DA40E9"/>
    <w:rsid w:val="00DA4A15"/>
    <w:rsid w:val="00DA59A9"/>
    <w:rsid w:val="00DA64F3"/>
    <w:rsid w:val="00DA6A40"/>
    <w:rsid w:val="00DA73AC"/>
    <w:rsid w:val="00DA7928"/>
    <w:rsid w:val="00DB07CA"/>
    <w:rsid w:val="00DB1102"/>
    <w:rsid w:val="00DB1D7C"/>
    <w:rsid w:val="00DB2926"/>
    <w:rsid w:val="00DB3FAF"/>
    <w:rsid w:val="00DB4861"/>
    <w:rsid w:val="00DB4C9D"/>
    <w:rsid w:val="00DB73EE"/>
    <w:rsid w:val="00DC0491"/>
    <w:rsid w:val="00DC1554"/>
    <w:rsid w:val="00DC16AF"/>
    <w:rsid w:val="00DC1C3E"/>
    <w:rsid w:val="00DC2E5C"/>
    <w:rsid w:val="00DC3094"/>
    <w:rsid w:val="00DC327D"/>
    <w:rsid w:val="00DC3359"/>
    <w:rsid w:val="00DC3742"/>
    <w:rsid w:val="00DC378C"/>
    <w:rsid w:val="00DC3BB0"/>
    <w:rsid w:val="00DC4294"/>
    <w:rsid w:val="00DC446B"/>
    <w:rsid w:val="00DC4FA0"/>
    <w:rsid w:val="00DC63B2"/>
    <w:rsid w:val="00DC79BA"/>
    <w:rsid w:val="00DD031A"/>
    <w:rsid w:val="00DD0452"/>
    <w:rsid w:val="00DD0739"/>
    <w:rsid w:val="00DD1DFE"/>
    <w:rsid w:val="00DD2C00"/>
    <w:rsid w:val="00DD34A4"/>
    <w:rsid w:val="00DD440A"/>
    <w:rsid w:val="00DD461B"/>
    <w:rsid w:val="00DD5AB2"/>
    <w:rsid w:val="00DD5E36"/>
    <w:rsid w:val="00DD6EEA"/>
    <w:rsid w:val="00DD6F9F"/>
    <w:rsid w:val="00DD71F1"/>
    <w:rsid w:val="00DD7438"/>
    <w:rsid w:val="00DD7AA2"/>
    <w:rsid w:val="00DE04C5"/>
    <w:rsid w:val="00DE12C9"/>
    <w:rsid w:val="00DE16FD"/>
    <w:rsid w:val="00DE1BE9"/>
    <w:rsid w:val="00DE220A"/>
    <w:rsid w:val="00DE2270"/>
    <w:rsid w:val="00DE2B6E"/>
    <w:rsid w:val="00DE2F2E"/>
    <w:rsid w:val="00DE3C00"/>
    <w:rsid w:val="00DE52E3"/>
    <w:rsid w:val="00DE5CAC"/>
    <w:rsid w:val="00DE738B"/>
    <w:rsid w:val="00DF1E4B"/>
    <w:rsid w:val="00DF2C32"/>
    <w:rsid w:val="00DF318D"/>
    <w:rsid w:val="00DF345E"/>
    <w:rsid w:val="00DF3661"/>
    <w:rsid w:val="00DF370E"/>
    <w:rsid w:val="00DF3AA2"/>
    <w:rsid w:val="00DF3E6E"/>
    <w:rsid w:val="00DF4DE7"/>
    <w:rsid w:val="00DF5596"/>
    <w:rsid w:val="00DF55ED"/>
    <w:rsid w:val="00DF75DD"/>
    <w:rsid w:val="00DF7792"/>
    <w:rsid w:val="00DF7FE9"/>
    <w:rsid w:val="00E00A00"/>
    <w:rsid w:val="00E00CA8"/>
    <w:rsid w:val="00E02103"/>
    <w:rsid w:val="00E0212E"/>
    <w:rsid w:val="00E02491"/>
    <w:rsid w:val="00E02716"/>
    <w:rsid w:val="00E03076"/>
    <w:rsid w:val="00E03AF7"/>
    <w:rsid w:val="00E0411B"/>
    <w:rsid w:val="00E05FB3"/>
    <w:rsid w:val="00E06761"/>
    <w:rsid w:val="00E07EA1"/>
    <w:rsid w:val="00E10DE1"/>
    <w:rsid w:val="00E13015"/>
    <w:rsid w:val="00E13153"/>
    <w:rsid w:val="00E13C39"/>
    <w:rsid w:val="00E13CED"/>
    <w:rsid w:val="00E14254"/>
    <w:rsid w:val="00E1465C"/>
    <w:rsid w:val="00E15342"/>
    <w:rsid w:val="00E1644F"/>
    <w:rsid w:val="00E17B35"/>
    <w:rsid w:val="00E17BCE"/>
    <w:rsid w:val="00E201D8"/>
    <w:rsid w:val="00E20A24"/>
    <w:rsid w:val="00E20C33"/>
    <w:rsid w:val="00E20D87"/>
    <w:rsid w:val="00E21049"/>
    <w:rsid w:val="00E213C3"/>
    <w:rsid w:val="00E21D5A"/>
    <w:rsid w:val="00E22C0F"/>
    <w:rsid w:val="00E23A9D"/>
    <w:rsid w:val="00E23F08"/>
    <w:rsid w:val="00E243C1"/>
    <w:rsid w:val="00E24B2C"/>
    <w:rsid w:val="00E25FB2"/>
    <w:rsid w:val="00E27166"/>
    <w:rsid w:val="00E27804"/>
    <w:rsid w:val="00E30053"/>
    <w:rsid w:val="00E30C44"/>
    <w:rsid w:val="00E30CA8"/>
    <w:rsid w:val="00E31087"/>
    <w:rsid w:val="00E31153"/>
    <w:rsid w:val="00E31502"/>
    <w:rsid w:val="00E317D8"/>
    <w:rsid w:val="00E3292D"/>
    <w:rsid w:val="00E331A0"/>
    <w:rsid w:val="00E36187"/>
    <w:rsid w:val="00E365F8"/>
    <w:rsid w:val="00E36D3D"/>
    <w:rsid w:val="00E36EAA"/>
    <w:rsid w:val="00E36FF3"/>
    <w:rsid w:val="00E37738"/>
    <w:rsid w:val="00E37A52"/>
    <w:rsid w:val="00E37E1C"/>
    <w:rsid w:val="00E37E1D"/>
    <w:rsid w:val="00E400A3"/>
    <w:rsid w:val="00E401A5"/>
    <w:rsid w:val="00E402DA"/>
    <w:rsid w:val="00E416D1"/>
    <w:rsid w:val="00E41A03"/>
    <w:rsid w:val="00E42705"/>
    <w:rsid w:val="00E4277E"/>
    <w:rsid w:val="00E43293"/>
    <w:rsid w:val="00E43F3C"/>
    <w:rsid w:val="00E44AE7"/>
    <w:rsid w:val="00E45978"/>
    <w:rsid w:val="00E45D0E"/>
    <w:rsid w:val="00E463BD"/>
    <w:rsid w:val="00E4664D"/>
    <w:rsid w:val="00E46EDC"/>
    <w:rsid w:val="00E4799F"/>
    <w:rsid w:val="00E50263"/>
    <w:rsid w:val="00E50319"/>
    <w:rsid w:val="00E514EE"/>
    <w:rsid w:val="00E51FFD"/>
    <w:rsid w:val="00E52224"/>
    <w:rsid w:val="00E52E51"/>
    <w:rsid w:val="00E52EBA"/>
    <w:rsid w:val="00E534A2"/>
    <w:rsid w:val="00E539D6"/>
    <w:rsid w:val="00E53BD5"/>
    <w:rsid w:val="00E54C6B"/>
    <w:rsid w:val="00E5595D"/>
    <w:rsid w:val="00E601CE"/>
    <w:rsid w:val="00E607D7"/>
    <w:rsid w:val="00E61225"/>
    <w:rsid w:val="00E62BD3"/>
    <w:rsid w:val="00E62C2E"/>
    <w:rsid w:val="00E631E2"/>
    <w:rsid w:val="00E641B3"/>
    <w:rsid w:val="00E644F7"/>
    <w:rsid w:val="00E64509"/>
    <w:rsid w:val="00E64BFC"/>
    <w:rsid w:val="00E65034"/>
    <w:rsid w:val="00E653EE"/>
    <w:rsid w:val="00E65616"/>
    <w:rsid w:val="00E6568A"/>
    <w:rsid w:val="00E65B95"/>
    <w:rsid w:val="00E65F56"/>
    <w:rsid w:val="00E66304"/>
    <w:rsid w:val="00E66D48"/>
    <w:rsid w:val="00E671D4"/>
    <w:rsid w:val="00E671FE"/>
    <w:rsid w:val="00E67A12"/>
    <w:rsid w:val="00E67B20"/>
    <w:rsid w:val="00E707FF"/>
    <w:rsid w:val="00E70B5E"/>
    <w:rsid w:val="00E71B43"/>
    <w:rsid w:val="00E72181"/>
    <w:rsid w:val="00E7377F"/>
    <w:rsid w:val="00E73C21"/>
    <w:rsid w:val="00E7407D"/>
    <w:rsid w:val="00E74ED2"/>
    <w:rsid w:val="00E76B0D"/>
    <w:rsid w:val="00E76C35"/>
    <w:rsid w:val="00E77036"/>
    <w:rsid w:val="00E77A60"/>
    <w:rsid w:val="00E77C63"/>
    <w:rsid w:val="00E77D90"/>
    <w:rsid w:val="00E80548"/>
    <w:rsid w:val="00E80F6D"/>
    <w:rsid w:val="00E815A8"/>
    <w:rsid w:val="00E817BE"/>
    <w:rsid w:val="00E818C8"/>
    <w:rsid w:val="00E82AD7"/>
    <w:rsid w:val="00E836CF"/>
    <w:rsid w:val="00E84361"/>
    <w:rsid w:val="00E84399"/>
    <w:rsid w:val="00E84B35"/>
    <w:rsid w:val="00E855E1"/>
    <w:rsid w:val="00E85812"/>
    <w:rsid w:val="00E85A20"/>
    <w:rsid w:val="00E86250"/>
    <w:rsid w:val="00E8655B"/>
    <w:rsid w:val="00E86689"/>
    <w:rsid w:val="00E86C0A"/>
    <w:rsid w:val="00E87C01"/>
    <w:rsid w:val="00E87D36"/>
    <w:rsid w:val="00E901DD"/>
    <w:rsid w:val="00E906AA"/>
    <w:rsid w:val="00E90D9A"/>
    <w:rsid w:val="00E90E5E"/>
    <w:rsid w:val="00E912E3"/>
    <w:rsid w:val="00E91470"/>
    <w:rsid w:val="00E91619"/>
    <w:rsid w:val="00E9169F"/>
    <w:rsid w:val="00E9176C"/>
    <w:rsid w:val="00E91C20"/>
    <w:rsid w:val="00E91C7B"/>
    <w:rsid w:val="00E92775"/>
    <w:rsid w:val="00E92E8F"/>
    <w:rsid w:val="00E94208"/>
    <w:rsid w:val="00E9438C"/>
    <w:rsid w:val="00E947D7"/>
    <w:rsid w:val="00E94CE1"/>
    <w:rsid w:val="00E94F8A"/>
    <w:rsid w:val="00E95A77"/>
    <w:rsid w:val="00E95C6B"/>
    <w:rsid w:val="00E9603F"/>
    <w:rsid w:val="00E962BF"/>
    <w:rsid w:val="00E96F02"/>
    <w:rsid w:val="00EA042D"/>
    <w:rsid w:val="00EA25C4"/>
    <w:rsid w:val="00EA272E"/>
    <w:rsid w:val="00EA2D60"/>
    <w:rsid w:val="00EA483E"/>
    <w:rsid w:val="00EA530B"/>
    <w:rsid w:val="00EA53B8"/>
    <w:rsid w:val="00EA6FD3"/>
    <w:rsid w:val="00EA7411"/>
    <w:rsid w:val="00EA7721"/>
    <w:rsid w:val="00EA7A5B"/>
    <w:rsid w:val="00EA7A9D"/>
    <w:rsid w:val="00EB094D"/>
    <w:rsid w:val="00EB13FA"/>
    <w:rsid w:val="00EB3941"/>
    <w:rsid w:val="00EB645E"/>
    <w:rsid w:val="00EB6C7D"/>
    <w:rsid w:val="00EB7644"/>
    <w:rsid w:val="00EB7F02"/>
    <w:rsid w:val="00EC01AC"/>
    <w:rsid w:val="00EC0590"/>
    <w:rsid w:val="00EC2F3B"/>
    <w:rsid w:val="00EC3956"/>
    <w:rsid w:val="00EC3B21"/>
    <w:rsid w:val="00EC4828"/>
    <w:rsid w:val="00EC4D32"/>
    <w:rsid w:val="00EC5E5A"/>
    <w:rsid w:val="00EC61F2"/>
    <w:rsid w:val="00EC6708"/>
    <w:rsid w:val="00EC6C20"/>
    <w:rsid w:val="00ED1071"/>
    <w:rsid w:val="00ED1089"/>
    <w:rsid w:val="00ED2676"/>
    <w:rsid w:val="00ED38F4"/>
    <w:rsid w:val="00ED4AB6"/>
    <w:rsid w:val="00ED4FC0"/>
    <w:rsid w:val="00ED5643"/>
    <w:rsid w:val="00ED58C3"/>
    <w:rsid w:val="00ED5C51"/>
    <w:rsid w:val="00ED6263"/>
    <w:rsid w:val="00ED652A"/>
    <w:rsid w:val="00ED670D"/>
    <w:rsid w:val="00ED7CA7"/>
    <w:rsid w:val="00EE228A"/>
    <w:rsid w:val="00EE29C3"/>
    <w:rsid w:val="00EE2A61"/>
    <w:rsid w:val="00EE4B92"/>
    <w:rsid w:val="00EE4EF7"/>
    <w:rsid w:val="00EE503B"/>
    <w:rsid w:val="00EE5C40"/>
    <w:rsid w:val="00EE68EC"/>
    <w:rsid w:val="00EE6E29"/>
    <w:rsid w:val="00EE7A60"/>
    <w:rsid w:val="00EF12E7"/>
    <w:rsid w:val="00EF1B0E"/>
    <w:rsid w:val="00EF2232"/>
    <w:rsid w:val="00EF25A4"/>
    <w:rsid w:val="00EF25DF"/>
    <w:rsid w:val="00EF2836"/>
    <w:rsid w:val="00EF2E7E"/>
    <w:rsid w:val="00EF3082"/>
    <w:rsid w:val="00EF4E8C"/>
    <w:rsid w:val="00EF55A5"/>
    <w:rsid w:val="00EF5871"/>
    <w:rsid w:val="00EF5CC6"/>
    <w:rsid w:val="00EF5E81"/>
    <w:rsid w:val="00EF7229"/>
    <w:rsid w:val="00F00C72"/>
    <w:rsid w:val="00F01B89"/>
    <w:rsid w:val="00F020F7"/>
    <w:rsid w:val="00F02A67"/>
    <w:rsid w:val="00F036B7"/>
    <w:rsid w:val="00F040E5"/>
    <w:rsid w:val="00F052EC"/>
    <w:rsid w:val="00F0583B"/>
    <w:rsid w:val="00F0609C"/>
    <w:rsid w:val="00F066C2"/>
    <w:rsid w:val="00F06843"/>
    <w:rsid w:val="00F07D7F"/>
    <w:rsid w:val="00F07EC3"/>
    <w:rsid w:val="00F07F36"/>
    <w:rsid w:val="00F10189"/>
    <w:rsid w:val="00F10196"/>
    <w:rsid w:val="00F10610"/>
    <w:rsid w:val="00F1199C"/>
    <w:rsid w:val="00F11A00"/>
    <w:rsid w:val="00F1310D"/>
    <w:rsid w:val="00F13E90"/>
    <w:rsid w:val="00F142C7"/>
    <w:rsid w:val="00F14B34"/>
    <w:rsid w:val="00F14DA5"/>
    <w:rsid w:val="00F15990"/>
    <w:rsid w:val="00F1611C"/>
    <w:rsid w:val="00F1669E"/>
    <w:rsid w:val="00F167CE"/>
    <w:rsid w:val="00F16A52"/>
    <w:rsid w:val="00F16C19"/>
    <w:rsid w:val="00F1795E"/>
    <w:rsid w:val="00F17C2C"/>
    <w:rsid w:val="00F20284"/>
    <w:rsid w:val="00F20490"/>
    <w:rsid w:val="00F20A5B"/>
    <w:rsid w:val="00F20F6C"/>
    <w:rsid w:val="00F2106A"/>
    <w:rsid w:val="00F2158D"/>
    <w:rsid w:val="00F21770"/>
    <w:rsid w:val="00F21AED"/>
    <w:rsid w:val="00F21DD9"/>
    <w:rsid w:val="00F23A55"/>
    <w:rsid w:val="00F24346"/>
    <w:rsid w:val="00F247B6"/>
    <w:rsid w:val="00F24D56"/>
    <w:rsid w:val="00F25644"/>
    <w:rsid w:val="00F25B0F"/>
    <w:rsid w:val="00F25ED6"/>
    <w:rsid w:val="00F2629F"/>
    <w:rsid w:val="00F26CE9"/>
    <w:rsid w:val="00F26E35"/>
    <w:rsid w:val="00F2735C"/>
    <w:rsid w:val="00F2737C"/>
    <w:rsid w:val="00F3072B"/>
    <w:rsid w:val="00F3115C"/>
    <w:rsid w:val="00F32075"/>
    <w:rsid w:val="00F32B66"/>
    <w:rsid w:val="00F330E7"/>
    <w:rsid w:val="00F33B44"/>
    <w:rsid w:val="00F33CF1"/>
    <w:rsid w:val="00F35218"/>
    <w:rsid w:val="00F35D88"/>
    <w:rsid w:val="00F35F30"/>
    <w:rsid w:val="00F37F1A"/>
    <w:rsid w:val="00F405FC"/>
    <w:rsid w:val="00F40CE5"/>
    <w:rsid w:val="00F41008"/>
    <w:rsid w:val="00F42754"/>
    <w:rsid w:val="00F4291E"/>
    <w:rsid w:val="00F42A16"/>
    <w:rsid w:val="00F43021"/>
    <w:rsid w:val="00F43062"/>
    <w:rsid w:val="00F43E32"/>
    <w:rsid w:val="00F45D2D"/>
    <w:rsid w:val="00F46A54"/>
    <w:rsid w:val="00F50507"/>
    <w:rsid w:val="00F50797"/>
    <w:rsid w:val="00F51243"/>
    <w:rsid w:val="00F51EC4"/>
    <w:rsid w:val="00F51FBD"/>
    <w:rsid w:val="00F522D4"/>
    <w:rsid w:val="00F52925"/>
    <w:rsid w:val="00F54B1B"/>
    <w:rsid w:val="00F54DFB"/>
    <w:rsid w:val="00F5569B"/>
    <w:rsid w:val="00F55F88"/>
    <w:rsid w:val="00F57366"/>
    <w:rsid w:val="00F60D6B"/>
    <w:rsid w:val="00F62C0B"/>
    <w:rsid w:val="00F63983"/>
    <w:rsid w:val="00F63E85"/>
    <w:rsid w:val="00F640C8"/>
    <w:rsid w:val="00F6499D"/>
    <w:rsid w:val="00F64D01"/>
    <w:rsid w:val="00F65A1E"/>
    <w:rsid w:val="00F6752A"/>
    <w:rsid w:val="00F6752B"/>
    <w:rsid w:val="00F67677"/>
    <w:rsid w:val="00F70555"/>
    <w:rsid w:val="00F70BB6"/>
    <w:rsid w:val="00F71729"/>
    <w:rsid w:val="00F71867"/>
    <w:rsid w:val="00F720A5"/>
    <w:rsid w:val="00F72715"/>
    <w:rsid w:val="00F73828"/>
    <w:rsid w:val="00F7398A"/>
    <w:rsid w:val="00F73C0C"/>
    <w:rsid w:val="00F73C82"/>
    <w:rsid w:val="00F743C6"/>
    <w:rsid w:val="00F744AE"/>
    <w:rsid w:val="00F74D4D"/>
    <w:rsid w:val="00F75058"/>
    <w:rsid w:val="00F7545B"/>
    <w:rsid w:val="00F76373"/>
    <w:rsid w:val="00F76B56"/>
    <w:rsid w:val="00F81E8F"/>
    <w:rsid w:val="00F826AC"/>
    <w:rsid w:val="00F82971"/>
    <w:rsid w:val="00F82FE1"/>
    <w:rsid w:val="00F83714"/>
    <w:rsid w:val="00F84A28"/>
    <w:rsid w:val="00F855E9"/>
    <w:rsid w:val="00F856D2"/>
    <w:rsid w:val="00F8570B"/>
    <w:rsid w:val="00F85C56"/>
    <w:rsid w:val="00F85D3C"/>
    <w:rsid w:val="00F871F2"/>
    <w:rsid w:val="00F872A5"/>
    <w:rsid w:val="00F874CB"/>
    <w:rsid w:val="00F87588"/>
    <w:rsid w:val="00F877BD"/>
    <w:rsid w:val="00F87AE9"/>
    <w:rsid w:val="00F87BC3"/>
    <w:rsid w:val="00F906A5"/>
    <w:rsid w:val="00F908AC"/>
    <w:rsid w:val="00F9092E"/>
    <w:rsid w:val="00F90D8D"/>
    <w:rsid w:val="00F92174"/>
    <w:rsid w:val="00F93558"/>
    <w:rsid w:val="00F94239"/>
    <w:rsid w:val="00F945F2"/>
    <w:rsid w:val="00F94DF1"/>
    <w:rsid w:val="00F9518B"/>
    <w:rsid w:val="00F964F7"/>
    <w:rsid w:val="00F97518"/>
    <w:rsid w:val="00FA0A90"/>
    <w:rsid w:val="00FA1693"/>
    <w:rsid w:val="00FA3458"/>
    <w:rsid w:val="00FA3806"/>
    <w:rsid w:val="00FA3EB5"/>
    <w:rsid w:val="00FA4AB8"/>
    <w:rsid w:val="00FA5307"/>
    <w:rsid w:val="00FA5980"/>
    <w:rsid w:val="00FA5F4A"/>
    <w:rsid w:val="00FA7617"/>
    <w:rsid w:val="00FB01FC"/>
    <w:rsid w:val="00FB0C3D"/>
    <w:rsid w:val="00FB1764"/>
    <w:rsid w:val="00FB3516"/>
    <w:rsid w:val="00FB3690"/>
    <w:rsid w:val="00FB39AC"/>
    <w:rsid w:val="00FB3B73"/>
    <w:rsid w:val="00FB55C1"/>
    <w:rsid w:val="00FB5945"/>
    <w:rsid w:val="00FB599C"/>
    <w:rsid w:val="00FB6B09"/>
    <w:rsid w:val="00FB762E"/>
    <w:rsid w:val="00FB7A8A"/>
    <w:rsid w:val="00FC11AB"/>
    <w:rsid w:val="00FC1930"/>
    <w:rsid w:val="00FC1CE4"/>
    <w:rsid w:val="00FC1E0C"/>
    <w:rsid w:val="00FC26C3"/>
    <w:rsid w:val="00FC2986"/>
    <w:rsid w:val="00FC37BF"/>
    <w:rsid w:val="00FC3E27"/>
    <w:rsid w:val="00FC4003"/>
    <w:rsid w:val="00FC421F"/>
    <w:rsid w:val="00FC7534"/>
    <w:rsid w:val="00FC79DF"/>
    <w:rsid w:val="00FD033A"/>
    <w:rsid w:val="00FD0FA7"/>
    <w:rsid w:val="00FD101C"/>
    <w:rsid w:val="00FD1BF5"/>
    <w:rsid w:val="00FD2BA2"/>
    <w:rsid w:val="00FD3239"/>
    <w:rsid w:val="00FD337C"/>
    <w:rsid w:val="00FD3F5D"/>
    <w:rsid w:val="00FD50C5"/>
    <w:rsid w:val="00FD5BC2"/>
    <w:rsid w:val="00FD6176"/>
    <w:rsid w:val="00FD63F6"/>
    <w:rsid w:val="00FD66E5"/>
    <w:rsid w:val="00FD7893"/>
    <w:rsid w:val="00FD7F24"/>
    <w:rsid w:val="00FD7F4E"/>
    <w:rsid w:val="00FE04FB"/>
    <w:rsid w:val="00FE0913"/>
    <w:rsid w:val="00FE0BA3"/>
    <w:rsid w:val="00FE11B2"/>
    <w:rsid w:val="00FE313E"/>
    <w:rsid w:val="00FE3855"/>
    <w:rsid w:val="00FE3A90"/>
    <w:rsid w:val="00FE3F7A"/>
    <w:rsid w:val="00FE428C"/>
    <w:rsid w:val="00FE4D2E"/>
    <w:rsid w:val="00FE5881"/>
    <w:rsid w:val="00FE5D19"/>
    <w:rsid w:val="00FE67D4"/>
    <w:rsid w:val="00FE6A94"/>
    <w:rsid w:val="00FE6DDD"/>
    <w:rsid w:val="00FE70C4"/>
    <w:rsid w:val="00FE7A96"/>
    <w:rsid w:val="00FF04CA"/>
    <w:rsid w:val="00FF1A2E"/>
    <w:rsid w:val="00FF1BD3"/>
    <w:rsid w:val="00FF2171"/>
    <w:rsid w:val="00FF21D3"/>
    <w:rsid w:val="00FF279F"/>
    <w:rsid w:val="00FF2AB6"/>
    <w:rsid w:val="00FF38BC"/>
    <w:rsid w:val="00FF48FC"/>
    <w:rsid w:val="00FF4B31"/>
    <w:rsid w:val="00FF4FF4"/>
    <w:rsid w:val="00FF6128"/>
    <w:rsid w:val="00FF622B"/>
    <w:rsid w:val="00FF6354"/>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FB6B09"/>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FB6B09"/>
    <w:pPr>
      <w:keepNext/>
      <w:numPr>
        <w:ilvl w:val="1"/>
        <w:numId w:val="1"/>
      </w:numPr>
      <w:spacing w:line="720" w:lineRule="auto"/>
      <w:outlineLvl w:val="1"/>
    </w:pPr>
    <w:rPr>
      <w:rFonts w:ascii="Arial" w:hAnsi="Arial"/>
      <w:b/>
      <w:bCs/>
      <w:sz w:val="48"/>
      <w:szCs w:val="48"/>
    </w:rPr>
  </w:style>
  <w:style w:type="paragraph" w:styleId="3">
    <w:name w:val="heading 3"/>
    <w:basedOn w:val="a"/>
    <w:next w:val="a"/>
    <w:link w:val="30"/>
    <w:qFormat/>
    <w:rsid w:val="00FB6B09"/>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FB6B09"/>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FB6B09"/>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FB6B09"/>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FB6B09"/>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FB6B09"/>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FB6B09"/>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FB6B09"/>
    <w:pPr>
      <w:spacing w:after="120"/>
      <w:ind w:leftChars="200" w:left="480"/>
    </w:pPr>
  </w:style>
  <w:style w:type="paragraph" w:styleId="20">
    <w:name w:val="Body Text Indent 2"/>
    <w:basedOn w:val="a"/>
    <w:rsid w:val="00FB6B09"/>
    <w:pPr>
      <w:spacing w:after="120" w:line="480" w:lineRule="auto"/>
      <w:ind w:leftChars="200" w:left="480"/>
    </w:pPr>
  </w:style>
  <w:style w:type="character" w:styleId="a4">
    <w:name w:val="Hyperlink"/>
    <w:basedOn w:val="a0"/>
    <w:uiPriority w:val="99"/>
    <w:rsid w:val="00FB6B09"/>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link w:val="a6"/>
    <w:semiHidden/>
    <w:rsid w:val="00FB6B09"/>
  </w:style>
  <w:style w:type="character" w:customStyle="1" w:styleId="a7">
    <w:name w:val="字元 字元"/>
    <w:basedOn w:val="a0"/>
    <w:semiHidden/>
    <w:locked/>
    <w:rsid w:val="00FB6B09"/>
    <w:rPr>
      <w:rFonts w:eastAsia="新細明體"/>
      <w:kern w:val="2"/>
      <w:sz w:val="24"/>
      <w:szCs w:val="24"/>
      <w:lang w:val="en-US" w:eastAsia="zh-TW" w:bidi="ar-SA"/>
    </w:rPr>
  </w:style>
  <w:style w:type="character" w:customStyle="1" w:styleId="09">
    <w:name w:val="書籤字型09"/>
    <w:basedOn w:val="a0"/>
    <w:rsid w:val="00FB6B09"/>
    <w:rPr>
      <w:rFonts w:ascii="Book Antiqua" w:eastAsia="標楷體" w:hAnsi="Book Antiqua" w:hint="default"/>
      <w:spacing w:val="0"/>
      <w:w w:val="100"/>
      <w:position w:val="0"/>
      <w:sz w:val="18"/>
    </w:rPr>
  </w:style>
  <w:style w:type="paragraph" w:styleId="a8">
    <w:name w:val="header"/>
    <w:basedOn w:val="a"/>
    <w:rsid w:val="00FB6B09"/>
    <w:pPr>
      <w:tabs>
        <w:tab w:val="center" w:pos="4153"/>
        <w:tab w:val="right" w:pos="8306"/>
      </w:tabs>
      <w:snapToGrid w:val="0"/>
    </w:pPr>
    <w:rPr>
      <w:sz w:val="20"/>
      <w:szCs w:val="20"/>
    </w:rPr>
  </w:style>
  <w:style w:type="paragraph" w:styleId="a9">
    <w:name w:val="footer"/>
    <w:basedOn w:val="a"/>
    <w:link w:val="aa"/>
    <w:uiPriority w:val="99"/>
    <w:rsid w:val="00FB6B09"/>
    <w:pPr>
      <w:tabs>
        <w:tab w:val="center" w:pos="4153"/>
        <w:tab w:val="right" w:pos="8306"/>
      </w:tabs>
      <w:snapToGrid w:val="0"/>
    </w:pPr>
    <w:rPr>
      <w:sz w:val="20"/>
      <w:szCs w:val="20"/>
    </w:rPr>
  </w:style>
  <w:style w:type="character" w:styleId="ab">
    <w:name w:val="page number"/>
    <w:basedOn w:val="a0"/>
    <w:rsid w:val="00FB6B09"/>
  </w:style>
  <w:style w:type="character" w:styleId="ac">
    <w:name w:val="Strong"/>
    <w:basedOn w:val="a0"/>
    <w:qFormat/>
    <w:rsid w:val="00FB6B09"/>
    <w:rPr>
      <w:b/>
      <w:bCs/>
    </w:rPr>
  </w:style>
  <w:style w:type="paragraph" w:styleId="Web">
    <w:name w:val="Normal (Web)"/>
    <w:basedOn w:val="a"/>
    <w:uiPriority w:val="99"/>
    <w:rsid w:val="00FB6B09"/>
    <w:pPr>
      <w:widowControl/>
      <w:spacing w:before="100" w:beforeAutospacing="1" w:after="100" w:afterAutospacing="1"/>
    </w:pPr>
    <w:rPr>
      <w:rFonts w:ascii="新細明體" w:hAnsi="新細明體"/>
      <w:kern w:val="0"/>
    </w:rPr>
  </w:style>
  <w:style w:type="paragraph" w:styleId="ad">
    <w:name w:val="Date"/>
    <w:basedOn w:val="a"/>
    <w:next w:val="a"/>
    <w:rsid w:val="00FB6B09"/>
    <w:pPr>
      <w:jc w:val="right"/>
    </w:pPr>
  </w:style>
  <w:style w:type="paragraph" w:styleId="31">
    <w:name w:val="Body Text Indent 3"/>
    <w:basedOn w:val="a"/>
    <w:rsid w:val="00FB6B09"/>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FB6B09"/>
    <w:rPr>
      <w:color w:val="800080"/>
      <w:u w:val="single"/>
    </w:rPr>
  </w:style>
  <w:style w:type="paragraph" w:customStyle="1" w:styleId="aa0">
    <w:name w:val="aa"/>
    <w:basedOn w:val="a"/>
    <w:rsid w:val="00FB6B09"/>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FB6B09"/>
  </w:style>
  <w:style w:type="paragraph" w:styleId="21">
    <w:name w:val="index 2"/>
    <w:basedOn w:val="a"/>
    <w:next w:val="a"/>
    <w:autoRedefine/>
    <w:semiHidden/>
    <w:rsid w:val="00FB6B09"/>
    <w:pPr>
      <w:ind w:leftChars="200" w:left="200"/>
    </w:pPr>
  </w:style>
  <w:style w:type="paragraph" w:styleId="32">
    <w:name w:val="index 3"/>
    <w:basedOn w:val="a"/>
    <w:next w:val="a"/>
    <w:autoRedefine/>
    <w:semiHidden/>
    <w:rsid w:val="00FB6B09"/>
    <w:pPr>
      <w:ind w:leftChars="400" w:left="400"/>
    </w:pPr>
  </w:style>
  <w:style w:type="paragraph" w:styleId="41">
    <w:name w:val="index 4"/>
    <w:basedOn w:val="a"/>
    <w:next w:val="a"/>
    <w:autoRedefine/>
    <w:semiHidden/>
    <w:rsid w:val="00FB6B09"/>
    <w:pPr>
      <w:ind w:leftChars="600" w:left="600"/>
    </w:pPr>
  </w:style>
  <w:style w:type="paragraph" w:styleId="50">
    <w:name w:val="index 5"/>
    <w:basedOn w:val="a"/>
    <w:next w:val="a"/>
    <w:autoRedefine/>
    <w:semiHidden/>
    <w:rsid w:val="00FB6B09"/>
    <w:pPr>
      <w:ind w:leftChars="800" w:left="800"/>
    </w:pPr>
  </w:style>
  <w:style w:type="paragraph" w:styleId="60">
    <w:name w:val="index 6"/>
    <w:basedOn w:val="a"/>
    <w:next w:val="a"/>
    <w:autoRedefine/>
    <w:semiHidden/>
    <w:rsid w:val="00FB6B09"/>
    <w:pPr>
      <w:ind w:leftChars="1000" w:left="1000"/>
    </w:pPr>
  </w:style>
  <w:style w:type="paragraph" w:styleId="70">
    <w:name w:val="index 7"/>
    <w:basedOn w:val="a"/>
    <w:next w:val="a"/>
    <w:autoRedefine/>
    <w:semiHidden/>
    <w:rsid w:val="00FB6B09"/>
    <w:pPr>
      <w:ind w:leftChars="1200" w:left="1200"/>
    </w:pPr>
  </w:style>
  <w:style w:type="paragraph" w:styleId="80">
    <w:name w:val="index 8"/>
    <w:basedOn w:val="a"/>
    <w:next w:val="a"/>
    <w:autoRedefine/>
    <w:semiHidden/>
    <w:rsid w:val="00FB6B09"/>
    <w:pPr>
      <w:ind w:leftChars="1400" w:left="1400"/>
    </w:pPr>
  </w:style>
  <w:style w:type="paragraph" w:styleId="90">
    <w:name w:val="index 9"/>
    <w:basedOn w:val="a"/>
    <w:next w:val="a"/>
    <w:autoRedefine/>
    <w:semiHidden/>
    <w:rsid w:val="00FB6B09"/>
    <w:pPr>
      <w:ind w:leftChars="1600" w:left="1600"/>
    </w:pPr>
  </w:style>
  <w:style w:type="paragraph" w:styleId="af">
    <w:name w:val="index heading"/>
    <w:basedOn w:val="a"/>
    <w:next w:val="11"/>
    <w:semiHidden/>
    <w:rsid w:val="00FB6B09"/>
  </w:style>
  <w:style w:type="character" w:styleId="af0">
    <w:name w:val="annotation reference"/>
    <w:basedOn w:val="a0"/>
    <w:semiHidden/>
    <w:rsid w:val="00FB6B09"/>
    <w:rPr>
      <w:sz w:val="18"/>
      <w:szCs w:val="18"/>
    </w:rPr>
  </w:style>
  <w:style w:type="paragraph" w:styleId="af1">
    <w:name w:val="footnote text"/>
    <w:basedOn w:val="a"/>
    <w:semiHidden/>
    <w:rsid w:val="00FB6B09"/>
    <w:pPr>
      <w:snapToGrid w:val="0"/>
    </w:pPr>
    <w:rPr>
      <w:sz w:val="20"/>
      <w:szCs w:val="20"/>
    </w:rPr>
  </w:style>
  <w:style w:type="character" w:styleId="af2">
    <w:name w:val="footnote reference"/>
    <w:basedOn w:val="a0"/>
    <w:semiHidden/>
    <w:rsid w:val="00FB6B09"/>
    <w:rPr>
      <w:vertAlign w:val="superscript"/>
    </w:rPr>
  </w:style>
  <w:style w:type="paragraph" w:styleId="af3">
    <w:name w:val="annotation subject"/>
    <w:basedOn w:val="a5"/>
    <w:next w:val="a5"/>
    <w:semiHidden/>
    <w:rsid w:val="00FB6B09"/>
    <w:rPr>
      <w:b/>
      <w:bCs/>
    </w:rPr>
  </w:style>
  <w:style w:type="paragraph" w:styleId="af4">
    <w:name w:val="Balloon Text"/>
    <w:basedOn w:val="a"/>
    <w:semiHidden/>
    <w:rsid w:val="00FB6B09"/>
    <w:rPr>
      <w:rFonts w:ascii="Arial" w:hAnsi="Arial"/>
      <w:sz w:val="18"/>
      <w:szCs w:val="18"/>
    </w:rPr>
  </w:style>
  <w:style w:type="paragraph" w:styleId="33">
    <w:name w:val="Body Text 3"/>
    <w:basedOn w:val="a"/>
    <w:rsid w:val="00FB6B09"/>
    <w:rPr>
      <w:rFonts w:eastAsia="標楷體"/>
      <w:sz w:val="26"/>
    </w:rPr>
  </w:style>
  <w:style w:type="paragraph" w:styleId="22">
    <w:name w:val="Body Text 2"/>
    <w:basedOn w:val="a"/>
    <w:rsid w:val="00FB6B09"/>
    <w:pPr>
      <w:spacing w:after="120" w:line="480" w:lineRule="auto"/>
    </w:pPr>
  </w:style>
  <w:style w:type="paragraph" w:styleId="af5">
    <w:name w:val="Body Text"/>
    <w:basedOn w:val="a"/>
    <w:rsid w:val="00FB6B09"/>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b">
    <w:name w:val="字元"/>
    <w:basedOn w:val="a"/>
    <w:rsid w:val="00517579"/>
    <w:pPr>
      <w:widowControl/>
      <w:spacing w:after="160" w:line="240" w:lineRule="exact"/>
    </w:pPr>
    <w:rPr>
      <w:rFonts w:ascii="Arial" w:eastAsia="Times New Roman" w:hAnsi="Arial" w:cs="Arial"/>
      <w:kern w:val="0"/>
      <w:sz w:val="20"/>
      <w:szCs w:val="20"/>
      <w:lang w:eastAsia="en-US"/>
    </w:rPr>
  </w:style>
  <w:style w:type="character" w:customStyle="1" w:styleId="30">
    <w:name w:val="標題 3 字元"/>
    <w:basedOn w:val="a0"/>
    <w:link w:val="3"/>
    <w:rsid w:val="00766B8E"/>
    <w:rPr>
      <w:rFonts w:ascii="Arial" w:hAnsi="Arial"/>
      <w:b/>
      <w:bCs/>
      <w:kern w:val="2"/>
      <w:sz w:val="36"/>
      <w:szCs w:val="36"/>
    </w:rPr>
  </w:style>
  <w:style w:type="character" w:customStyle="1" w:styleId="a6">
    <w:name w:val="註解文字 字元"/>
    <w:basedOn w:val="a0"/>
    <w:link w:val="a5"/>
    <w:semiHidden/>
    <w:rsid w:val="00766B8E"/>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FB6B09"/>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FB6B09"/>
    <w:pPr>
      <w:keepNext/>
      <w:numPr>
        <w:ilvl w:val="1"/>
        <w:numId w:val="1"/>
      </w:numPr>
      <w:spacing w:line="720" w:lineRule="auto"/>
      <w:outlineLvl w:val="1"/>
    </w:pPr>
    <w:rPr>
      <w:rFonts w:ascii="Arial" w:hAnsi="Arial"/>
      <w:b/>
      <w:bCs/>
      <w:sz w:val="48"/>
      <w:szCs w:val="48"/>
    </w:rPr>
  </w:style>
  <w:style w:type="paragraph" w:styleId="3">
    <w:name w:val="heading 3"/>
    <w:basedOn w:val="a"/>
    <w:next w:val="a"/>
    <w:link w:val="30"/>
    <w:qFormat/>
    <w:rsid w:val="00FB6B09"/>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FB6B09"/>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FB6B09"/>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FB6B09"/>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FB6B09"/>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FB6B09"/>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FB6B09"/>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FB6B09"/>
    <w:pPr>
      <w:spacing w:after="120"/>
      <w:ind w:leftChars="200" w:left="480"/>
    </w:pPr>
  </w:style>
  <w:style w:type="paragraph" w:styleId="20">
    <w:name w:val="Body Text Indent 2"/>
    <w:basedOn w:val="a"/>
    <w:rsid w:val="00FB6B09"/>
    <w:pPr>
      <w:spacing w:after="120" w:line="480" w:lineRule="auto"/>
      <w:ind w:leftChars="200" w:left="480"/>
    </w:pPr>
  </w:style>
  <w:style w:type="character" w:styleId="a4">
    <w:name w:val="Hyperlink"/>
    <w:basedOn w:val="a0"/>
    <w:uiPriority w:val="99"/>
    <w:rsid w:val="00FB6B09"/>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link w:val="a6"/>
    <w:semiHidden/>
    <w:rsid w:val="00FB6B09"/>
  </w:style>
  <w:style w:type="character" w:customStyle="1" w:styleId="a7">
    <w:name w:val="字元 字元"/>
    <w:basedOn w:val="a0"/>
    <w:semiHidden/>
    <w:locked/>
    <w:rsid w:val="00FB6B09"/>
    <w:rPr>
      <w:rFonts w:eastAsia="新細明體"/>
      <w:kern w:val="2"/>
      <w:sz w:val="24"/>
      <w:szCs w:val="24"/>
      <w:lang w:val="en-US" w:eastAsia="zh-TW" w:bidi="ar-SA"/>
    </w:rPr>
  </w:style>
  <w:style w:type="character" w:customStyle="1" w:styleId="09">
    <w:name w:val="書籤字型09"/>
    <w:basedOn w:val="a0"/>
    <w:rsid w:val="00FB6B09"/>
    <w:rPr>
      <w:rFonts w:ascii="Book Antiqua" w:eastAsia="標楷體" w:hAnsi="Book Antiqua" w:hint="default"/>
      <w:spacing w:val="0"/>
      <w:w w:val="100"/>
      <w:position w:val="0"/>
      <w:sz w:val="18"/>
    </w:rPr>
  </w:style>
  <w:style w:type="paragraph" w:styleId="a8">
    <w:name w:val="header"/>
    <w:basedOn w:val="a"/>
    <w:rsid w:val="00FB6B09"/>
    <w:pPr>
      <w:tabs>
        <w:tab w:val="center" w:pos="4153"/>
        <w:tab w:val="right" w:pos="8306"/>
      </w:tabs>
      <w:snapToGrid w:val="0"/>
    </w:pPr>
    <w:rPr>
      <w:sz w:val="20"/>
      <w:szCs w:val="20"/>
    </w:rPr>
  </w:style>
  <w:style w:type="paragraph" w:styleId="a9">
    <w:name w:val="footer"/>
    <w:basedOn w:val="a"/>
    <w:link w:val="aa"/>
    <w:uiPriority w:val="99"/>
    <w:rsid w:val="00FB6B09"/>
    <w:pPr>
      <w:tabs>
        <w:tab w:val="center" w:pos="4153"/>
        <w:tab w:val="right" w:pos="8306"/>
      </w:tabs>
      <w:snapToGrid w:val="0"/>
    </w:pPr>
    <w:rPr>
      <w:sz w:val="20"/>
      <w:szCs w:val="20"/>
    </w:rPr>
  </w:style>
  <w:style w:type="character" w:styleId="ab">
    <w:name w:val="page number"/>
    <w:basedOn w:val="a0"/>
    <w:rsid w:val="00FB6B09"/>
  </w:style>
  <w:style w:type="character" w:styleId="ac">
    <w:name w:val="Strong"/>
    <w:basedOn w:val="a0"/>
    <w:qFormat/>
    <w:rsid w:val="00FB6B09"/>
    <w:rPr>
      <w:b/>
      <w:bCs/>
    </w:rPr>
  </w:style>
  <w:style w:type="paragraph" w:styleId="Web">
    <w:name w:val="Normal (Web)"/>
    <w:basedOn w:val="a"/>
    <w:uiPriority w:val="99"/>
    <w:rsid w:val="00FB6B09"/>
    <w:pPr>
      <w:widowControl/>
      <w:spacing w:before="100" w:beforeAutospacing="1" w:after="100" w:afterAutospacing="1"/>
    </w:pPr>
    <w:rPr>
      <w:rFonts w:ascii="新細明體" w:hAnsi="新細明體"/>
      <w:kern w:val="0"/>
    </w:rPr>
  </w:style>
  <w:style w:type="paragraph" w:styleId="ad">
    <w:name w:val="Date"/>
    <w:basedOn w:val="a"/>
    <w:next w:val="a"/>
    <w:rsid w:val="00FB6B09"/>
    <w:pPr>
      <w:jc w:val="right"/>
    </w:pPr>
  </w:style>
  <w:style w:type="paragraph" w:styleId="31">
    <w:name w:val="Body Text Indent 3"/>
    <w:basedOn w:val="a"/>
    <w:rsid w:val="00FB6B09"/>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FB6B09"/>
    <w:rPr>
      <w:color w:val="800080"/>
      <w:u w:val="single"/>
    </w:rPr>
  </w:style>
  <w:style w:type="paragraph" w:customStyle="1" w:styleId="aa0">
    <w:name w:val="aa"/>
    <w:basedOn w:val="a"/>
    <w:rsid w:val="00FB6B09"/>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FB6B09"/>
  </w:style>
  <w:style w:type="paragraph" w:styleId="21">
    <w:name w:val="index 2"/>
    <w:basedOn w:val="a"/>
    <w:next w:val="a"/>
    <w:autoRedefine/>
    <w:semiHidden/>
    <w:rsid w:val="00FB6B09"/>
    <w:pPr>
      <w:ind w:leftChars="200" w:left="200"/>
    </w:pPr>
  </w:style>
  <w:style w:type="paragraph" w:styleId="32">
    <w:name w:val="index 3"/>
    <w:basedOn w:val="a"/>
    <w:next w:val="a"/>
    <w:autoRedefine/>
    <w:semiHidden/>
    <w:rsid w:val="00FB6B09"/>
    <w:pPr>
      <w:ind w:leftChars="400" w:left="400"/>
    </w:pPr>
  </w:style>
  <w:style w:type="paragraph" w:styleId="41">
    <w:name w:val="index 4"/>
    <w:basedOn w:val="a"/>
    <w:next w:val="a"/>
    <w:autoRedefine/>
    <w:semiHidden/>
    <w:rsid w:val="00FB6B09"/>
    <w:pPr>
      <w:ind w:leftChars="600" w:left="600"/>
    </w:pPr>
  </w:style>
  <w:style w:type="paragraph" w:styleId="50">
    <w:name w:val="index 5"/>
    <w:basedOn w:val="a"/>
    <w:next w:val="a"/>
    <w:autoRedefine/>
    <w:semiHidden/>
    <w:rsid w:val="00FB6B09"/>
    <w:pPr>
      <w:ind w:leftChars="800" w:left="800"/>
    </w:pPr>
  </w:style>
  <w:style w:type="paragraph" w:styleId="60">
    <w:name w:val="index 6"/>
    <w:basedOn w:val="a"/>
    <w:next w:val="a"/>
    <w:autoRedefine/>
    <w:semiHidden/>
    <w:rsid w:val="00FB6B09"/>
    <w:pPr>
      <w:ind w:leftChars="1000" w:left="1000"/>
    </w:pPr>
  </w:style>
  <w:style w:type="paragraph" w:styleId="70">
    <w:name w:val="index 7"/>
    <w:basedOn w:val="a"/>
    <w:next w:val="a"/>
    <w:autoRedefine/>
    <w:semiHidden/>
    <w:rsid w:val="00FB6B09"/>
    <w:pPr>
      <w:ind w:leftChars="1200" w:left="1200"/>
    </w:pPr>
  </w:style>
  <w:style w:type="paragraph" w:styleId="80">
    <w:name w:val="index 8"/>
    <w:basedOn w:val="a"/>
    <w:next w:val="a"/>
    <w:autoRedefine/>
    <w:semiHidden/>
    <w:rsid w:val="00FB6B09"/>
    <w:pPr>
      <w:ind w:leftChars="1400" w:left="1400"/>
    </w:pPr>
  </w:style>
  <w:style w:type="paragraph" w:styleId="90">
    <w:name w:val="index 9"/>
    <w:basedOn w:val="a"/>
    <w:next w:val="a"/>
    <w:autoRedefine/>
    <w:semiHidden/>
    <w:rsid w:val="00FB6B09"/>
    <w:pPr>
      <w:ind w:leftChars="1600" w:left="1600"/>
    </w:pPr>
  </w:style>
  <w:style w:type="paragraph" w:styleId="af">
    <w:name w:val="index heading"/>
    <w:basedOn w:val="a"/>
    <w:next w:val="11"/>
    <w:semiHidden/>
    <w:rsid w:val="00FB6B09"/>
  </w:style>
  <w:style w:type="character" w:styleId="af0">
    <w:name w:val="annotation reference"/>
    <w:basedOn w:val="a0"/>
    <w:semiHidden/>
    <w:rsid w:val="00FB6B09"/>
    <w:rPr>
      <w:sz w:val="18"/>
      <w:szCs w:val="18"/>
    </w:rPr>
  </w:style>
  <w:style w:type="paragraph" w:styleId="af1">
    <w:name w:val="footnote text"/>
    <w:basedOn w:val="a"/>
    <w:semiHidden/>
    <w:rsid w:val="00FB6B09"/>
    <w:pPr>
      <w:snapToGrid w:val="0"/>
    </w:pPr>
    <w:rPr>
      <w:sz w:val="20"/>
      <w:szCs w:val="20"/>
    </w:rPr>
  </w:style>
  <w:style w:type="character" w:styleId="af2">
    <w:name w:val="footnote reference"/>
    <w:basedOn w:val="a0"/>
    <w:semiHidden/>
    <w:rsid w:val="00FB6B09"/>
    <w:rPr>
      <w:vertAlign w:val="superscript"/>
    </w:rPr>
  </w:style>
  <w:style w:type="paragraph" w:styleId="af3">
    <w:name w:val="annotation subject"/>
    <w:basedOn w:val="a5"/>
    <w:next w:val="a5"/>
    <w:semiHidden/>
    <w:rsid w:val="00FB6B09"/>
    <w:rPr>
      <w:b/>
      <w:bCs/>
    </w:rPr>
  </w:style>
  <w:style w:type="paragraph" w:styleId="af4">
    <w:name w:val="Balloon Text"/>
    <w:basedOn w:val="a"/>
    <w:semiHidden/>
    <w:rsid w:val="00FB6B09"/>
    <w:rPr>
      <w:rFonts w:ascii="Arial" w:hAnsi="Arial"/>
      <w:sz w:val="18"/>
      <w:szCs w:val="18"/>
    </w:rPr>
  </w:style>
  <w:style w:type="paragraph" w:styleId="33">
    <w:name w:val="Body Text 3"/>
    <w:basedOn w:val="a"/>
    <w:rsid w:val="00FB6B09"/>
    <w:rPr>
      <w:rFonts w:eastAsia="標楷體"/>
      <w:sz w:val="26"/>
    </w:rPr>
  </w:style>
  <w:style w:type="paragraph" w:styleId="22">
    <w:name w:val="Body Text 2"/>
    <w:basedOn w:val="a"/>
    <w:rsid w:val="00FB6B09"/>
    <w:pPr>
      <w:spacing w:after="120" w:line="480" w:lineRule="auto"/>
    </w:pPr>
  </w:style>
  <w:style w:type="paragraph" w:styleId="af5">
    <w:name w:val="Body Text"/>
    <w:basedOn w:val="a"/>
    <w:rsid w:val="00FB6B09"/>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b">
    <w:name w:val="字元"/>
    <w:basedOn w:val="a"/>
    <w:rsid w:val="00517579"/>
    <w:pPr>
      <w:widowControl/>
      <w:spacing w:after="160" w:line="240" w:lineRule="exact"/>
    </w:pPr>
    <w:rPr>
      <w:rFonts w:ascii="Arial" w:eastAsia="Times New Roman" w:hAnsi="Arial" w:cs="Arial"/>
      <w:kern w:val="0"/>
      <w:sz w:val="20"/>
      <w:szCs w:val="20"/>
      <w:lang w:eastAsia="en-US"/>
    </w:rPr>
  </w:style>
  <w:style w:type="character" w:customStyle="1" w:styleId="30">
    <w:name w:val="標題 3 字元"/>
    <w:basedOn w:val="a0"/>
    <w:link w:val="3"/>
    <w:rsid w:val="00766B8E"/>
    <w:rPr>
      <w:rFonts w:ascii="Arial" w:hAnsi="Arial"/>
      <w:b/>
      <w:bCs/>
      <w:kern w:val="2"/>
      <w:sz w:val="36"/>
      <w:szCs w:val="36"/>
    </w:rPr>
  </w:style>
  <w:style w:type="character" w:customStyle="1" w:styleId="a6">
    <w:name w:val="註解文字 字元"/>
    <w:basedOn w:val="a0"/>
    <w:link w:val="a5"/>
    <w:semiHidden/>
    <w:rsid w:val="00766B8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3994">
      <w:bodyDiv w:val="1"/>
      <w:marLeft w:val="0"/>
      <w:marRight w:val="0"/>
      <w:marTop w:val="0"/>
      <w:marBottom w:val="0"/>
      <w:divBdr>
        <w:top w:val="none" w:sz="0" w:space="0" w:color="auto"/>
        <w:left w:val="none" w:sz="0" w:space="0" w:color="auto"/>
        <w:bottom w:val="none" w:sz="0" w:space="0" w:color="auto"/>
        <w:right w:val="none" w:sz="0" w:space="0" w:color="auto"/>
      </w:divBdr>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192421613">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42166633">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639961535">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747936">
      <w:bodyDiv w:val="1"/>
      <w:marLeft w:val="0"/>
      <w:marRight w:val="0"/>
      <w:marTop w:val="0"/>
      <w:marBottom w:val="0"/>
      <w:divBdr>
        <w:top w:val="none" w:sz="0" w:space="0" w:color="auto"/>
        <w:left w:val="none" w:sz="0" w:space="0" w:color="auto"/>
        <w:bottom w:val="none" w:sz="0" w:space="0" w:color="auto"/>
        <w:right w:val="none" w:sz="0" w:space="0" w:color="auto"/>
      </w:divBdr>
    </w:div>
    <w:div w:id="970095600">
      <w:bodyDiv w:val="1"/>
      <w:marLeft w:val="0"/>
      <w:marRight w:val="0"/>
      <w:marTop w:val="0"/>
      <w:marBottom w:val="0"/>
      <w:divBdr>
        <w:top w:val="none" w:sz="0" w:space="0" w:color="auto"/>
        <w:left w:val="none" w:sz="0" w:space="0" w:color="auto"/>
        <w:bottom w:val="none" w:sz="0" w:space="0" w:color="auto"/>
        <w:right w:val="none" w:sz="0" w:space="0" w:color="auto"/>
      </w:divBdr>
    </w:div>
    <w:div w:id="987633015">
      <w:bodyDiv w:val="1"/>
      <w:marLeft w:val="0"/>
      <w:marRight w:val="0"/>
      <w:marTop w:val="0"/>
      <w:marBottom w:val="0"/>
      <w:divBdr>
        <w:top w:val="none" w:sz="0" w:space="0" w:color="auto"/>
        <w:left w:val="none" w:sz="0" w:space="0" w:color="auto"/>
        <w:bottom w:val="none" w:sz="0" w:space="0" w:color="auto"/>
        <w:right w:val="none" w:sz="0" w:space="0" w:color="auto"/>
      </w:divBdr>
    </w:div>
    <w:div w:id="1144397308">
      <w:bodyDiv w:val="1"/>
      <w:marLeft w:val="0"/>
      <w:marRight w:val="0"/>
      <w:marTop w:val="0"/>
      <w:marBottom w:val="0"/>
      <w:divBdr>
        <w:top w:val="none" w:sz="0" w:space="0" w:color="auto"/>
        <w:left w:val="none" w:sz="0" w:space="0" w:color="auto"/>
        <w:bottom w:val="none" w:sz="0" w:space="0" w:color="auto"/>
        <w:right w:val="none" w:sz="0" w:space="0" w:color="auto"/>
      </w:divBdr>
    </w:div>
    <w:div w:id="1264535647">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480804319">
      <w:bodyDiv w:val="1"/>
      <w:marLeft w:val="0"/>
      <w:marRight w:val="0"/>
      <w:marTop w:val="0"/>
      <w:marBottom w:val="0"/>
      <w:divBdr>
        <w:top w:val="none" w:sz="0" w:space="0" w:color="auto"/>
        <w:left w:val="none" w:sz="0" w:space="0" w:color="auto"/>
        <w:bottom w:val="none" w:sz="0" w:space="0" w:color="auto"/>
        <w:right w:val="none" w:sz="0" w:space="0" w:color="auto"/>
      </w:divBdr>
    </w:div>
    <w:div w:id="1503204318">
      <w:bodyDiv w:val="1"/>
      <w:marLeft w:val="0"/>
      <w:marRight w:val="0"/>
      <w:marTop w:val="0"/>
      <w:marBottom w:val="0"/>
      <w:divBdr>
        <w:top w:val="none" w:sz="0" w:space="0" w:color="auto"/>
        <w:left w:val="none" w:sz="0" w:space="0" w:color="auto"/>
        <w:bottom w:val="none" w:sz="0" w:space="0" w:color="auto"/>
        <w:right w:val="none" w:sz="0" w:space="0" w:color="auto"/>
      </w:divBdr>
    </w:div>
    <w:div w:id="1533835805">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80305497">
      <w:bodyDiv w:val="1"/>
      <w:marLeft w:val="0"/>
      <w:marRight w:val="0"/>
      <w:marTop w:val="0"/>
      <w:marBottom w:val="0"/>
      <w:divBdr>
        <w:top w:val="none" w:sz="0" w:space="0" w:color="auto"/>
        <w:left w:val="none" w:sz="0" w:space="0" w:color="auto"/>
        <w:bottom w:val="none" w:sz="0" w:space="0" w:color="auto"/>
        <w:right w:val="none" w:sz="0" w:space="0" w:color="auto"/>
      </w:divBdr>
    </w:div>
    <w:div w:id="1853179398">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1.xml"/><Relationship Id="rId39" Type="http://schemas.openxmlformats.org/officeDocument/2006/relationships/oleObject" Target="embeddings/oleObject5.bin"/><Relationship Id="rId21" Type="http://schemas.openxmlformats.org/officeDocument/2006/relationships/header" Target="header9.xml"/><Relationship Id="rId34" Type="http://schemas.openxmlformats.org/officeDocument/2006/relationships/image" Target="media/image5.wmf"/><Relationship Id="rId42"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ettoday.net/news/20151006/575197.htm" TargetMode="External"/><Relationship Id="rId32" Type="http://schemas.openxmlformats.org/officeDocument/2006/relationships/image" Target="media/image4.wmf"/><Relationship Id="rId37" Type="http://schemas.openxmlformats.org/officeDocument/2006/relationships/oleObject" Target="embeddings/oleObject4.bin"/><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header" Target="header13.xml"/><Relationship Id="rId36" Type="http://schemas.openxmlformats.org/officeDocument/2006/relationships/image" Target="media/image6.wmf"/><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eader" Target="header15.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header" Target="header12.xml"/><Relationship Id="rId30" Type="http://schemas.openxmlformats.org/officeDocument/2006/relationships/footer" Target="footer5.xml"/><Relationship Id="rId35" Type="http://schemas.openxmlformats.org/officeDocument/2006/relationships/oleObject" Target="embeddings/oleObject3.bin"/><Relationship Id="rId43" Type="http://schemas.openxmlformats.org/officeDocument/2006/relationships/header" Target="header18.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33" Type="http://schemas.openxmlformats.org/officeDocument/2006/relationships/oleObject" Target="embeddings/oleObject2.bin"/><Relationship Id="rId38" Type="http://schemas.openxmlformats.org/officeDocument/2006/relationships/image" Target="media/image7.wmf"/><Relationship Id="rId20" Type="http://schemas.openxmlformats.org/officeDocument/2006/relationships/footer" Target="footer4.xml"/><Relationship Id="rId41" Type="http://schemas.openxmlformats.org/officeDocument/2006/relationships/header" Target="header17.xml"/></Relationships>
</file>

<file path=word/_rels/footnotes.xml.rels><?xml version="1.0" encoding="UTF-8" standalone="yes"?>
<Relationships xmlns="http://schemas.openxmlformats.org/package/2006/relationships"><Relationship Id="rId1" Type="http://schemas.openxmlformats.org/officeDocument/2006/relationships/hyperlink" Target="http://www2.itis.org.tw/PubReport/PubReport_Detail.aspx?rpno=57578462"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49157-1797-4B4B-A6EC-D2164EBF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5</TotalTime>
  <Pages>60</Pages>
  <Words>3525</Words>
  <Characters>20093</Characters>
  <Application>Microsoft Office Word</Application>
  <DocSecurity>0</DocSecurity>
  <Lines>167</Lines>
  <Paragraphs>47</Paragraphs>
  <ScaleCrop>false</ScaleCrop>
  <Company/>
  <LinksUpToDate>false</LinksUpToDate>
  <CharactersWithSpaces>23571</CharactersWithSpaces>
  <SharedDoc>false</SharedDoc>
  <HLinks>
    <vt:vector size="54" baseType="variant">
      <vt:variant>
        <vt:i4>1900596</vt:i4>
      </vt:variant>
      <vt:variant>
        <vt:i4>29</vt:i4>
      </vt:variant>
      <vt:variant>
        <vt:i4>0</vt:i4>
      </vt:variant>
      <vt:variant>
        <vt:i4>5</vt:i4>
      </vt:variant>
      <vt:variant>
        <vt:lpwstr/>
      </vt:variant>
      <vt:variant>
        <vt:lpwstr>_Toc281923584</vt:lpwstr>
      </vt:variant>
      <vt:variant>
        <vt:i4>1900596</vt:i4>
      </vt:variant>
      <vt:variant>
        <vt:i4>26</vt:i4>
      </vt:variant>
      <vt:variant>
        <vt:i4>0</vt:i4>
      </vt:variant>
      <vt:variant>
        <vt:i4>5</vt:i4>
      </vt:variant>
      <vt:variant>
        <vt:lpwstr/>
      </vt:variant>
      <vt:variant>
        <vt:lpwstr>_Toc281923583</vt:lpwstr>
      </vt:variant>
      <vt:variant>
        <vt:i4>1900596</vt:i4>
      </vt:variant>
      <vt:variant>
        <vt:i4>23</vt:i4>
      </vt:variant>
      <vt:variant>
        <vt:i4>0</vt:i4>
      </vt:variant>
      <vt:variant>
        <vt:i4>5</vt:i4>
      </vt:variant>
      <vt:variant>
        <vt:lpwstr/>
      </vt:variant>
      <vt:variant>
        <vt:lpwstr>_Toc281923582</vt:lpwstr>
      </vt:variant>
      <vt:variant>
        <vt:i4>1900596</vt:i4>
      </vt:variant>
      <vt:variant>
        <vt:i4>20</vt:i4>
      </vt:variant>
      <vt:variant>
        <vt:i4>0</vt:i4>
      </vt:variant>
      <vt:variant>
        <vt:i4>5</vt:i4>
      </vt:variant>
      <vt:variant>
        <vt:lpwstr/>
      </vt:variant>
      <vt:variant>
        <vt:lpwstr>_Toc281923581</vt:lpwstr>
      </vt:variant>
      <vt:variant>
        <vt:i4>1900596</vt:i4>
      </vt:variant>
      <vt:variant>
        <vt:i4>17</vt:i4>
      </vt:variant>
      <vt:variant>
        <vt:i4>0</vt:i4>
      </vt:variant>
      <vt:variant>
        <vt:i4>5</vt:i4>
      </vt:variant>
      <vt:variant>
        <vt:lpwstr/>
      </vt:variant>
      <vt:variant>
        <vt:lpwstr>_Toc281923580</vt:lpwstr>
      </vt:variant>
      <vt:variant>
        <vt:i4>1179700</vt:i4>
      </vt:variant>
      <vt:variant>
        <vt:i4>14</vt:i4>
      </vt:variant>
      <vt:variant>
        <vt:i4>0</vt:i4>
      </vt:variant>
      <vt:variant>
        <vt:i4>5</vt:i4>
      </vt:variant>
      <vt:variant>
        <vt:lpwstr/>
      </vt:variant>
      <vt:variant>
        <vt:lpwstr>_Toc281923579</vt:lpwstr>
      </vt:variant>
      <vt:variant>
        <vt:i4>1179700</vt:i4>
      </vt:variant>
      <vt:variant>
        <vt:i4>11</vt:i4>
      </vt:variant>
      <vt:variant>
        <vt:i4>0</vt:i4>
      </vt:variant>
      <vt:variant>
        <vt:i4>5</vt:i4>
      </vt:variant>
      <vt:variant>
        <vt:lpwstr/>
      </vt:variant>
      <vt:variant>
        <vt:lpwstr>_Toc281923578</vt:lpwstr>
      </vt:variant>
      <vt:variant>
        <vt:i4>1179700</vt:i4>
      </vt:variant>
      <vt:variant>
        <vt:i4>8</vt:i4>
      </vt:variant>
      <vt:variant>
        <vt:i4>0</vt:i4>
      </vt:variant>
      <vt:variant>
        <vt:i4>5</vt:i4>
      </vt:variant>
      <vt:variant>
        <vt:lpwstr/>
      </vt:variant>
      <vt:variant>
        <vt:lpwstr>_Toc281923577</vt:lpwstr>
      </vt:variant>
      <vt:variant>
        <vt:i4>1179700</vt:i4>
      </vt:variant>
      <vt:variant>
        <vt:i4>2</vt:i4>
      </vt:variant>
      <vt:variant>
        <vt:i4>0</vt:i4>
      </vt:variant>
      <vt:variant>
        <vt:i4>5</vt:i4>
      </vt:variant>
      <vt:variant>
        <vt:lpwstr/>
      </vt:variant>
      <vt:variant>
        <vt:lpwstr>_Toc281923576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15</cp:revision>
  <cp:lastPrinted>2017-04-27T06:08:00Z</cp:lastPrinted>
  <dcterms:created xsi:type="dcterms:W3CDTF">2017-04-27T08:26:00Z</dcterms:created>
  <dcterms:modified xsi:type="dcterms:W3CDTF">2017-06-05T01:10:00Z</dcterms:modified>
</cp:coreProperties>
</file>