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EA272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BF1978" w:rsidRDefault="00307D12">
      <w:pPr>
        <w:spacing w:line="360" w:lineRule="auto"/>
        <w:jc w:val="center"/>
        <w:rPr>
          <w:rFonts w:ascii="新細明體" w:hAnsi="新細明體"/>
          <w:b/>
          <w:bCs/>
          <w:sz w:val="28"/>
        </w:rPr>
      </w:pPr>
    </w:p>
    <w:p w:rsidR="00307D12" w:rsidRPr="00EA272E" w:rsidRDefault="00307D12">
      <w:pPr>
        <w:spacing w:line="360" w:lineRule="auto"/>
        <w:jc w:val="center"/>
        <w:rPr>
          <w:rFonts w:eastAsia="標楷體"/>
          <w:b/>
          <w:bCs/>
          <w:sz w:val="52"/>
          <w:szCs w:val="52"/>
        </w:rPr>
      </w:pPr>
    </w:p>
    <w:p w:rsidR="00307D12" w:rsidRPr="00EA272E" w:rsidRDefault="00EE4220">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51072" behindDoc="0" locked="0" layoutInCell="1" allowOverlap="1" wp14:anchorId="0EE08EE7" wp14:editId="57D6DCC1">
                <wp:simplePos x="0" y="0"/>
                <wp:positionH relativeFrom="column">
                  <wp:posOffset>-207645</wp:posOffset>
                </wp:positionH>
                <wp:positionV relativeFrom="paragraph">
                  <wp:posOffset>957580</wp:posOffset>
                </wp:positionV>
                <wp:extent cx="5354955" cy="2195195"/>
                <wp:effectExtent l="1905" t="0" r="0" b="0"/>
                <wp:wrapSquare wrapText="bothSides"/>
                <wp:docPr id="23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219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B5D" w:rsidRPr="00C04FD1" w:rsidRDefault="00697B5D" w:rsidP="001719B7">
                            <w:pPr>
                              <w:spacing w:afterLines="50" w:after="120"/>
                              <w:jc w:val="center"/>
                              <w:rPr>
                                <w:rFonts w:eastAsia="標楷體"/>
                                <w:b/>
                                <w:bCs/>
                                <w:sz w:val="40"/>
                                <w:szCs w:val="40"/>
                              </w:rPr>
                            </w:pPr>
                            <w:r w:rsidRPr="00C04FD1">
                              <w:rPr>
                                <w:rFonts w:eastAsia="標楷體" w:hint="eastAsia"/>
                                <w:b/>
                                <w:bCs/>
                                <w:sz w:val="40"/>
                                <w:szCs w:val="40"/>
                              </w:rPr>
                              <w:t>美商萊迪思半導體</w:t>
                            </w:r>
                            <w:r w:rsidRPr="00C04FD1">
                              <w:rPr>
                                <w:rFonts w:eastAsia="標楷體" w:hint="eastAsia"/>
                                <w:b/>
                                <w:bCs/>
                                <w:sz w:val="40"/>
                                <w:szCs w:val="40"/>
                              </w:rPr>
                              <w:t>(</w:t>
                            </w:r>
                            <w:r w:rsidRPr="00C04FD1">
                              <w:rPr>
                                <w:rFonts w:eastAsia="標楷體" w:hint="eastAsia"/>
                                <w:b/>
                                <w:bCs/>
                                <w:sz w:val="40"/>
                                <w:szCs w:val="40"/>
                              </w:rPr>
                              <w:t>股</w:t>
                            </w:r>
                            <w:r w:rsidRPr="00C04FD1">
                              <w:rPr>
                                <w:rFonts w:eastAsia="標楷體" w:hint="eastAsia"/>
                                <w:b/>
                                <w:bCs/>
                                <w:sz w:val="40"/>
                                <w:szCs w:val="40"/>
                              </w:rPr>
                              <w:t>)</w:t>
                            </w:r>
                            <w:r w:rsidRPr="00C04FD1">
                              <w:rPr>
                                <w:rFonts w:eastAsia="標楷體" w:hint="eastAsia"/>
                                <w:b/>
                                <w:bCs/>
                                <w:sz w:val="40"/>
                                <w:szCs w:val="40"/>
                              </w:rPr>
                              <w:t>公司</w:t>
                            </w:r>
                          </w:p>
                          <w:p w:rsidR="00697B5D" w:rsidRPr="00C04FD1" w:rsidRDefault="00697B5D" w:rsidP="00C04FD1">
                            <w:pPr>
                              <w:jc w:val="center"/>
                              <w:rPr>
                                <w:rFonts w:eastAsia="標楷體"/>
                                <w:b/>
                                <w:bCs/>
                                <w:sz w:val="40"/>
                                <w:szCs w:val="40"/>
                              </w:rPr>
                            </w:pPr>
                            <w:r w:rsidRPr="00C04FD1">
                              <w:rPr>
                                <w:rFonts w:eastAsia="標楷體" w:hint="eastAsia"/>
                                <w:b/>
                                <w:bCs/>
                                <w:sz w:val="40"/>
                                <w:szCs w:val="40"/>
                              </w:rPr>
                              <w:t>台灣分公司</w:t>
                            </w:r>
                          </w:p>
                          <w:p w:rsidR="00697B5D" w:rsidRPr="00AE0A32" w:rsidRDefault="00697B5D" w:rsidP="001719B7">
                            <w:pPr>
                              <w:spacing w:beforeLines="50" w:before="120"/>
                              <w:jc w:val="center"/>
                              <w:rPr>
                                <w:rFonts w:eastAsia="標楷體"/>
                                <w:b/>
                                <w:bCs/>
                                <w:sz w:val="36"/>
                                <w:szCs w:val="36"/>
                              </w:rPr>
                            </w:pPr>
                            <w:r>
                              <w:rPr>
                                <w:rFonts w:eastAsia="標楷體" w:hint="eastAsia"/>
                                <w:b/>
                                <w:bCs/>
                                <w:sz w:val="36"/>
                                <w:szCs w:val="36"/>
                              </w:rPr>
                              <w:t>105</w:t>
                            </w:r>
                            <w:r w:rsidRPr="00AE0A32">
                              <w:rPr>
                                <w:rFonts w:eastAsia="標楷體" w:hint="eastAsia"/>
                                <w:b/>
                                <w:bCs/>
                                <w:sz w:val="36"/>
                                <w:szCs w:val="36"/>
                              </w:rPr>
                              <w:t>會計</w:t>
                            </w:r>
                            <w:r w:rsidRPr="00AE0A32">
                              <w:rPr>
                                <w:rFonts w:eastAsia="標楷體"/>
                                <w:b/>
                                <w:bCs/>
                                <w:sz w:val="36"/>
                                <w:szCs w:val="36"/>
                              </w:rPr>
                              <w:t>年度</w:t>
                            </w:r>
                          </w:p>
                          <w:p w:rsidR="00697B5D" w:rsidRPr="00AE0A32" w:rsidRDefault="00697B5D" w:rsidP="00C04FD1">
                            <w:pPr>
                              <w:jc w:val="center"/>
                              <w:rPr>
                                <w:rFonts w:eastAsia="標楷體"/>
                                <w:b/>
                                <w:bCs/>
                                <w:sz w:val="36"/>
                                <w:szCs w:val="36"/>
                              </w:rPr>
                            </w:pPr>
                            <w:r w:rsidRPr="00AE0A32">
                              <w:rPr>
                                <w:rFonts w:eastAsia="標楷體"/>
                                <w:b/>
                                <w:bCs/>
                                <w:sz w:val="36"/>
                                <w:szCs w:val="36"/>
                              </w:rPr>
                              <w:t>移轉訂價報告</w:t>
                            </w:r>
                            <w:r w:rsidRPr="00AE0A32">
                              <w:rPr>
                                <w:rFonts w:eastAsia="標楷體" w:hint="eastAsia"/>
                                <w:b/>
                                <w:bCs/>
                                <w:sz w:val="36"/>
                                <w:szCs w:val="36"/>
                              </w:rPr>
                              <w:t>替代文據</w:t>
                            </w:r>
                          </w:p>
                          <w:p w:rsidR="00697B5D" w:rsidRPr="00610BD9" w:rsidRDefault="00697B5D" w:rsidP="00D1590F">
                            <w:pPr>
                              <w:spacing w:beforeLines="50" w:before="120"/>
                              <w:jc w:val="center"/>
                              <w:rPr>
                                <w:rFonts w:eastAsia="標楷體"/>
                              </w:rPr>
                            </w:pPr>
                            <w:r w:rsidRPr="00C04FD1">
                              <w:rPr>
                                <w:rFonts w:eastAsia="標楷體" w:hint="eastAsia"/>
                              </w:rPr>
                              <w:t>涵蓋期間：民國</w:t>
                            </w:r>
                            <w:r>
                              <w:rPr>
                                <w:rFonts w:eastAsia="標楷體" w:hint="eastAsia"/>
                              </w:rPr>
                              <w:t>105</w:t>
                            </w:r>
                            <w:r w:rsidRPr="00C04FD1">
                              <w:rPr>
                                <w:rFonts w:eastAsia="標楷體" w:hint="eastAsia"/>
                              </w:rPr>
                              <w:t>年</w:t>
                            </w:r>
                            <w:r w:rsidRPr="00C04FD1">
                              <w:rPr>
                                <w:rFonts w:eastAsia="標楷體" w:hint="eastAsia"/>
                              </w:rPr>
                              <w:t>1</w:t>
                            </w:r>
                            <w:r w:rsidRPr="00C04FD1">
                              <w:rPr>
                                <w:rFonts w:eastAsia="標楷體" w:hint="eastAsia"/>
                              </w:rPr>
                              <w:t>月</w:t>
                            </w:r>
                            <w:r w:rsidRPr="00C04FD1">
                              <w:rPr>
                                <w:rFonts w:eastAsia="標楷體" w:hint="eastAsia"/>
                              </w:rPr>
                              <w:t>1</w:t>
                            </w:r>
                            <w:r w:rsidRPr="00C04FD1">
                              <w:rPr>
                                <w:rFonts w:eastAsia="標楷體" w:hint="eastAsia"/>
                              </w:rPr>
                              <w:t>日至</w:t>
                            </w:r>
                            <w:r>
                              <w:rPr>
                                <w:rFonts w:eastAsia="標楷體" w:hint="eastAsia"/>
                              </w:rPr>
                              <w:t>105</w:t>
                            </w:r>
                            <w:r w:rsidRPr="00C04FD1">
                              <w:rPr>
                                <w:rFonts w:eastAsia="標楷體" w:hint="eastAsia"/>
                              </w:rPr>
                              <w:t>年</w:t>
                            </w:r>
                            <w:r w:rsidRPr="00C04FD1">
                              <w:rPr>
                                <w:rFonts w:eastAsia="標楷體" w:hint="eastAsia"/>
                              </w:rPr>
                              <w:t>12</w:t>
                            </w:r>
                            <w:r w:rsidRPr="00C04FD1">
                              <w:rPr>
                                <w:rFonts w:eastAsia="標楷體" w:hint="eastAsia"/>
                              </w:rPr>
                              <w:t>月</w:t>
                            </w:r>
                            <w:r w:rsidRPr="00C04FD1">
                              <w:rPr>
                                <w:rFonts w:eastAsia="標楷體" w:hint="eastAsia"/>
                              </w:rPr>
                              <w:t>31</w:t>
                            </w:r>
                            <w:r w:rsidRPr="00C04FD1">
                              <w:rPr>
                                <w:rFonts w:eastAsia="標楷體" w:hint="eastAsia"/>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6.35pt;margin-top:75.4pt;width:421.65pt;height:172.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" filled="f" stroked="f">
                <v:textbox>
                  <w:txbxContent>
                    <w:p w:rsidR="00697B5D" w:rsidRPr="00C04FD1" w:rsidRDefault="00697B5D" w:rsidP="001719B7">
                      <w:pPr>
                        <w:spacing w:afterLines="50" w:after="120"/>
                        <w:jc w:val="center"/>
                        <w:rPr>
                          <w:rFonts w:eastAsia="標楷體"/>
                          <w:b/>
                          <w:bCs/>
                          <w:sz w:val="40"/>
                          <w:szCs w:val="40"/>
                        </w:rPr>
                      </w:pPr>
                      <w:r w:rsidRPr="00C04FD1">
                        <w:rPr>
                          <w:rFonts w:eastAsia="標楷體" w:hint="eastAsia"/>
                          <w:b/>
                          <w:bCs/>
                          <w:sz w:val="40"/>
                          <w:szCs w:val="40"/>
                        </w:rPr>
                        <w:t>美商萊迪思半導體</w:t>
                      </w:r>
                      <w:r w:rsidRPr="00C04FD1">
                        <w:rPr>
                          <w:rFonts w:eastAsia="標楷體" w:hint="eastAsia"/>
                          <w:b/>
                          <w:bCs/>
                          <w:sz w:val="40"/>
                          <w:szCs w:val="40"/>
                        </w:rPr>
                        <w:t>(</w:t>
                      </w:r>
                      <w:r w:rsidRPr="00C04FD1">
                        <w:rPr>
                          <w:rFonts w:eastAsia="標楷體" w:hint="eastAsia"/>
                          <w:b/>
                          <w:bCs/>
                          <w:sz w:val="40"/>
                          <w:szCs w:val="40"/>
                        </w:rPr>
                        <w:t>股</w:t>
                      </w:r>
                      <w:r w:rsidRPr="00C04FD1">
                        <w:rPr>
                          <w:rFonts w:eastAsia="標楷體" w:hint="eastAsia"/>
                          <w:b/>
                          <w:bCs/>
                          <w:sz w:val="40"/>
                          <w:szCs w:val="40"/>
                        </w:rPr>
                        <w:t>)</w:t>
                      </w:r>
                      <w:r w:rsidRPr="00C04FD1">
                        <w:rPr>
                          <w:rFonts w:eastAsia="標楷體" w:hint="eastAsia"/>
                          <w:b/>
                          <w:bCs/>
                          <w:sz w:val="40"/>
                          <w:szCs w:val="40"/>
                        </w:rPr>
                        <w:t>公司</w:t>
                      </w:r>
                    </w:p>
                    <w:p w:rsidR="00697B5D" w:rsidRPr="00C04FD1" w:rsidRDefault="00697B5D" w:rsidP="00C04FD1">
                      <w:pPr>
                        <w:jc w:val="center"/>
                        <w:rPr>
                          <w:rFonts w:eastAsia="標楷體"/>
                          <w:b/>
                          <w:bCs/>
                          <w:sz w:val="40"/>
                          <w:szCs w:val="40"/>
                        </w:rPr>
                      </w:pPr>
                      <w:r w:rsidRPr="00C04FD1">
                        <w:rPr>
                          <w:rFonts w:eastAsia="標楷體" w:hint="eastAsia"/>
                          <w:b/>
                          <w:bCs/>
                          <w:sz w:val="40"/>
                          <w:szCs w:val="40"/>
                        </w:rPr>
                        <w:t>台灣分公司</w:t>
                      </w:r>
                    </w:p>
                    <w:p w:rsidR="00697B5D" w:rsidRPr="00AE0A32" w:rsidRDefault="00697B5D" w:rsidP="001719B7">
                      <w:pPr>
                        <w:spacing w:beforeLines="50" w:before="120"/>
                        <w:jc w:val="center"/>
                        <w:rPr>
                          <w:rFonts w:eastAsia="標楷體"/>
                          <w:b/>
                          <w:bCs/>
                          <w:sz w:val="36"/>
                          <w:szCs w:val="36"/>
                        </w:rPr>
                      </w:pPr>
                      <w:r>
                        <w:rPr>
                          <w:rFonts w:eastAsia="標楷體" w:hint="eastAsia"/>
                          <w:b/>
                          <w:bCs/>
                          <w:sz w:val="36"/>
                          <w:szCs w:val="36"/>
                        </w:rPr>
                        <w:t>105</w:t>
                      </w:r>
                      <w:r w:rsidRPr="00AE0A32">
                        <w:rPr>
                          <w:rFonts w:eastAsia="標楷體" w:hint="eastAsia"/>
                          <w:b/>
                          <w:bCs/>
                          <w:sz w:val="36"/>
                          <w:szCs w:val="36"/>
                        </w:rPr>
                        <w:t>會計</w:t>
                      </w:r>
                      <w:r w:rsidRPr="00AE0A32">
                        <w:rPr>
                          <w:rFonts w:eastAsia="標楷體"/>
                          <w:b/>
                          <w:bCs/>
                          <w:sz w:val="36"/>
                          <w:szCs w:val="36"/>
                        </w:rPr>
                        <w:t>年度</w:t>
                      </w:r>
                    </w:p>
                    <w:p w:rsidR="00697B5D" w:rsidRPr="00AE0A32" w:rsidRDefault="00697B5D" w:rsidP="00C04FD1">
                      <w:pPr>
                        <w:jc w:val="center"/>
                        <w:rPr>
                          <w:rFonts w:eastAsia="標楷體"/>
                          <w:b/>
                          <w:bCs/>
                          <w:sz w:val="36"/>
                          <w:szCs w:val="36"/>
                        </w:rPr>
                      </w:pPr>
                      <w:r w:rsidRPr="00AE0A32">
                        <w:rPr>
                          <w:rFonts w:eastAsia="標楷體"/>
                          <w:b/>
                          <w:bCs/>
                          <w:sz w:val="36"/>
                          <w:szCs w:val="36"/>
                        </w:rPr>
                        <w:t>移轉訂價報告</w:t>
                      </w:r>
                      <w:r w:rsidRPr="00AE0A32">
                        <w:rPr>
                          <w:rFonts w:eastAsia="標楷體" w:hint="eastAsia"/>
                          <w:b/>
                          <w:bCs/>
                          <w:sz w:val="36"/>
                          <w:szCs w:val="36"/>
                        </w:rPr>
                        <w:t>替代文據</w:t>
                      </w:r>
                    </w:p>
                    <w:p w:rsidR="00697B5D" w:rsidRPr="00610BD9" w:rsidRDefault="00697B5D" w:rsidP="00D1590F">
                      <w:pPr>
                        <w:spacing w:beforeLines="50" w:before="120"/>
                        <w:jc w:val="center"/>
                        <w:rPr>
                          <w:rFonts w:eastAsia="標楷體"/>
                        </w:rPr>
                      </w:pPr>
                      <w:r w:rsidRPr="00C04FD1">
                        <w:rPr>
                          <w:rFonts w:eastAsia="標楷體" w:hint="eastAsia"/>
                        </w:rPr>
                        <w:t>涵蓋期間：民國</w:t>
                      </w:r>
                      <w:r>
                        <w:rPr>
                          <w:rFonts w:eastAsia="標楷體" w:hint="eastAsia"/>
                        </w:rPr>
                        <w:t>105</w:t>
                      </w:r>
                      <w:r w:rsidRPr="00C04FD1">
                        <w:rPr>
                          <w:rFonts w:eastAsia="標楷體" w:hint="eastAsia"/>
                        </w:rPr>
                        <w:t>年</w:t>
                      </w:r>
                      <w:r w:rsidRPr="00C04FD1">
                        <w:rPr>
                          <w:rFonts w:eastAsia="標楷體" w:hint="eastAsia"/>
                        </w:rPr>
                        <w:t>1</w:t>
                      </w:r>
                      <w:r w:rsidRPr="00C04FD1">
                        <w:rPr>
                          <w:rFonts w:eastAsia="標楷體" w:hint="eastAsia"/>
                        </w:rPr>
                        <w:t>月</w:t>
                      </w:r>
                      <w:r w:rsidRPr="00C04FD1">
                        <w:rPr>
                          <w:rFonts w:eastAsia="標楷體" w:hint="eastAsia"/>
                        </w:rPr>
                        <w:t>1</w:t>
                      </w:r>
                      <w:r w:rsidRPr="00C04FD1">
                        <w:rPr>
                          <w:rFonts w:eastAsia="標楷體" w:hint="eastAsia"/>
                        </w:rPr>
                        <w:t>日至</w:t>
                      </w:r>
                      <w:r>
                        <w:rPr>
                          <w:rFonts w:eastAsia="標楷體" w:hint="eastAsia"/>
                        </w:rPr>
                        <w:t>105</w:t>
                      </w:r>
                      <w:r w:rsidRPr="00C04FD1">
                        <w:rPr>
                          <w:rFonts w:eastAsia="標楷體" w:hint="eastAsia"/>
                        </w:rPr>
                        <w:t>年</w:t>
                      </w:r>
                      <w:r w:rsidRPr="00C04FD1">
                        <w:rPr>
                          <w:rFonts w:eastAsia="標楷體" w:hint="eastAsia"/>
                        </w:rPr>
                        <w:t>12</w:t>
                      </w:r>
                      <w:r w:rsidRPr="00C04FD1">
                        <w:rPr>
                          <w:rFonts w:eastAsia="標楷體" w:hint="eastAsia"/>
                        </w:rPr>
                        <w:t>月</w:t>
                      </w:r>
                      <w:r w:rsidRPr="00C04FD1">
                        <w:rPr>
                          <w:rFonts w:eastAsia="標楷體" w:hint="eastAsia"/>
                        </w:rPr>
                        <w:t>31</w:t>
                      </w:r>
                      <w:r w:rsidRPr="00C04FD1">
                        <w:rPr>
                          <w:rFonts w:eastAsia="標楷體" w:hint="eastAsia"/>
                        </w:rPr>
                        <w:t>日</w:t>
                      </w:r>
                    </w:p>
                  </w:txbxContent>
                </v:textbox>
                <w10:wrap type="square"/>
              </v:shape>
            </w:pict>
          </mc:Fallback>
        </mc:AlternateContent>
      </w:r>
    </w:p>
    <w:p w:rsidR="00307D12" w:rsidRPr="00EA272E" w:rsidRDefault="00307D12">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E40167" w:rsidRDefault="00E40167">
      <w:pPr>
        <w:spacing w:line="360" w:lineRule="auto"/>
        <w:jc w:val="center"/>
        <w:rPr>
          <w:rFonts w:eastAsia="標楷體"/>
          <w:b/>
          <w:bCs/>
          <w:sz w:val="32"/>
          <w:szCs w:val="32"/>
        </w:rPr>
      </w:pPr>
    </w:p>
    <w:p w:rsidR="00E40167" w:rsidRDefault="00E40167" w:rsidP="00E40167">
      <w:pPr>
        <w:tabs>
          <w:tab w:val="left" w:pos="7740"/>
        </w:tabs>
        <w:spacing w:line="360" w:lineRule="auto"/>
        <w:rPr>
          <w:rFonts w:eastAsia="標楷體"/>
          <w:sz w:val="32"/>
          <w:szCs w:val="32"/>
        </w:rPr>
      </w:pPr>
      <w:r>
        <w:rPr>
          <w:rFonts w:eastAsia="標楷體"/>
          <w:sz w:val="32"/>
          <w:szCs w:val="32"/>
        </w:rPr>
        <w:tab/>
      </w:r>
    </w:p>
    <w:p w:rsidR="00307D12" w:rsidRPr="00EA272E" w:rsidRDefault="00EE4220">
      <w:pPr>
        <w:spacing w:line="360" w:lineRule="auto"/>
        <w:jc w:val="center"/>
        <w:rPr>
          <w:rFonts w:eastAsia="標楷體"/>
          <w:b/>
          <w:bCs/>
          <w:sz w:val="32"/>
          <w:szCs w:val="32"/>
        </w:rPr>
        <w:sectPr w:rsidR="00307D12" w:rsidRPr="00EA272E" w:rsidSect="000223C9">
          <w:footerReference w:type="default" r:id="rId9"/>
          <w:type w:val="oddPage"/>
          <w:pgSz w:w="11906" w:h="16838" w:code="9"/>
          <w:pgMar w:top="2160" w:right="1440" w:bottom="1814" w:left="1440" w:header="851" w:footer="442" w:gutter="567"/>
          <w:pgNumType w:start="1"/>
          <w:cols w:space="425"/>
          <w:docGrid w:linePitch="360"/>
        </w:sectPr>
      </w:pPr>
      <w:r>
        <w:rPr>
          <w:rFonts w:eastAsia="標楷體"/>
          <w:b/>
          <w:bCs/>
          <w:noProof/>
          <w:sz w:val="52"/>
          <w:szCs w:val="52"/>
        </w:rPr>
        <mc:AlternateContent>
          <mc:Choice Requires="wps">
            <w:drawing>
              <wp:anchor distT="0" distB="0" distL="114300" distR="114300" simplePos="0" relativeHeight="251661312" behindDoc="0" locked="0" layoutInCell="1" allowOverlap="1" wp14:anchorId="68DFB1BA" wp14:editId="68B20FB3">
                <wp:simplePos x="0" y="0"/>
                <wp:positionH relativeFrom="column">
                  <wp:posOffset>1191260</wp:posOffset>
                </wp:positionH>
                <wp:positionV relativeFrom="paragraph">
                  <wp:posOffset>-7620</wp:posOffset>
                </wp:positionV>
                <wp:extent cx="2715895" cy="869315"/>
                <wp:effectExtent l="635" t="1905" r="0" b="0"/>
                <wp:wrapNone/>
                <wp:docPr id="230"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B5D" w:rsidRPr="00F405FC" w:rsidRDefault="00697B5D" w:rsidP="00C04FD1">
                            <w:pPr>
                              <w:jc w:val="center"/>
                              <w:rPr>
                                <w:rFonts w:eastAsia="標楷體"/>
                                <w:b/>
                                <w:sz w:val="28"/>
                              </w:rPr>
                            </w:pPr>
                            <w:r w:rsidRPr="00F405FC">
                              <w:rPr>
                                <w:rFonts w:eastAsia="標楷體" w:hint="eastAsia"/>
                                <w:b/>
                                <w:sz w:val="28"/>
                              </w:rPr>
                              <w:t>出具人：羅裕傑　會計師</w:t>
                            </w:r>
                          </w:p>
                          <w:p w:rsidR="00697B5D" w:rsidRPr="004C0C1C" w:rsidRDefault="00697B5D" w:rsidP="00C04FD1">
                            <w:pPr>
                              <w:jc w:val="center"/>
                              <w:rPr>
                                <w:rFonts w:eastAsia="標楷體"/>
                                <w:b/>
                                <w:sz w:val="28"/>
                              </w:rPr>
                            </w:pPr>
                          </w:p>
                          <w:p w:rsidR="00697B5D" w:rsidRPr="00F405FC" w:rsidRDefault="00697B5D" w:rsidP="00C04FD1">
                            <w:pPr>
                              <w:jc w:val="center"/>
                              <w:rPr>
                                <w:rFonts w:eastAsia="標楷體"/>
                                <w:b/>
                                <w:sz w:val="28"/>
                              </w:rPr>
                            </w:pPr>
                            <w:r w:rsidRPr="00F405FC">
                              <w:rPr>
                                <w:rFonts w:eastAsia="標楷體" w:hint="eastAsia"/>
                                <w:b/>
                                <w:sz w:val="28"/>
                              </w:rPr>
                              <w:t>製作日期：民國</w:t>
                            </w:r>
                            <w:r w:rsidRPr="00E40167">
                              <w:rPr>
                                <w:rFonts w:eastAsia="標楷體" w:hint="eastAsia"/>
                                <w:b/>
                                <w:sz w:val="28"/>
                              </w:rPr>
                              <w:t>10</w:t>
                            </w:r>
                            <w:r>
                              <w:rPr>
                                <w:rFonts w:eastAsia="標楷體" w:hint="eastAsia"/>
                                <w:b/>
                                <w:sz w:val="28"/>
                              </w:rPr>
                              <w:t>6</w:t>
                            </w:r>
                            <w:r w:rsidRPr="00E40167">
                              <w:rPr>
                                <w:rFonts w:eastAsia="標楷體" w:hint="eastAsia"/>
                                <w:b/>
                                <w:sz w:val="28"/>
                              </w:rPr>
                              <w:t>年</w:t>
                            </w:r>
                            <w:r>
                              <w:rPr>
                                <w:rFonts w:eastAsia="標楷體" w:hint="eastAsia"/>
                                <w:b/>
                                <w:sz w:val="28"/>
                              </w:rPr>
                              <w:t xml:space="preserve">4 </w:t>
                            </w:r>
                            <w:r w:rsidRPr="004D0255">
                              <w:rPr>
                                <w:rFonts w:eastAsia="標楷體" w:hint="eastAsia"/>
                                <w:b/>
                                <w:sz w:val="28"/>
                              </w:rPr>
                              <w:t>月</w:t>
                            </w:r>
                            <w:r>
                              <w:rPr>
                                <w:rFonts w:eastAsia="標楷體" w:hint="eastAsia"/>
                                <w:b/>
                                <w:sz w:val="28"/>
                              </w:rPr>
                              <w:t xml:space="preserve">25 </w:t>
                            </w:r>
                            <w:r w:rsidRPr="00E40167">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93.8pt;margin-top:-.6pt;width:213.85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Jtuw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" filled="f" stroked="f">
                <v:textbox>
                  <w:txbxContent>
                    <w:p w:rsidR="00697B5D" w:rsidRPr="00F405FC" w:rsidRDefault="00697B5D" w:rsidP="00C04FD1">
                      <w:pPr>
                        <w:jc w:val="center"/>
                        <w:rPr>
                          <w:rFonts w:eastAsia="標楷體"/>
                          <w:b/>
                          <w:sz w:val="28"/>
                        </w:rPr>
                      </w:pPr>
                      <w:r w:rsidRPr="00F405FC">
                        <w:rPr>
                          <w:rFonts w:eastAsia="標楷體" w:hint="eastAsia"/>
                          <w:b/>
                          <w:sz w:val="28"/>
                        </w:rPr>
                        <w:t>出具人：羅裕傑　會計師</w:t>
                      </w:r>
                    </w:p>
                    <w:p w:rsidR="00697B5D" w:rsidRPr="004C0C1C" w:rsidRDefault="00697B5D" w:rsidP="00C04FD1">
                      <w:pPr>
                        <w:jc w:val="center"/>
                        <w:rPr>
                          <w:rFonts w:eastAsia="標楷體"/>
                          <w:b/>
                          <w:sz w:val="28"/>
                        </w:rPr>
                      </w:pPr>
                    </w:p>
                    <w:p w:rsidR="00697B5D" w:rsidRPr="00F405FC" w:rsidRDefault="00697B5D" w:rsidP="00C04FD1">
                      <w:pPr>
                        <w:jc w:val="center"/>
                        <w:rPr>
                          <w:rFonts w:eastAsia="標楷體"/>
                          <w:b/>
                          <w:sz w:val="28"/>
                        </w:rPr>
                      </w:pPr>
                      <w:r w:rsidRPr="00F405FC">
                        <w:rPr>
                          <w:rFonts w:eastAsia="標楷體" w:hint="eastAsia"/>
                          <w:b/>
                          <w:sz w:val="28"/>
                        </w:rPr>
                        <w:t>製作日期：民國</w:t>
                      </w:r>
                      <w:r w:rsidRPr="00E40167">
                        <w:rPr>
                          <w:rFonts w:eastAsia="標楷體" w:hint="eastAsia"/>
                          <w:b/>
                          <w:sz w:val="28"/>
                        </w:rPr>
                        <w:t>10</w:t>
                      </w:r>
                      <w:r>
                        <w:rPr>
                          <w:rFonts w:eastAsia="標楷體" w:hint="eastAsia"/>
                          <w:b/>
                          <w:sz w:val="28"/>
                        </w:rPr>
                        <w:t>6</w:t>
                      </w:r>
                      <w:r w:rsidRPr="00E40167">
                        <w:rPr>
                          <w:rFonts w:eastAsia="標楷體" w:hint="eastAsia"/>
                          <w:b/>
                          <w:sz w:val="28"/>
                        </w:rPr>
                        <w:t>年</w:t>
                      </w:r>
                      <w:r>
                        <w:rPr>
                          <w:rFonts w:eastAsia="標楷體" w:hint="eastAsia"/>
                          <w:b/>
                          <w:sz w:val="28"/>
                        </w:rPr>
                        <w:t xml:space="preserve">4 </w:t>
                      </w:r>
                      <w:r w:rsidRPr="004D0255">
                        <w:rPr>
                          <w:rFonts w:eastAsia="標楷體" w:hint="eastAsia"/>
                          <w:b/>
                          <w:sz w:val="28"/>
                        </w:rPr>
                        <w:t>月</w:t>
                      </w:r>
                      <w:r>
                        <w:rPr>
                          <w:rFonts w:eastAsia="標楷體" w:hint="eastAsia"/>
                          <w:b/>
                          <w:sz w:val="28"/>
                        </w:rPr>
                        <w:t xml:space="preserve">25 </w:t>
                      </w:r>
                      <w:r w:rsidRPr="00E40167">
                        <w:rPr>
                          <w:rFonts w:eastAsia="標楷體" w:hint="eastAsia"/>
                          <w:b/>
                          <w:sz w:val="28"/>
                        </w:rPr>
                        <w:t>日</w:t>
                      </w:r>
                    </w:p>
                  </w:txbxContent>
                </v:textbox>
              </v:shape>
            </w:pict>
          </mc:Fallback>
        </mc:AlternateContent>
      </w:r>
      <w:r w:rsidR="00307D12" w:rsidRPr="00E40167">
        <w:rPr>
          <w:rFonts w:eastAsia="標楷體"/>
          <w:sz w:val="32"/>
          <w:szCs w:val="32"/>
        </w:rPr>
        <w:br w:type="page"/>
      </w:r>
    </w:p>
    <w:p w:rsidR="006736AD" w:rsidRPr="00EA272E" w:rsidRDefault="004C0C1C" w:rsidP="001719B7">
      <w:pPr>
        <w:spacing w:beforeLines="50" w:before="120" w:afterLines="100" w:after="240" w:line="360" w:lineRule="auto"/>
        <w:jc w:val="center"/>
        <w:rPr>
          <w:rFonts w:eastAsia="標楷體"/>
          <w:b/>
          <w:bCs/>
          <w:sz w:val="52"/>
          <w:szCs w:val="48"/>
        </w:rPr>
      </w:pPr>
      <w:r>
        <w:rPr>
          <w:rFonts w:eastAsia="標楷體"/>
          <w:b/>
          <w:sz w:val="52"/>
          <w:szCs w:val="48"/>
        </w:rPr>
        <w:lastRenderedPageBreak/>
        <w:t>本</w:t>
      </w:r>
      <w:r>
        <w:rPr>
          <w:rFonts w:eastAsia="標楷體" w:hint="eastAsia"/>
          <w:b/>
          <w:sz w:val="52"/>
          <w:szCs w:val="48"/>
        </w:rPr>
        <w:t>文據</w:t>
      </w:r>
      <w:r w:rsidR="006736AD" w:rsidRPr="00EA272E">
        <w:rPr>
          <w:rFonts w:eastAsia="標楷體"/>
          <w:b/>
          <w:sz w:val="52"/>
          <w:szCs w:val="48"/>
        </w:rPr>
        <w:t>之涵蓋範圍及使用方式</w:t>
      </w:r>
    </w:p>
    <w:p w:rsidR="00270528" w:rsidRPr="00AC06F7" w:rsidRDefault="00AC1411" w:rsidP="001719B7">
      <w:pPr>
        <w:spacing w:beforeLines="50" w:before="120" w:afterLines="50" w:after="120" w:line="360" w:lineRule="auto"/>
        <w:ind w:firstLineChars="200" w:firstLine="520"/>
        <w:jc w:val="both"/>
        <w:rPr>
          <w:rFonts w:eastAsia="標楷體"/>
          <w:i/>
          <w:sz w:val="26"/>
          <w:szCs w:val="26"/>
        </w:rPr>
      </w:pPr>
      <w:r w:rsidRPr="00AC06F7">
        <w:rPr>
          <w:rFonts w:eastAsia="標楷體"/>
          <w:sz w:val="26"/>
          <w:szCs w:val="26"/>
        </w:rPr>
        <w:t>正大聯合</w:t>
      </w:r>
      <w:r w:rsidRPr="00AC06F7">
        <w:rPr>
          <w:rFonts w:ascii="標楷體" w:eastAsia="標楷體" w:hAnsi="標楷體"/>
          <w:sz w:val="26"/>
          <w:szCs w:val="26"/>
        </w:rPr>
        <w:t>會</w:t>
      </w:r>
      <w:r w:rsidRPr="00AC06F7">
        <w:rPr>
          <w:rFonts w:eastAsia="標楷體"/>
          <w:sz w:val="26"/>
          <w:szCs w:val="26"/>
        </w:rPr>
        <w:t>計師事務所（以下簡稱『本所』</w:t>
      </w:r>
      <w:r w:rsidR="00566722" w:rsidRPr="00AC06F7">
        <w:rPr>
          <w:rFonts w:eastAsia="標楷體" w:hint="eastAsia"/>
          <w:sz w:val="26"/>
          <w:szCs w:val="26"/>
        </w:rPr>
        <w:t>）</w:t>
      </w:r>
      <w:r w:rsidRPr="00AC06F7">
        <w:rPr>
          <w:rFonts w:eastAsia="標楷體"/>
          <w:sz w:val="26"/>
          <w:szCs w:val="26"/>
        </w:rPr>
        <w:t>受</w:t>
      </w:r>
      <w:r w:rsidR="003A761B" w:rsidRPr="00AC06F7">
        <w:rPr>
          <w:rFonts w:eastAsia="標楷體" w:hint="eastAsia"/>
          <w:sz w:val="26"/>
          <w:szCs w:val="26"/>
        </w:rPr>
        <w:t>美商萊迪思半導體股份有限公司台灣分公司</w:t>
      </w:r>
      <w:proofErr w:type="gramStart"/>
      <w:r w:rsidR="00566722" w:rsidRPr="00AC06F7">
        <w:rPr>
          <w:rFonts w:eastAsia="標楷體" w:hint="eastAsia"/>
          <w:sz w:val="26"/>
          <w:szCs w:val="26"/>
        </w:rPr>
        <w:t>（</w:t>
      </w:r>
      <w:proofErr w:type="gramEnd"/>
      <w:r w:rsidR="006736AD" w:rsidRPr="00AC06F7">
        <w:rPr>
          <w:rFonts w:eastAsia="標楷體"/>
          <w:sz w:val="26"/>
          <w:szCs w:val="26"/>
        </w:rPr>
        <w:t>以下簡稱『</w:t>
      </w:r>
      <w:r w:rsidR="003A761B" w:rsidRPr="00AC06F7">
        <w:rPr>
          <w:rFonts w:eastAsia="標楷體" w:hint="eastAsia"/>
          <w:sz w:val="26"/>
          <w:szCs w:val="26"/>
        </w:rPr>
        <w:t>萊迪思台灣分公司</w:t>
      </w:r>
      <w:r w:rsidR="006736AD" w:rsidRPr="00AC06F7">
        <w:rPr>
          <w:rFonts w:eastAsia="標楷體"/>
          <w:sz w:val="26"/>
          <w:szCs w:val="26"/>
        </w:rPr>
        <w:t>』</w:t>
      </w:r>
      <w:r w:rsidR="006736AD" w:rsidRPr="00AC06F7">
        <w:rPr>
          <w:rFonts w:eastAsia="標楷體"/>
          <w:sz w:val="26"/>
          <w:szCs w:val="26"/>
        </w:rPr>
        <w:t>)</w:t>
      </w:r>
      <w:r w:rsidR="006736AD" w:rsidRPr="00AC06F7">
        <w:rPr>
          <w:rFonts w:eastAsia="標楷體"/>
          <w:sz w:val="26"/>
          <w:szCs w:val="26"/>
        </w:rPr>
        <w:t>委託，對該公司</w:t>
      </w:r>
      <w:r w:rsidR="00B70EAE">
        <w:rPr>
          <w:rFonts w:eastAsia="標楷體" w:hint="eastAsia"/>
          <w:sz w:val="26"/>
          <w:szCs w:val="26"/>
        </w:rPr>
        <w:t>10</w:t>
      </w:r>
      <w:r w:rsidR="00D1590F">
        <w:rPr>
          <w:rFonts w:eastAsia="標楷體" w:hint="eastAsia"/>
          <w:sz w:val="26"/>
          <w:szCs w:val="26"/>
        </w:rPr>
        <w:t>5</w:t>
      </w:r>
      <w:r w:rsidR="008F0678" w:rsidRPr="00AC06F7">
        <w:rPr>
          <w:rFonts w:eastAsia="標楷體" w:hint="eastAsia"/>
          <w:sz w:val="26"/>
          <w:szCs w:val="26"/>
        </w:rPr>
        <w:t>會計</w:t>
      </w:r>
      <w:r w:rsidR="006736AD" w:rsidRPr="00AC06F7">
        <w:rPr>
          <w:rFonts w:eastAsia="標楷體"/>
          <w:sz w:val="26"/>
          <w:szCs w:val="26"/>
        </w:rPr>
        <w:t>年</w:t>
      </w:r>
      <w:r w:rsidR="008F0678" w:rsidRPr="00AC06F7">
        <w:rPr>
          <w:rFonts w:eastAsia="標楷體" w:hint="eastAsia"/>
          <w:sz w:val="26"/>
          <w:szCs w:val="26"/>
        </w:rPr>
        <w:t>度</w:t>
      </w:r>
      <w:r w:rsidR="006736AD" w:rsidRPr="00AC06F7">
        <w:rPr>
          <w:rFonts w:eastAsia="標楷體"/>
          <w:sz w:val="26"/>
          <w:szCs w:val="26"/>
        </w:rPr>
        <w:t>與關係企業之往來交易</w:t>
      </w:r>
      <w:proofErr w:type="gramStart"/>
      <w:r w:rsidR="001E7194" w:rsidRPr="00AC06F7">
        <w:rPr>
          <w:rFonts w:eastAsia="標楷體" w:hint="eastAsia"/>
          <w:sz w:val="26"/>
          <w:szCs w:val="26"/>
        </w:rPr>
        <w:t>（</w:t>
      </w:r>
      <w:proofErr w:type="gramEnd"/>
      <w:r w:rsidR="001E7194" w:rsidRPr="00AC06F7">
        <w:rPr>
          <w:rFonts w:eastAsia="標楷體" w:hint="eastAsia"/>
          <w:sz w:val="26"/>
          <w:szCs w:val="26"/>
        </w:rPr>
        <w:t>以下簡稱</w:t>
      </w:r>
      <w:r w:rsidR="001E7194" w:rsidRPr="00AC06F7">
        <w:rPr>
          <w:rFonts w:eastAsia="標楷體"/>
          <w:sz w:val="26"/>
          <w:szCs w:val="26"/>
        </w:rPr>
        <w:t>『</w:t>
      </w:r>
      <w:r w:rsidR="001E7194" w:rsidRPr="00AC06F7">
        <w:rPr>
          <w:rFonts w:eastAsia="標楷體" w:hint="eastAsia"/>
          <w:sz w:val="26"/>
          <w:szCs w:val="26"/>
        </w:rPr>
        <w:t>受控交易</w:t>
      </w:r>
      <w:r w:rsidR="001E7194" w:rsidRPr="00AC06F7">
        <w:rPr>
          <w:rFonts w:eastAsia="標楷體"/>
          <w:sz w:val="26"/>
          <w:szCs w:val="26"/>
        </w:rPr>
        <w:t>』</w:t>
      </w:r>
      <w:proofErr w:type="gramStart"/>
      <w:r w:rsidR="001E7194" w:rsidRPr="00AC06F7">
        <w:rPr>
          <w:rFonts w:eastAsia="標楷體" w:hint="eastAsia"/>
          <w:sz w:val="26"/>
          <w:szCs w:val="26"/>
        </w:rPr>
        <w:t>）</w:t>
      </w:r>
      <w:proofErr w:type="gramEnd"/>
      <w:r w:rsidR="006736AD" w:rsidRPr="00AC06F7">
        <w:rPr>
          <w:rFonts w:eastAsia="標楷體"/>
          <w:sz w:val="26"/>
          <w:szCs w:val="26"/>
        </w:rPr>
        <w:t>進行分析，</w:t>
      </w:r>
      <w:proofErr w:type="gramStart"/>
      <w:r w:rsidR="006736AD" w:rsidRPr="00AC06F7">
        <w:rPr>
          <w:rFonts w:eastAsia="標楷體"/>
          <w:sz w:val="26"/>
          <w:szCs w:val="26"/>
        </w:rPr>
        <w:t>本</w:t>
      </w:r>
      <w:r w:rsidR="004C0C1C" w:rsidRPr="00AC06F7">
        <w:rPr>
          <w:rFonts w:eastAsia="標楷體" w:hint="eastAsia"/>
          <w:sz w:val="26"/>
          <w:szCs w:val="26"/>
        </w:rPr>
        <w:t>文據</w:t>
      </w:r>
      <w:r w:rsidR="006736AD" w:rsidRPr="00AC06F7">
        <w:rPr>
          <w:rFonts w:eastAsia="標楷體"/>
          <w:sz w:val="26"/>
          <w:szCs w:val="26"/>
        </w:rPr>
        <w:t>即為</w:t>
      </w:r>
      <w:proofErr w:type="gramEnd"/>
      <w:r w:rsidR="00CB265A" w:rsidRPr="00AC06F7">
        <w:rPr>
          <w:rFonts w:eastAsia="標楷體" w:hint="eastAsia"/>
          <w:sz w:val="26"/>
          <w:szCs w:val="26"/>
        </w:rPr>
        <w:t>分析</w:t>
      </w:r>
      <w:r w:rsidR="006736AD" w:rsidRPr="00AC06F7">
        <w:rPr>
          <w:rFonts w:eastAsia="標楷體"/>
          <w:sz w:val="26"/>
          <w:szCs w:val="26"/>
        </w:rPr>
        <w:t>結果。</w:t>
      </w:r>
    </w:p>
    <w:p w:rsidR="006736AD" w:rsidRPr="00AC06F7" w:rsidRDefault="006736AD" w:rsidP="001719B7">
      <w:pPr>
        <w:spacing w:beforeLines="50" w:before="120" w:afterLines="50" w:after="120" w:line="360" w:lineRule="auto"/>
        <w:ind w:firstLineChars="200" w:firstLine="520"/>
        <w:jc w:val="both"/>
        <w:rPr>
          <w:rFonts w:eastAsia="標楷體"/>
          <w:sz w:val="26"/>
          <w:szCs w:val="26"/>
        </w:rPr>
      </w:pPr>
      <w:r w:rsidRPr="00AC06F7">
        <w:rPr>
          <w:rFonts w:eastAsia="標楷體"/>
          <w:sz w:val="26"/>
          <w:szCs w:val="26"/>
        </w:rPr>
        <w:t>本</w:t>
      </w:r>
      <w:r w:rsidR="004C0C1C" w:rsidRPr="00AC06F7">
        <w:rPr>
          <w:rFonts w:eastAsia="標楷體" w:hint="eastAsia"/>
          <w:sz w:val="26"/>
          <w:szCs w:val="26"/>
        </w:rPr>
        <w:t>文據</w:t>
      </w:r>
      <w:r w:rsidRPr="00AC06F7">
        <w:rPr>
          <w:rFonts w:eastAsia="標楷體"/>
          <w:sz w:val="26"/>
          <w:szCs w:val="26"/>
        </w:rPr>
        <w:t>採用之分析乃遵循所得稅法第</w:t>
      </w:r>
      <w:r w:rsidRPr="00AC06F7">
        <w:rPr>
          <w:rFonts w:eastAsia="標楷體"/>
          <w:sz w:val="26"/>
          <w:szCs w:val="26"/>
        </w:rPr>
        <w:t>43</w:t>
      </w:r>
      <w:r w:rsidRPr="00AC06F7">
        <w:rPr>
          <w:rFonts w:eastAsia="標楷體"/>
          <w:sz w:val="26"/>
          <w:szCs w:val="26"/>
        </w:rPr>
        <w:t>條之</w:t>
      </w:r>
      <w:r w:rsidRPr="00AC06F7">
        <w:rPr>
          <w:rFonts w:eastAsia="標楷體"/>
          <w:sz w:val="26"/>
          <w:szCs w:val="26"/>
        </w:rPr>
        <w:t>1</w:t>
      </w:r>
      <w:r w:rsidRPr="00AC06F7">
        <w:rPr>
          <w:rFonts w:eastAsia="標楷體"/>
          <w:sz w:val="26"/>
          <w:szCs w:val="26"/>
        </w:rPr>
        <w:t>暨財政部於</w:t>
      </w:r>
      <w:smartTag w:uri="urn:schemas-microsoft-com:office:smarttags" w:element="chsdate">
        <w:smartTagPr>
          <w:attr w:name="Year" w:val="2004"/>
          <w:attr w:name="Month" w:val="12"/>
          <w:attr w:name="Day" w:val="28"/>
          <w:attr w:name="IsLunarDate" w:val="False"/>
          <w:attr w:name="IsROCDate" w:val="True"/>
        </w:smartTagPr>
        <w:r w:rsidRPr="00AC06F7">
          <w:rPr>
            <w:rFonts w:eastAsia="標楷體"/>
            <w:sz w:val="26"/>
            <w:szCs w:val="26"/>
          </w:rPr>
          <w:t>民國</w:t>
        </w:r>
        <w:r w:rsidRPr="00AC06F7">
          <w:rPr>
            <w:rFonts w:eastAsia="標楷體"/>
            <w:sz w:val="26"/>
            <w:szCs w:val="26"/>
          </w:rPr>
          <w:t>93</w:t>
        </w:r>
        <w:r w:rsidRPr="00AC06F7">
          <w:rPr>
            <w:rFonts w:eastAsia="標楷體"/>
            <w:sz w:val="26"/>
            <w:szCs w:val="26"/>
          </w:rPr>
          <w:t>年</w:t>
        </w:r>
        <w:r w:rsidRPr="00AC06F7">
          <w:rPr>
            <w:rFonts w:eastAsia="標楷體"/>
            <w:sz w:val="26"/>
            <w:szCs w:val="26"/>
          </w:rPr>
          <w:t>12</w:t>
        </w:r>
        <w:r w:rsidRPr="00AC06F7">
          <w:rPr>
            <w:rFonts w:eastAsia="標楷體"/>
            <w:sz w:val="26"/>
            <w:szCs w:val="26"/>
          </w:rPr>
          <w:t>月</w:t>
        </w:r>
        <w:r w:rsidRPr="00AC06F7">
          <w:rPr>
            <w:rFonts w:eastAsia="標楷體"/>
            <w:sz w:val="26"/>
            <w:szCs w:val="26"/>
          </w:rPr>
          <w:t>28</w:t>
        </w:r>
        <w:r w:rsidRPr="00AC06F7">
          <w:rPr>
            <w:rFonts w:eastAsia="標楷體"/>
            <w:sz w:val="26"/>
            <w:szCs w:val="26"/>
          </w:rPr>
          <w:t>日</w:t>
        </w:r>
      </w:smartTag>
      <w:r w:rsidRPr="00AC06F7">
        <w:rPr>
          <w:rFonts w:eastAsia="標楷體"/>
          <w:sz w:val="26"/>
          <w:szCs w:val="26"/>
        </w:rPr>
        <w:t>發布之營利事業所得稅不合常規移轉訂價查核準則</w:t>
      </w:r>
      <w:r w:rsidR="00566722" w:rsidRPr="00AC06F7">
        <w:rPr>
          <w:rFonts w:eastAsia="標楷體" w:hint="eastAsia"/>
          <w:sz w:val="26"/>
          <w:szCs w:val="26"/>
        </w:rPr>
        <w:t>（</w:t>
      </w:r>
      <w:r w:rsidRPr="00AC06F7">
        <w:rPr>
          <w:rFonts w:eastAsia="標楷體"/>
          <w:sz w:val="26"/>
          <w:szCs w:val="26"/>
        </w:rPr>
        <w:t>以下簡稱『移轉訂價查核準則』）規定之方法為之。</w:t>
      </w:r>
    </w:p>
    <w:p w:rsidR="00DE7202" w:rsidRDefault="006736AD" w:rsidP="001719B7">
      <w:pPr>
        <w:spacing w:beforeLines="50" w:before="120" w:afterLines="50" w:after="120" w:line="360" w:lineRule="auto"/>
        <w:ind w:firstLineChars="200" w:firstLine="520"/>
        <w:jc w:val="both"/>
        <w:rPr>
          <w:rFonts w:eastAsia="標楷體"/>
          <w:sz w:val="26"/>
          <w:szCs w:val="26"/>
        </w:rPr>
      </w:pPr>
      <w:r w:rsidRPr="00AC06F7">
        <w:rPr>
          <w:rFonts w:eastAsia="標楷體"/>
          <w:sz w:val="26"/>
          <w:szCs w:val="26"/>
        </w:rPr>
        <w:t>本所於本</w:t>
      </w:r>
      <w:r w:rsidR="004C0C1C" w:rsidRPr="00AC06F7">
        <w:rPr>
          <w:rFonts w:eastAsia="標楷體" w:hint="eastAsia"/>
          <w:sz w:val="26"/>
          <w:szCs w:val="26"/>
        </w:rPr>
        <w:t>文據</w:t>
      </w:r>
      <w:r w:rsidRPr="00AC06F7">
        <w:rPr>
          <w:rFonts w:eastAsia="標楷體"/>
          <w:sz w:val="26"/>
          <w:szCs w:val="26"/>
        </w:rPr>
        <w:t>中表示之意見完全基於</w:t>
      </w:r>
      <w:r w:rsidR="003A761B" w:rsidRPr="00AC06F7">
        <w:rPr>
          <w:rFonts w:eastAsia="標楷體" w:hint="eastAsia"/>
          <w:sz w:val="26"/>
          <w:szCs w:val="26"/>
        </w:rPr>
        <w:t>萊迪思台灣分公司</w:t>
      </w:r>
      <w:r w:rsidRPr="00AC06F7">
        <w:rPr>
          <w:rFonts w:eastAsia="標楷體"/>
          <w:sz w:val="26"/>
          <w:szCs w:val="26"/>
        </w:rPr>
        <w:t>管理部門提供之資料，本所並未</w:t>
      </w:r>
      <w:r w:rsidR="00270528" w:rsidRPr="00AC06F7">
        <w:rPr>
          <w:rFonts w:eastAsia="標楷體" w:hint="eastAsia"/>
          <w:sz w:val="26"/>
          <w:szCs w:val="26"/>
        </w:rPr>
        <w:t>就</w:t>
      </w:r>
      <w:r w:rsidR="003A761B" w:rsidRPr="00AC06F7">
        <w:rPr>
          <w:rFonts w:eastAsia="標楷體" w:hint="eastAsia"/>
          <w:sz w:val="26"/>
          <w:szCs w:val="26"/>
        </w:rPr>
        <w:t>萊迪思台灣分公司</w:t>
      </w:r>
      <w:r w:rsidR="00270528" w:rsidRPr="00AC06F7">
        <w:rPr>
          <w:rFonts w:eastAsia="標楷體" w:hint="eastAsia"/>
          <w:sz w:val="26"/>
          <w:szCs w:val="26"/>
        </w:rPr>
        <w:t>提供之資</w:t>
      </w:r>
      <w:r w:rsidR="00270528" w:rsidRPr="008A5527">
        <w:rPr>
          <w:rFonts w:ascii="新細明體" w:hAnsi="新細明體" w:hint="eastAsia"/>
          <w:sz w:val="26"/>
          <w:szCs w:val="26"/>
        </w:rPr>
        <w:t>料</w:t>
      </w:r>
      <w:r w:rsidR="00270528" w:rsidRPr="00AC06F7">
        <w:rPr>
          <w:rFonts w:eastAsia="標楷體" w:hint="eastAsia"/>
          <w:sz w:val="26"/>
          <w:szCs w:val="26"/>
        </w:rPr>
        <w:t>執行任何</w:t>
      </w:r>
      <w:r w:rsidRPr="00AC06F7">
        <w:rPr>
          <w:rFonts w:eastAsia="標楷體"/>
          <w:sz w:val="26"/>
          <w:szCs w:val="26"/>
        </w:rPr>
        <w:t>查核</w:t>
      </w:r>
      <w:r w:rsidR="00270528" w:rsidRPr="00AC06F7">
        <w:rPr>
          <w:rFonts w:eastAsia="標楷體" w:hint="eastAsia"/>
          <w:sz w:val="26"/>
          <w:szCs w:val="26"/>
        </w:rPr>
        <w:t>程序</w:t>
      </w:r>
      <w:r w:rsidRPr="00AC06F7">
        <w:rPr>
          <w:rFonts w:eastAsia="標楷體"/>
          <w:sz w:val="26"/>
          <w:szCs w:val="26"/>
        </w:rPr>
        <w:t>。倘若提供給本所之資料有須更正</w:t>
      </w:r>
      <w:r w:rsidRPr="005B5A01">
        <w:rPr>
          <w:rFonts w:ascii="標楷體" w:eastAsia="標楷體" w:hAnsi="標楷體"/>
          <w:sz w:val="26"/>
          <w:szCs w:val="26"/>
        </w:rPr>
        <w:t>情</w:t>
      </w:r>
      <w:r w:rsidRPr="00AC06F7">
        <w:rPr>
          <w:rFonts w:eastAsia="標楷體"/>
          <w:sz w:val="26"/>
          <w:szCs w:val="26"/>
        </w:rPr>
        <w:t>事，本</w:t>
      </w:r>
      <w:r w:rsidR="004C0C1C" w:rsidRPr="00AC06F7">
        <w:rPr>
          <w:rFonts w:eastAsia="標楷體" w:hint="eastAsia"/>
          <w:sz w:val="26"/>
          <w:szCs w:val="26"/>
        </w:rPr>
        <w:t>文據</w:t>
      </w:r>
      <w:r w:rsidRPr="00AC06F7">
        <w:rPr>
          <w:rFonts w:eastAsia="標楷體"/>
          <w:sz w:val="26"/>
          <w:szCs w:val="26"/>
        </w:rPr>
        <w:t>之內容及結論亦可能會受影響。</w:t>
      </w:r>
    </w:p>
    <w:p w:rsidR="00DE7202" w:rsidRDefault="006736AD" w:rsidP="001719B7">
      <w:pPr>
        <w:spacing w:beforeLines="50" w:before="120" w:afterLines="50" w:after="120" w:line="360" w:lineRule="auto"/>
        <w:ind w:firstLineChars="200" w:firstLine="520"/>
        <w:jc w:val="both"/>
        <w:rPr>
          <w:rFonts w:eastAsia="標楷體"/>
          <w:sz w:val="26"/>
          <w:szCs w:val="26"/>
        </w:rPr>
      </w:pPr>
      <w:r w:rsidRPr="00AC06F7">
        <w:rPr>
          <w:rFonts w:eastAsia="標楷體"/>
          <w:sz w:val="26"/>
          <w:szCs w:val="26"/>
        </w:rPr>
        <w:t>本</w:t>
      </w:r>
      <w:r w:rsidR="004C0C1C" w:rsidRPr="00AC06F7">
        <w:rPr>
          <w:rFonts w:eastAsia="標楷體" w:hint="eastAsia"/>
          <w:sz w:val="26"/>
          <w:szCs w:val="26"/>
        </w:rPr>
        <w:t>文據</w:t>
      </w:r>
      <w:r w:rsidRPr="00AC06F7">
        <w:rPr>
          <w:rFonts w:eastAsia="標楷體"/>
          <w:sz w:val="26"/>
          <w:szCs w:val="26"/>
        </w:rPr>
        <w:t>內容須隨</w:t>
      </w:r>
      <w:r w:rsidR="003A761B" w:rsidRPr="00AC06F7">
        <w:rPr>
          <w:rFonts w:eastAsia="標楷體" w:hint="eastAsia"/>
          <w:sz w:val="26"/>
          <w:szCs w:val="26"/>
        </w:rPr>
        <w:t>萊迪思台灣分公司</w:t>
      </w:r>
      <w:r w:rsidR="00620C7B" w:rsidRPr="00AC06F7">
        <w:rPr>
          <w:rFonts w:eastAsia="標楷體" w:hint="eastAsia"/>
          <w:sz w:val="26"/>
          <w:szCs w:val="26"/>
        </w:rPr>
        <w:t>每年</w:t>
      </w:r>
      <w:r w:rsidRPr="00AC06F7">
        <w:rPr>
          <w:rFonts w:eastAsia="標楷體"/>
          <w:sz w:val="26"/>
          <w:szCs w:val="26"/>
        </w:rPr>
        <w:t>營業方式之變動而更新。本所出具</w:t>
      </w:r>
      <w:r w:rsidR="004C0C1C" w:rsidRPr="00AC06F7">
        <w:rPr>
          <w:rFonts w:eastAsia="標楷體" w:hint="eastAsia"/>
          <w:sz w:val="26"/>
          <w:szCs w:val="26"/>
        </w:rPr>
        <w:t>文據</w:t>
      </w:r>
      <w:r w:rsidRPr="00AC06F7">
        <w:rPr>
          <w:rFonts w:eastAsia="標楷體"/>
          <w:sz w:val="26"/>
          <w:szCs w:val="26"/>
        </w:rPr>
        <w:t>後，對本</w:t>
      </w:r>
      <w:r w:rsidR="004C0C1C" w:rsidRPr="00AC06F7">
        <w:rPr>
          <w:rFonts w:eastAsia="標楷體" w:hint="eastAsia"/>
          <w:sz w:val="26"/>
          <w:szCs w:val="26"/>
        </w:rPr>
        <w:t>文據</w:t>
      </w:r>
      <w:r w:rsidRPr="00AC06F7">
        <w:rPr>
          <w:rFonts w:eastAsia="標楷體"/>
          <w:sz w:val="26"/>
          <w:szCs w:val="26"/>
        </w:rPr>
        <w:t>交付</w:t>
      </w:r>
      <w:r w:rsidR="003A761B" w:rsidRPr="00AC06F7">
        <w:rPr>
          <w:rFonts w:eastAsia="標楷體" w:hint="eastAsia"/>
          <w:sz w:val="26"/>
          <w:szCs w:val="26"/>
        </w:rPr>
        <w:t>萊迪思台灣分公司</w:t>
      </w:r>
      <w:r w:rsidRPr="00AC06F7">
        <w:rPr>
          <w:rFonts w:eastAsia="標楷體"/>
          <w:sz w:val="26"/>
          <w:szCs w:val="26"/>
        </w:rPr>
        <w:t>後所發生之任何變動、事件或情況，</w:t>
      </w:r>
      <w:proofErr w:type="gramStart"/>
      <w:r w:rsidR="00CB265A" w:rsidRPr="00AC06F7">
        <w:rPr>
          <w:rFonts w:eastAsia="標楷體" w:hint="eastAsia"/>
          <w:sz w:val="26"/>
          <w:szCs w:val="26"/>
        </w:rPr>
        <w:t>均</w:t>
      </w:r>
      <w:r w:rsidRPr="00AC06F7">
        <w:rPr>
          <w:rFonts w:eastAsia="標楷體"/>
          <w:sz w:val="26"/>
          <w:szCs w:val="26"/>
        </w:rPr>
        <w:t>不負</w:t>
      </w:r>
      <w:proofErr w:type="gramEnd"/>
      <w:r w:rsidRPr="00AC06F7">
        <w:rPr>
          <w:rFonts w:eastAsia="標楷體"/>
          <w:sz w:val="26"/>
          <w:szCs w:val="26"/>
        </w:rPr>
        <w:t>任何修訂之義務。</w:t>
      </w:r>
    </w:p>
    <w:p w:rsidR="001E7194" w:rsidRPr="00AC06F7" w:rsidRDefault="006736AD" w:rsidP="001719B7">
      <w:pPr>
        <w:spacing w:beforeLines="50" w:before="120" w:afterLines="50" w:after="120" w:line="360" w:lineRule="auto"/>
        <w:ind w:firstLineChars="200" w:firstLine="520"/>
        <w:jc w:val="both"/>
        <w:rPr>
          <w:rFonts w:eastAsia="標楷體"/>
          <w:sz w:val="26"/>
          <w:szCs w:val="26"/>
        </w:rPr>
        <w:sectPr w:rsidR="001E7194" w:rsidRPr="00AC06F7" w:rsidSect="000223C9">
          <w:headerReference w:type="even" r:id="rId10"/>
          <w:headerReference w:type="default" r:id="rId11"/>
          <w:headerReference w:type="first" r:id="rId12"/>
          <w:type w:val="oddPage"/>
          <w:pgSz w:w="11906" w:h="16838" w:code="9"/>
          <w:pgMar w:top="2160" w:right="1440" w:bottom="1814" w:left="1440" w:header="851" w:footer="442" w:gutter="567"/>
          <w:pgNumType w:start="1"/>
          <w:cols w:space="425"/>
          <w:docGrid w:linePitch="360"/>
        </w:sectPr>
      </w:pPr>
      <w:proofErr w:type="gramStart"/>
      <w:r w:rsidRPr="00AC06F7">
        <w:rPr>
          <w:rFonts w:eastAsia="標楷體"/>
          <w:sz w:val="26"/>
          <w:szCs w:val="26"/>
        </w:rPr>
        <w:t>本</w:t>
      </w:r>
      <w:r w:rsidR="004C0C1C" w:rsidRPr="00AC06F7">
        <w:rPr>
          <w:rFonts w:eastAsia="標楷體" w:hint="eastAsia"/>
          <w:sz w:val="26"/>
          <w:szCs w:val="26"/>
        </w:rPr>
        <w:t>文據</w:t>
      </w:r>
      <w:r w:rsidRPr="00AC06F7">
        <w:rPr>
          <w:rFonts w:eastAsia="標楷體"/>
          <w:sz w:val="26"/>
          <w:szCs w:val="26"/>
        </w:rPr>
        <w:t>僅供</w:t>
      </w:r>
      <w:proofErr w:type="gramEnd"/>
      <w:r w:rsidR="003A761B" w:rsidRPr="00AC06F7">
        <w:rPr>
          <w:rFonts w:eastAsia="標楷體" w:hint="eastAsia"/>
          <w:sz w:val="26"/>
          <w:szCs w:val="26"/>
        </w:rPr>
        <w:t>萊迪思台灣分公司</w:t>
      </w:r>
      <w:r w:rsidRPr="00AC06F7">
        <w:rPr>
          <w:rFonts w:eastAsia="標楷體"/>
          <w:sz w:val="26"/>
          <w:szCs w:val="26"/>
        </w:rPr>
        <w:t>分析</w:t>
      </w:r>
      <w:r w:rsidR="001E7194" w:rsidRPr="00AC06F7">
        <w:rPr>
          <w:rFonts w:eastAsia="標楷體" w:hint="eastAsia"/>
          <w:sz w:val="26"/>
          <w:szCs w:val="26"/>
        </w:rPr>
        <w:t>受控</w:t>
      </w:r>
      <w:r w:rsidRPr="00AC06F7">
        <w:rPr>
          <w:rFonts w:eastAsia="標楷體"/>
          <w:sz w:val="26"/>
          <w:szCs w:val="26"/>
        </w:rPr>
        <w:t>交易</w:t>
      </w:r>
      <w:r w:rsidR="00906F2B" w:rsidRPr="00AC06F7">
        <w:rPr>
          <w:rFonts w:eastAsia="標楷體"/>
          <w:sz w:val="26"/>
          <w:szCs w:val="26"/>
        </w:rPr>
        <w:t>是否</w:t>
      </w:r>
      <w:r w:rsidR="00906F2B" w:rsidRPr="00AC06F7">
        <w:rPr>
          <w:rFonts w:eastAsia="標楷體" w:hint="eastAsia"/>
          <w:sz w:val="26"/>
          <w:szCs w:val="26"/>
        </w:rPr>
        <w:t>符合營業</w:t>
      </w:r>
      <w:r w:rsidRPr="00AC06F7">
        <w:rPr>
          <w:rFonts w:eastAsia="標楷體"/>
          <w:sz w:val="26"/>
          <w:szCs w:val="26"/>
        </w:rPr>
        <w:t>常規使用，不得作為其他用途。本所於本</w:t>
      </w:r>
      <w:r w:rsidR="004C0C1C" w:rsidRPr="00AC06F7">
        <w:rPr>
          <w:rFonts w:eastAsia="標楷體" w:hint="eastAsia"/>
          <w:sz w:val="26"/>
          <w:szCs w:val="26"/>
        </w:rPr>
        <w:t>文據</w:t>
      </w:r>
      <w:r w:rsidRPr="00AC06F7">
        <w:rPr>
          <w:rFonts w:eastAsia="標楷體"/>
          <w:sz w:val="26"/>
          <w:szCs w:val="26"/>
        </w:rPr>
        <w:t>製作完成並交付</w:t>
      </w:r>
      <w:r w:rsidR="003A761B" w:rsidRPr="00AC06F7">
        <w:rPr>
          <w:rFonts w:eastAsia="標楷體" w:hint="eastAsia"/>
          <w:sz w:val="26"/>
          <w:szCs w:val="26"/>
        </w:rPr>
        <w:t>萊迪思台灣分公司</w:t>
      </w:r>
      <w:r w:rsidRPr="00AC06F7">
        <w:rPr>
          <w:rFonts w:eastAsia="標楷體"/>
          <w:sz w:val="26"/>
          <w:szCs w:val="26"/>
        </w:rPr>
        <w:t>後，即已完成編製移轉訂價報告</w:t>
      </w:r>
      <w:r w:rsidR="004C0C1C" w:rsidRPr="00AC06F7">
        <w:rPr>
          <w:rFonts w:eastAsia="標楷體" w:hint="eastAsia"/>
          <w:sz w:val="26"/>
          <w:szCs w:val="26"/>
        </w:rPr>
        <w:t>替代文據</w:t>
      </w:r>
      <w:r w:rsidRPr="00AC06F7">
        <w:rPr>
          <w:rFonts w:eastAsia="標楷體"/>
          <w:sz w:val="26"/>
          <w:szCs w:val="26"/>
        </w:rPr>
        <w:t>之義務，倘有必要，本所會盡力協助委託人向國稅局作必要說明，但此部分並非本所之義務，亦非委任契約之</w:t>
      </w:r>
      <w:proofErr w:type="gramStart"/>
      <w:r w:rsidRPr="00AC06F7">
        <w:rPr>
          <w:rFonts w:eastAsia="標楷體"/>
          <w:sz w:val="26"/>
          <w:szCs w:val="26"/>
        </w:rPr>
        <w:t>一</w:t>
      </w:r>
      <w:proofErr w:type="gramEnd"/>
      <w:r w:rsidRPr="00AC06F7">
        <w:rPr>
          <w:rFonts w:eastAsia="標楷體"/>
          <w:sz w:val="26"/>
          <w:szCs w:val="26"/>
        </w:rPr>
        <w:t>部份。除前開必要情形外，本所或其他與編製本</w:t>
      </w:r>
      <w:r w:rsidR="004C0C1C" w:rsidRPr="00AC06F7">
        <w:rPr>
          <w:rFonts w:eastAsia="標楷體" w:hint="eastAsia"/>
          <w:sz w:val="26"/>
          <w:szCs w:val="26"/>
        </w:rPr>
        <w:t>文據</w:t>
      </w:r>
      <w:r w:rsidRPr="00AC06F7">
        <w:rPr>
          <w:rFonts w:eastAsia="標楷體"/>
          <w:sz w:val="26"/>
          <w:szCs w:val="26"/>
        </w:rPr>
        <w:t>有關</w:t>
      </w:r>
      <w:r w:rsidR="00CB265A" w:rsidRPr="00AC06F7">
        <w:rPr>
          <w:rFonts w:eastAsia="標楷體" w:hint="eastAsia"/>
          <w:sz w:val="26"/>
          <w:szCs w:val="26"/>
        </w:rPr>
        <w:t>之</w:t>
      </w:r>
      <w:r w:rsidRPr="00AC06F7">
        <w:rPr>
          <w:rFonts w:eastAsia="標楷體"/>
          <w:sz w:val="26"/>
          <w:szCs w:val="26"/>
        </w:rPr>
        <w:t>人員若有因本</w:t>
      </w:r>
      <w:r w:rsidR="004C0C1C" w:rsidRPr="00AC06F7">
        <w:rPr>
          <w:rFonts w:eastAsia="標楷體" w:hint="eastAsia"/>
          <w:sz w:val="26"/>
          <w:szCs w:val="26"/>
        </w:rPr>
        <w:t>文據</w:t>
      </w:r>
      <w:r w:rsidRPr="00AC06F7">
        <w:rPr>
          <w:rFonts w:eastAsia="標楷體"/>
          <w:sz w:val="26"/>
          <w:szCs w:val="26"/>
        </w:rPr>
        <w:t>而被要求作證、出庭或出席其他訴訟程序、或有行政救濟之需要，費用需另行計算。</w:t>
      </w:r>
    </w:p>
    <w:p w:rsidR="00DE7202" w:rsidRDefault="00C06E46" w:rsidP="001719B7">
      <w:pPr>
        <w:spacing w:beforeLines="100" w:before="240" w:afterLines="100" w:after="240" w:line="360" w:lineRule="auto"/>
        <w:jc w:val="center"/>
        <w:rPr>
          <w:rFonts w:eastAsia="標楷體"/>
          <w:b/>
          <w:bCs/>
          <w:sz w:val="52"/>
          <w:szCs w:val="48"/>
        </w:rPr>
      </w:pPr>
      <w:r w:rsidRPr="00EA272E">
        <w:rPr>
          <w:rFonts w:eastAsia="標楷體" w:hint="eastAsia"/>
          <w:b/>
          <w:bCs/>
          <w:sz w:val="52"/>
          <w:szCs w:val="48"/>
        </w:rPr>
        <w:lastRenderedPageBreak/>
        <w:t>章節</w:t>
      </w:r>
      <w:r w:rsidRPr="00EA272E">
        <w:rPr>
          <w:rFonts w:eastAsia="標楷體"/>
          <w:b/>
          <w:bCs/>
          <w:sz w:val="52"/>
          <w:szCs w:val="48"/>
        </w:rPr>
        <w:t>目</w:t>
      </w:r>
      <w:r w:rsidR="006736AD" w:rsidRPr="00EA272E">
        <w:rPr>
          <w:rFonts w:eastAsia="標楷體"/>
          <w:b/>
          <w:bCs/>
          <w:sz w:val="52"/>
          <w:szCs w:val="48"/>
        </w:rPr>
        <w:t>錄</w:t>
      </w:r>
    </w:p>
    <w:p w:rsidR="0036451C" w:rsidRPr="00C443A2" w:rsidRDefault="0028412F" w:rsidP="001F34AE">
      <w:pPr>
        <w:pStyle w:val="10"/>
        <w:tabs>
          <w:tab w:val="left" w:pos="1440"/>
        </w:tabs>
        <w:spacing w:before="120" w:after="120"/>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pPr>
      <w:r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359935467" w:history="1">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第壹章、</w:t>
        </w:r>
        <w:r w:rsidR="0036451C"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tab/>
        </w:r>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以替代文據取代移轉訂價報告之理由</w:t>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_Toc359935467 \h </w:instrText>
        </w:r>
        <w:r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B6AF9"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1</w:t>
        </w:r>
        <w:r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6451C" w:rsidRPr="00C443A2" w:rsidRDefault="005D6973" w:rsidP="001F34AE">
      <w:pPr>
        <w:pStyle w:val="10"/>
        <w:tabs>
          <w:tab w:val="left" w:pos="1440"/>
        </w:tabs>
        <w:spacing w:before="120" w:after="120"/>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359935468" w:history="1">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第貳章、</w:t>
        </w:r>
        <w:r w:rsidR="0036451C"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tab/>
        </w:r>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_Toc359935468 \h </w:instrTex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B6AF9"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3</w: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6451C" w:rsidRPr="00C443A2" w:rsidRDefault="005D6973" w:rsidP="001F34AE">
      <w:pPr>
        <w:pStyle w:val="10"/>
        <w:tabs>
          <w:tab w:val="left" w:pos="1440"/>
        </w:tabs>
        <w:spacing w:before="120" w:after="120"/>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359935469" w:history="1">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第參章、</w:t>
        </w:r>
        <w:r w:rsidR="0036451C"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tab/>
        </w:r>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_Toc359935469 \h </w:instrTex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B6AF9"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13</w: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6451C" w:rsidRPr="00C443A2" w:rsidRDefault="005D6973" w:rsidP="001F34AE">
      <w:pPr>
        <w:pStyle w:val="10"/>
        <w:tabs>
          <w:tab w:val="left" w:pos="1440"/>
        </w:tabs>
        <w:spacing w:before="120" w:after="120"/>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359935470" w:history="1">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第肆章、</w:t>
        </w:r>
        <w:r w:rsidR="0036451C"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tab/>
        </w:r>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證明訂價結果為符合常規結果之文據</w:t>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_Toc359935470 \h </w:instrTex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B6AF9"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17</w: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6451C" w:rsidRPr="00C443A2" w:rsidRDefault="005D6973" w:rsidP="001F34AE">
      <w:pPr>
        <w:pStyle w:val="10"/>
        <w:tabs>
          <w:tab w:val="left" w:pos="1440"/>
        </w:tabs>
        <w:spacing w:before="120" w:after="120"/>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359935471" w:history="1">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第伍章、</w:t>
        </w:r>
        <w:r w:rsidR="0036451C"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tab/>
        </w:r>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遵循移轉訂價查核準則辦理情形</w:t>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_Toc359935471 \h </w:instrTex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B6AF9"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19</w: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6451C" w:rsidRPr="00C443A2" w:rsidRDefault="005D6973" w:rsidP="001F34AE">
      <w:pPr>
        <w:pStyle w:val="10"/>
        <w:tabs>
          <w:tab w:val="left" w:pos="1440"/>
        </w:tabs>
        <w:spacing w:before="120" w:after="120"/>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359935472" w:history="1">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第陸章、</w:t>
        </w:r>
        <w:r w:rsidR="0036451C"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tab/>
        </w:r>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_Toc359935472 \h </w:instrTex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B6AF9"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23</w: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6451C" w:rsidRPr="00C443A2" w:rsidRDefault="005D6973" w:rsidP="001F34AE">
      <w:pPr>
        <w:pStyle w:val="10"/>
        <w:tabs>
          <w:tab w:val="left" w:pos="1440"/>
        </w:tabs>
        <w:spacing w:before="120" w:after="120"/>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359935473" w:history="1">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第柒章、</w:t>
        </w:r>
        <w:r w:rsidR="0036451C"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tab/>
        </w:r>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_Toc359935473 \h </w:instrTex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B6AF9"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33</w: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6451C" w:rsidRPr="00C443A2" w:rsidRDefault="005D6973" w:rsidP="001F34AE">
      <w:pPr>
        <w:pStyle w:val="10"/>
        <w:tabs>
          <w:tab w:val="left" w:pos="1440"/>
        </w:tabs>
        <w:spacing w:before="120" w:after="120"/>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359935474" w:history="1">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第捌章、</w:t>
        </w:r>
        <w:r w:rsidR="0036451C"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tab/>
        </w:r>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_Toc359935474 \h </w:instrTex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B6AF9"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41</w: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6451C" w:rsidRPr="00C443A2" w:rsidRDefault="005D6973" w:rsidP="001F34AE">
      <w:pPr>
        <w:pStyle w:val="10"/>
        <w:tabs>
          <w:tab w:val="left" w:pos="1440"/>
        </w:tabs>
        <w:spacing w:before="120" w:after="120"/>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pPr>
      <w:hyperlink w:anchor="_Toc359935475" w:history="1">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第玖章、</w:t>
        </w:r>
        <w:r w:rsidR="0036451C" w:rsidRPr="00C443A2">
          <w:rPr>
            <w:rFonts w:hAnsi="標楷體"/>
            <w:noProof w:val="0"/>
            <w:szCs w:val="26"/>
            <w14:shadow w14:blurRad="0" w14:dist="0" w14:dir="0" w14:sx="0" w14:sy="0" w14:kx="0" w14:ky="0" w14:algn="none">
              <w14:srgbClr w14:val="000000"/>
            </w14:shadow>
            <w14:textOutline w14:w="0" w14:cap="rnd" w14:cmpd="sng" w14:algn="ctr">
              <w14:noFill/>
              <w14:prstDash w14:val="solid"/>
              <w14:bevel/>
            </w14:textOutline>
          </w:rPr>
          <w:tab/>
        </w:r>
        <w:r w:rsidR="0036451C" w:rsidRPr="00C443A2">
          <w:rPr>
            <w:rFonts w:hAnsi="標楷體" w:hint="eastAsia"/>
            <w:noProof w:val="0"/>
            <w:szCs w:val="26"/>
            <w14:shadow w14:blurRad="0" w14:dist="0" w14:dir="0" w14:sx="0" w14:sy="0" w14:kx="0" w14:ky="0" w14:algn="none">
              <w14:srgbClr w14:val="000000"/>
            </w14:shadow>
            <w14:textOutline w14:w="0" w14:cap="rnd" w14:cmpd="sng" w14:algn="ctr">
              <w14:noFill/>
              <w14:prstDash w14:val="solid"/>
              <w14:bevel/>
            </w14:textOutline>
          </w:rPr>
          <w:t>結論</w:t>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ab/>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6451C"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_Toc359935475 \h </w:instrTex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AB6AF9"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t>49</w:t>
        </w:r>
        <w:r w:rsidR="0028412F" w:rsidRPr="00C443A2">
          <w:rPr>
            <w:rFonts w:hAnsi="標楷體"/>
            <w:noProof w:val="0"/>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EA272E" w:rsidRDefault="0028412F" w:rsidP="001719B7">
      <w:pPr>
        <w:spacing w:beforeLines="50" w:before="120" w:afterLines="50" w:after="120"/>
        <w:jc w:val="center"/>
        <w:rPr>
          <w:rFonts w:eastAsia="標楷體"/>
          <w:sz w:val="26"/>
          <w:szCs w:val="26"/>
        </w:rPr>
        <w:sectPr w:rsidR="00ED670D" w:rsidRPr="00EA272E" w:rsidSect="000223C9">
          <w:headerReference w:type="even" r:id="rId13"/>
          <w:headerReference w:type="default" r:id="rId14"/>
          <w:footerReference w:type="default" r:id="rId15"/>
          <w:headerReference w:type="first" r:id="rId16"/>
          <w:type w:val="oddPage"/>
          <w:pgSz w:w="11906" w:h="16838" w:code="9"/>
          <w:pgMar w:top="2160" w:right="1440" w:bottom="1814" w:left="1440" w:header="851" w:footer="442" w:gutter="567"/>
          <w:pgNumType w:start="1"/>
          <w:cols w:space="425"/>
          <w:docGrid w:linePitch="360"/>
        </w:sectPr>
      </w:pPr>
      <w:r w:rsidRPr="00C443A2">
        <w:rPr>
          <w:rFonts w:eastAsia="標楷體" w:hAnsi="標楷體"/>
          <w:sz w:val="26"/>
          <w:szCs w:val="26"/>
        </w:rPr>
        <w:fldChar w:fldCharType="end"/>
      </w:r>
      <w:r w:rsidR="00ED670D" w:rsidRPr="00EA272E">
        <w:rPr>
          <w:rFonts w:eastAsia="標楷體"/>
          <w:sz w:val="26"/>
          <w:szCs w:val="26"/>
        </w:rPr>
        <w:br w:type="page"/>
      </w:r>
    </w:p>
    <w:p w:rsidR="006736AD" w:rsidRPr="00EA272E" w:rsidRDefault="00C06E46" w:rsidP="001719B7">
      <w:pPr>
        <w:spacing w:beforeLines="100" w:before="240" w:afterLines="100" w:after="240" w:line="360" w:lineRule="auto"/>
        <w:jc w:val="center"/>
        <w:rPr>
          <w:rFonts w:eastAsia="標楷體"/>
          <w:b/>
          <w:bCs/>
          <w:sz w:val="52"/>
          <w:szCs w:val="48"/>
        </w:rPr>
      </w:pPr>
      <w:r w:rsidRPr="00EA272E">
        <w:rPr>
          <w:rFonts w:eastAsia="標楷體"/>
          <w:b/>
          <w:bCs/>
          <w:sz w:val="52"/>
          <w:szCs w:val="48"/>
        </w:rPr>
        <w:lastRenderedPageBreak/>
        <w:t>附</w:t>
      </w:r>
      <w:r w:rsidR="006736AD" w:rsidRPr="00EA272E">
        <w:rPr>
          <w:rFonts w:eastAsia="標楷體"/>
          <w:b/>
          <w:bCs/>
          <w:sz w:val="52"/>
          <w:szCs w:val="48"/>
        </w:rPr>
        <w:t>件</w:t>
      </w:r>
      <w:r w:rsidRPr="00EA272E">
        <w:rPr>
          <w:rFonts w:eastAsia="標楷體" w:hint="eastAsia"/>
          <w:b/>
          <w:bCs/>
          <w:sz w:val="52"/>
          <w:szCs w:val="48"/>
        </w:rPr>
        <w:t>目錄</w:t>
      </w:r>
    </w:p>
    <w:tbl>
      <w:tblPr>
        <w:tblW w:w="8568" w:type="dxa"/>
        <w:jc w:val="center"/>
        <w:tblLayout w:type="fixed"/>
        <w:tblLook w:val="01E0" w:firstRow="1" w:lastRow="1" w:firstColumn="1" w:lastColumn="1" w:noHBand="0" w:noVBand="0"/>
      </w:tblPr>
      <w:tblGrid>
        <w:gridCol w:w="648"/>
        <w:gridCol w:w="7200"/>
        <w:gridCol w:w="720"/>
      </w:tblGrid>
      <w:tr w:rsidR="00A77580" w:rsidRPr="00FD66E5">
        <w:trPr>
          <w:jc w:val="center"/>
        </w:trPr>
        <w:tc>
          <w:tcPr>
            <w:tcW w:w="648" w:type="dxa"/>
            <w:vAlign w:val="center"/>
          </w:tcPr>
          <w:p w:rsidR="00A77580" w:rsidRPr="00350111" w:rsidRDefault="00A77580" w:rsidP="00253D4A">
            <w:pPr>
              <w:spacing w:line="360" w:lineRule="auto"/>
              <w:jc w:val="center"/>
              <w:rPr>
                <w:rFonts w:eastAsia="標楷體"/>
                <w:sz w:val="26"/>
                <w:szCs w:val="26"/>
              </w:rPr>
            </w:pPr>
            <w:r w:rsidRPr="00350111">
              <w:rPr>
                <w:rFonts w:eastAsia="標楷體"/>
                <w:sz w:val="26"/>
                <w:szCs w:val="26"/>
              </w:rPr>
              <w:t>A</w:t>
            </w:r>
          </w:p>
        </w:tc>
        <w:tc>
          <w:tcPr>
            <w:tcW w:w="7200" w:type="dxa"/>
            <w:vAlign w:val="center"/>
          </w:tcPr>
          <w:p w:rsidR="00A77580" w:rsidRPr="00350111" w:rsidRDefault="00A77580">
            <w:pPr>
              <w:spacing w:line="360" w:lineRule="auto"/>
              <w:rPr>
                <w:rFonts w:eastAsia="標楷體" w:hAnsi="標楷體"/>
                <w:sz w:val="26"/>
                <w:szCs w:val="26"/>
              </w:rPr>
            </w:pPr>
            <w:r w:rsidRPr="00350111">
              <w:rPr>
                <w:rFonts w:eastAsia="標楷體" w:hAnsi="標楷體" w:hint="eastAsia"/>
                <w:sz w:val="26"/>
                <w:szCs w:val="26"/>
              </w:rPr>
              <w:t>萊迪思台灣分公司</w:t>
            </w:r>
            <w:r w:rsidR="0048080D" w:rsidRPr="009E35E9">
              <w:rPr>
                <w:rFonts w:eastAsia="標楷體" w:hAnsi="標楷體"/>
                <w:sz w:val="26"/>
                <w:szCs w:val="26"/>
              </w:rPr>
              <w:t>10</w:t>
            </w:r>
            <w:r w:rsidR="009E35E9" w:rsidRPr="00610BD9">
              <w:rPr>
                <w:rFonts w:eastAsia="標楷體" w:hAnsi="標楷體"/>
                <w:sz w:val="26"/>
                <w:szCs w:val="26"/>
              </w:rPr>
              <w:t>3</w:t>
            </w:r>
            <w:r w:rsidR="0048080D" w:rsidRPr="009E35E9">
              <w:rPr>
                <w:rFonts w:eastAsia="標楷體" w:hAnsi="標楷體"/>
                <w:sz w:val="26"/>
                <w:szCs w:val="26"/>
              </w:rPr>
              <w:t>~</w:t>
            </w:r>
            <w:r w:rsidR="00526ABF" w:rsidRPr="009E35E9">
              <w:rPr>
                <w:rFonts w:eastAsia="標楷體" w:hAnsi="標楷體"/>
                <w:sz w:val="26"/>
                <w:szCs w:val="26"/>
              </w:rPr>
              <w:t>10</w:t>
            </w:r>
            <w:r w:rsidR="009E35E9" w:rsidRPr="00610BD9">
              <w:rPr>
                <w:rFonts w:eastAsia="標楷體" w:hAnsi="標楷體"/>
                <w:sz w:val="26"/>
                <w:szCs w:val="26"/>
              </w:rPr>
              <w:t>5</w:t>
            </w:r>
            <w:r w:rsidRPr="009E35E9">
              <w:rPr>
                <w:rFonts w:eastAsia="標楷體" w:hAnsi="標楷體" w:hint="eastAsia"/>
                <w:sz w:val="26"/>
                <w:szCs w:val="26"/>
              </w:rPr>
              <w:t>年損益表</w:t>
            </w:r>
          </w:p>
        </w:tc>
        <w:tc>
          <w:tcPr>
            <w:tcW w:w="720" w:type="dxa"/>
            <w:vAlign w:val="center"/>
          </w:tcPr>
          <w:p w:rsidR="00A77580" w:rsidRPr="00FD66E5" w:rsidRDefault="00A77580" w:rsidP="00253D4A">
            <w:pPr>
              <w:spacing w:line="360" w:lineRule="auto"/>
              <w:rPr>
                <w:rFonts w:eastAsia="標楷體"/>
                <w:sz w:val="26"/>
                <w:szCs w:val="26"/>
              </w:rPr>
            </w:pPr>
            <w:r>
              <w:rPr>
                <w:rFonts w:eastAsia="標楷體" w:hint="eastAsia"/>
                <w:sz w:val="26"/>
                <w:szCs w:val="26"/>
              </w:rPr>
              <w:t>1</w:t>
            </w:r>
            <w:r w:rsidR="0048080D">
              <w:rPr>
                <w:rFonts w:eastAsia="標楷體" w:hint="eastAsia"/>
                <w:sz w:val="26"/>
                <w:szCs w:val="26"/>
              </w:rPr>
              <w:t>-</w:t>
            </w:r>
            <w:r w:rsidR="001741EA">
              <w:rPr>
                <w:rFonts w:eastAsia="標楷體" w:hint="eastAsia"/>
                <w:sz w:val="26"/>
                <w:szCs w:val="26"/>
              </w:rPr>
              <w:t>3</w:t>
            </w:r>
          </w:p>
        </w:tc>
      </w:tr>
      <w:tr w:rsidR="00A77580" w:rsidRPr="00FD66E5">
        <w:trPr>
          <w:jc w:val="center"/>
        </w:trPr>
        <w:tc>
          <w:tcPr>
            <w:tcW w:w="648" w:type="dxa"/>
            <w:vAlign w:val="center"/>
          </w:tcPr>
          <w:p w:rsidR="00A77580" w:rsidRPr="00350111" w:rsidRDefault="00A77580" w:rsidP="00253D4A">
            <w:pPr>
              <w:spacing w:line="360" w:lineRule="auto"/>
              <w:jc w:val="center"/>
              <w:rPr>
                <w:rFonts w:eastAsia="標楷體"/>
                <w:sz w:val="26"/>
                <w:szCs w:val="26"/>
              </w:rPr>
            </w:pPr>
            <w:r w:rsidRPr="00350111">
              <w:rPr>
                <w:rFonts w:eastAsia="標楷體"/>
                <w:sz w:val="26"/>
                <w:szCs w:val="26"/>
              </w:rPr>
              <w:t>B</w:t>
            </w:r>
          </w:p>
        </w:tc>
        <w:tc>
          <w:tcPr>
            <w:tcW w:w="7200" w:type="dxa"/>
            <w:vAlign w:val="center"/>
          </w:tcPr>
          <w:p w:rsidR="00A77580" w:rsidRPr="00350111" w:rsidRDefault="00A77580" w:rsidP="00253D4A">
            <w:pPr>
              <w:spacing w:line="360" w:lineRule="auto"/>
              <w:rPr>
                <w:rFonts w:eastAsia="標楷體" w:hAnsi="標楷體"/>
                <w:sz w:val="26"/>
                <w:szCs w:val="26"/>
              </w:rPr>
            </w:pPr>
            <w:r w:rsidRPr="00350111">
              <w:rPr>
                <w:rFonts w:eastAsia="標楷體" w:hAnsi="標楷體" w:hint="eastAsia"/>
                <w:sz w:val="26"/>
                <w:szCs w:val="26"/>
              </w:rPr>
              <w:t>『服務提供者』可比較對象篩選過程</w:t>
            </w:r>
          </w:p>
        </w:tc>
        <w:tc>
          <w:tcPr>
            <w:tcW w:w="720" w:type="dxa"/>
            <w:vAlign w:val="center"/>
          </w:tcPr>
          <w:p w:rsidR="00A77580" w:rsidRPr="00FD66E5" w:rsidRDefault="00A77580" w:rsidP="00253D4A">
            <w:pPr>
              <w:spacing w:line="360" w:lineRule="auto"/>
              <w:rPr>
                <w:rFonts w:eastAsia="標楷體"/>
                <w:sz w:val="26"/>
                <w:szCs w:val="26"/>
              </w:rPr>
            </w:pPr>
            <w:r>
              <w:rPr>
                <w:rFonts w:eastAsia="標楷體" w:hint="eastAsia"/>
                <w:sz w:val="26"/>
                <w:szCs w:val="26"/>
              </w:rPr>
              <w:t>1-1</w:t>
            </w:r>
          </w:p>
        </w:tc>
      </w:tr>
      <w:tr w:rsidR="00A77580" w:rsidRPr="00FD66E5">
        <w:trPr>
          <w:jc w:val="center"/>
        </w:trPr>
        <w:tc>
          <w:tcPr>
            <w:tcW w:w="648" w:type="dxa"/>
            <w:vAlign w:val="center"/>
          </w:tcPr>
          <w:p w:rsidR="00A77580" w:rsidRPr="00350111" w:rsidRDefault="00A77580" w:rsidP="00253D4A">
            <w:pPr>
              <w:spacing w:line="360" w:lineRule="auto"/>
              <w:jc w:val="center"/>
              <w:rPr>
                <w:rFonts w:eastAsia="標楷體"/>
                <w:sz w:val="26"/>
                <w:szCs w:val="26"/>
              </w:rPr>
            </w:pPr>
            <w:r w:rsidRPr="00350111">
              <w:rPr>
                <w:rFonts w:eastAsia="標楷體"/>
                <w:sz w:val="26"/>
                <w:szCs w:val="26"/>
              </w:rPr>
              <w:t>C</w:t>
            </w:r>
          </w:p>
        </w:tc>
        <w:tc>
          <w:tcPr>
            <w:tcW w:w="7200" w:type="dxa"/>
            <w:vAlign w:val="center"/>
          </w:tcPr>
          <w:p w:rsidR="00A77580" w:rsidRPr="00350111" w:rsidRDefault="00A77580" w:rsidP="00253D4A">
            <w:pPr>
              <w:spacing w:line="360" w:lineRule="auto"/>
              <w:rPr>
                <w:rFonts w:eastAsia="標楷體" w:hAnsi="標楷體"/>
                <w:sz w:val="26"/>
                <w:szCs w:val="26"/>
              </w:rPr>
            </w:pPr>
            <w:r w:rsidRPr="00350111">
              <w:rPr>
                <w:rFonts w:eastAsia="標楷體" w:hAnsi="標楷體"/>
                <w:sz w:val="26"/>
                <w:szCs w:val="26"/>
              </w:rPr>
              <w:t>樣本接受及拒絕原因列表</w:t>
            </w:r>
          </w:p>
        </w:tc>
        <w:tc>
          <w:tcPr>
            <w:tcW w:w="720" w:type="dxa"/>
            <w:vAlign w:val="center"/>
          </w:tcPr>
          <w:p w:rsidR="00A77580" w:rsidRPr="00FD66E5" w:rsidRDefault="00A77580" w:rsidP="00253D4A">
            <w:pPr>
              <w:spacing w:line="360" w:lineRule="auto"/>
              <w:rPr>
                <w:rFonts w:eastAsia="標楷體"/>
                <w:sz w:val="26"/>
                <w:szCs w:val="26"/>
              </w:rPr>
            </w:pPr>
            <w:r>
              <w:rPr>
                <w:rFonts w:eastAsia="標楷體" w:hint="eastAsia"/>
                <w:sz w:val="26"/>
                <w:szCs w:val="26"/>
              </w:rPr>
              <w:t>1-</w:t>
            </w:r>
            <w:r w:rsidR="00596F5F">
              <w:rPr>
                <w:rFonts w:eastAsia="標楷體" w:hint="eastAsia"/>
                <w:sz w:val="26"/>
                <w:szCs w:val="26"/>
              </w:rPr>
              <w:t>8</w:t>
            </w:r>
          </w:p>
        </w:tc>
      </w:tr>
      <w:tr w:rsidR="00A77580" w:rsidRPr="00FD66E5">
        <w:trPr>
          <w:jc w:val="center"/>
        </w:trPr>
        <w:tc>
          <w:tcPr>
            <w:tcW w:w="648" w:type="dxa"/>
            <w:vAlign w:val="center"/>
          </w:tcPr>
          <w:p w:rsidR="00A77580" w:rsidRPr="00350111" w:rsidRDefault="00A77580" w:rsidP="00253D4A">
            <w:pPr>
              <w:spacing w:line="360" w:lineRule="auto"/>
              <w:jc w:val="center"/>
              <w:rPr>
                <w:rFonts w:eastAsia="標楷體"/>
                <w:sz w:val="26"/>
                <w:szCs w:val="26"/>
              </w:rPr>
            </w:pPr>
            <w:r w:rsidRPr="00350111">
              <w:rPr>
                <w:rFonts w:eastAsia="標楷體"/>
                <w:sz w:val="26"/>
                <w:szCs w:val="26"/>
              </w:rPr>
              <w:t>D</w:t>
            </w:r>
          </w:p>
        </w:tc>
        <w:tc>
          <w:tcPr>
            <w:tcW w:w="7200" w:type="dxa"/>
            <w:vAlign w:val="center"/>
          </w:tcPr>
          <w:p w:rsidR="00A77580" w:rsidRPr="00350111" w:rsidRDefault="00A77580" w:rsidP="00253D4A">
            <w:pPr>
              <w:spacing w:line="360" w:lineRule="auto"/>
              <w:rPr>
                <w:rFonts w:eastAsia="標楷體" w:hAnsi="標楷體"/>
                <w:sz w:val="26"/>
                <w:szCs w:val="26"/>
              </w:rPr>
            </w:pPr>
            <w:r w:rsidRPr="00350111">
              <w:rPr>
                <w:rFonts w:eastAsia="標楷體" w:hAnsi="標楷體"/>
                <w:sz w:val="26"/>
                <w:szCs w:val="26"/>
              </w:rPr>
              <w:t>可比較對象之企業敍述</w:t>
            </w:r>
          </w:p>
        </w:tc>
        <w:tc>
          <w:tcPr>
            <w:tcW w:w="720" w:type="dxa"/>
            <w:vAlign w:val="center"/>
          </w:tcPr>
          <w:p w:rsidR="00A77580" w:rsidRPr="00FD66E5" w:rsidRDefault="00A77580" w:rsidP="00253D4A">
            <w:pPr>
              <w:spacing w:line="360" w:lineRule="auto"/>
              <w:rPr>
                <w:rFonts w:eastAsia="標楷體"/>
                <w:sz w:val="26"/>
                <w:szCs w:val="26"/>
              </w:rPr>
            </w:pPr>
            <w:r>
              <w:rPr>
                <w:rFonts w:eastAsia="標楷體" w:hint="eastAsia"/>
                <w:sz w:val="26"/>
                <w:szCs w:val="26"/>
              </w:rPr>
              <w:t>1-</w:t>
            </w:r>
            <w:r w:rsidR="00704EA5">
              <w:rPr>
                <w:rFonts w:eastAsia="標楷體" w:hint="eastAsia"/>
                <w:sz w:val="26"/>
                <w:szCs w:val="26"/>
              </w:rPr>
              <w:t>5</w:t>
            </w:r>
          </w:p>
        </w:tc>
      </w:tr>
      <w:tr w:rsidR="00A77580" w:rsidRPr="00FD66E5">
        <w:trPr>
          <w:jc w:val="center"/>
        </w:trPr>
        <w:tc>
          <w:tcPr>
            <w:tcW w:w="648" w:type="dxa"/>
            <w:vAlign w:val="center"/>
          </w:tcPr>
          <w:p w:rsidR="00A77580" w:rsidRPr="00350111" w:rsidRDefault="00A77580" w:rsidP="00253D4A">
            <w:pPr>
              <w:spacing w:line="360" w:lineRule="auto"/>
              <w:jc w:val="center"/>
              <w:rPr>
                <w:rFonts w:eastAsia="標楷體"/>
                <w:sz w:val="26"/>
                <w:szCs w:val="26"/>
              </w:rPr>
            </w:pPr>
            <w:r w:rsidRPr="00350111">
              <w:rPr>
                <w:rFonts w:eastAsia="標楷體"/>
                <w:sz w:val="26"/>
                <w:szCs w:val="26"/>
              </w:rPr>
              <w:t>E</w:t>
            </w:r>
          </w:p>
        </w:tc>
        <w:tc>
          <w:tcPr>
            <w:tcW w:w="7200" w:type="dxa"/>
            <w:vAlign w:val="center"/>
          </w:tcPr>
          <w:p w:rsidR="00A77580" w:rsidRPr="00350111" w:rsidRDefault="00A77580" w:rsidP="00253D4A">
            <w:pPr>
              <w:spacing w:line="360" w:lineRule="auto"/>
              <w:rPr>
                <w:rFonts w:eastAsia="標楷體" w:hAnsi="標楷體"/>
                <w:sz w:val="26"/>
                <w:szCs w:val="26"/>
              </w:rPr>
            </w:pPr>
            <w:r w:rsidRPr="00350111">
              <w:rPr>
                <w:rFonts w:eastAsia="標楷體" w:hAnsi="標楷體"/>
                <w:sz w:val="26"/>
                <w:szCs w:val="26"/>
              </w:rPr>
              <w:t>可比較對象之財務資訊</w:t>
            </w:r>
          </w:p>
        </w:tc>
        <w:tc>
          <w:tcPr>
            <w:tcW w:w="720" w:type="dxa"/>
            <w:vAlign w:val="center"/>
          </w:tcPr>
          <w:p w:rsidR="00A77580" w:rsidRPr="00FD66E5" w:rsidRDefault="00A77580" w:rsidP="00253D4A">
            <w:pPr>
              <w:spacing w:line="360" w:lineRule="auto"/>
              <w:rPr>
                <w:rFonts w:eastAsia="標楷體"/>
                <w:sz w:val="26"/>
                <w:szCs w:val="26"/>
              </w:rPr>
            </w:pPr>
            <w:r>
              <w:rPr>
                <w:rFonts w:eastAsia="標楷體" w:hint="eastAsia"/>
                <w:sz w:val="26"/>
                <w:szCs w:val="26"/>
              </w:rPr>
              <w:t>1-</w:t>
            </w:r>
            <w:r w:rsidR="001741EA">
              <w:rPr>
                <w:rFonts w:eastAsia="標楷體" w:hint="eastAsia"/>
                <w:sz w:val="26"/>
                <w:szCs w:val="26"/>
              </w:rPr>
              <w:t>9</w:t>
            </w:r>
          </w:p>
        </w:tc>
      </w:tr>
      <w:tr w:rsidR="00A77580" w:rsidRPr="00FD66E5">
        <w:trPr>
          <w:jc w:val="center"/>
        </w:trPr>
        <w:tc>
          <w:tcPr>
            <w:tcW w:w="648" w:type="dxa"/>
            <w:vAlign w:val="center"/>
          </w:tcPr>
          <w:p w:rsidR="00A77580" w:rsidRPr="00350111" w:rsidRDefault="00A77580" w:rsidP="00253D4A">
            <w:pPr>
              <w:spacing w:line="360" w:lineRule="auto"/>
              <w:jc w:val="center"/>
              <w:rPr>
                <w:rFonts w:eastAsia="標楷體"/>
                <w:sz w:val="26"/>
                <w:szCs w:val="26"/>
              </w:rPr>
            </w:pPr>
            <w:r w:rsidRPr="00350111">
              <w:rPr>
                <w:rFonts w:eastAsia="標楷體"/>
                <w:sz w:val="26"/>
                <w:szCs w:val="26"/>
              </w:rPr>
              <w:t>F</w:t>
            </w:r>
          </w:p>
        </w:tc>
        <w:tc>
          <w:tcPr>
            <w:tcW w:w="7200" w:type="dxa"/>
            <w:vAlign w:val="center"/>
          </w:tcPr>
          <w:p w:rsidR="00A77580" w:rsidRPr="00350111" w:rsidRDefault="00A77580" w:rsidP="00253D4A">
            <w:pPr>
              <w:spacing w:line="360" w:lineRule="auto"/>
              <w:rPr>
                <w:rFonts w:eastAsia="標楷體" w:hAnsi="標楷體"/>
                <w:sz w:val="26"/>
                <w:szCs w:val="26"/>
              </w:rPr>
            </w:pPr>
            <w:r w:rsidRPr="00350111">
              <w:rPr>
                <w:rFonts w:eastAsia="標楷體" w:hAnsi="標楷體"/>
                <w:sz w:val="26"/>
                <w:szCs w:val="26"/>
              </w:rPr>
              <w:t>中華民國營利事業所得稅不合常規移轉訂價查核準則</w:t>
            </w:r>
          </w:p>
        </w:tc>
        <w:tc>
          <w:tcPr>
            <w:tcW w:w="720" w:type="dxa"/>
            <w:vAlign w:val="center"/>
          </w:tcPr>
          <w:p w:rsidR="00A77580" w:rsidRPr="00FD66E5" w:rsidRDefault="00A77580" w:rsidP="00253D4A">
            <w:pPr>
              <w:spacing w:line="360" w:lineRule="auto"/>
              <w:rPr>
                <w:rFonts w:eastAsia="標楷體"/>
                <w:sz w:val="26"/>
                <w:szCs w:val="26"/>
              </w:rPr>
            </w:pPr>
            <w:r>
              <w:rPr>
                <w:rFonts w:eastAsia="標楷體" w:hint="eastAsia"/>
                <w:sz w:val="26"/>
                <w:szCs w:val="26"/>
              </w:rPr>
              <w:t>1-2</w:t>
            </w:r>
            <w:r w:rsidR="00D651D4">
              <w:rPr>
                <w:rFonts w:eastAsia="標楷體" w:hint="eastAsia"/>
                <w:sz w:val="26"/>
                <w:szCs w:val="26"/>
              </w:rPr>
              <w:t>1</w:t>
            </w:r>
          </w:p>
        </w:tc>
      </w:tr>
      <w:tr w:rsidR="00A77580" w:rsidRPr="00FD66E5">
        <w:trPr>
          <w:jc w:val="center"/>
        </w:trPr>
        <w:tc>
          <w:tcPr>
            <w:tcW w:w="648" w:type="dxa"/>
            <w:vAlign w:val="center"/>
          </w:tcPr>
          <w:p w:rsidR="00A77580" w:rsidRPr="00350111" w:rsidRDefault="00A77580" w:rsidP="00253D4A">
            <w:pPr>
              <w:spacing w:line="360" w:lineRule="auto"/>
              <w:jc w:val="center"/>
              <w:rPr>
                <w:rFonts w:eastAsia="標楷體"/>
                <w:sz w:val="26"/>
                <w:szCs w:val="26"/>
              </w:rPr>
            </w:pPr>
            <w:r w:rsidRPr="00350111">
              <w:rPr>
                <w:rFonts w:eastAsia="標楷體"/>
                <w:sz w:val="26"/>
                <w:szCs w:val="26"/>
              </w:rPr>
              <w:t>G</w:t>
            </w:r>
          </w:p>
        </w:tc>
        <w:tc>
          <w:tcPr>
            <w:tcW w:w="7200" w:type="dxa"/>
            <w:vAlign w:val="center"/>
          </w:tcPr>
          <w:p w:rsidR="00A77580" w:rsidRPr="00350111" w:rsidRDefault="00A77580" w:rsidP="00253D4A">
            <w:pPr>
              <w:spacing w:line="360" w:lineRule="auto"/>
              <w:rPr>
                <w:rFonts w:eastAsia="標楷體" w:hAnsi="標楷體"/>
                <w:sz w:val="26"/>
                <w:szCs w:val="26"/>
              </w:rPr>
            </w:pPr>
            <w:r w:rsidRPr="00350111">
              <w:rPr>
                <w:rFonts w:eastAsia="標楷體" w:hAnsi="標楷體" w:hint="eastAsia"/>
                <w:sz w:val="26"/>
                <w:szCs w:val="26"/>
              </w:rPr>
              <w:t>財稅字第</w:t>
            </w:r>
            <w:r w:rsidRPr="00350111">
              <w:rPr>
                <w:rFonts w:eastAsia="標楷體" w:hAnsi="標楷體" w:hint="eastAsia"/>
                <w:sz w:val="26"/>
                <w:szCs w:val="26"/>
              </w:rPr>
              <w:t>09704555160</w:t>
            </w:r>
            <w:r w:rsidRPr="00350111">
              <w:rPr>
                <w:rFonts w:eastAsia="標楷體" w:hAnsi="標楷體" w:hint="eastAsia"/>
                <w:sz w:val="26"/>
                <w:szCs w:val="26"/>
              </w:rPr>
              <w:t>號解釋令（避風港條款）</w:t>
            </w:r>
          </w:p>
        </w:tc>
        <w:tc>
          <w:tcPr>
            <w:tcW w:w="720" w:type="dxa"/>
            <w:vAlign w:val="center"/>
          </w:tcPr>
          <w:p w:rsidR="00A77580" w:rsidRPr="00FD66E5" w:rsidRDefault="00A77580" w:rsidP="00253D4A">
            <w:pPr>
              <w:spacing w:line="360" w:lineRule="auto"/>
              <w:rPr>
                <w:rFonts w:eastAsia="標楷體"/>
                <w:sz w:val="26"/>
                <w:szCs w:val="26"/>
              </w:rPr>
            </w:pPr>
            <w:r>
              <w:rPr>
                <w:rFonts w:eastAsia="標楷體" w:hint="eastAsia"/>
                <w:sz w:val="26"/>
                <w:szCs w:val="26"/>
              </w:rPr>
              <w:t>1-3</w:t>
            </w:r>
          </w:p>
        </w:tc>
      </w:tr>
      <w:bookmarkEnd w:id="0"/>
      <w:bookmarkEnd w:id="1"/>
      <w:bookmarkEnd w:id="2"/>
      <w:bookmarkEnd w:id="3"/>
    </w:tbl>
    <w:p w:rsidR="00307D12" w:rsidRPr="00EA272E" w:rsidRDefault="00ED670D" w:rsidP="00307D12">
      <w:pPr>
        <w:spacing w:line="0" w:lineRule="atLeast"/>
        <w:jc w:val="center"/>
        <w:rPr>
          <w:rFonts w:eastAsia="標楷體"/>
          <w:sz w:val="26"/>
          <w:szCs w:val="26"/>
        </w:rPr>
      </w:pPr>
      <w:r w:rsidRPr="00EA272E">
        <w:rPr>
          <w:rFonts w:eastAsia="標楷體"/>
          <w:sz w:val="26"/>
          <w:szCs w:val="26"/>
        </w:rPr>
        <w:br w:type="page"/>
      </w:r>
    </w:p>
    <w:p w:rsidR="00307D12" w:rsidRPr="00EA272E" w:rsidRDefault="00307D12">
      <w:pPr>
        <w:pStyle w:val="1"/>
        <w:spacing w:before="0" w:after="0" w:line="360" w:lineRule="auto"/>
        <w:ind w:left="0" w:firstLine="0"/>
        <w:jc w:val="center"/>
        <w:rPr>
          <w:rFonts w:ascii="Times New Roman" w:eastAsia="標楷體" w:hAnsi="Times New Roman"/>
          <w:sz w:val="36"/>
          <w:szCs w:val="36"/>
        </w:rPr>
        <w:sectPr w:rsidR="00307D12" w:rsidRPr="00EA272E" w:rsidSect="000223C9">
          <w:type w:val="oddPage"/>
          <w:pgSz w:w="11906" w:h="16838" w:code="9"/>
          <w:pgMar w:top="2160" w:right="1440" w:bottom="1814" w:left="1440" w:header="851" w:footer="442" w:gutter="567"/>
          <w:pgNumType w:start="1"/>
          <w:cols w:space="425"/>
          <w:docGrid w:linePitch="360"/>
        </w:sectPr>
      </w:pPr>
    </w:p>
    <w:bookmarkStart w:id="4" w:name="_Toc253154505"/>
    <w:bookmarkStart w:id="5" w:name="_Toc253154573"/>
    <w:bookmarkStart w:id="6" w:name="_Toc272326004"/>
    <w:bookmarkStart w:id="7" w:name="_Toc272326632"/>
    <w:bookmarkStart w:id="8" w:name="_Toc272326811"/>
    <w:bookmarkStart w:id="9" w:name="_Toc275960644"/>
    <w:p w:rsidR="007F3EF4" w:rsidRPr="00EA272E" w:rsidRDefault="00EE4220" w:rsidP="00995F8B">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2096" behindDoc="0" locked="0" layoutInCell="1" allowOverlap="1" wp14:anchorId="12112BC8" wp14:editId="37C964C2">
                <wp:simplePos x="0" y="0"/>
                <wp:positionH relativeFrom="column">
                  <wp:posOffset>4667250</wp:posOffset>
                </wp:positionH>
                <wp:positionV relativeFrom="paragraph">
                  <wp:posOffset>0</wp:posOffset>
                </wp:positionV>
                <wp:extent cx="720090" cy="720090"/>
                <wp:effectExtent l="9525" t="9525" r="13335" b="13335"/>
                <wp:wrapNone/>
                <wp:docPr id="22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7B5D" w:rsidRPr="007B7597" w:rsidRDefault="00697B5D"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left:0;text-align:left;margin-left:367.5pt;margin-top:0;width:56.7pt;height:5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NmegjUpAgAAWgQAAA4AAAAAAAAAAAAAAAAALgIAAGRycy9l&#10;Mm9Eb2MueG1sUEsBAi0AFAAGAAgAAAAhALiQwT/fAAAACAEAAA8AAAAAAAAAAAAAAAAAgwQAAGRy&#10;cy9kb3ducmV2LnhtbFBLBQYAAAAABAAEAPMAAACPBQAAAAA=&#10;">
                <v:textbox>
                  <w:txbxContent>
                    <w:p w:rsidR="00697B5D" w:rsidRPr="007B7597" w:rsidRDefault="00697B5D"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4"/>
      <w:bookmarkEnd w:id="5"/>
      <w:bookmarkEnd w:id="6"/>
      <w:bookmarkEnd w:id="7"/>
      <w:bookmarkEnd w:id="8"/>
      <w:bookmarkEnd w:id="9"/>
    </w:p>
    <w:p w:rsidR="007F3EF4" w:rsidRPr="00EA272E" w:rsidRDefault="007F3EF4" w:rsidP="00F9092E">
      <w:pPr>
        <w:pStyle w:val="1"/>
        <w:numPr>
          <w:ilvl w:val="0"/>
          <w:numId w:val="0"/>
        </w:numPr>
        <w:spacing w:before="0" w:after="0" w:line="240" w:lineRule="auto"/>
        <w:rPr>
          <w:rFonts w:ascii="Times New Roman" w:eastAsia="標楷體" w:hAnsi="Times New Roman"/>
          <w:sz w:val="48"/>
          <w:szCs w:val="48"/>
        </w:rPr>
      </w:pPr>
    </w:p>
    <w:p w:rsidR="00567251" w:rsidRPr="00157005" w:rsidRDefault="00F9092E" w:rsidP="002C3C01">
      <w:pPr>
        <w:pStyle w:val="1"/>
        <w:numPr>
          <w:ilvl w:val="0"/>
          <w:numId w:val="29"/>
        </w:numPr>
        <w:spacing w:before="100" w:beforeAutospacing="1" w:after="100" w:afterAutospacing="1" w:line="360" w:lineRule="auto"/>
        <w:ind w:rightChars="-19" w:right="-46"/>
        <w:jc w:val="center"/>
        <w:rPr>
          <w:rFonts w:ascii="Times New Roman" w:eastAsia="標楷體" w:hAnsi="Times New Roman"/>
          <w:sz w:val="44"/>
          <w:szCs w:val="46"/>
        </w:rPr>
      </w:pPr>
      <w:bookmarkStart w:id="10" w:name="_Toc359935467"/>
      <w:r>
        <w:rPr>
          <w:rFonts w:ascii="Times New Roman" w:eastAsia="標楷體" w:hAnsi="Times New Roman" w:hint="eastAsia"/>
          <w:sz w:val="44"/>
          <w:szCs w:val="46"/>
        </w:rPr>
        <w:t>以</w:t>
      </w:r>
      <w:r w:rsidRPr="00157005">
        <w:rPr>
          <w:rFonts w:ascii="Times New Roman" w:eastAsia="標楷體" w:hAnsi="Times New Roman" w:hint="eastAsia"/>
          <w:sz w:val="44"/>
          <w:szCs w:val="46"/>
        </w:rPr>
        <w:t>替代文據取代移轉訂價報告之理由</w:t>
      </w:r>
      <w:bookmarkEnd w:id="10"/>
    </w:p>
    <w:p w:rsidR="00DE7202" w:rsidRPr="009326DA" w:rsidRDefault="003A761B" w:rsidP="001719B7">
      <w:pPr>
        <w:spacing w:beforeLines="50" w:before="120" w:afterLines="50" w:after="120" w:line="360" w:lineRule="auto"/>
        <w:ind w:firstLineChars="200" w:firstLine="520"/>
        <w:jc w:val="both"/>
        <w:rPr>
          <w:rFonts w:ascii="新細明體" w:hAnsi="新細明體" w:cs="新細明體"/>
          <w:color w:val="000000"/>
          <w:kern w:val="0"/>
        </w:rPr>
      </w:pPr>
      <w:r w:rsidRPr="005D261C">
        <w:rPr>
          <w:rFonts w:eastAsia="標楷體" w:hint="eastAsia"/>
          <w:sz w:val="26"/>
          <w:szCs w:val="26"/>
        </w:rPr>
        <w:t>萊迪思台灣分公司</w:t>
      </w:r>
      <w:proofErr w:type="gramStart"/>
      <w:r w:rsidR="00B70EAE">
        <w:rPr>
          <w:rFonts w:eastAsia="標楷體" w:hint="eastAsia"/>
          <w:sz w:val="26"/>
          <w:szCs w:val="26"/>
        </w:rPr>
        <w:t>10</w:t>
      </w:r>
      <w:r w:rsidR="00D1590F">
        <w:rPr>
          <w:rFonts w:eastAsia="標楷體" w:hint="eastAsia"/>
          <w:sz w:val="26"/>
          <w:szCs w:val="26"/>
        </w:rPr>
        <w:t>5</w:t>
      </w:r>
      <w:proofErr w:type="gramEnd"/>
      <w:r w:rsidR="00FD3239" w:rsidRPr="005D261C">
        <w:rPr>
          <w:rFonts w:eastAsia="標楷體" w:hint="eastAsia"/>
          <w:sz w:val="26"/>
          <w:szCs w:val="26"/>
        </w:rPr>
        <w:t>年度</w:t>
      </w:r>
      <w:r w:rsidR="0082077B" w:rsidRPr="005D261C">
        <w:rPr>
          <w:rFonts w:eastAsia="標楷體" w:hint="eastAsia"/>
          <w:sz w:val="26"/>
          <w:szCs w:val="26"/>
        </w:rPr>
        <w:t>全年受控交易總額</w:t>
      </w:r>
      <w:r w:rsidR="002F7E24" w:rsidRPr="00FC2579">
        <w:rPr>
          <w:rFonts w:hint="eastAsia"/>
          <w:color w:val="000000" w:themeColor="text1"/>
          <w:kern w:val="0"/>
        </w:rPr>
        <w:t>69</w:t>
      </w:r>
      <w:r w:rsidR="009326DA" w:rsidRPr="00FC2579">
        <w:rPr>
          <w:color w:val="000000" w:themeColor="text1"/>
          <w:kern w:val="0"/>
        </w:rPr>
        <w:t>,</w:t>
      </w:r>
      <w:r w:rsidR="002F7E24" w:rsidRPr="00FC2579">
        <w:rPr>
          <w:rFonts w:hint="eastAsia"/>
          <w:color w:val="000000" w:themeColor="text1"/>
          <w:kern w:val="0"/>
        </w:rPr>
        <w:t>381</w:t>
      </w:r>
      <w:r w:rsidR="009326DA" w:rsidRPr="00FC2579">
        <w:rPr>
          <w:color w:val="000000" w:themeColor="text1"/>
          <w:kern w:val="0"/>
        </w:rPr>
        <w:t>,1</w:t>
      </w:r>
      <w:r w:rsidR="002F7E24" w:rsidRPr="00FC2579">
        <w:rPr>
          <w:rFonts w:hint="eastAsia"/>
          <w:color w:val="000000" w:themeColor="text1"/>
          <w:kern w:val="0"/>
        </w:rPr>
        <w:t>82</w:t>
      </w:r>
      <w:r w:rsidR="0082077B" w:rsidRPr="005D261C">
        <w:rPr>
          <w:rFonts w:eastAsia="標楷體"/>
          <w:sz w:val="26"/>
          <w:szCs w:val="26"/>
        </w:rPr>
        <w:t>元</w:t>
      </w:r>
      <w:r w:rsidR="005D261C">
        <w:rPr>
          <w:rFonts w:eastAsia="標楷體" w:hint="eastAsia"/>
          <w:sz w:val="26"/>
          <w:szCs w:val="26"/>
        </w:rPr>
        <w:t>，因</w:t>
      </w:r>
      <w:r w:rsidR="0082077B" w:rsidRPr="005D261C">
        <w:rPr>
          <w:rFonts w:eastAsia="標楷體" w:hint="eastAsia"/>
          <w:sz w:val="26"/>
          <w:szCs w:val="26"/>
        </w:rPr>
        <w:t>未達</w:t>
      </w:r>
      <w:r w:rsidR="0082077B" w:rsidRPr="005D261C">
        <w:rPr>
          <w:rFonts w:eastAsia="標楷體"/>
          <w:sz w:val="26"/>
          <w:szCs w:val="26"/>
        </w:rPr>
        <w:t>營利事業</w:t>
      </w:r>
      <w:r w:rsidR="0082077B" w:rsidRPr="005D261C">
        <w:rPr>
          <w:rFonts w:eastAsia="標楷體" w:hint="eastAsia"/>
          <w:sz w:val="26"/>
          <w:szCs w:val="26"/>
        </w:rPr>
        <w:t>須</w:t>
      </w:r>
      <w:r w:rsidR="0082077B" w:rsidRPr="005D261C">
        <w:rPr>
          <w:rFonts w:eastAsia="標楷體"/>
          <w:sz w:val="26"/>
          <w:szCs w:val="26"/>
        </w:rPr>
        <w:t>備妥移轉訂價報告之最低門檻新台幣</w:t>
      </w:r>
      <w:r w:rsidR="0082077B" w:rsidRPr="005D261C">
        <w:rPr>
          <w:rFonts w:eastAsia="標楷體" w:hint="eastAsia"/>
          <w:sz w:val="26"/>
          <w:szCs w:val="26"/>
        </w:rPr>
        <w:t>2</w:t>
      </w:r>
      <w:r w:rsidR="0082077B" w:rsidRPr="005D261C">
        <w:rPr>
          <w:rFonts w:eastAsia="標楷體"/>
          <w:sz w:val="26"/>
          <w:szCs w:val="26"/>
        </w:rPr>
        <w:t>億元</w:t>
      </w:r>
      <w:r w:rsidR="0082077B" w:rsidRPr="005D261C">
        <w:rPr>
          <w:rFonts w:eastAsia="標楷體" w:hint="eastAsia"/>
          <w:sz w:val="26"/>
          <w:szCs w:val="26"/>
        </w:rPr>
        <w:t>，</w:t>
      </w:r>
      <w:r w:rsidR="00FD3239" w:rsidRPr="005D261C">
        <w:rPr>
          <w:rFonts w:eastAsia="標楷體"/>
          <w:sz w:val="26"/>
          <w:szCs w:val="26"/>
        </w:rPr>
        <w:t>符合財政部</w:t>
      </w:r>
      <w:smartTag w:uri="urn:schemas-microsoft-com:office:smarttags" w:element="chsdate">
        <w:smartTagPr>
          <w:attr w:name="Year" w:val="1997"/>
          <w:attr w:name="Month" w:val="11"/>
          <w:attr w:name="Day" w:val="06"/>
          <w:attr w:name="IsLunarDate" w:val="False"/>
          <w:attr w:name="IsROCDate" w:val="False"/>
        </w:smartTagPr>
        <w:r w:rsidR="00FD3239" w:rsidRPr="005D261C">
          <w:rPr>
            <w:rFonts w:eastAsia="標楷體"/>
            <w:sz w:val="26"/>
            <w:szCs w:val="26"/>
          </w:rPr>
          <w:t>9</w:t>
        </w:r>
        <w:r w:rsidR="00FD3239" w:rsidRPr="005D261C">
          <w:rPr>
            <w:rFonts w:eastAsia="標楷體" w:hint="eastAsia"/>
            <w:sz w:val="26"/>
            <w:szCs w:val="26"/>
          </w:rPr>
          <w:t>7</w:t>
        </w:r>
        <w:r w:rsidR="00FD3239" w:rsidRPr="005D261C">
          <w:rPr>
            <w:rFonts w:eastAsia="標楷體"/>
            <w:sz w:val="26"/>
            <w:szCs w:val="26"/>
          </w:rPr>
          <w:t>年</w:t>
        </w:r>
        <w:r w:rsidR="00FD3239" w:rsidRPr="005D261C">
          <w:rPr>
            <w:rFonts w:eastAsia="標楷體" w:hint="eastAsia"/>
            <w:sz w:val="26"/>
            <w:szCs w:val="26"/>
          </w:rPr>
          <w:t>11</w:t>
        </w:r>
        <w:r w:rsidR="00FD3239" w:rsidRPr="005D261C">
          <w:rPr>
            <w:rFonts w:eastAsia="標楷體"/>
            <w:sz w:val="26"/>
            <w:szCs w:val="26"/>
          </w:rPr>
          <w:t>月</w:t>
        </w:r>
        <w:r w:rsidR="00FD3239" w:rsidRPr="005D261C">
          <w:rPr>
            <w:rFonts w:eastAsia="標楷體" w:hint="eastAsia"/>
            <w:sz w:val="26"/>
            <w:szCs w:val="26"/>
          </w:rPr>
          <w:t>06</w:t>
        </w:r>
        <w:r w:rsidR="00FD3239" w:rsidRPr="005D261C">
          <w:rPr>
            <w:rFonts w:eastAsia="標楷體"/>
            <w:sz w:val="26"/>
            <w:szCs w:val="26"/>
          </w:rPr>
          <w:t>日</w:t>
        </w:r>
      </w:smartTag>
      <w:r w:rsidR="00FD3239" w:rsidRPr="005D261C">
        <w:rPr>
          <w:rFonts w:eastAsia="標楷體"/>
          <w:sz w:val="26"/>
          <w:szCs w:val="26"/>
        </w:rPr>
        <w:t>台財稅字第</w:t>
      </w:r>
      <w:r w:rsidR="00FD3239" w:rsidRPr="005D261C">
        <w:rPr>
          <w:rFonts w:eastAsia="標楷體"/>
          <w:sz w:val="26"/>
          <w:szCs w:val="26"/>
        </w:rPr>
        <w:t>09</w:t>
      </w:r>
      <w:r w:rsidR="00FD3239" w:rsidRPr="005D261C">
        <w:rPr>
          <w:rFonts w:eastAsia="標楷體" w:hint="eastAsia"/>
          <w:sz w:val="26"/>
          <w:szCs w:val="26"/>
        </w:rPr>
        <w:t>704555160</w:t>
      </w:r>
      <w:r w:rsidR="00FD3239" w:rsidRPr="005D261C">
        <w:rPr>
          <w:rFonts w:eastAsia="標楷體"/>
          <w:sz w:val="26"/>
          <w:szCs w:val="26"/>
        </w:rPr>
        <w:t>號</w:t>
      </w:r>
      <w:r w:rsidR="004574AF" w:rsidRPr="005D261C">
        <w:rPr>
          <w:rFonts w:eastAsia="標楷體" w:hint="eastAsia"/>
          <w:sz w:val="26"/>
          <w:szCs w:val="26"/>
        </w:rPr>
        <w:t>令中，</w:t>
      </w:r>
      <w:r w:rsidR="00FD3239" w:rsidRPr="005D261C">
        <w:rPr>
          <w:rFonts w:eastAsia="標楷體"/>
          <w:sz w:val="26"/>
          <w:szCs w:val="26"/>
        </w:rPr>
        <w:t>有關『營利事</w:t>
      </w:r>
      <w:r w:rsidR="00FD3239" w:rsidRPr="005D261C">
        <w:rPr>
          <w:rFonts w:eastAsia="標楷體" w:hint="eastAsia"/>
          <w:sz w:val="26"/>
          <w:szCs w:val="26"/>
        </w:rPr>
        <w:t>業</w:t>
      </w:r>
      <w:r w:rsidR="00FD3239" w:rsidRPr="005D261C">
        <w:rPr>
          <w:rFonts w:eastAsia="標楷體"/>
          <w:sz w:val="26"/>
          <w:szCs w:val="26"/>
        </w:rPr>
        <w:t>得以其他文據取代移轉訂價報告之受控交易金額標準』之揭示標準，故得以替代文據取代移轉訂價報告。</w:t>
      </w:r>
    </w:p>
    <w:p w:rsidR="00DE7202" w:rsidRDefault="00FD3239" w:rsidP="001719B7">
      <w:pPr>
        <w:tabs>
          <w:tab w:val="left" w:pos="0"/>
        </w:tabs>
        <w:spacing w:beforeLines="50" w:before="120" w:afterLines="50" w:after="120" w:line="360" w:lineRule="auto"/>
        <w:jc w:val="both"/>
        <w:rPr>
          <w:rFonts w:eastAsia="標楷體"/>
          <w:b/>
          <w:sz w:val="32"/>
          <w:szCs w:val="32"/>
        </w:rPr>
      </w:pPr>
      <w:r w:rsidRPr="005D261C">
        <w:rPr>
          <w:rFonts w:eastAsia="標楷體"/>
          <w:b/>
          <w:sz w:val="32"/>
          <w:szCs w:val="32"/>
        </w:rPr>
        <w:t>台財稅字第</w:t>
      </w:r>
      <w:r w:rsidRPr="005D261C">
        <w:rPr>
          <w:rFonts w:eastAsia="標楷體"/>
          <w:b/>
          <w:sz w:val="32"/>
          <w:szCs w:val="32"/>
        </w:rPr>
        <w:t>09</w:t>
      </w:r>
      <w:r w:rsidRPr="005D261C">
        <w:rPr>
          <w:rFonts w:eastAsia="標楷體" w:hint="eastAsia"/>
          <w:b/>
          <w:sz w:val="32"/>
          <w:szCs w:val="32"/>
        </w:rPr>
        <w:t>704555160</w:t>
      </w:r>
      <w:r w:rsidRPr="005D261C">
        <w:rPr>
          <w:rFonts w:eastAsia="標楷體"/>
          <w:b/>
          <w:sz w:val="32"/>
          <w:szCs w:val="32"/>
        </w:rPr>
        <w:t>號解釋令</w:t>
      </w:r>
    </w:p>
    <w:p w:rsidR="00DE7202" w:rsidRDefault="00FD3239" w:rsidP="001719B7">
      <w:pPr>
        <w:tabs>
          <w:tab w:val="left" w:pos="0"/>
        </w:tabs>
        <w:spacing w:beforeLines="50" w:before="120" w:afterLines="50" w:after="120" w:line="360" w:lineRule="auto"/>
        <w:ind w:firstLineChars="200" w:firstLine="520"/>
        <w:jc w:val="both"/>
        <w:rPr>
          <w:rFonts w:eastAsia="標楷體"/>
          <w:sz w:val="26"/>
          <w:szCs w:val="26"/>
        </w:rPr>
      </w:pPr>
      <w:r>
        <w:rPr>
          <w:rFonts w:eastAsia="標楷體"/>
          <w:sz w:val="26"/>
          <w:szCs w:val="26"/>
        </w:rPr>
        <w:t>移轉訂價查核準則</w:t>
      </w:r>
      <w:r w:rsidRPr="008F4F5B">
        <w:rPr>
          <w:rFonts w:eastAsia="標楷體"/>
          <w:sz w:val="26"/>
          <w:szCs w:val="26"/>
        </w:rPr>
        <w:t>第</w:t>
      </w:r>
      <w:r w:rsidRPr="008F4F5B">
        <w:rPr>
          <w:rFonts w:eastAsia="標楷體"/>
          <w:sz w:val="26"/>
          <w:szCs w:val="26"/>
        </w:rPr>
        <w:t>22</w:t>
      </w:r>
      <w:r w:rsidRPr="008F4F5B">
        <w:rPr>
          <w:rFonts w:eastAsia="標楷體"/>
          <w:sz w:val="26"/>
          <w:szCs w:val="26"/>
        </w:rPr>
        <w:t>條第</w:t>
      </w:r>
      <w:r w:rsidRPr="008F4F5B">
        <w:rPr>
          <w:rFonts w:eastAsia="標楷體"/>
          <w:sz w:val="26"/>
          <w:szCs w:val="26"/>
        </w:rPr>
        <w:t>3</w:t>
      </w:r>
      <w:r w:rsidRPr="008F4F5B">
        <w:rPr>
          <w:rFonts w:eastAsia="標楷體"/>
          <w:sz w:val="26"/>
          <w:szCs w:val="26"/>
        </w:rPr>
        <w:t>項規定「得以其他文據取代移轉訂價報告之受控交易金額標準」如下：</w:t>
      </w:r>
    </w:p>
    <w:p w:rsidR="00DE7202" w:rsidRDefault="00FD3239" w:rsidP="001719B7">
      <w:pPr>
        <w:tabs>
          <w:tab w:val="left" w:pos="0"/>
        </w:tabs>
        <w:spacing w:beforeLines="50" w:before="120" w:afterLines="50" w:after="120" w:line="360" w:lineRule="auto"/>
        <w:jc w:val="both"/>
        <w:rPr>
          <w:rFonts w:eastAsia="標楷體"/>
          <w:sz w:val="26"/>
          <w:szCs w:val="26"/>
        </w:rPr>
      </w:pPr>
      <w:r w:rsidRPr="008F4F5B">
        <w:rPr>
          <w:rFonts w:eastAsia="標楷體"/>
          <w:sz w:val="26"/>
          <w:szCs w:val="26"/>
        </w:rPr>
        <w:t>第一點規定：</w:t>
      </w:r>
    </w:p>
    <w:p w:rsidR="00DE7202" w:rsidRDefault="00FD3239" w:rsidP="001719B7">
      <w:pPr>
        <w:tabs>
          <w:tab w:val="left" w:pos="0"/>
        </w:tabs>
        <w:spacing w:beforeLines="50" w:before="120" w:afterLines="50" w:after="120" w:line="360" w:lineRule="auto"/>
        <w:ind w:firstLineChars="200" w:firstLine="520"/>
        <w:jc w:val="both"/>
        <w:rPr>
          <w:rFonts w:eastAsia="標楷體"/>
          <w:sz w:val="26"/>
          <w:szCs w:val="26"/>
        </w:rPr>
      </w:pPr>
      <w:r w:rsidRPr="008F4F5B">
        <w:rPr>
          <w:rFonts w:eastAsia="標楷體"/>
          <w:sz w:val="26"/>
          <w:szCs w:val="26"/>
        </w:rPr>
        <w:t>從事受控交易之營利事業，有下列情形之</w:t>
      </w:r>
      <w:proofErr w:type="gramStart"/>
      <w:r w:rsidRPr="008F4F5B">
        <w:rPr>
          <w:rFonts w:eastAsia="標楷體"/>
          <w:sz w:val="26"/>
          <w:szCs w:val="26"/>
        </w:rPr>
        <w:t>一</w:t>
      </w:r>
      <w:proofErr w:type="gramEnd"/>
      <w:r w:rsidRPr="008F4F5B">
        <w:rPr>
          <w:rFonts w:eastAsia="標楷體"/>
          <w:sz w:val="26"/>
          <w:szCs w:val="26"/>
        </w:rPr>
        <w:t>者，得依移轉訂價查核準則第</w:t>
      </w:r>
      <w:r w:rsidRPr="008F4F5B">
        <w:rPr>
          <w:rFonts w:eastAsia="標楷體"/>
          <w:sz w:val="26"/>
          <w:szCs w:val="26"/>
        </w:rPr>
        <w:t>22</w:t>
      </w:r>
      <w:r w:rsidRPr="008F4F5B">
        <w:rPr>
          <w:rFonts w:eastAsia="標楷體"/>
          <w:sz w:val="26"/>
          <w:szCs w:val="26"/>
        </w:rPr>
        <w:t>條第</w:t>
      </w:r>
      <w:r w:rsidRPr="008F4F5B">
        <w:rPr>
          <w:rFonts w:eastAsia="標楷體"/>
          <w:sz w:val="26"/>
          <w:szCs w:val="26"/>
        </w:rPr>
        <w:t>3</w:t>
      </w:r>
      <w:r w:rsidRPr="008F4F5B">
        <w:rPr>
          <w:rFonts w:eastAsia="標楷體"/>
          <w:sz w:val="26"/>
          <w:szCs w:val="26"/>
        </w:rPr>
        <w:t>項規定，以其他足資證明其訂價結果符合常規交易結果之文據取代同條第</w:t>
      </w:r>
      <w:r w:rsidRPr="008F4F5B">
        <w:rPr>
          <w:rFonts w:eastAsia="標楷體"/>
          <w:sz w:val="26"/>
          <w:szCs w:val="26"/>
        </w:rPr>
        <w:t>1</w:t>
      </w:r>
      <w:r w:rsidRPr="008F4F5B">
        <w:rPr>
          <w:rFonts w:eastAsia="標楷體"/>
          <w:sz w:val="26"/>
          <w:szCs w:val="26"/>
        </w:rPr>
        <w:t>項第</w:t>
      </w:r>
      <w:r w:rsidRPr="008F4F5B">
        <w:rPr>
          <w:rFonts w:eastAsia="標楷體"/>
          <w:sz w:val="26"/>
          <w:szCs w:val="26"/>
        </w:rPr>
        <w:t>4</w:t>
      </w:r>
      <w:r w:rsidRPr="008F4F5B">
        <w:rPr>
          <w:rFonts w:eastAsia="標楷體"/>
          <w:sz w:val="26"/>
          <w:szCs w:val="26"/>
        </w:rPr>
        <w:t>款規定之移轉訂價報告：</w:t>
      </w:r>
    </w:p>
    <w:p w:rsidR="00DE7202" w:rsidRDefault="00FD3239" w:rsidP="001719B7">
      <w:pPr>
        <w:numPr>
          <w:ilvl w:val="0"/>
          <w:numId w:val="26"/>
        </w:numPr>
        <w:tabs>
          <w:tab w:val="left" w:pos="0"/>
        </w:tabs>
        <w:spacing w:beforeLines="50" w:before="120" w:afterLines="50" w:after="120" w:line="360" w:lineRule="auto"/>
        <w:jc w:val="both"/>
        <w:rPr>
          <w:rFonts w:eastAsia="標楷體"/>
          <w:sz w:val="26"/>
          <w:szCs w:val="26"/>
        </w:rPr>
      </w:pPr>
      <w:r w:rsidRPr="008F4F5B">
        <w:rPr>
          <w:rFonts w:eastAsia="標楷體"/>
          <w:sz w:val="26"/>
          <w:szCs w:val="26"/>
        </w:rPr>
        <w:t>全年營業收入淨額及非營業收入合計數（以下簡稱『收入總額』）未達新臺幣</w:t>
      </w:r>
      <w:r w:rsidRPr="008F4F5B">
        <w:rPr>
          <w:rFonts w:eastAsia="標楷體" w:hint="eastAsia"/>
          <w:sz w:val="26"/>
          <w:szCs w:val="26"/>
        </w:rPr>
        <w:t>3</w:t>
      </w:r>
      <w:r w:rsidRPr="008F4F5B">
        <w:rPr>
          <w:rFonts w:eastAsia="標楷體"/>
          <w:sz w:val="26"/>
          <w:szCs w:val="26"/>
        </w:rPr>
        <w:t>億元。</w:t>
      </w:r>
    </w:p>
    <w:p w:rsidR="00DE7202" w:rsidRDefault="00FD3239" w:rsidP="001719B7">
      <w:pPr>
        <w:numPr>
          <w:ilvl w:val="0"/>
          <w:numId w:val="26"/>
        </w:numPr>
        <w:tabs>
          <w:tab w:val="left" w:pos="0"/>
        </w:tabs>
        <w:spacing w:beforeLines="50" w:before="120" w:afterLines="50" w:after="120" w:line="360" w:lineRule="auto"/>
        <w:jc w:val="both"/>
        <w:rPr>
          <w:rFonts w:eastAsia="標楷體"/>
          <w:sz w:val="26"/>
          <w:szCs w:val="26"/>
        </w:rPr>
      </w:pPr>
      <w:r w:rsidRPr="008F4F5B">
        <w:rPr>
          <w:rFonts w:eastAsia="標楷體"/>
          <w:sz w:val="26"/>
          <w:szCs w:val="26"/>
        </w:rPr>
        <w:t>全年收入總額在新臺幣</w:t>
      </w:r>
      <w:r w:rsidRPr="008F4F5B">
        <w:rPr>
          <w:rFonts w:eastAsia="標楷體" w:hint="eastAsia"/>
          <w:sz w:val="26"/>
          <w:szCs w:val="26"/>
        </w:rPr>
        <w:t>3</w:t>
      </w:r>
      <w:r w:rsidRPr="008F4F5B">
        <w:rPr>
          <w:rFonts w:eastAsia="標楷體"/>
          <w:sz w:val="26"/>
          <w:szCs w:val="26"/>
        </w:rPr>
        <w:t>億元以上，但未達新臺幣</w:t>
      </w:r>
      <w:r w:rsidRPr="008F4F5B">
        <w:rPr>
          <w:rFonts w:eastAsia="標楷體" w:hint="eastAsia"/>
          <w:sz w:val="26"/>
          <w:szCs w:val="26"/>
        </w:rPr>
        <w:t>5</w:t>
      </w:r>
      <w:r w:rsidRPr="008F4F5B">
        <w:rPr>
          <w:rFonts w:eastAsia="標楷體"/>
          <w:sz w:val="26"/>
          <w:szCs w:val="26"/>
        </w:rPr>
        <w:t>億元，且同時符合下列規定者：</w:t>
      </w:r>
    </w:p>
    <w:p w:rsidR="00FD3239" w:rsidRPr="008F4F5B" w:rsidRDefault="00FD3239" w:rsidP="009D152A">
      <w:pPr>
        <w:numPr>
          <w:ilvl w:val="0"/>
          <w:numId w:val="27"/>
        </w:numPr>
        <w:tabs>
          <w:tab w:val="left" w:pos="1134"/>
        </w:tabs>
        <w:spacing w:before="100" w:beforeAutospacing="1" w:after="100" w:afterAutospacing="1" w:line="360" w:lineRule="auto"/>
        <w:ind w:left="1134" w:hanging="338"/>
        <w:jc w:val="both"/>
        <w:rPr>
          <w:rFonts w:eastAsia="標楷體"/>
          <w:sz w:val="26"/>
          <w:szCs w:val="26"/>
        </w:rPr>
      </w:pPr>
      <w:r w:rsidRPr="008F4F5B">
        <w:rPr>
          <w:rFonts w:eastAsia="標楷體" w:hint="eastAsia"/>
          <w:sz w:val="26"/>
          <w:szCs w:val="26"/>
        </w:rPr>
        <w:t>未享有租稅減免優惠，且未依法申報扣除前</w:t>
      </w:r>
      <w:r w:rsidRPr="008F4F5B">
        <w:rPr>
          <w:rFonts w:eastAsia="標楷體" w:hint="eastAsia"/>
          <w:sz w:val="26"/>
          <w:szCs w:val="26"/>
        </w:rPr>
        <w:t>5</w:t>
      </w:r>
      <w:r w:rsidRPr="008F4F5B">
        <w:rPr>
          <w:rFonts w:eastAsia="標楷體" w:hint="eastAsia"/>
          <w:sz w:val="26"/>
          <w:szCs w:val="26"/>
        </w:rPr>
        <w:t>年虧損。但營利事業依法申報實際抵減當年度營利事業所得稅結算申報應納稅額及</w:t>
      </w:r>
      <w:r w:rsidRPr="008F4F5B">
        <w:rPr>
          <w:rFonts w:eastAsia="標楷體" w:hint="eastAsia"/>
          <w:sz w:val="26"/>
          <w:szCs w:val="26"/>
        </w:rPr>
        <w:lastRenderedPageBreak/>
        <w:t>前</w:t>
      </w:r>
      <w:r w:rsidRPr="008F4F5B">
        <w:rPr>
          <w:rFonts w:eastAsia="標楷體" w:hint="eastAsia"/>
          <w:sz w:val="26"/>
          <w:szCs w:val="26"/>
        </w:rPr>
        <w:t>1</w:t>
      </w:r>
      <w:r w:rsidRPr="008F4F5B">
        <w:rPr>
          <w:rFonts w:eastAsia="標楷體" w:hint="eastAsia"/>
          <w:sz w:val="26"/>
          <w:szCs w:val="26"/>
        </w:rPr>
        <w:t>年度未分配盈餘申報應加徵稅額之金額合計在新臺幣</w:t>
      </w:r>
      <w:r w:rsidRPr="008F4F5B">
        <w:rPr>
          <w:rFonts w:eastAsia="標楷體" w:hint="eastAsia"/>
          <w:sz w:val="26"/>
          <w:szCs w:val="26"/>
        </w:rPr>
        <w:t>2</w:t>
      </w:r>
      <w:r w:rsidRPr="008F4F5B">
        <w:rPr>
          <w:rFonts w:eastAsia="標楷體" w:hint="eastAsia"/>
          <w:sz w:val="26"/>
          <w:szCs w:val="26"/>
        </w:rPr>
        <w:t>百萬元以下，或依法實際申報扣除之前</w:t>
      </w:r>
      <w:r w:rsidRPr="008F4F5B">
        <w:rPr>
          <w:rFonts w:eastAsia="標楷體" w:hint="eastAsia"/>
          <w:sz w:val="26"/>
          <w:szCs w:val="26"/>
        </w:rPr>
        <w:t>5</w:t>
      </w:r>
      <w:r w:rsidRPr="008F4F5B">
        <w:rPr>
          <w:rFonts w:eastAsia="標楷體" w:hint="eastAsia"/>
          <w:sz w:val="26"/>
          <w:szCs w:val="26"/>
        </w:rPr>
        <w:t>年虧損金額在新臺幣</w:t>
      </w:r>
      <w:r w:rsidRPr="008F4F5B">
        <w:rPr>
          <w:rFonts w:eastAsia="標楷體" w:hint="eastAsia"/>
          <w:sz w:val="26"/>
          <w:szCs w:val="26"/>
        </w:rPr>
        <w:t>8</w:t>
      </w:r>
      <w:r w:rsidRPr="008F4F5B">
        <w:rPr>
          <w:rFonts w:eastAsia="標楷體" w:hint="eastAsia"/>
          <w:sz w:val="26"/>
          <w:szCs w:val="26"/>
        </w:rPr>
        <w:t>百萬元以下者，不在此限。</w:t>
      </w:r>
    </w:p>
    <w:p w:rsidR="00FD3239" w:rsidRPr="008F4F5B" w:rsidRDefault="00FD3239" w:rsidP="002C3C01">
      <w:pPr>
        <w:numPr>
          <w:ilvl w:val="0"/>
          <w:numId w:val="27"/>
        </w:numPr>
        <w:tabs>
          <w:tab w:val="left" w:pos="1134"/>
        </w:tabs>
        <w:spacing w:before="100" w:beforeAutospacing="1" w:after="100" w:afterAutospacing="1" w:line="360" w:lineRule="auto"/>
        <w:ind w:left="1134" w:hanging="338"/>
        <w:jc w:val="both"/>
        <w:rPr>
          <w:rFonts w:eastAsia="標楷體"/>
          <w:sz w:val="26"/>
          <w:szCs w:val="26"/>
        </w:rPr>
      </w:pPr>
      <w:r w:rsidRPr="008F4F5B">
        <w:rPr>
          <w:rFonts w:eastAsia="標楷體" w:hint="eastAsia"/>
          <w:sz w:val="26"/>
          <w:szCs w:val="26"/>
        </w:rPr>
        <w:t>金融控股公司或企業</w:t>
      </w:r>
      <w:proofErr w:type="gramStart"/>
      <w:r w:rsidRPr="008F4F5B">
        <w:rPr>
          <w:rFonts w:eastAsia="標楷體" w:hint="eastAsia"/>
          <w:sz w:val="26"/>
          <w:szCs w:val="26"/>
        </w:rPr>
        <w:t>併購法</w:t>
      </w:r>
      <w:proofErr w:type="gramEnd"/>
      <w:r w:rsidRPr="008F4F5B">
        <w:rPr>
          <w:rFonts w:eastAsia="標楷體" w:hint="eastAsia"/>
          <w:sz w:val="26"/>
          <w:szCs w:val="26"/>
        </w:rPr>
        <w:t>規定之公司或其子公司，未</w:t>
      </w:r>
      <w:r w:rsidR="00075B4D">
        <w:rPr>
          <w:rFonts w:eastAsia="標楷體" w:hint="eastAsia"/>
          <w:sz w:val="26"/>
          <w:szCs w:val="26"/>
        </w:rPr>
        <w:t>與</w:t>
      </w:r>
      <w:r w:rsidRPr="008F4F5B">
        <w:rPr>
          <w:rFonts w:eastAsia="標楷體" w:hint="eastAsia"/>
          <w:sz w:val="26"/>
          <w:szCs w:val="26"/>
        </w:rPr>
        <w:t>中華民國境外之關係人（包括總機構及分支機構）</w:t>
      </w:r>
      <w:r w:rsidR="00075B4D">
        <w:rPr>
          <w:rFonts w:eastAsia="標楷體" w:hint="eastAsia"/>
          <w:sz w:val="26"/>
          <w:szCs w:val="26"/>
        </w:rPr>
        <w:t>交易者</w:t>
      </w:r>
      <w:r w:rsidRPr="008F4F5B">
        <w:rPr>
          <w:rFonts w:eastAsia="標楷體" w:hint="eastAsia"/>
          <w:sz w:val="26"/>
          <w:szCs w:val="26"/>
        </w:rPr>
        <w:t>；其他營利事業，未</w:t>
      </w:r>
      <w:r w:rsidR="00075B4D">
        <w:rPr>
          <w:rFonts w:eastAsia="標楷體" w:hint="eastAsia"/>
          <w:sz w:val="26"/>
          <w:szCs w:val="26"/>
        </w:rPr>
        <w:t>與</w:t>
      </w:r>
      <w:r w:rsidRPr="008F4F5B">
        <w:rPr>
          <w:rFonts w:eastAsia="標楷體" w:hint="eastAsia"/>
          <w:sz w:val="26"/>
          <w:szCs w:val="26"/>
        </w:rPr>
        <w:t>中華民國境外之關係企業（包括總機構及分支機構）</w:t>
      </w:r>
      <w:r w:rsidR="00075B4D">
        <w:rPr>
          <w:rFonts w:eastAsia="標楷體" w:hint="eastAsia"/>
          <w:sz w:val="26"/>
          <w:szCs w:val="26"/>
        </w:rPr>
        <w:t>交易者</w:t>
      </w:r>
      <w:r w:rsidRPr="008F4F5B">
        <w:rPr>
          <w:rFonts w:eastAsia="標楷體" w:hint="eastAsia"/>
          <w:sz w:val="26"/>
          <w:szCs w:val="26"/>
        </w:rPr>
        <w:t>。</w:t>
      </w:r>
    </w:p>
    <w:p w:rsidR="00DE7202" w:rsidRDefault="00FD3239" w:rsidP="001719B7">
      <w:pPr>
        <w:numPr>
          <w:ilvl w:val="0"/>
          <w:numId w:val="26"/>
        </w:numPr>
        <w:tabs>
          <w:tab w:val="left" w:pos="0"/>
        </w:tabs>
        <w:spacing w:beforeLines="50" w:before="120" w:afterLines="50" w:after="120" w:line="360" w:lineRule="auto"/>
        <w:jc w:val="both"/>
        <w:rPr>
          <w:rFonts w:eastAsia="標楷體"/>
          <w:sz w:val="26"/>
          <w:szCs w:val="26"/>
        </w:rPr>
      </w:pPr>
      <w:r w:rsidRPr="008F4F5B">
        <w:rPr>
          <w:rFonts w:eastAsia="標楷體"/>
          <w:sz w:val="26"/>
          <w:szCs w:val="26"/>
        </w:rPr>
        <w:t>不符（一）、（二）規定，但全年受控交易總額未達新臺幣</w:t>
      </w:r>
      <w:r w:rsidRPr="008F4F5B">
        <w:rPr>
          <w:rFonts w:eastAsia="標楷體" w:hint="eastAsia"/>
          <w:sz w:val="26"/>
          <w:szCs w:val="26"/>
        </w:rPr>
        <w:t>2</w:t>
      </w:r>
      <w:r w:rsidRPr="008F4F5B">
        <w:rPr>
          <w:rFonts w:eastAsia="標楷體"/>
          <w:sz w:val="26"/>
          <w:szCs w:val="26"/>
        </w:rPr>
        <w:t>億元。</w:t>
      </w:r>
    </w:p>
    <w:p w:rsidR="00DE7202" w:rsidRDefault="0082077B" w:rsidP="001719B7">
      <w:pPr>
        <w:spacing w:beforeLines="50" w:before="120" w:afterLines="50" w:after="120" w:line="360" w:lineRule="auto"/>
        <w:ind w:firstLineChars="200" w:firstLine="520"/>
        <w:rPr>
          <w:rFonts w:eastAsia="標楷體"/>
          <w:sz w:val="26"/>
          <w:szCs w:val="26"/>
        </w:rPr>
      </w:pPr>
      <w:bookmarkStart w:id="11" w:name="_Toc221678472"/>
      <w:bookmarkStart w:id="12" w:name="_Toc221678473"/>
      <w:bookmarkStart w:id="13" w:name="_Toc221678474"/>
      <w:bookmarkStart w:id="14" w:name="_Toc221678475"/>
      <w:bookmarkStart w:id="15" w:name="_Toc221678476"/>
      <w:bookmarkStart w:id="16" w:name="_Toc221678477"/>
      <w:bookmarkStart w:id="17" w:name="_Toc221678478"/>
      <w:bookmarkStart w:id="18" w:name="_Toc221678479"/>
      <w:bookmarkStart w:id="19" w:name="_Toc221678480"/>
      <w:bookmarkStart w:id="20" w:name="_Toc221678481"/>
      <w:bookmarkEnd w:id="11"/>
      <w:bookmarkEnd w:id="12"/>
      <w:bookmarkEnd w:id="13"/>
      <w:bookmarkEnd w:id="14"/>
      <w:bookmarkEnd w:id="15"/>
      <w:bookmarkEnd w:id="16"/>
      <w:bookmarkEnd w:id="17"/>
      <w:bookmarkEnd w:id="18"/>
      <w:bookmarkEnd w:id="19"/>
      <w:bookmarkEnd w:id="20"/>
      <w:r w:rsidRPr="0082077B">
        <w:rPr>
          <w:rFonts w:eastAsia="標楷體" w:hint="eastAsia"/>
          <w:sz w:val="26"/>
          <w:szCs w:val="26"/>
        </w:rPr>
        <w:t>萊迪思台灣分公司符合本</w:t>
      </w:r>
      <w:proofErr w:type="gramStart"/>
      <w:r w:rsidRPr="0082077B">
        <w:rPr>
          <w:rFonts w:eastAsia="標楷體" w:hint="eastAsia"/>
          <w:sz w:val="26"/>
          <w:szCs w:val="26"/>
        </w:rPr>
        <w:t>解釋令第一點</w:t>
      </w:r>
      <w:proofErr w:type="gramEnd"/>
      <w:r w:rsidRPr="0082077B">
        <w:rPr>
          <w:rFonts w:eastAsia="標楷體" w:hint="eastAsia"/>
          <w:sz w:val="26"/>
          <w:szCs w:val="26"/>
        </w:rPr>
        <w:t>（三）規定，故可以替代文據取代移轉訂價報告。</w:t>
      </w:r>
    </w:p>
    <w:p w:rsidR="00B8406A" w:rsidRPr="00EA272E" w:rsidRDefault="00B8406A" w:rsidP="005C6620">
      <w:pPr>
        <w:rPr>
          <w:rFonts w:eastAsia="標楷體"/>
        </w:rPr>
      </w:pPr>
    </w:p>
    <w:p w:rsidR="00B8406A" w:rsidRPr="00EA272E" w:rsidRDefault="00B8406A" w:rsidP="005C6620">
      <w:pPr>
        <w:rPr>
          <w:rFonts w:eastAsia="標楷體"/>
        </w:rPr>
        <w:sectPr w:rsidR="00B8406A" w:rsidRPr="00EA272E" w:rsidSect="000223C9">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bookmarkStart w:id="21" w:name="_Toc253154507"/>
    <w:bookmarkStart w:id="22" w:name="_Toc253154575"/>
    <w:bookmarkStart w:id="23" w:name="_Toc272326006"/>
    <w:bookmarkStart w:id="24" w:name="_Toc272326634"/>
    <w:bookmarkStart w:id="25" w:name="_Toc272326813"/>
    <w:bookmarkStart w:id="26" w:name="_Toc275960646"/>
    <w:p w:rsidR="007821E9" w:rsidRPr="00EA272E" w:rsidRDefault="00EE4220"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3120" behindDoc="0" locked="0" layoutInCell="1" allowOverlap="1" wp14:anchorId="442B3CCB" wp14:editId="49C81B2D">
                <wp:simplePos x="0" y="0"/>
                <wp:positionH relativeFrom="column">
                  <wp:posOffset>4667250</wp:posOffset>
                </wp:positionH>
                <wp:positionV relativeFrom="paragraph">
                  <wp:posOffset>0</wp:posOffset>
                </wp:positionV>
                <wp:extent cx="720090" cy="720090"/>
                <wp:effectExtent l="9525" t="9525" r="13335" b="13335"/>
                <wp:wrapNone/>
                <wp:docPr id="22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7B5D" w:rsidRPr="00DD5AB2" w:rsidRDefault="00697B5D"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7.5pt;margin-top:0;width:56.7pt;height:56.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">
                <v:textbox>
                  <w:txbxContent>
                    <w:p w:rsidR="00697B5D" w:rsidRPr="00DD5AB2" w:rsidRDefault="00697B5D"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1"/>
      <w:bookmarkEnd w:id="22"/>
      <w:bookmarkEnd w:id="23"/>
      <w:bookmarkEnd w:id="24"/>
      <w:bookmarkEnd w:id="25"/>
      <w:bookmarkEnd w:id="26"/>
    </w:p>
    <w:p w:rsidR="007F3EF4" w:rsidRPr="00EA272E"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0E26E4" w:rsidRDefault="00A439EA" w:rsidP="002C3C01">
      <w:pPr>
        <w:pStyle w:val="1"/>
        <w:numPr>
          <w:ilvl w:val="0"/>
          <w:numId w:val="29"/>
        </w:numPr>
        <w:spacing w:before="100" w:beforeAutospacing="1" w:after="100" w:afterAutospacing="1" w:line="360" w:lineRule="auto"/>
        <w:ind w:rightChars="-19" w:right="-46"/>
        <w:jc w:val="center"/>
        <w:rPr>
          <w:rFonts w:ascii="Times New Roman" w:eastAsia="標楷體" w:hAnsi="Times New Roman"/>
          <w:sz w:val="44"/>
          <w:szCs w:val="46"/>
        </w:rPr>
      </w:pPr>
      <w:bookmarkStart w:id="27" w:name="_Toc359935468"/>
      <w:r w:rsidRPr="000E26E4">
        <w:rPr>
          <w:rFonts w:ascii="Times New Roman" w:eastAsia="標楷體" w:hAnsi="Times New Roman" w:hint="eastAsia"/>
          <w:sz w:val="44"/>
          <w:szCs w:val="46"/>
        </w:rPr>
        <w:t>背景資訊</w:t>
      </w:r>
      <w:r w:rsidR="008E0EB4" w:rsidRPr="000E26E4">
        <w:rPr>
          <w:rFonts w:ascii="Times New Roman" w:eastAsia="標楷體" w:hAnsi="Times New Roman" w:hint="eastAsia"/>
          <w:sz w:val="44"/>
          <w:szCs w:val="46"/>
        </w:rPr>
        <w:t>及產業</w:t>
      </w:r>
      <w:r w:rsidR="00EB094D" w:rsidRPr="000E26E4">
        <w:rPr>
          <w:rFonts w:ascii="Times New Roman" w:eastAsia="標楷體" w:hAnsi="Times New Roman" w:hint="eastAsia"/>
          <w:sz w:val="44"/>
          <w:szCs w:val="46"/>
        </w:rPr>
        <w:t>經濟現</w:t>
      </w:r>
      <w:r w:rsidR="008E0EB4" w:rsidRPr="000E26E4">
        <w:rPr>
          <w:rFonts w:ascii="Times New Roman" w:eastAsia="標楷體" w:hAnsi="Times New Roman" w:hint="eastAsia"/>
          <w:sz w:val="44"/>
          <w:szCs w:val="46"/>
        </w:rPr>
        <w:t>況</w:t>
      </w:r>
      <w:bookmarkEnd w:id="27"/>
    </w:p>
    <w:p w:rsidR="00DE7202" w:rsidRDefault="00E13CED" w:rsidP="001719B7">
      <w:pPr>
        <w:pStyle w:val="2"/>
        <w:numPr>
          <w:ilvl w:val="1"/>
          <w:numId w:val="4"/>
        </w:numPr>
        <w:tabs>
          <w:tab w:val="left" w:pos="756"/>
        </w:tabs>
        <w:spacing w:beforeLines="100" w:before="240" w:afterLines="100" w:after="240" w:line="360" w:lineRule="auto"/>
        <w:ind w:left="0" w:firstLine="0"/>
        <w:rPr>
          <w:rFonts w:ascii="Times New Roman" w:eastAsia="標楷體" w:hAnsi="Times New Roman"/>
          <w:sz w:val="36"/>
          <w:szCs w:val="40"/>
        </w:rPr>
      </w:pPr>
      <w:bookmarkStart w:id="28" w:name="_Toc158135133"/>
      <w:bookmarkStart w:id="29" w:name="_Toc166242646"/>
      <w:r>
        <w:rPr>
          <w:rFonts w:ascii="Times New Roman" w:eastAsia="標楷體" w:hAnsi="Times New Roman" w:hint="eastAsia"/>
          <w:sz w:val="36"/>
          <w:szCs w:val="40"/>
        </w:rPr>
        <w:t>背景資訊</w:t>
      </w:r>
    </w:p>
    <w:bookmarkEnd w:id="28"/>
    <w:bookmarkEnd w:id="29"/>
    <w:p w:rsidR="00DE7202" w:rsidRDefault="00E13CED" w:rsidP="001719B7">
      <w:pPr>
        <w:pStyle w:val="3"/>
        <w:numPr>
          <w:ilvl w:val="0"/>
          <w:numId w:val="5"/>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公司綜</w:t>
      </w:r>
      <w:proofErr w:type="gramStart"/>
      <w:r>
        <w:rPr>
          <w:rFonts w:ascii="Times New Roman" w:eastAsia="標楷體" w:hAnsi="Times New Roman" w:hint="eastAsia"/>
          <w:sz w:val="32"/>
        </w:rPr>
        <w:t>覽</w:t>
      </w:r>
      <w:proofErr w:type="gramEnd"/>
    </w:p>
    <w:p w:rsidR="00DE7202" w:rsidRDefault="00ED4FC0" w:rsidP="001719B7">
      <w:pPr>
        <w:numPr>
          <w:ilvl w:val="0"/>
          <w:numId w:val="9"/>
        </w:numPr>
        <w:tabs>
          <w:tab w:val="left" w:pos="1134"/>
        </w:tabs>
        <w:spacing w:beforeLines="50" w:before="120" w:afterLines="50" w:after="120" w:line="360" w:lineRule="auto"/>
        <w:ind w:leftChars="250" w:left="1080"/>
        <w:jc w:val="both"/>
        <w:rPr>
          <w:rFonts w:eastAsia="標楷體"/>
          <w:b/>
          <w:sz w:val="28"/>
          <w:szCs w:val="28"/>
        </w:rPr>
      </w:pPr>
      <w:r w:rsidRPr="00E13CED">
        <w:rPr>
          <w:rFonts w:eastAsia="標楷體" w:hint="eastAsia"/>
          <w:b/>
          <w:sz w:val="28"/>
          <w:szCs w:val="28"/>
        </w:rPr>
        <w:t>營運歷史及背景</w:t>
      </w:r>
    </w:p>
    <w:p w:rsidR="00DE7202" w:rsidRDefault="003A761B" w:rsidP="001719B7">
      <w:pPr>
        <w:spacing w:beforeLines="50" w:before="120" w:afterLines="50" w:after="120" w:line="360" w:lineRule="auto"/>
        <w:ind w:leftChars="200" w:left="480" w:firstLineChars="200" w:firstLine="520"/>
        <w:jc w:val="both"/>
        <w:rPr>
          <w:rFonts w:eastAsia="標楷體"/>
          <w:sz w:val="26"/>
          <w:szCs w:val="26"/>
        </w:rPr>
      </w:pPr>
      <w:r w:rsidRPr="00CD67D5">
        <w:rPr>
          <w:rFonts w:eastAsia="標楷體" w:hint="eastAsia"/>
          <w:sz w:val="26"/>
          <w:szCs w:val="26"/>
        </w:rPr>
        <w:t>萊迪思台灣分公司</w:t>
      </w:r>
      <w:r w:rsidR="00D71381" w:rsidRPr="00CD67D5">
        <w:rPr>
          <w:rFonts w:eastAsia="標楷體" w:hint="eastAsia"/>
          <w:sz w:val="26"/>
          <w:szCs w:val="26"/>
        </w:rPr>
        <w:t>於民國</w:t>
      </w:r>
      <w:r w:rsidR="00A757EA" w:rsidRPr="00CD67D5">
        <w:rPr>
          <w:rFonts w:eastAsia="標楷體" w:hint="eastAsia"/>
          <w:sz w:val="26"/>
          <w:szCs w:val="26"/>
        </w:rPr>
        <w:t>86</w:t>
      </w:r>
      <w:r w:rsidR="00D71381" w:rsidRPr="00CD67D5">
        <w:rPr>
          <w:rFonts w:eastAsia="標楷體" w:hint="eastAsia"/>
          <w:sz w:val="26"/>
          <w:szCs w:val="26"/>
        </w:rPr>
        <w:t>年成立</w:t>
      </w:r>
      <w:r w:rsidR="00ED4FC0" w:rsidRPr="00CD67D5">
        <w:rPr>
          <w:rFonts w:eastAsia="標楷體" w:hint="eastAsia"/>
          <w:sz w:val="26"/>
          <w:szCs w:val="26"/>
        </w:rPr>
        <w:t>，為</w:t>
      </w:r>
      <w:r w:rsidR="001C0FAC" w:rsidRPr="00CD67D5">
        <w:rPr>
          <w:rFonts w:eastAsia="標楷體"/>
          <w:sz w:val="26"/>
          <w:szCs w:val="26"/>
        </w:rPr>
        <w:t>Lattice Semiconductor International LLC</w:t>
      </w:r>
      <w:r w:rsidR="00357798" w:rsidRPr="00CD67D5">
        <w:rPr>
          <w:rFonts w:eastAsia="標楷體"/>
          <w:sz w:val="26"/>
          <w:szCs w:val="26"/>
        </w:rPr>
        <w:t>（以下簡稱『</w:t>
      </w:r>
      <w:r w:rsidR="00357798" w:rsidRPr="00CD67D5">
        <w:rPr>
          <w:rFonts w:eastAsia="標楷體" w:hint="eastAsia"/>
          <w:sz w:val="26"/>
          <w:szCs w:val="26"/>
        </w:rPr>
        <w:t>L</w:t>
      </w:r>
      <w:r w:rsidR="00CE1B0F" w:rsidRPr="00CD67D5">
        <w:rPr>
          <w:rFonts w:eastAsia="標楷體" w:hint="eastAsia"/>
          <w:sz w:val="26"/>
          <w:szCs w:val="26"/>
        </w:rPr>
        <w:t>SI</w:t>
      </w:r>
      <w:r w:rsidR="00357798" w:rsidRPr="00CD67D5">
        <w:rPr>
          <w:rFonts w:eastAsia="標楷體" w:hint="eastAsia"/>
          <w:sz w:val="26"/>
          <w:szCs w:val="26"/>
        </w:rPr>
        <w:t>）</w:t>
      </w:r>
      <w:r w:rsidR="00ED4FC0" w:rsidRPr="00CD67D5">
        <w:rPr>
          <w:rFonts w:eastAsia="標楷體" w:hint="eastAsia"/>
          <w:sz w:val="26"/>
          <w:szCs w:val="26"/>
        </w:rPr>
        <w:t>之</w:t>
      </w:r>
      <w:r w:rsidR="009E0AB1" w:rsidRPr="00CD67D5">
        <w:rPr>
          <w:rFonts w:eastAsia="標楷體" w:hint="eastAsia"/>
          <w:sz w:val="26"/>
          <w:szCs w:val="26"/>
        </w:rPr>
        <w:t>台灣分</w:t>
      </w:r>
      <w:r w:rsidR="00ED4FC0" w:rsidRPr="00CD67D5">
        <w:rPr>
          <w:rFonts w:eastAsia="標楷體" w:hint="eastAsia"/>
          <w:sz w:val="26"/>
          <w:szCs w:val="26"/>
        </w:rPr>
        <w:t>公司</w:t>
      </w:r>
      <w:r w:rsidR="009E0AB1" w:rsidRPr="00CD67D5">
        <w:rPr>
          <w:rFonts w:eastAsia="標楷體" w:hint="eastAsia"/>
          <w:sz w:val="26"/>
          <w:szCs w:val="26"/>
        </w:rPr>
        <w:t>，</w:t>
      </w:r>
      <w:r w:rsidR="00FD11F6" w:rsidRPr="00CD67D5">
        <w:rPr>
          <w:rFonts w:eastAsia="標楷體"/>
          <w:sz w:val="26"/>
          <w:szCs w:val="26"/>
        </w:rPr>
        <w:t>Lattice SG Pte. Ltd</w:t>
      </w:r>
      <w:r w:rsidR="0062079F" w:rsidRPr="00CD67D5">
        <w:rPr>
          <w:rFonts w:eastAsia="標楷體"/>
          <w:sz w:val="26"/>
          <w:szCs w:val="26"/>
        </w:rPr>
        <w:t>（以下簡稱『</w:t>
      </w:r>
      <w:r w:rsidR="00357798" w:rsidRPr="00CD67D5">
        <w:rPr>
          <w:rFonts w:eastAsia="標楷體" w:hint="eastAsia"/>
          <w:sz w:val="26"/>
          <w:szCs w:val="26"/>
        </w:rPr>
        <w:t>LSG</w:t>
      </w:r>
      <w:r w:rsidR="0062079F" w:rsidRPr="00CD67D5">
        <w:rPr>
          <w:rFonts w:eastAsia="標楷體" w:hint="eastAsia"/>
          <w:sz w:val="26"/>
          <w:szCs w:val="26"/>
        </w:rPr>
        <w:t>）</w:t>
      </w:r>
      <w:r w:rsidR="00FD11F6" w:rsidRPr="00CD67D5">
        <w:rPr>
          <w:rFonts w:eastAsia="標楷體" w:hint="eastAsia"/>
          <w:sz w:val="26"/>
          <w:szCs w:val="26"/>
        </w:rPr>
        <w:t>為</w:t>
      </w:r>
      <w:r w:rsidR="001C0FAC" w:rsidRPr="00CD67D5">
        <w:rPr>
          <w:rFonts w:eastAsia="標楷體"/>
          <w:sz w:val="26"/>
          <w:szCs w:val="26"/>
        </w:rPr>
        <w:t>L</w:t>
      </w:r>
      <w:r w:rsidR="00CE1B0F" w:rsidRPr="00CD67D5">
        <w:rPr>
          <w:rFonts w:eastAsia="標楷體" w:hint="eastAsia"/>
          <w:sz w:val="26"/>
          <w:szCs w:val="26"/>
        </w:rPr>
        <w:t>SI</w:t>
      </w:r>
      <w:r w:rsidR="001C0FAC" w:rsidRPr="00CD67D5">
        <w:rPr>
          <w:rFonts w:eastAsia="標楷體" w:hint="eastAsia"/>
          <w:sz w:val="26"/>
          <w:szCs w:val="26"/>
        </w:rPr>
        <w:t>之母公司</w:t>
      </w:r>
      <w:r w:rsidR="00FD11F6" w:rsidRPr="00CD67D5">
        <w:rPr>
          <w:rFonts w:eastAsia="標楷體" w:hint="eastAsia"/>
          <w:sz w:val="26"/>
          <w:szCs w:val="26"/>
        </w:rPr>
        <w:t>，而集團</w:t>
      </w:r>
      <w:r w:rsidR="009E0AB1" w:rsidRPr="00CD67D5">
        <w:rPr>
          <w:rFonts w:eastAsia="標楷體" w:hint="eastAsia"/>
          <w:sz w:val="26"/>
          <w:szCs w:val="26"/>
        </w:rPr>
        <w:t>最終</w:t>
      </w:r>
      <w:r w:rsidR="00FD11F6" w:rsidRPr="00CD67D5">
        <w:rPr>
          <w:rFonts w:eastAsia="標楷體" w:hint="eastAsia"/>
          <w:sz w:val="26"/>
          <w:szCs w:val="26"/>
        </w:rPr>
        <w:t>之</w:t>
      </w:r>
      <w:r w:rsidR="009E0AB1" w:rsidRPr="00CD67D5">
        <w:rPr>
          <w:rFonts w:eastAsia="標楷體" w:hint="eastAsia"/>
          <w:sz w:val="26"/>
          <w:szCs w:val="26"/>
        </w:rPr>
        <w:t>母公司為</w:t>
      </w:r>
      <w:r w:rsidR="009E0AB1" w:rsidRPr="00CD67D5">
        <w:rPr>
          <w:rFonts w:eastAsia="標楷體"/>
          <w:sz w:val="26"/>
          <w:szCs w:val="26"/>
        </w:rPr>
        <w:t>L</w:t>
      </w:r>
      <w:r w:rsidR="009E0AB1" w:rsidRPr="00CD67D5">
        <w:rPr>
          <w:rFonts w:eastAsia="標楷體" w:hint="eastAsia"/>
          <w:sz w:val="26"/>
          <w:szCs w:val="26"/>
        </w:rPr>
        <w:t xml:space="preserve">attice </w:t>
      </w:r>
      <w:r w:rsidR="009E0AB1" w:rsidRPr="00CD67D5">
        <w:rPr>
          <w:rFonts w:eastAsia="標楷體"/>
          <w:sz w:val="26"/>
          <w:szCs w:val="26"/>
        </w:rPr>
        <w:t>S</w:t>
      </w:r>
      <w:r w:rsidR="009E0AB1" w:rsidRPr="00CD67D5">
        <w:rPr>
          <w:rFonts w:eastAsia="標楷體" w:hint="eastAsia"/>
          <w:sz w:val="26"/>
          <w:szCs w:val="26"/>
        </w:rPr>
        <w:t>emiconductor</w:t>
      </w:r>
      <w:r w:rsidR="009E0AB1" w:rsidRPr="00CD67D5">
        <w:rPr>
          <w:rFonts w:eastAsia="標楷體"/>
          <w:sz w:val="26"/>
          <w:szCs w:val="26"/>
        </w:rPr>
        <w:t xml:space="preserve"> C</w:t>
      </w:r>
      <w:r w:rsidR="009E0AB1" w:rsidRPr="00697B5D">
        <w:rPr>
          <w:rFonts w:eastAsia="標楷體" w:hint="eastAsia"/>
          <w:sz w:val="26"/>
          <w:szCs w:val="26"/>
        </w:rPr>
        <w:t>orporation</w:t>
      </w:r>
      <w:r w:rsidR="00B93C06" w:rsidRPr="00697B5D">
        <w:rPr>
          <w:rFonts w:eastAsia="標楷體"/>
          <w:sz w:val="26"/>
          <w:szCs w:val="26"/>
        </w:rPr>
        <w:t>（以下簡稱『</w:t>
      </w:r>
      <w:r w:rsidR="00B93C06" w:rsidRPr="00697B5D">
        <w:rPr>
          <w:rFonts w:eastAsia="標楷體" w:hint="eastAsia"/>
          <w:sz w:val="26"/>
          <w:szCs w:val="26"/>
        </w:rPr>
        <w:t>LSC</w:t>
      </w:r>
      <w:r w:rsidR="00B93C06" w:rsidRPr="00697B5D">
        <w:rPr>
          <w:rFonts w:eastAsia="標楷體" w:hint="eastAsia"/>
          <w:sz w:val="26"/>
          <w:szCs w:val="26"/>
        </w:rPr>
        <w:t>）</w:t>
      </w:r>
      <w:r w:rsidR="00A439EA" w:rsidRPr="00697B5D">
        <w:rPr>
          <w:rFonts w:eastAsia="標楷體" w:hint="eastAsia"/>
          <w:sz w:val="26"/>
          <w:szCs w:val="26"/>
        </w:rPr>
        <w:t>。</w:t>
      </w:r>
      <w:r w:rsidR="00ED4FC0" w:rsidRPr="00697B5D">
        <w:rPr>
          <w:rFonts w:eastAsia="標楷體" w:hint="eastAsia"/>
          <w:sz w:val="26"/>
          <w:szCs w:val="26"/>
        </w:rPr>
        <w:t>截至</w:t>
      </w:r>
      <w:r w:rsidR="009326DA" w:rsidRPr="00697B5D">
        <w:rPr>
          <w:rFonts w:eastAsia="標楷體" w:hint="eastAsia"/>
          <w:color w:val="000000" w:themeColor="text1"/>
          <w:sz w:val="26"/>
          <w:szCs w:val="26"/>
        </w:rPr>
        <w:t>10</w:t>
      </w:r>
      <w:r w:rsidR="00694744" w:rsidRPr="00697B5D">
        <w:rPr>
          <w:rFonts w:eastAsia="標楷體" w:hint="eastAsia"/>
          <w:color w:val="000000" w:themeColor="text1"/>
          <w:sz w:val="26"/>
          <w:szCs w:val="26"/>
        </w:rPr>
        <w:t>5</w:t>
      </w:r>
      <w:r w:rsidR="00926917" w:rsidRPr="00697B5D">
        <w:rPr>
          <w:rFonts w:eastAsia="標楷體" w:hint="eastAsia"/>
          <w:sz w:val="26"/>
          <w:szCs w:val="26"/>
        </w:rPr>
        <w:t>年</w:t>
      </w:r>
      <w:r w:rsidR="00926917" w:rsidRPr="00697B5D">
        <w:rPr>
          <w:rFonts w:eastAsia="標楷體" w:hint="eastAsia"/>
          <w:sz w:val="26"/>
          <w:szCs w:val="26"/>
        </w:rPr>
        <w:t>12</w:t>
      </w:r>
      <w:r w:rsidR="00926917" w:rsidRPr="00697B5D">
        <w:rPr>
          <w:rFonts w:eastAsia="標楷體" w:hint="eastAsia"/>
          <w:sz w:val="26"/>
          <w:szCs w:val="26"/>
        </w:rPr>
        <w:t>月</w:t>
      </w:r>
      <w:r w:rsidR="00926917" w:rsidRPr="00697B5D">
        <w:rPr>
          <w:rFonts w:eastAsia="標楷體" w:hint="eastAsia"/>
          <w:sz w:val="26"/>
          <w:szCs w:val="26"/>
        </w:rPr>
        <w:t>31</w:t>
      </w:r>
      <w:r w:rsidR="00926917" w:rsidRPr="00697B5D">
        <w:rPr>
          <w:rFonts w:eastAsia="標楷體" w:hint="eastAsia"/>
          <w:sz w:val="26"/>
          <w:szCs w:val="26"/>
        </w:rPr>
        <w:t>日止</w:t>
      </w:r>
      <w:r w:rsidR="00ED4FC0" w:rsidRPr="00697B5D">
        <w:rPr>
          <w:rFonts w:eastAsia="標楷體" w:hint="eastAsia"/>
          <w:sz w:val="26"/>
          <w:szCs w:val="26"/>
        </w:rPr>
        <w:t>實收</w:t>
      </w:r>
      <w:r w:rsidR="00D176AF" w:rsidRPr="00697B5D">
        <w:rPr>
          <w:rFonts w:eastAsia="標楷體" w:hint="eastAsia"/>
          <w:sz w:val="26"/>
          <w:szCs w:val="26"/>
        </w:rPr>
        <w:t>營運資金</w:t>
      </w:r>
      <w:r w:rsidR="00ED4FC0" w:rsidRPr="00697B5D">
        <w:rPr>
          <w:rFonts w:eastAsia="標楷體" w:hint="eastAsia"/>
          <w:sz w:val="26"/>
          <w:szCs w:val="26"/>
        </w:rPr>
        <w:t>為新台幣</w:t>
      </w:r>
      <w:r w:rsidR="00A757EA" w:rsidRPr="00697B5D">
        <w:rPr>
          <w:rFonts w:eastAsia="標楷體" w:hint="eastAsia"/>
          <w:sz w:val="26"/>
          <w:szCs w:val="26"/>
        </w:rPr>
        <w:t>1,000,000</w:t>
      </w:r>
      <w:r w:rsidR="00ED4FC0" w:rsidRPr="00697B5D">
        <w:rPr>
          <w:rFonts w:eastAsia="標楷體" w:hint="eastAsia"/>
          <w:sz w:val="26"/>
          <w:szCs w:val="26"/>
        </w:rPr>
        <w:t>元，員工人數</w:t>
      </w:r>
      <w:r w:rsidR="001B0D7A" w:rsidRPr="00697B5D">
        <w:rPr>
          <w:rFonts w:eastAsia="標楷體"/>
          <w:sz w:val="26"/>
          <w:szCs w:val="26"/>
        </w:rPr>
        <w:t>5</w:t>
      </w:r>
      <w:r w:rsidR="00ED4FC0" w:rsidRPr="00697B5D">
        <w:rPr>
          <w:rFonts w:eastAsia="標楷體" w:hint="eastAsia"/>
          <w:sz w:val="26"/>
          <w:szCs w:val="26"/>
        </w:rPr>
        <w:t>人。</w:t>
      </w:r>
    </w:p>
    <w:p w:rsidR="00DE7202" w:rsidRDefault="00AE33A8" w:rsidP="001719B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LSC</w:t>
      </w:r>
      <w:r w:rsidR="005A4DA5" w:rsidRPr="005A4DA5">
        <w:rPr>
          <w:rFonts w:eastAsia="標楷體" w:hint="eastAsia"/>
          <w:sz w:val="26"/>
          <w:szCs w:val="26"/>
        </w:rPr>
        <w:t>於</w:t>
      </w:r>
      <w:r w:rsidR="005A4DA5" w:rsidRPr="005A4DA5">
        <w:rPr>
          <w:rFonts w:eastAsia="標楷體" w:hint="eastAsia"/>
          <w:sz w:val="26"/>
          <w:szCs w:val="26"/>
        </w:rPr>
        <w:t>1983</w:t>
      </w:r>
      <w:r w:rsidR="005A4DA5" w:rsidRPr="005A4DA5">
        <w:rPr>
          <w:rFonts w:eastAsia="標楷體" w:hint="eastAsia"/>
          <w:sz w:val="26"/>
          <w:szCs w:val="26"/>
        </w:rPr>
        <w:t>年在美國奧勒岡州成立，從事可程式化邏輯元件（</w:t>
      </w:r>
      <w:r w:rsidR="005A4DA5" w:rsidRPr="005A4DA5">
        <w:rPr>
          <w:rFonts w:eastAsia="標楷體" w:hint="eastAsia"/>
          <w:sz w:val="26"/>
          <w:szCs w:val="26"/>
        </w:rPr>
        <w:t>PLD</w:t>
      </w:r>
      <w:r w:rsidR="005A4DA5" w:rsidRPr="005A4DA5">
        <w:rPr>
          <w:rFonts w:eastAsia="標楷體" w:hint="eastAsia"/>
          <w:sz w:val="26"/>
          <w:szCs w:val="26"/>
        </w:rPr>
        <w:t>）之研究及開發。於</w:t>
      </w:r>
      <w:r w:rsidR="005A4DA5" w:rsidRPr="005A4DA5">
        <w:rPr>
          <w:rFonts w:eastAsia="標楷體" w:hint="eastAsia"/>
          <w:sz w:val="26"/>
          <w:szCs w:val="26"/>
        </w:rPr>
        <w:t>1989</w:t>
      </w:r>
      <w:r w:rsidR="005A4DA5" w:rsidRPr="005A4DA5">
        <w:rPr>
          <w:rFonts w:eastAsia="標楷體" w:hint="eastAsia"/>
          <w:sz w:val="26"/>
          <w:szCs w:val="26"/>
        </w:rPr>
        <w:t>年上市，</w:t>
      </w:r>
      <w:r w:rsidR="005A4DA5" w:rsidRPr="005A4DA5">
        <w:rPr>
          <w:rFonts w:eastAsia="標楷體" w:hint="eastAsia"/>
          <w:sz w:val="26"/>
          <w:szCs w:val="26"/>
        </w:rPr>
        <w:t>1999</w:t>
      </w:r>
      <w:r w:rsidR="005A4DA5" w:rsidRPr="005A4DA5">
        <w:rPr>
          <w:rFonts w:eastAsia="標楷體" w:hint="eastAsia"/>
          <w:sz w:val="26"/>
          <w:szCs w:val="26"/>
        </w:rPr>
        <w:t>年與美國半導體大廠美商超微半導體（</w:t>
      </w:r>
      <w:r w:rsidR="005A4DA5" w:rsidRPr="005A4DA5">
        <w:rPr>
          <w:rFonts w:eastAsia="標楷體" w:hint="eastAsia"/>
          <w:sz w:val="26"/>
          <w:szCs w:val="26"/>
        </w:rPr>
        <w:t>AMD</w:t>
      </w:r>
      <w:r w:rsidR="005A4DA5" w:rsidRPr="005A4DA5">
        <w:rPr>
          <w:rFonts w:eastAsia="標楷體" w:hint="eastAsia"/>
          <w:sz w:val="26"/>
          <w:szCs w:val="26"/>
        </w:rPr>
        <w:t>）</w:t>
      </w:r>
      <w:r w:rsidR="005A4DA5" w:rsidRPr="005A4DA5">
        <w:rPr>
          <w:rFonts w:eastAsia="標楷體" w:hint="eastAsia"/>
          <w:sz w:val="26"/>
          <w:szCs w:val="26"/>
        </w:rPr>
        <w:t>PLD</w:t>
      </w:r>
      <w:r w:rsidR="005A4DA5" w:rsidRPr="005A4DA5">
        <w:rPr>
          <w:rFonts w:eastAsia="標楷體" w:hint="eastAsia"/>
          <w:sz w:val="26"/>
          <w:szCs w:val="26"/>
        </w:rPr>
        <w:t>部門合併，</w:t>
      </w:r>
      <w:r w:rsidR="005A4DA5" w:rsidRPr="005A4DA5">
        <w:rPr>
          <w:rFonts w:eastAsia="標楷體" w:hint="eastAsia"/>
          <w:sz w:val="26"/>
          <w:szCs w:val="26"/>
        </w:rPr>
        <w:t>2002</w:t>
      </w:r>
      <w:r w:rsidR="005A4DA5" w:rsidRPr="005A4DA5">
        <w:rPr>
          <w:rFonts w:eastAsia="標楷體" w:hint="eastAsia"/>
          <w:sz w:val="26"/>
          <w:szCs w:val="26"/>
        </w:rPr>
        <w:t>年與通訊設備大</w:t>
      </w:r>
      <w:proofErr w:type="gramStart"/>
      <w:r w:rsidR="005A4DA5" w:rsidRPr="005A4DA5">
        <w:rPr>
          <w:rFonts w:eastAsia="標楷體" w:hint="eastAsia"/>
          <w:sz w:val="26"/>
          <w:szCs w:val="26"/>
        </w:rPr>
        <w:t>廠傑爾</w:t>
      </w:r>
      <w:proofErr w:type="gramEnd"/>
      <w:r w:rsidR="005A4DA5" w:rsidRPr="005A4DA5">
        <w:rPr>
          <w:rFonts w:eastAsia="標楷體" w:hint="eastAsia"/>
          <w:sz w:val="26"/>
          <w:szCs w:val="26"/>
        </w:rPr>
        <w:t>系統（</w:t>
      </w:r>
      <w:proofErr w:type="spellStart"/>
      <w:r w:rsidR="005A4DA5" w:rsidRPr="005A4DA5">
        <w:rPr>
          <w:rFonts w:eastAsia="標楷體" w:hint="eastAsia"/>
          <w:sz w:val="26"/>
          <w:szCs w:val="26"/>
        </w:rPr>
        <w:t>Agere</w:t>
      </w:r>
      <w:proofErr w:type="spellEnd"/>
      <w:r w:rsidR="005A4DA5" w:rsidRPr="005A4DA5">
        <w:rPr>
          <w:rFonts w:eastAsia="標楷體" w:hint="eastAsia"/>
          <w:sz w:val="26"/>
          <w:szCs w:val="26"/>
        </w:rPr>
        <w:t xml:space="preserve"> Systems</w:t>
      </w:r>
      <w:r w:rsidR="005A4DA5" w:rsidRPr="005A4DA5">
        <w:rPr>
          <w:rFonts w:eastAsia="標楷體" w:hint="eastAsia"/>
          <w:sz w:val="26"/>
          <w:szCs w:val="26"/>
        </w:rPr>
        <w:t>）合併。</w:t>
      </w:r>
      <w:r w:rsidR="007974E8" w:rsidRPr="00AB0394">
        <w:rPr>
          <w:rFonts w:eastAsia="標楷體" w:hint="eastAsia"/>
          <w:sz w:val="26"/>
          <w:szCs w:val="26"/>
        </w:rPr>
        <w:t>客戶之行業別廣泛，包括通信業、設備製造商、電腦</w:t>
      </w:r>
      <w:proofErr w:type="gramStart"/>
      <w:r w:rsidR="007974E8" w:rsidRPr="00AB0394">
        <w:rPr>
          <w:rFonts w:eastAsia="標楷體" w:hint="eastAsia"/>
          <w:sz w:val="26"/>
          <w:szCs w:val="26"/>
        </w:rPr>
        <w:t>週</w:t>
      </w:r>
      <w:proofErr w:type="gramEnd"/>
      <w:r w:rsidR="007974E8" w:rsidRPr="00AB0394">
        <w:rPr>
          <w:rFonts w:eastAsia="標楷體" w:hint="eastAsia"/>
          <w:sz w:val="26"/>
          <w:szCs w:val="26"/>
        </w:rPr>
        <w:t>邊、工業控制、軍事設備及消費性電子產業。</w:t>
      </w:r>
    </w:p>
    <w:p w:rsidR="00DE7202" w:rsidRDefault="0013497D" w:rsidP="001719B7">
      <w:pPr>
        <w:numPr>
          <w:ilvl w:val="0"/>
          <w:numId w:val="9"/>
        </w:numPr>
        <w:tabs>
          <w:tab w:val="left" w:pos="1134"/>
        </w:tabs>
        <w:spacing w:beforeLines="50" w:before="120" w:afterLines="50" w:after="120" w:line="360" w:lineRule="auto"/>
        <w:ind w:leftChars="250" w:left="1080"/>
        <w:jc w:val="both"/>
        <w:rPr>
          <w:rFonts w:eastAsia="標楷體"/>
          <w:b/>
          <w:sz w:val="28"/>
          <w:szCs w:val="28"/>
        </w:rPr>
      </w:pPr>
      <w:r w:rsidRPr="00E13CED">
        <w:rPr>
          <w:rFonts w:eastAsia="標楷體"/>
          <w:b/>
          <w:sz w:val="28"/>
          <w:szCs w:val="28"/>
        </w:rPr>
        <w:t>主要</w:t>
      </w:r>
      <w:r w:rsidR="00105A31" w:rsidRPr="00E13CED">
        <w:rPr>
          <w:rFonts w:eastAsia="標楷體" w:hint="eastAsia"/>
          <w:b/>
          <w:sz w:val="28"/>
          <w:szCs w:val="28"/>
        </w:rPr>
        <w:t>商業活動說明</w:t>
      </w:r>
    </w:p>
    <w:p w:rsidR="00DE7202" w:rsidRDefault="001C5D1A" w:rsidP="001719B7">
      <w:pPr>
        <w:spacing w:beforeLines="50" w:before="120" w:afterLines="50" w:after="120" w:line="360" w:lineRule="auto"/>
        <w:ind w:leftChars="300" w:left="720" w:firstLineChars="200" w:firstLine="520"/>
        <w:jc w:val="both"/>
        <w:rPr>
          <w:rFonts w:eastAsia="標楷體"/>
          <w:sz w:val="26"/>
          <w:szCs w:val="26"/>
        </w:rPr>
      </w:pPr>
      <w:r w:rsidRPr="00533AD0">
        <w:rPr>
          <w:rFonts w:eastAsia="標楷體" w:hint="eastAsia"/>
          <w:sz w:val="26"/>
          <w:szCs w:val="26"/>
        </w:rPr>
        <w:t>萊迪思台灣分公司</w:t>
      </w:r>
      <w:r w:rsidR="008A2EFE" w:rsidRPr="00533AD0">
        <w:rPr>
          <w:rFonts w:eastAsia="標楷體" w:hint="eastAsia"/>
          <w:sz w:val="26"/>
          <w:szCs w:val="26"/>
        </w:rPr>
        <w:t>是為協助</w:t>
      </w:r>
      <w:r w:rsidR="00A02624" w:rsidRPr="00A02624">
        <w:rPr>
          <w:rFonts w:eastAsia="標楷體" w:hint="eastAsia"/>
          <w:sz w:val="26"/>
          <w:szCs w:val="26"/>
        </w:rPr>
        <w:t>關係企業</w:t>
      </w:r>
      <w:r w:rsidR="008A2EFE" w:rsidRPr="00533AD0">
        <w:rPr>
          <w:rFonts w:eastAsia="標楷體" w:hint="eastAsia"/>
          <w:sz w:val="26"/>
          <w:szCs w:val="26"/>
        </w:rPr>
        <w:t>與本地代理商及客戶連</w:t>
      </w:r>
      <w:proofErr w:type="gramStart"/>
      <w:r w:rsidR="008A2EFE" w:rsidRPr="00533AD0">
        <w:rPr>
          <w:rFonts w:eastAsia="標楷體" w:hint="eastAsia"/>
          <w:sz w:val="26"/>
          <w:szCs w:val="26"/>
        </w:rPr>
        <w:t>繫</w:t>
      </w:r>
      <w:proofErr w:type="gramEnd"/>
      <w:r w:rsidR="008A2EFE" w:rsidRPr="00533AD0">
        <w:rPr>
          <w:rFonts w:eastAsia="標楷體" w:hint="eastAsia"/>
          <w:sz w:val="26"/>
          <w:szCs w:val="26"/>
        </w:rPr>
        <w:t>溝通，並提供行政、銷售等相關支援服務，其詳細業務內容如下所示：</w:t>
      </w:r>
    </w:p>
    <w:p w:rsidR="00DE7202" w:rsidRDefault="008A2EFE" w:rsidP="001719B7">
      <w:pPr>
        <w:spacing w:beforeLines="50" w:before="120" w:afterLines="50" w:after="120" w:line="360" w:lineRule="auto"/>
        <w:ind w:leftChars="400" w:left="960"/>
        <w:jc w:val="both"/>
        <w:rPr>
          <w:rFonts w:eastAsia="標楷體"/>
          <w:sz w:val="26"/>
          <w:szCs w:val="26"/>
        </w:rPr>
      </w:pPr>
      <w:r w:rsidRPr="00533AD0">
        <w:rPr>
          <w:rFonts w:eastAsia="標楷體" w:hint="eastAsia"/>
          <w:sz w:val="26"/>
          <w:szCs w:val="26"/>
        </w:rPr>
        <w:sym w:font="Wingdings 2" w:char="F06A"/>
      </w:r>
      <w:r w:rsidRPr="00533AD0">
        <w:rPr>
          <w:rFonts w:eastAsia="標楷體" w:hint="eastAsia"/>
          <w:sz w:val="26"/>
          <w:szCs w:val="26"/>
        </w:rPr>
        <w:t>萊迪思台灣分公司為</w:t>
      </w:r>
      <w:r w:rsidR="00A02624">
        <w:rPr>
          <w:rFonts w:eastAsia="標楷體" w:hint="eastAsia"/>
          <w:sz w:val="26"/>
          <w:szCs w:val="26"/>
        </w:rPr>
        <w:t>關係企業</w:t>
      </w:r>
      <w:r w:rsidRPr="00533AD0">
        <w:rPr>
          <w:rFonts w:eastAsia="標楷體" w:hint="eastAsia"/>
          <w:sz w:val="26"/>
          <w:szCs w:val="26"/>
        </w:rPr>
        <w:t>與其代理商間之溝通橋樑。</w:t>
      </w:r>
    </w:p>
    <w:p w:rsidR="00DE7202" w:rsidRDefault="008A2EFE" w:rsidP="001719B7">
      <w:pPr>
        <w:spacing w:beforeLines="50" w:before="120" w:afterLines="50" w:after="120" w:line="360" w:lineRule="auto"/>
        <w:ind w:leftChars="400" w:left="960"/>
        <w:jc w:val="both"/>
        <w:rPr>
          <w:rFonts w:eastAsia="標楷體"/>
          <w:sz w:val="26"/>
          <w:szCs w:val="26"/>
        </w:rPr>
      </w:pPr>
      <w:r w:rsidRPr="00533AD0">
        <w:rPr>
          <w:rFonts w:eastAsia="標楷體" w:hint="eastAsia"/>
          <w:sz w:val="26"/>
          <w:szCs w:val="26"/>
        </w:rPr>
        <w:lastRenderedPageBreak/>
        <w:sym w:font="Wingdings 2" w:char="F06B"/>
      </w:r>
      <w:r w:rsidRPr="00533AD0">
        <w:rPr>
          <w:rFonts w:eastAsia="標楷體" w:hint="eastAsia"/>
          <w:sz w:val="26"/>
          <w:szCs w:val="26"/>
        </w:rPr>
        <w:t>協助代理商推廣</w:t>
      </w:r>
      <w:r w:rsidR="00720859" w:rsidRPr="00720859">
        <w:rPr>
          <w:rFonts w:eastAsia="標楷體" w:hint="eastAsia"/>
          <w:sz w:val="26"/>
          <w:szCs w:val="26"/>
        </w:rPr>
        <w:t>關係企業</w:t>
      </w:r>
      <w:r w:rsidRPr="00533AD0">
        <w:rPr>
          <w:rFonts w:eastAsia="標楷體" w:hint="eastAsia"/>
          <w:sz w:val="26"/>
          <w:szCs w:val="26"/>
        </w:rPr>
        <w:t>產品，在新產品推出時於平面媒體（如專業雜誌）上發佈廣告，廣告費由其與代理商分攤。</w:t>
      </w:r>
    </w:p>
    <w:p w:rsidR="00DE7202" w:rsidRDefault="008A2EFE" w:rsidP="001719B7">
      <w:pPr>
        <w:spacing w:beforeLines="50" w:before="120" w:afterLines="50" w:after="120" w:line="360" w:lineRule="auto"/>
        <w:ind w:leftChars="400" w:left="960"/>
        <w:jc w:val="both"/>
        <w:rPr>
          <w:rFonts w:eastAsia="標楷體"/>
          <w:sz w:val="26"/>
          <w:szCs w:val="26"/>
        </w:rPr>
      </w:pPr>
      <w:r w:rsidRPr="00533AD0">
        <w:rPr>
          <w:rFonts w:eastAsia="標楷體" w:hint="eastAsia"/>
          <w:sz w:val="26"/>
          <w:szCs w:val="26"/>
        </w:rPr>
        <w:sym w:font="Wingdings 2" w:char="F06C"/>
      </w:r>
      <w:r w:rsidRPr="00533AD0">
        <w:rPr>
          <w:rFonts w:eastAsia="標楷體" w:hint="eastAsia"/>
          <w:sz w:val="26"/>
          <w:szCs w:val="26"/>
        </w:rPr>
        <w:t>將客戶之詢問、訂單、潛在顧客名單及市場資訊交付</w:t>
      </w:r>
      <w:r w:rsidR="00A02624">
        <w:rPr>
          <w:rFonts w:eastAsia="標楷體" w:hint="eastAsia"/>
          <w:sz w:val="26"/>
          <w:szCs w:val="26"/>
        </w:rPr>
        <w:t>關係企業</w:t>
      </w:r>
      <w:r w:rsidRPr="00533AD0">
        <w:rPr>
          <w:rFonts w:eastAsia="標楷體" w:hint="eastAsia"/>
          <w:sz w:val="26"/>
          <w:szCs w:val="26"/>
        </w:rPr>
        <w:t>指定之代理商或獨立銷售代表。</w:t>
      </w:r>
    </w:p>
    <w:p w:rsidR="00DE7202" w:rsidRDefault="008A2EFE" w:rsidP="001719B7">
      <w:pPr>
        <w:spacing w:beforeLines="50" w:before="120" w:afterLines="50" w:after="120" w:line="360" w:lineRule="auto"/>
        <w:ind w:leftChars="400" w:left="960"/>
        <w:jc w:val="both"/>
        <w:rPr>
          <w:rFonts w:eastAsia="標楷體"/>
          <w:sz w:val="26"/>
          <w:szCs w:val="26"/>
        </w:rPr>
      </w:pPr>
      <w:r w:rsidRPr="00533AD0">
        <w:rPr>
          <w:rFonts w:eastAsia="標楷體" w:hint="eastAsia"/>
          <w:sz w:val="26"/>
          <w:szCs w:val="26"/>
        </w:rPr>
        <w:sym w:font="Wingdings 2" w:char="F06D"/>
      </w:r>
      <w:r w:rsidRPr="00533AD0">
        <w:rPr>
          <w:rFonts w:eastAsia="標楷體" w:hint="eastAsia"/>
          <w:sz w:val="26"/>
          <w:szCs w:val="26"/>
        </w:rPr>
        <w:t>協助</w:t>
      </w:r>
      <w:r w:rsidR="00A02624">
        <w:rPr>
          <w:rFonts w:eastAsia="標楷體" w:hint="eastAsia"/>
          <w:sz w:val="26"/>
          <w:szCs w:val="26"/>
        </w:rPr>
        <w:t>關係企業</w:t>
      </w:r>
      <w:r w:rsidRPr="00533AD0">
        <w:rPr>
          <w:rFonts w:eastAsia="標楷體" w:hint="eastAsia"/>
          <w:sz w:val="26"/>
          <w:szCs w:val="26"/>
        </w:rPr>
        <w:t>取得潛在客戶之信用及財務資料。</w:t>
      </w:r>
    </w:p>
    <w:p w:rsidR="00DE7202" w:rsidRDefault="008A2EFE" w:rsidP="001719B7">
      <w:pPr>
        <w:spacing w:beforeLines="50" w:before="120" w:afterLines="50" w:after="120" w:line="360" w:lineRule="auto"/>
        <w:ind w:leftChars="400" w:left="960"/>
        <w:jc w:val="both"/>
        <w:rPr>
          <w:rFonts w:eastAsia="標楷體"/>
          <w:sz w:val="26"/>
          <w:szCs w:val="26"/>
        </w:rPr>
      </w:pPr>
      <w:r w:rsidRPr="00533AD0">
        <w:rPr>
          <w:rFonts w:eastAsia="標楷體" w:hint="eastAsia"/>
          <w:sz w:val="26"/>
          <w:szCs w:val="26"/>
        </w:rPr>
        <w:sym w:font="Wingdings 2" w:char="F06E"/>
      </w:r>
      <w:r w:rsidRPr="00533AD0">
        <w:rPr>
          <w:rFonts w:eastAsia="標楷體" w:hint="eastAsia"/>
          <w:sz w:val="26"/>
          <w:szCs w:val="26"/>
        </w:rPr>
        <w:t>應</w:t>
      </w:r>
      <w:r w:rsidR="00A02624">
        <w:rPr>
          <w:rFonts w:eastAsia="標楷體" w:hint="eastAsia"/>
          <w:sz w:val="26"/>
          <w:szCs w:val="26"/>
        </w:rPr>
        <w:t>關係企業</w:t>
      </w:r>
      <w:r w:rsidRPr="00533AD0">
        <w:rPr>
          <w:rFonts w:eastAsia="標楷體" w:hint="eastAsia"/>
          <w:sz w:val="26"/>
          <w:szCs w:val="26"/>
        </w:rPr>
        <w:t>要求提供其所需之報告。</w:t>
      </w:r>
    </w:p>
    <w:p w:rsidR="00DE7202" w:rsidRDefault="008A2EFE" w:rsidP="001719B7">
      <w:pPr>
        <w:spacing w:beforeLines="50" w:before="120" w:afterLines="50" w:after="120" w:line="360" w:lineRule="auto"/>
        <w:ind w:leftChars="400" w:left="960"/>
        <w:jc w:val="both"/>
        <w:rPr>
          <w:rFonts w:eastAsia="標楷體"/>
          <w:sz w:val="26"/>
          <w:szCs w:val="26"/>
        </w:rPr>
      </w:pPr>
      <w:r w:rsidRPr="00533AD0">
        <w:rPr>
          <w:rFonts w:eastAsia="標楷體" w:hint="eastAsia"/>
          <w:sz w:val="26"/>
          <w:szCs w:val="26"/>
        </w:rPr>
        <w:sym w:font="Wingdings 2" w:char="F06F"/>
      </w:r>
      <w:r w:rsidRPr="00533AD0">
        <w:rPr>
          <w:rFonts w:eastAsia="標楷體" w:hint="eastAsia"/>
          <w:sz w:val="26"/>
          <w:szCs w:val="26"/>
        </w:rPr>
        <w:t>應</w:t>
      </w:r>
      <w:r w:rsidR="00A02624">
        <w:rPr>
          <w:rFonts w:eastAsia="標楷體" w:hint="eastAsia"/>
          <w:sz w:val="26"/>
          <w:szCs w:val="26"/>
        </w:rPr>
        <w:t>關係企業</w:t>
      </w:r>
      <w:r w:rsidRPr="00533AD0">
        <w:rPr>
          <w:rFonts w:eastAsia="標楷體" w:hint="eastAsia"/>
          <w:sz w:val="26"/>
          <w:szCs w:val="26"/>
        </w:rPr>
        <w:t>或其客戶要求翻譯交易文件。</w:t>
      </w:r>
    </w:p>
    <w:p w:rsidR="00DE7202" w:rsidRDefault="00DE04C5" w:rsidP="001719B7">
      <w:pPr>
        <w:numPr>
          <w:ilvl w:val="0"/>
          <w:numId w:val="9"/>
        </w:numPr>
        <w:tabs>
          <w:tab w:val="left" w:pos="1134"/>
        </w:tabs>
        <w:spacing w:beforeLines="50" w:before="120" w:afterLines="50" w:after="120" w:line="360" w:lineRule="auto"/>
        <w:ind w:leftChars="250" w:left="1080"/>
        <w:jc w:val="both"/>
        <w:rPr>
          <w:rFonts w:eastAsia="標楷體"/>
          <w:b/>
          <w:sz w:val="28"/>
          <w:szCs w:val="28"/>
        </w:rPr>
      </w:pPr>
      <w:bookmarkStart w:id="30" w:name="_Toc158135135"/>
      <w:bookmarkStart w:id="31" w:name="_Toc166242648"/>
      <w:r w:rsidRPr="00E13CED">
        <w:rPr>
          <w:rFonts w:eastAsia="標楷體" w:hint="eastAsia"/>
          <w:b/>
          <w:sz w:val="28"/>
          <w:szCs w:val="28"/>
        </w:rPr>
        <w:t>事業部門介紹</w:t>
      </w:r>
      <w:bookmarkEnd w:id="30"/>
      <w:bookmarkEnd w:id="31"/>
    </w:p>
    <w:p w:rsidR="00DE7202" w:rsidRDefault="0096034D" w:rsidP="001719B7">
      <w:pPr>
        <w:numPr>
          <w:ilvl w:val="0"/>
          <w:numId w:val="23"/>
        </w:numPr>
        <w:tabs>
          <w:tab w:val="left" w:pos="1134"/>
        </w:tabs>
        <w:spacing w:beforeLines="50" w:before="120" w:afterLines="50" w:after="120" w:line="360" w:lineRule="auto"/>
        <w:ind w:hanging="1320"/>
        <w:jc w:val="both"/>
        <w:rPr>
          <w:rFonts w:eastAsia="標楷體"/>
          <w:b/>
          <w:sz w:val="26"/>
          <w:szCs w:val="26"/>
        </w:rPr>
      </w:pPr>
      <w:r w:rsidRPr="00DC1554">
        <w:rPr>
          <w:rFonts w:eastAsia="標楷體" w:hint="eastAsia"/>
          <w:b/>
          <w:sz w:val="26"/>
          <w:szCs w:val="26"/>
        </w:rPr>
        <w:t>部門</w:t>
      </w:r>
      <w:r w:rsidR="00567251" w:rsidRPr="00DC1554">
        <w:rPr>
          <w:rFonts w:eastAsia="標楷體"/>
          <w:b/>
          <w:sz w:val="26"/>
          <w:szCs w:val="26"/>
        </w:rPr>
        <w:t>組織圖</w:t>
      </w:r>
    </w:p>
    <w:p w:rsidR="00DE7202" w:rsidRDefault="00EE4220" w:rsidP="001719B7">
      <w:pPr>
        <w:spacing w:beforeLines="50" w:before="120" w:afterLines="50" w:after="120" w:line="360" w:lineRule="auto"/>
        <w:ind w:leftChars="200" w:left="480" w:firstLineChars="200" w:firstLine="520"/>
        <w:jc w:val="center"/>
        <w:rPr>
          <w:rFonts w:eastAsia="標楷體"/>
          <w:color w:val="0070C0"/>
          <w:sz w:val="26"/>
          <w:szCs w:val="26"/>
        </w:rPr>
      </w:pPr>
      <w:r>
        <w:rPr>
          <w:rFonts w:eastAsia="標楷體"/>
          <w:noProof/>
          <w:color w:val="0070C0"/>
          <w:sz w:val="26"/>
          <w:szCs w:val="26"/>
        </w:rPr>
        <mc:AlternateContent>
          <mc:Choice Requires="wpc">
            <w:drawing>
              <wp:inline distT="0" distB="0" distL="0" distR="0" wp14:anchorId="1CC7689D" wp14:editId="29050BA7">
                <wp:extent cx="3429000" cy="1485900"/>
                <wp:effectExtent l="0" t="9525" r="0" b="0"/>
                <wp:docPr id="178" name="畫布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180"/>
                        <wps:cNvSpPr>
                          <a:spLocks noChangeArrowheads="1"/>
                        </wps:cNvSpPr>
                        <wps:spPr bwMode="auto">
                          <a:xfrm>
                            <a:off x="76138" y="799677"/>
                            <a:ext cx="914353" cy="571394"/>
                          </a:xfrm>
                          <a:prstGeom prst="rect">
                            <a:avLst/>
                          </a:prstGeom>
                          <a:solidFill>
                            <a:srgbClr val="FFFFFF"/>
                          </a:solidFill>
                          <a:ln w="9525">
                            <a:solidFill>
                              <a:srgbClr val="000000"/>
                            </a:solidFill>
                            <a:miter lim="800000"/>
                            <a:headEnd/>
                            <a:tailEnd/>
                          </a:ln>
                        </wps:spPr>
                        <wps:txbx>
                          <w:txbxContent>
                            <w:p w:rsidR="00697B5D" w:rsidRPr="00472ADA" w:rsidRDefault="00697B5D" w:rsidP="001719B7">
                              <w:pPr>
                                <w:spacing w:beforeLines="100" w:before="240" w:line="0" w:lineRule="atLeast"/>
                                <w:jc w:val="center"/>
                                <w:rPr>
                                  <w:rFonts w:ascii="新細明體" w:hAnsi="新細明體"/>
                                  <w:sz w:val="20"/>
                                  <w:szCs w:val="20"/>
                                </w:rPr>
                              </w:pPr>
                              <w:r w:rsidRPr="00472ADA">
                                <w:rPr>
                                  <w:rFonts w:ascii="新細明體" w:hAnsi="新細明體" w:hint="eastAsia"/>
                                  <w:sz w:val="20"/>
                                  <w:szCs w:val="20"/>
                                </w:rPr>
                                <w:t>業務單位</w:t>
                              </w:r>
                            </w:p>
                          </w:txbxContent>
                        </wps:txbx>
                        <wps:bodyPr rot="0" vert="horz" wrap="square" lIns="91440" tIns="45720" rIns="91440" bIns="45720" anchor="t" anchorCtr="0" upright="1">
                          <a:noAutofit/>
                        </wps:bodyPr>
                      </wps:wsp>
                      <wps:wsp>
                        <wps:cNvPr id="29" name="Rectangle 181"/>
                        <wps:cNvSpPr>
                          <a:spLocks noChangeArrowheads="1"/>
                        </wps:cNvSpPr>
                        <wps:spPr bwMode="auto">
                          <a:xfrm>
                            <a:off x="1218905" y="799677"/>
                            <a:ext cx="915052" cy="571394"/>
                          </a:xfrm>
                          <a:prstGeom prst="rect">
                            <a:avLst/>
                          </a:prstGeom>
                          <a:solidFill>
                            <a:srgbClr val="FFFFFF"/>
                          </a:solidFill>
                          <a:ln w="9525">
                            <a:solidFill>
                              <a:srgbClr val="000000"/>
                            </a:solidFill>
                            <a:miter lim="800000"/>
                            <a:headEnd/>
                            <a:tailEnd/>
                          </a:ln>
                        </wps:spPr>
                        <wps:txbx>
                          <w:txbxContent>
                            <w:p w:rsidR="00697B5D" w:rsidRPr="00472ADA" w:rsidRDefault="00697B5D" w:rsidP="001719B7">
                              <w:pPr>
                                <w:spacing w:beforeLines="50" w:before="120" w:line="0" w:lineRule="atLeast"/>
                                <w:jc w:val="center"/>
                                <w:rPr>
                                  <w:rFonts w:ascii="新細明體" w:hAnsi="新細明體"/>
                                  <w:sz w:val="20"/>
                                  <w:szCs w:val="20"/>
                                </w:rPr>
                              </w:pPr>
                              <w:r w:rsidRPr="00472ADA">
                                <w:rPr>
                                  <w:rFonts w:ascii="新細明體" w:hAnsi="新細明體" w:hint="eastAsia"/>
                                  <w:sz w:val="20"/>
                                  <w:szCs w:val="20"/>
                                </w:rPr>
                                <w:t>技術服務</w:t>
                              </w:r>
                            </w:p>
                            <w:p w:rsidR="00697B5D" w:rsidRPr="00472ADA" w:rsidRDefault="00697B5D" w:rsidP="00472ADA">
                              <w:pPr>
                                <w:spacing w:line="0" w:lineRule="atLeast"/>
                                <w:jc w:val="center"/>
                                <w:rPr>
                                  <w:rFonts w:ascii="新細明體" w:hAnsi="新細明體"/>
                                  <w:sz w:val="20"/>
                                  <w:szCs w:val="20"/>
                                </w:rPr>
                              </w:pPr>
                              <w:r w:rsidRPr="00472ADA">
                                <w:rPr>
                                  <w:rFonts w:ascii="新細明體" w:hAnsi="新細明體" w:hint="eastAsia"/>
                                  <w:sz w:val="20"/>
                                  <w:szCs w:val="20"/>
                                </w:rPr>
                                <w:t>單位</w:t>
                              </w:r>
                            </w:p>
                          </w:txbxContent>
                        </wps:txbx>
                        <wps:bodyPr rot="0" vert="horz" wrap="square" lIns="91440" tIns="45720" rIns="91440" bIns="45720" anchor="t" anchorCtr="0" upright="1">
                          <a:noAutofit/>
                        </wps:bodyPr>
                      </wps:wsp>
                      <wps:wsp>
                        <wps:cNvPr id="30" name="Rectangle 182"/>
                        <wps:cNvSpPr>
                          <a:spLocks noChangeArrowheads="1"/>
                        </wps:cNvSpPr>
                        <wps:spPr bwMode="auto">
                          <a:xfrm>
                            <a:off x="2362371" y="799677"/>
                            <a:ext cx="914353" cy="571394"/>
                          </a:xfrm>
                          <a:prstGeom prst="rect">
                            <a:avLst/>
                          </a:prstGeom>
                          <a:solidFill>
                            <a:srgbClr val="FFFFFF"/>
                          </a:solidFill>
                          <a:ln w="9525">
                            <a:solidFill>
                              <a:srgbClr val="000000"/>
                            </a:solidFill>
                            <a:miter lim="800000"/>
                            <a:headEnd/>
                            <a:tailEnd/>
                          </a:ln>
                        </wps:spPr>
                        <wps:txbx>
                          <w:txbxContent>
                            <w:p w:rsidR="00697B5D" w:rsidRPr="00472ADA" w:rsidRDefault="00697B5D" w:rsidP="001719B7">
                              <w:pPr>
                                <w:spacing w:beforeLines="100" w:before="240"/>
                                <w:jc w:val="center"/>
                                <w:rPr>
                                  <w:rFonts w:ascii="新細明體" w:hAnsi="新細明體"/>
                                  <w:sz w:val="20"/>
                                  <w:szCs w:val="20"/>
                                </w:rPr>
                              </w:pPr>
                              <w:r w:rsidRPr="00472ADA">
                                <w:rPr>
                                  <w:rFonts w:ascii="新細明體" w:hAnsi="新細明體" w:hint="eastAsia"/>
                                  <w:sz w:val="20"/>
                                  <w:szCs w:val="20"/>
                                </w:rPr>
                                <w:t>行政單位</w:t>
                              </w:r>
                            </w:p>
                          </w:txbxContent>
                        </wps:txbx>
                        <wps:bodyPr rot="0" vert="horz" wrap="square" lIns="91440" tIns="45720" rIns="91440" bIns="45720" anchor="t" anchorCtr="0" upright="1">
                          <a:noAutofit/>
                        </wps:bodyPr>
                      </wps:wsp>
                      <wps:wsp>
                        <wps:cNvPr id="31" name="Line 183"/>
                        <wps:cNvCnPr/>
                        <wps:spPr bwMode="auto">
                          <a:xfrm>
                            <a:off x="533664" y="571394"/>
                            <a:ext cx="699" cy="2275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184"/>
                        <wps:cNvCnPr/>
                        <wps:spPr bwMode="auto">
                          <a:xfrm>
                            <a:off x="2819198" y="571394"/>
                            <a:ext cx="699" cy="228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185"/>
                        <wps:cNvCnPr/>
                        <wps:spPr bwMode="auto">
                          <a:xfrm>
                            <a:off x="533664" y="571394"/>
                            <a:ext cx="2285534"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Rectangle 186"/>
                        <wps:cNvSpPr>
                          <a:spLocks noChangeArrowheads="1"/>
                        </wps:cNvSpPr>
                        <wps:spPr bwMode="auto">
                          <a:xfrm>
                            <a:off x="1295741" y="0"/>
                            <a:ext cx="914353" cy="343112"/>
                          </a:xfrm>
                          <a:prstGeom prst="rect">
                            <a:avLst/>
                          </a:prstGeom>
                          <a:solidFill>
                            <a:srgbClr val="FFFFFF"/>
                          </a:solidFill>
                          <a:ln w="9525">
                            <a:solidFill>
                              <a:srgbClr val="000000"/>
                            </a:solidFill>
                            <a:miter lim="800000"/>
                            <a:headEnd/>
                            <a:tailEnd/>
                          </a:ln>
                        </wps:spPr>
                        <wps:txbx>
                          <w:txbxContent>
                            <w:p w:rsidR="00697B5D" w:rsidRPr="00472ADA" w:rsidRDefault="00697B5D" w:rsidP="001719B7">
                              <w:pPr>
                                <w:spacing w:beforeLines="30" w:before="72" w:line="0" w:lineRule="atLeast"/>
                                <w:jc w:val="center"/>
                                <w:rPr>
                                  <w:rFonts w:ascii="新細明體" w:hAnsi="新細明體"/>
                                  <w:sz w:val="20"/>
                                  <w:szCs w:val="20"/>
                                </w:rPr>
                              </w:pPr>
                              <w:r w:rsidRPr="00472ADA">
                                <w:rPr>
                                  <w:rFonts w:ascii="新細明體" w:hAnsi="新細明體" w:hint="eastAsia"/>
                                  <w:sz w:val="20"/>
                                  <w:szCs w:val="20"/>
                                </w:rPr>
                                <w:t>總經理</w:t>
                              </w:r>
                            </w:p>
                          </w:txbxContent>
                        </wps:txbx>
                        <wps:bodyPr rot="0" vert="horz" wrap="square" lIns="91440" tIns="45720" rIns="91440" bIns="45720" anchor="t" anchorCtr="0" upright="1">
                          <a:noAutofit/>
                        </wps:bodyPr>
                      </wps:wsp>
                      <wps:wsp>
                        <wps:cNvPr id="227" name="Line 187"/>
                        <wps:cNvCnPr/>
                        <wps:spPr bwMode="auto">
                          <a:xfrm flipV="1">
                            <a:off x="1752569" y="343112"/>
                            <a:ext cx="699" cy="4565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畫布 178" o:spid="_x0000_s1030" editas="canvas" style="width:270pt;height:117pt;mso-position-horizontal-relative:char;mso-position-vertical-relative:line" coordsize="34290,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">
                <v:shape id="_x0000_s1031" type="#_x0000_t75" style="position:absolute;width:34290;height:14859;visibility:visible;mso-wrap-style:square">
                  <v:fill o:detectmouseclick="t"/>
                  <v:path o:connecttype="none"/>
                </v:shape>
                <v:rect id="Rectangle 180" o:spid="_x0000_s1032" style="position:absolute;left:761;top:7996;width:9143;height:5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697B5D" w:rsidRPr="00472ADA" w:rsidRDefault="00697B5D" w:rsidP="001719B7">
                        <w:pPr>
                          <w:spacing w:beforeLines="100" w:before="240" w:line="0" w:lineRule="atLeast"/>
                          <w:jc w:val="center"/>
                          <w:rPr>
                            <w:rFonts w:ascii="新細明體" w:hAnsi="新細明體"/>
                            <w:sz w:val="20"/>
                            <w:szCs w:val="20"/>
                          </w:rPr>
                        </w:pPr>
                        <w:r w:rsidRPr="00472ADA">
                          <w:rPr>
                            <w:rFonts w:ascii="新細明體" w:hAnsi="新細明體" w:hint="eastAsia"/>
                            <w:sz w:val="20"/>
                            <w:szCs w:val="20"/>
                          </w:rPr>
                          <w:t>業務單位</w:t>
                        </w:r>
                      </w:p>
                    </w:txbxContent>
                  </v:textbox>
                </v:rect>
                <v:rect id="Rectangle 181" o:spid="_x0000_s1033" style="position:absolute;left:12189;top:7996;width:9150;height:5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697B5D" w:rsidRPr="00472ADA" w:rsidRDefault="00697B5D" w:rsidP="001719B7">
                        <w:pPr>
                          <w:spacing w:beforeLines="50" w:before="120" w:line="0" w:lineRule="atLeast"/>
                          <w:jc w:val="center"/>
                          <w:rPr>
                            <w:rFonts w:ascii="新細明體" w:hAnsi="新細明體"/>
                            <w:sz w:val="20"/>
                            <w:szCs w:val="20"/>
                          </w:rPr>
                        </w:pPr>
                        <w:r w:rsidRPr="00472ADA">
                          <w:rPr>
                            <w:rFonts w:ascii="新細明體" w:hAnsi="新細明體" w:hint="eastAsia"/>
                            <w:sz w:val="20"/>
                            <w:szCs w:val="20"/>
                          </w:rPr>
                          <w:t>技術服務</w:t>
                        </w:r>
                      </w:p>
                      <w:p w:rsidR="00697B5D" w:rsidRPr="00472ADA" w:rsidRDefault="00697B5D" w:rsidP="00472ADA">
                        <w:pPr>
                          <w:spacing w:line="0" w:lineRule="atLeast"/>
                          <w:jc w:val="center"/>
                          <w:rPr>
                            <w:rFonts w:ascii="新細明體" w:hAnsi="新細明體"/>
                            <w:sz w:val="20"/>
                            <w:szCs w:val="20"/>
                          </w:rPr>
                        </w:pPr>
                        <w:r w:rsidRPr="00472ADA">
                          <w:rPr>
                            <w:rFonts w:ascii="新細明體" w:hAnsi="新細明體" w:hint="eastAsia"/>
                            <w:sz w:val="20"/>
                            <w:szCs w:val="20"/>
                          </w:rPr>
                          <w:t>單位</w:t>
                        </w:r>
                      </w:p>
                    </w:txbxContent>
                  </v:textbox>
                </v:rect>
                <v:rect id="Rectangle 182" o:spid="_x0000_s1034" style="position:absolute;left:23623;top:7996;width:9144;height:5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697B5D" w:rsidRPr="00472ADA" w:rsidRDefault="00697B5D" w:rsidP="001719B7">
                        <w:pPr>
                          <w:spacing w:beforeLines="100" w:before="240"/>
                          <w:jc w:val="center"/>
                          <w:rPr>
                            <w:rFonts w:ascii="新細明體" w:hAnsi="新細明體"/>
                            <w:sz w:val="20"/>
                            <w:szCs w:val="20"/>
                          </w:rPr>
                        </w:pPr>
                        <w:r w:rsidRPr="00472ADA">
                          <w:rPr>
                            <w:rFonts w:ascii="新細明體" w:hAnsi="新細明體" w:hint="eastAsia"/>
                            <w:sz w:val="20"/>
                            <w:szCs w:val="20"/>
                          </w:rPr>
                          <w:t>行政單位</w:t>
                        </w:r>
                      </w:p>
                    </w:txbxContent>
                  </v:textbox>
                </v:rect>
                <v:line id="Line 183" o:spid="_x0000_s1035" style="position:absolute;visibility:visible;mso-wrap-style:square" from="5336,5713" to="5343,7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84" o:spid="_x0000_s1036" style="position:absolute;visibility:visible;mso-wrap-style:square" from="28191,5713" to="28198,7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line id="Line 185" o:spid="_x0000_s1037" style="position:absolute;visibility:visible;mso-wrap-style:square" from="5336,5713" to="28191,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6eWscAAADcAAAADwAAAGRycy9kb3ducmV2LnhtbESPQWvCQBSE7wX/w/KE3urGlAZ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Hp5axwAAANwAAAAPAAAAAAAA&#10;AAAAAAAAAKECAABkcnMvZG93bnJldi54bWxQSwUGAAAAAAQABAD5AAAAlQMAAAAA&#10;"/>
                <v:rect id="Rectangle 186" o:spid="_x0000_s1038" style="position:absolute;left:12957;width:9143;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cMA&#10;AADcAAAADwAAAGRycy9kb3ducmV2LnhtbESPQYvCMBSE74L/ITzBm6ZWEO0aRVxc9Kj14u1t87bt&#10;2ryUJmr11xtB8DjMzDfMfNmaSlypcaVlBaNhBII4s7rkXMEx3QymIJxH1lhZJgV3crBcdDtzTLS9&#10;8Z6uB5+LAGGXoILC+zqR0mUFGXRDWxMH7882Bn2QTS51g7cAN5WMo2giDZYcFgqsaV1Qdj5cjILf&#10;Mj7iY5/+RGa2Gftdm/5fTt9K9Xvt6guEp9Z/wu/2ViuI4w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YcMAAADcAAAADwAAAAAAAAAAAAAAAACYAgAAZHJzL2Rv&#10;d25yZXYueG1sUEsFBgAAAAAEAAQA9QAAAIgDAAAAAA==&#10;">
                  <v:textbox>
                    <w:txbxContent>
                      <w:p w:rsidR="00697B5D" w:rsidRPr="00472ADA" w:rsidRDefault="00697B5D" w:rsidP="001719B7">
                        <w:pPr>
                          <w:spacing w:beforeLines="30" w:before="72" w:line="0" w:lineRule="atLeast"/>
                          <w:jc w:val="center"/>
                          <w:rPr>
                            <w:rFonts w:ascii="新細明體" w:hAnsi="新細明體"/>
                            <w:sz w:val="20"/>
                            <w:szCs w:val="20"/>
                          </w:rPr>
                        </w:pPr>
                        <w:r w:rsidRPr="00472ADA">
                          <w:rPr>
                            <w:rFonts w:ascii="新細明體" w:hAnsi="新細明體" w:hint="eastAsia"/>
                            <w:sz w:val="20"/>
                            <w:szCs w:val="20"/>
                          </w:rPr>
                          <w:t>總經理</w:t>
                        </w:r>
                      </w:p>
                    </w:txbxContent>
                  </v:textbox>
                </v:rect>
                <v:line id="Line 187" o:spid="_x0000_s1039" style="position:absolute;flip:y;visibility:visible;mso-wrap-style:square" from="17525,3431" to="17532,7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NpF8UAAADcAAAADwAAAGRycy9kb3ducmV2LnhtbESPzYrCMBSF94LvEK7gZhhTu3C0YxQR&#10;BBFc6AzU2V2aO221uSlNtPXtjSC4PJyfjzNfdqYSN2pcaVnBeBSBIM6sLjlX8Puz+ZyCcB5ZY2WZ&#10;FNzJwXLR780x0bblA92OPhdhhF2CCgrv60RKlxVk0I1sTRy8f9sY9EE2udQNtmHcVDKOook0WHIg&#10;FFjTuqDscryaADmv87/9mbJ0lta7djL+aE+nq1LDQbf6BuGp8+/wq73VCuL4C5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NpF8UAAADcAAAADwAAAAAAAAAA&#10;AAAAAAChAgAAZHJzL2Rvd25yZXYueG1sUEsFBgAAAAAEAAQA+QAAAJMDAAAAAA==&#10;" strokeweight="1pt"/>
                <w10:anchorlock/>
              </v:group>
            </w:pict>
          </mc:Fallback>
        </mc:AlternateContent>
      </w:r>
    </w:p>
    <w:p w:rsidR="00DE7202" w:rsidRDefault="00ED4FC0" w:rsidP="001719B7">
      <w:pPr>
        <w:numPr>
          <w:ilvl w:val="0"/>
          <w:numId w:val="23"/>
        </w:numPr>
        <w:tabs>
          <w:tab w:val="clear" w:pos="1920"/>
          <w:tab w:val="left" w:pos="1134"/>
          <w:tab w:val="num" w:pos="1200"/>
        </w:tabs>
        <w:spacing w:beforeLines="50" w:before="120" w:afterLines="50" w:after="120" w:line="360" w:lineRule="auto"/>
        <w:ind w:hanging="1320"/>
        <w:jc w:val="both"/>
        <w:rPr>
          <w:rFonts w:eastAsia="標楷體"/>
          <w:b/>
          <w:sz w:val="26"/>
          <w:szCs w:val="26"/>
        </w:rPr>
      </w:pPr>
      <w:r w:rsidRPr="00DC1554">
        <w:rPr>
          <w:rFonts w:eastAsia="標楷體"/>
          <w:b/>
          <w:sz w:val="26"/>
          <w:szCs w:val="26"/>
        </w:rPr>
        <w:t>各</w:t>
      </w:r>
      <w:r w:rsidR="00567251" w:rsidRPr="00DC1554">
        <w:rPr>
          <w:rFonts w:eastAsia="標楷體"/>
          <w:b/>
          <w:sz w:val="26"/>
          <w:szCs w:val="26"/>
        </w:rPr>
        <w:t>部門業務職掌</w:t>
      </w:r>
    </w:p>
    <w:tbl>
      <w:tblPr>
        <w:tblW w:w="7883" w:type="dxa"/>
        <w:jc w:val="right"/>
        <w:tblInd w:w="9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956"/>
        <w:gridCol w:w="5927"/>
      </w:tblGrid>
      <w:tr w:rsidR="00A14326" w:rsidRPr="00EA272E">
        <w:trPr>
          <w:trHeight w:val="530"/>
          <w:tblHeader/>
          <w:jc w:val="right"/>
        </w:trPr>
        <w:tc>
          <w:tcPr>
            <w:tcW w:w="1956" w:type="dxa"/>
            <w:shd w:val="clear" w:color="auto" w:fill="4F81BD"/>
            <w:vAlign w:val="center"/>
          </w:tcPr>
          <w:p w:rsidR="00DE7202" w:rsidRDefault="00A14326" w:rsidP="001719B7">
            <w:pPr>
              <w:widowControl/>
              <w:spacing w:beforeLines="50" w:before="120" w:afterLines="50" w:after="120"/>
              <w:jc w:val="center"/>
              <w:rPr>
                <w:rFonts w:eastAsia="標楷體"/>
                <w:bCs/>
                <w:color w:val="FFFFFF"/>
                <w:kern w:val="0"/>
                <w:sz w:val="26"/>
                <w:szCs w:val="26"/>
              </w:rPr>
            </w:pPr>
            <w:r w:rsidRPr="00EA272E">
              <w:rPr>
                <w:rFonts w:eastAsia="標楷體" w:hint="eastAsia"/>
                <w:bCs/>
                <w:color w:val="FFFFFF"/>
                <w:kern w:val="0"/>
                <w:sz w:val="26"/>
                <w:szCs w:val="26"/>
              </w:rPr>
              <w:t>部門別</w:t>
            </w:r>
          </w:p>
        </w:tc>
        <w:tc>
          <w:tcPr>
            <w:tcW w:w="5927" w:type="dxa"/>
            <w:shd w:val="clear" w:color="auto" w:fill="4F81BD"/>
            <w:vAlign w:val="center"/>
          </w:tcPr>
          <w:p w:rsidR="00DE7202" w:rsidRDefault="00A14326" w:rsidP="001719B7">
            <w:pPr>
              <w:widowControl/>
              <w:spacing w:beforeLines="50" w:before="120" w:afterLines="50" w:after="120"/>
              <w:jc w:val="center"/>
              <w:rPr>
                <w:rFonts w:eastAsia="標楷體"/>
                <w:bCs/>
                <w:color w:val="FFFFFF"/>
                <w:kern w:val="0"/>
                <w:sz w:val="26"/>
                <w:szCs w:val="26"/>
              </w:rPr>
            </w:pPr>
            <w:r w:rsidRPr="00EA272E">
              <w:rPr>
                <w:rFonts w:eastAsia="標楷體" w:hint="eastAsia"/>
                <w:bCs/>
                <w:color w:val="FFFFFF"/>
                <w:kern w:val="0"/>
                <w:sz w:val="26"/>
                <w:szCs w:val="26"/>
              </w:rPr>
              <w:t>業務職掌</w:t>
            </w:r>
          </w:p>
        </w:tc>
      </w:tr>
      <w:tr w:rsidR="00956E8E" w:rsidRPr="00EA272E">
        <w:trPr>
          <w:trHeight w:val="20"/>
          <w:jc w:val="right"/>
        </w:trPr>
        <w:tc>
          <w:tcPr>
            <w:tcW w:w="1956" w:type="dxa"/>
            <w:vMerge w:val="restart"/>
            <w:vAlign w:val="center"/>
          </w:tcPr>
          <w:p w:rsidR="00956E8E" w:rsidRPr="00461D6B" w:rsidRDefault="00956E8E" w:rsidP="005E65EA">
            <w:pPr>
              <w:spacing w:line="0" w:lineRule="atLeast"/>
              <w:jc w:val="center"/>
              <w:rPr>
                <w:rFonts w:eastAsia="標楷體" w:hAnsi="標楷體"/>
                <w:sz w:val="26"/>
                <w:szCs w:val="26"/>
              </w:rPr>
            </w:pPr>
            <w:r w:rsidRPr="00461D6B">
              <w:rPr>
                <w:rFonts w:ascii="標楷體" w:eastAsia="標楷體" w:hAnsi="標楷體" w:hint="eastAsia"/>
                <w:sz w:val="26"/>
                <w:szCs w:val="26"/>
              </w:rPr>
              <w:t>業務單位</w:t>
            </w:r>
          </w:p>
        </w:tc>
        <w:tc>
          <w:tcPr>
            <w:tcW w:w="5927" w:type="dxa"/>
            <w:vAlign w:val="center"/>
          </w:tcPr>
          <w:p w:rsidR="00956E8E" w:rsidRPr="00EA272E" w:rsidRDefault="00956E8E" w:rsidP="00956E8E">
            <w:pPr>
              <w:jc w:val="both"/>
              <w:rPr>
                <w:rFonts w:eastAsia="標楷體"/>
                <w:sz w:val="26"/>
                <w:szCs w:val="26"/>
              </w:rPr>
            </w:pPr>
            <w:r>
              <w:rPr>
                <w:rFonts w:eastAsia="標楷體" w:hint="eastAsia"/>
                <w:sz w:val="26"/>
                <w:szCs w:val="26"/>
              </w:rPr>
              <w:t>1.</w:t>
            </w:r>
            <w:r w:rsidRPr="00BA0808">
              <w:rPr>
                <w:rFonts w:eastAsia="標楷體"/>
                <w:sz w:val="26"/>
                <w:szCs w:val="26"/>
              </w:rPr>
              <w:t>協助</w:t>
            </w:r>
            <w:r>
              <w:rPr>
                <w:rFonts w:eastAsia="標楷體" w:hint="eastAsia"/>
                <w:sz w:val="26"/>
                <w:szCs w:val="26"/>
              </w:rPr>
              <w:t>代理商推廣</w:t>
            </w:r>
            <w:r w:rsidR="00E75A5B">
              <w:rPr>
                <w:rFonts w:eastAsia="標楷體" w:hint="eastAsia"/>
                <w:sz w:val="26"/>
                <w:szCs w:val="26"/>
              </w:rPr>
              <w:t>關係企業</w:t>
            </w:r>
            <w:r w:rsidRPr="00BA0808">
              <w:rPr>
                <w:rFonts w:eastAsia="標楷體"/>
                <w:sz w:val="26"/>
                <w:szCs w:val="26"/>
              </w:rPr>
              <w:t>產品</w:t>
            </w:r>
          </w:p>
        </w:tc>
      </w:tr>
      <w:tr w:rsidR="00956E8E" w:rsidRPr="00EA272E">
        <w:trPr>
          <w:trHeight w:val="238"/>
          <w:jc w:val="right"/>
        </w:trPr>
        <w:tc>
          <w:tcPr>
            <w:tcW w:w="1956" w:type="dxa"/>
            <w:vMerge/>
            <w:vAlign w:val="center"/>
          </w:tcPr>
          <w:p w:rsidR="00956E8E" w:rsidRPr="00B65497" w:rsidRDefault="00956E8E" w:rsidP="005E65EA">
            <w:pPr>
              <w:spacing w:line="360" w:lineRule="auto"/>
              <w:jc w:val="center"/>
              <w:rPr>
                <w:rFonts w:eastAsia="標楷體"/>
                <w:sz w:val="26"/>
                <w:szCs w:val="26"/>
              </w:rPr>
            </w:pPr>
          </w:p>
        </w:tc>
        <w:tc>
          <w:tcPr>
            <w:tcW w:w="5927" w:type="dxa"/>
            <w:vAlign w:val="center"/>
          </w:tcPr>
          <w:p w:rsidR="00956E8E" w:rsidRPr="00B65497" w:rsidRDefault="00956E8E" w:rsidP="005E65EA">
            <w:pPr>
              <w:jc w:val="both"/>
              <w:rPr>
                <w:rFonts w:eastAsia="標楷體"/>
                <w:sz w:val="26"/>
                <w:szCs w:val="26"/>
              </w:rPr>
            </w:pPr>
            <w:r>
              <w:rPr>
                <w:rFonts w:eastAsia="標楷體" w:hint="eastAsia"/>
                <w:sz w:val="26"/>
                <w:szCs w:val="26"/>
              </w:rPr>
              <w:t>2.</w:t>
            </w:r>
            <w:r>
              <w:rPr>
                <w:rFonts w:eastAsia="標楷體" w:hint="eastAsia"/>
                <w:sz w:val="26"/>
                <w:szCs w:val="26"/>
              </w:rPr>
              <w:t>作為</w:t>
            </w:r>
            <w:r w:rsidR="00E75A5B">
              <w:rPr>
                <w:rFonts w:eastAsia="標楷體" w:hint="eastAsia"/>
                <w:sz w:val="26"/>
                <w:szCs w:val="26"/>
              </w:rPr>
              <w:t>關係企業</w:t>
            </w:r>
            <w:r>
              <w:rPr>
                <w:rFonts w:eastAsia="標楷體" w:hint="eastAsia"/>
                <w:sz w:val="26"/>
                <w:szCs w:val="26"/>
              </w:rPr>
              <w:t>及其代理商間溝通之橋樑</w:t>
            </w:r>
          </w:p>
        </w:tc>
      </w:tr>
      <w:tr w:rsidR="00956E8E" w:rsidRPr="00EA272E">
        <w:trPr>
          <w:trHeight w:val="216"/>
          <w:jc w:val="right"/>
        </w:trPr>
        <w:tc>
          <w:tcPr>
            <w:tcW w:w="1956" w:type="dxa"/>
            <w:vAlign w:val="center"/>
          </w:tcPr>
          <w:p w:rsidR="00956E8E" w:rsidRPr="00B65497" w:rsidRDefault="00956E8E" w:rsidP="00956961">
            <w:pPr>
              <w:jc w:val="center"/>
              <w:rPr>
                <w:rFonts w:eastAsia="標楷體"/>
                <w:sz w:val="26"/>
                <w:szCs w:val="26"/>
              </w:rPr>
            </w:pPr>
            <w:r w:rsidRPr="00956E8E">
              <w:rPr>
                <w:rFonts w:eastAsia="標楷體" w:hint="eastAsia"/>
                <w:sz w:val="26"/>
                <w:szCs w:val="26"/>
              </w:rPr>
              <w:t>技術服務單位</w:t>
            </w:r>
          </w:p>
        </w:tc>
        <w:tc>
          <w:tcPr>
            <w:tcW w:w="5927" w:type="dxa"/>
            <w:vAlign w:val="center"/>
          </w:tcPr>
          <w:p w:rsidR="00956E8E" w:rsidRPr="00B65497" w:rsidRDefault="00956E8E" w:rsidP="00956E8E">
            <w:pPr>
              <w:jc w:val="both"/>
              <w:rPr>
                <w:rFonts w:eastAsia="標楷體"/>
                <w:sz w:val="26"/>
                <w:szCs w:val="26"/>
              </w:rPr>
            </w:pPr>
            <w:r>
              <w:rPr>
                <w:rFonts w:eastAsia="標楷體" w:hint="eastAsia"/>
                <w:sz w:val="26"/>
                <w:szCs w:val="26"/>
              </w:rPr>
              <w:t>回覆客戶及本地代理商對</w:t>
            </w:r>
            <w:r w:rsidR="00E75A5B">
              <w:rPr>
                <w:rFonts w:eastAsia="標楷體" w:hint="eastAsia"/>
                <w:sz w:val="26"/>
                <w:szCs w:val="26"/>
              </w:rPr>
              <w:t>關係企業</w:t>
            </w:r>
            <w:r>
              <w:rPr>
                <w:rFonts w:eastAsia="標楷體" w:hint="eastAsia"/>
                <w:sz w:val="26"/>
                <w:szCs w:val="26"/>
              </w:rPr>
              <w:t>產品疑問</w:t>
            </w:r>
          </w:p>
        </w:tc>
      </w:tr>
      <w:tr w:rsidR="00956E8E" w:rsidRPr="00EA272E">
        <w:trPr>
          <w:trHeight w:val="180"/>
          <w:jc w:val="right"/>
        </w:trPr>
        <w:tc>
          <w:tcPr>
            <w:tcW w:w="1956" w:type="dxa"/>
            <w:vAlign w:val="center"/>
          </w:tcPr>
          <w:p w:rsidR="00956E8E" w:rsidRPr="00B65497" w:rsidRDefault="00956E8E" w:rsidP="00956961">
            <w:pPr>
              <w:jc w:val="center"/>
              <w:rPr>
                <w:rFonts w:eastAsia="標楷體"/>
                <w:sz w:val="26"/>
                <w:szCs w:val="26"/>
              </w:rPr>
            </w:pPr>
            <w:r w:rsidRPr="00956E8E">
              <w:rPr>
                <w:rFonts w:eastAsia="標楷體" w:hint="eastAsia"/>
                <w:sz w:val="26"/>
                <w:szCs w:val="26"/>
              </w:rPr>
              <w:t>行政單位</w:t>
            </w:r>
          </w:p>
        </w:tc>
        <w:tc>
          <w:tcPr>
            <w:tcW w:w="5927" w:type="dxa"/>
            <w:vAlign w:val="center"/>
          </w:tcPr>
          <w:p w:rsidR="00956E8E" w:rsidRPr="00B65497" w:rsidRDefault="00956E8E" w:rsidP="00956E8E">
            <w:pPr>
              <w:jc w:val="both"/>
              <w:rPr>
                <w:rFonts w:eastAsia="標楷體"/>
                <w:sz w:val="26"/>
                <w:szCs w:val="26"/>
              </w:rPr>
            </w:pPr>
            <w:r w:rsidRPr="002E0AB2">
              <w:rPr>
                <w:rFonts w:eastAsia="標楷體" w:hint="eastAsia"/>
                <w:sz w:val="26"/>
                <w:szCs w:val="26"/>
              </w:rPr>
              <w:t>處理會計財務</w:t>
            </w:r>
            <w:r>
              <w:rPr>
                <w:rFonts w:eastAsia="標楷體" w:hint="eastAsia"/>
                <w:sz w:val="26"/>
                <w:szCs w:val="26"/>
              </w:rPr>
              <w:t>及行政</w:t>
            </w:r>
            <w:r w:rsidRPr="002E0AB2">
              <w:rPr>
                <w:rFonts w:eastAsia="標楷體" w:hint="eastAsia"/>
                <w:sz w:val="26"/>
                <w:szCs w:val="26"/>
              </w:rPr>
              <w:t>事宜</w:t>
            </w:r>
          </w:p>
        </w:tc>
      </w:tr>
    </w:tbl>
    <w:p w:rsidR="00DE7202" w:rsidRDefault="00EB094D" w:rsidP="001719B7">
      <w:pPr>
        <w:numPr>
          <w:ilvl w:val="0"/>
          <w:numId w:val="9"/>
        </w:numPr>
        <w:tabs>
          <w:tab w:val="left" w:pos="1134"/>
        </w:tabs>
        <w:spacing w:beforeLines="50" w:before="120" w:afterLines="50" w:after="120" w:line="360" w:lineRule="auto"/>
        <w:ind w:leftChars="250" w:left="1080"/>
        <w:jc w:val="both"/>
        <w:rPr>
          <w:rFonts w:eastAsia="標楷體"/>
          <w:b/>
          <w:sz w:val="28"/>
          <w:szCs w:val="28"/>
        </w:rPr>
      </w:pPr>
      <w:r w:rsidRPr="00E13CED">
        <w:rPr>
          <w:rFonts w:eastAsia="標楷體" w:hint="eastAsia"/>
          <w:b/>
          <w:sz w:val="28"/>
          <w:szCs w:val="28"/>
        </w:rPr>
        <w:t>公司經營現況</w:t>
      </w:r>
    </w:p>
    <w:p w:rsidR="00DE7202" w:rsidRDefault="00EB094D" w:rsidP="001719B7">
      <w:pPr>
        <w:numPr>
          <w:ilvl w:val="0"/>
          <w:numId w:val="24"/>
        </w:numPr>
        <w:tabs>
          <w:tab w:val="left" w:pos="1134"/>
        </w:tabs>
        <w:spacing w:beforeLines="50" w:before="120" w:afterLines="50" w:after="120" w:line="360" w:lineRule="auto"/>
        <w:ind w:hanging="1320"/>
        <w:jc w:val="both"/>
        <w:rPr>
          <w:rFonts w:eastAsia="標楷體"/>
          <w:b/>
          <w:sz w:val="26"/>
          <w:szCs w:val="26"/>
        </w:rPr>
      </w:pPr>
      <w:r w:rsidRPr="00DC1554">
        <w:rPr>
          <w:rFonts w:eastAsia="標楷體"/>
          <w:b/>
          <w:sz w:val="26"/>
          <w:szCs w:val="26"/>
        </w:rPr>
        <w:t>經營策略</w:t>
      </w:r>
    </w:p>
    <w:p w:rsidR="00DE7202" w:rsidRDefault="000223C9" w:rsidP="001719B7">
      <w:pPr>
        <w:spacing w:beforeLines="50" w:before="120" w:afterLines="50" w:after="120" w:line="360" w:lineRule="auto"/>
        <w:ind w:leftChars="300" w:left="720" w:firstLineChars="200" w:firstLine="520"/>
        <w:jc w:val="both"/>
        <w:rPr>
          <w:rFonts w:eastAsia="標楷體"/>
          <w:sz w:val="26"/>
          <w:szCs w:val="26"/>
        </w:rPr>
      </w:pPr>
      <w:r w:rsidRPr="00AB0394">
        <w:rPr>
          <w:rFonts w:eastAsia="標楷體" w:hint="eastAsia"/>
          <w:sz w:val="26"/>
          <w:szCs w:val="26"/>
        </w:rPr>
        <w:t>萊迪思台灣分公司不負責銷售，僅提供</w:t>
      </w:r>
      <w:r w:rsidR="00E75A5B">
        <w:rPr>
          <w:rFonts w:eastAsia="標楷體" w:hint="eastAsia"/>
          <w:sz w:val="26"/>
          <w:szCs w:val="26"/>
        </w:rPr>
        <w:t>關係企業</w:t>
      </w:r>
      <w:r w:rsidRPr="00AB0394">
        <w:rPr>
          <w:rFonts w:eastAsia="標楷體" w:hint="eastAsia"/>
          <w:sz w:val="26"/>
          <w:szCs w:val="26"/>
        </w:rPr>
        <w:t>各種行銷及行政</w:t>
      </w:r>
      <w:r w:rsidRPr="00AB0394">
        <w:rPr>
          <w:rFonts w:eastAsia="標楷體" w:hint="eastAsia"/>
          <w:sz w:val="26"/>
          <w:szCs w:val="26"/>
        </w:rPr>
        <w:lastRenderedPageBreak/>
        <w:t>上相關支援服務，而</w:t>
      </w:r>
      <w:r w:rsidR="006F1840">
        <w:rPr>
          <w:rFonts w:eastAsia="標楷體" w:hint="eastAsia"/>
          <w:sz w:val="26"/>
          <w:szCs w:val="26"/>
        </w:rPr>
        <w:t>集團</w:t>
      </w:r>
      <w:r w:rsidRPr="00AB0394">
        <w:rPr>
          <w:rFonts w:eastAsia="標楷體" w:hint="eastAsia"/>
          <w:sz w:val="26"/>
          <w:szCs w:val="26"/>
        </w:rPr>
        <w:t>之產品</w:t>
      </w:r>
      <w:r w:rsidR="00DE1459" w:rsidRPr="00AB0394">
        <w:rPr>
          <w:rFonts w:eastAsia="標楷體" w:hint="eastAsia"/>
          <w:sz w:val="26"/>
          <w:szCs w:val="26"/>
        </w:rPr>
        <w:t>系列</w:t>
      </w:r>
      <w:r w:rsidRPr="00AB0394">
        <w:rPr>
          <w:rFonts w:eastAsia="標楷體" w:hint="eastAsia"/>
          <w:sz w:val="26"/>
          <w:szCs w:val="26"/>
        </w:rPr>
        <w:t>簡略介紹如下：</w:t>
      </w:r>
    </w:p>
    <w:p w:rsidR="00DE7202" w:rsidRDefault="000223C9" w:rsidP="001719B7">
      <w:pPr>
        <w:spacing w:beforeLines="50" w:before="120" w:afterLines="50" w:after="120" w:line="360" w:lineRule="auto"/>
        <w:ind w:leftChars="400" w:left="960"/>
        <w:jc w:val="both"/>
        <w:rPr>
          <w:rFonts w:eastAsia="標楷體"/>
          <w:sz w:val="26"/>
          <w:szCs w:val="26"/>
        </w:rPr>
      </w:pPr>
      <w:r w:rsidRPr="00AB0394">
        <w:rPr>
          <w:rFonts w:eastAsia="標楷體" w:hint="eastAsia"/>
          <w:sz w:val="26"/>
          <w:szCs w:val="26"/>
        </w:rPr>
        <w:sym w:font="Wingdings 2" w:char="F06A"/>
      </w:r>
      <w:r w:rsidRPr="00AB0394">
        <w:rPr>
          <w:rFonts w:eastAsia="標楷體" w:hint="eastAsia"/>
          <w:sz w:val="26"/>
          <w:szCs w:val="26"/>
        </w:rPr>
        <w:t>高密度</w:t>
      </w:r>
      <w:r w:rsidRPr="00AB0394">
        <w:rPr>
          <w:rFonts w:eastAsia="標楷體" w:hint="eastAsia"/>
          <w:sz w:val="26"/>
          <w:szCs w:val="26"/>
        </w:rPr>
        <w:t>PLD</w:t>
      </w:r>
    </w:p>
    <w:p w:rsidR="00DE7202" w:rsidRDefault="000223C9" w:rsidP="001719B7">
      <w:pPr>
        <w:spacing w:beforeLines="50" w:before="120" w:afterLines="50" w:after="120" w:line="360" w:lineRule="auto"/>
        <w:ind w:leftChars="400" w:left="960" w:firstLineChars="200" w:firstLine="520"/>
        <w:jc w:val="both"/>
        <w:rPr>
          <w:rFonts w:eastAsia="標楷體"/>
          <w:sz w:val="26"/>
          <w:szCs w:val="26"/>
        </w:rPr>
      </w:pPr>
      <w:r w:rsidRPr="00AB0394">
        <w:rPr>
          <w:rFonts w:eastAsia="標楷體" w:hint="eastAsia"/>
          <w:sz w:val="26"/>
          <w:szCs w:val="26"/>
        </w:rPr>
        <w:t>自</w:t>
      </w:r>
      <w:r w:rsidRPr="00AB0394">
        <w:rPr>
          <w:rFonts w:eastAsia="標楷體" w:hint="eastAsia"/>
          <w:sz w:val="26"/>
          <w:szCs w:val="26"/>
        </w:rPr>
        <w:t>1992</w:t>
      </w:r>
      <w:r w:rsidRPr="00AB0394">
        <w:rPr>
          <w:rFonts w:eastAsia="標楷體" w:hint="eastAsia"/>
          <w:sz w:val="26"/>
          <w:szCs w:val="26"/>
        </w:rPr>
        <w:t>年即開始研發之產品，產品種類最為齊全。</w:t>
      </w:r>
    </w:p>
    <w:p w:rsidR="00DE7202" w:rsidRDefault="000223C9" w:rsidP="001719B7">
      <w:pPr>
        <w:spacing w:beforeLines="50" w:before="120" w:afterLines="50" w:after="120" w:line="360" w:lineRule="auto"/>
        <w:ind w:leftChars="400" w:left="960"/>
        <w:jc w:val="both"/>
        <w:rPr>
          <w:rFonts w:eastAsia="標楷體"/>
          <w:sz w:val="26"/>
          <w:szCs w:val="26"/>
        </w:rPr>
      </w:pPr>
      <w:r w:rsidRPr="00AB0394">
        <w:rPr>
          <w:rFonts w:eastAsia="標楷體" w:hint="eastAsia"/>
          <w:sz w:val="26"/>
          <w:szCs w:val="26"/>
        </w:rPr>
        <w:sym w:font="Wingdings 2" w:char="F06B"/>
      </w:r>
      <w:r w:rsidRPr="00AB0394">
        <w:rPr>
          <w:rFonts w:eastAsia="標楷體" w:hint="eastAsia"/>
          <w:sz w:val="26"/>
          <w:szCs w:val="26"/>
        </w:rPr>
        <w:t>現場</w:t>
      </w:r>
      <w:r w:rsidRPr="00AB0394">
        <w:rPr>
          <w:rFonts w:eastAsia="標楷體" w:hint="eastAsia"/>
          <w:sz w:val="26"/>
          <w:szCs w:val="26"/>
        </w:rPr>
        <w:t>PLD</w:t>
      </w:r>
      <w:r w:rsidRPr="00AB0394">
        <w:rPr>
          <w:rFonts w:eastAsia="標楷體" w:hint="eastAsia"/>
          <w:sz w:val="26"/>
          <w:szCs w:val="26"/>
        </w:rPr>
        <w:t>閘陣列系列</w:t>
      </w:r>
    </w:p>
    <w:p w:rsidR="00DE7202" w:rsidRDefault="000223C9" w:rsidP="001719B7">
      <w:pPr>
        <w:spacing w:beforeLines="50" w:before="120" w:afterLines="50" w:after="120" w:line="360" w:lineRule="auto"/>
        <w:ind w:leftChars="400" w:left="960" w:firstLineChars="200" w:firstLine="520"/>
        <w:jc w:val="both"/>
        <w:rPr>
          <w:rFonts w:eastAsia="標楷體"/>
          <w:sz w:val="26"/>
          <w:szCs w:val="26"/>
        </w:rPr>
      </w:pPr>
      <w:r w:rsidRPr="00AB0394">
        <w:rPr>
          <w:rFonts w:eastAsia="標楷體" w:hint="eastAsia"/>
          <w:sz w:val="26"/>
          <w:szCs w:val="26"/>
        </w:rPr>
        <w:t>自</w:t>
      </w:r>
      <w:r w:rsidRPr="00AB0394">
        <w:rPr>
          <w:rFonts w:eastAsia="標楷體" w:hint="eastAsia"/>
          <w:sz w:val="26"/>
          <w:szCs w:val="26"/>
        </w:rPr>
        <w:t>2002</w:t>
      </w:r>
      <w:r w:rsidRPr="00AB0394">
        <w:rPr>
          <w:rFonts w:eastAsia="標楷體" w:hint="eastAsia"/>
          <w:sz w:val="26"/>
          <w:szCs w:val="26"/>
        </w:rPr>
        <w:t>年</w:t>
      </w:r>
      <w:proofErr w:type="gramStart"/>
      <w:r w:rsidRPr="00AB0394">
        <w:rPr>
          <w:rFonts w:eastAsia="標楷體" w:hint="eastAsia"/>
          <w:sz w:val="26"/>
          <w:szCs w:val="26"/>
        </w:rPr>
        <w:t>併購傑爾</w:t>
      </w:r>
      <w:proofErr w:type="gramEnd"/>
      <w:r w:rsidRPr="00AB0394">
        <w:rPr>
          <w:rFonts w:eastAsia="標楷體" w:hint="eastAsia"/>
          <w:sz w:val="26"/>
          <w:szCs w:val="26"/>
        </w:rPr>
        <w:t>（</w:t>
      </w:r>
      <w:proofErr w:type="spellStart"/>
      <w:r w:rsidRPr="00AB0394">
        <w:rPr>
          <w:rFonts w:eastAsia="標楷體" w:hint="eastAsia"/>
          <w:sz w:val="26"/>
          <w:szCs w:val="26"/>
        </w:rPr>
        <w:t>Agere</w:t>
      </w:r>
      <w:proofErr w:type="spellEnd"/>
      <w:r w:rsidRPr="00AB0394">
        <w:rPr>
          <w:rFonts w:eastAsia="標楷體" w:hint="eastAsia"/>
          <w:sz w:val="26"/>
          <w:szCs w:val="26"/>
        </w:rPr>
        <w:t>）高階</w:t>
      </w:r>
      <w:r w:rsidRPr="00AB0394">
        <w:rPr>
          <w:rFonts w:eastAsia="標楷體" w:hint="eastAsia"/>
          <w:sz w:val="26"/>
          <w:szCs w:val="26"/>
        </w:rPr>
        <w:t>PLD</w:t>
      </w:r>
      <w:r w:rsidRPr="00AB0394">
        <w:rPr>
          <w:rFonts w:eastAsia="標楷體" w:hint="eastAsia"/>
          <w:sz w:val="26"/>
          <w:szCs w:val="26"/>
        </w:rPr>
        <w:t>業務後，即進入該產品市場，目前提供之產品超過</w:t>
      </w:r>
      <w:r w:rsidRPr="00AB0394">
        <w:rPr>
          <w:rFonts w:eastAsia="標楷體" w:hint="eastAsia"/>
          <w:sz w:val="26"/>
          <w:szCs w:val="26"/>
        </w:rPr>
        <w:t>40</w:t>
      </w:r>
      <w:r w:rsidRPr="00AB0394">
        <w:rPr>
          <w:rFonts w:eastAsia="標楷體" w:hint="eastAsia"/>
          <w:sz w:val="26"/>
          <w:szCs w:val="26"/>
        </w:rPr>
        <w:t>種。</w:t>
      </w:r>
    </w:p>
    <w:p w:rsidR="00DE7202" w:rsidRDefault="000223C9" w:rsidP="001719B7">
      <w:pPr>
        <w:spacing w:beforeLines="50" w:before="120" w:afterLines="50" w:after="120" w:line="360" w:lineRule="auto"/>
        <w:ind w:leftChars="400" w:left="960"/>
        <w:jc w:val="both"/>
        <w:rPr>
          <w:rFonts w:eastAsia="標楷體"/>
          <w:sz w:val="26"/>
          <w:szCs w:val="26"/>
        </w:rPr>
      </w:pPr>
      <w:r w:rsidRPr="00AB0394">
        <w:rPr>
          <w:rFonts w:eastAsia="標楷體" w:hint="eastAsia"/>
          <w:sz w:val="26"/>
          <w:szCs w:val="26"/>
        </w:rPr>
        <w:sym w:font="Wingdings 2" w:char="F06C"/>
      </w:r>
      <w:r w:rsidRPr="00AB0394">
        <w:rPr>
          <w:rFonts w:eastAsia="標楷體" w:hint="eastAsia"/>
          <w:sz w:val="26"/>
          <w:szCs w:val="26"/>
        </w:rPr>
        <w:t>現場</w:t>
      </w:r>
      <w:r w:rsidRPr="00AB0394">
        <w:rPr>
          <w:rFonts w:eastAsia="標楷體" w:hint="eastAsia"/>
          <w:sz w:val="26"/>
          <w:szCs w:val="26"/>
        </w:rPr>
        <w:t>PLD</w:t>
      </w:r>
      <w:r w:rsidRPr="00AB0394">
        <w:rPr>
          <w:rFonts w:eastAsia="標楷體" w:hint="eastAsia"/>
          <w:sz w:val="26"/>
          <w:szCs w:val="26"/>
        </w:rPr>
        <w:t>系統晶片</w:t>
      </w:r>
    </w:p>
    <w:p w:rsidR="00DE7202" w:rsidRDefault="000223C9" w:rsidP="001719B7">
      <w:pPr>
        <w:spacing w:beforeLines="50" w:before="120" w:afterLines="50" w:after="120" w:line="360" w:lineRule="auto"/>
        <w:ind w:leftChars="400" w:left="960" w:firstLineChars="200" w:firstLine="520"/>
        <w:jc w:val="both"/>
        <w:rPr>
          <w:rFonts w:eastAsia="標楷體"/>
          <w:sz w:val="26"/>
          <w:szCs w:val="26"/>
        </w:rPr>
      </w:pPr>
      <w:r w:rsidRPr="00AB0394">
        <w:rPr>
          <w:rFonts w:eastAsia="標楷體" w:hint="eastAsia"/>
          <w:sz w:val="26"/>
          <w:szCs w:val="26"/>
        </w:rPr>
        <w:t>為「現場</w:t>
      </w:r>
      <w:r w:rsidRPr="00AB0394">
        <w:rPr>
          <w:rFonts w:eastAsia="標楷體" w:hint="eastAsia"/>
          <w:sz w:val="26"/>
          <w:szCs w:val="26"/>
        </w:rPr>
        <w:t>PLD</w:t>
      </w:r>
      <w:r w:rsidRPr="00AB0394">
        <w:rPr>
          <w:rFonts w:eastAsia="標楷體" w:hint="eastAsia"/>
          <w:sz w:val="26"/>
          <w:szCs w:val="26"/>
        </w:rPr>
        <w:t>閘陣列系列」之晉級產品，於單一</w:t>
      </w:r>
      <w:r w:rsidRPr="00AB0394">
        <w:rPr>
          <w:rFonts w:eastAsia="標楷體" w:hint="eastAsia"/>
          <w:sz w:val="26"/>
          <w:szCs w:val="26"/>
        </w:rPr>
        <w:t>PLD</w:t>
      </w:r>
      <w:r w:rsidRPr="00AB0394">
        <w:rPr>
          <w:rFonts w:eastAsia="標楷體" w:hint="eastAsia"/>
          <w:sz w:val="26"/>
          <w:szCs w:val="26"/>
        </w:rPr>
        <w:t>晶片上結合現場</w:t>
      </w:r>
      <w:r w:rsidRPr="00AB0394">
        <w:rPr>
          <w:rFonts w:eastAsia="標楷體" w:hint="eastAsia"/>
          <w:sz w:val="26"/>
          <w:szCs w:val="26"/>
        </w:rPr>
        <w:t>PLD</w:t>
      </w:r>
      <w:r w:rsidRPr="00AB0394">
        <w:rPr>
          <w:rFonts w:eastAsia="標楷體" w:hint="eastAsia"/>
          <w:sz w:val="26"/>
          <w:szCs w:val="26"/>
        </w:rPr>
        <w:t>閘陣列邏輯，可供進行複雜之系統設計，目前</w:t>
      </w:r>
      <w:proofErr w:type="gramStart"/>
      <w:r w:rsidRPr="00AB0394">
        <w:rPr>
          <w:rFonts w:eastAsia="標楷體" w:hint="eastAsia"/>
          <w:sz w:val="26"/>
          <w:szCs w:val="26"/>
        </w:rPr>
        <w:t>閘</w:t>
      </w:r>
      <w:proofErr w:type="gramEnd"/>
      <w:r w:rsidRPr="00AB0394">
        <w:rPr>
          <w:rFonts w:eastAsia="標楷體" w:hint="eastAsia"/>
          <w:sz w:val="26"/>
          <w:szCs w:val="26"/>
        </w:rPr>
        <w:t>陣列平</w:t>
      </w:r>
      <w:proofErr w:type="gramStart"/>
      <w:r w:rsidRPr="00AB0394">
        <w:rPr>
          <w:rFonts w:eastAsia="標楷體" w:hint="eastAsia"/>
          <w:sz w:val="26"/>
          <w:szCs w:val="26"/>
        </w:rPr>
        <w:t>臺</w:t>
      </w:r>
      <w:proofErr w:type="gramEnd"/>
      <w:r w:rsidRPr="00AB0394">
        <w:rPr>
          <w:rFonts w:eastAsia="標楷體" w:hint="eastAsia"/>
          <w:sz w:val="26"/>
          <w:szCs w:val="26"/>
        </w:rPr>
        <w:t>提供</w:t>
      </w:r>
      <w:r w:rsidRPr="00AB0394">
        <w:rPr>
          <w:rFonts w:eastAsia="標楷體" w:hint="eastAsia"/>
          <w:sz w:val="26"/>
          <w:szCs w:val="26"/>
        </w:rPr>
        <w:t>4</w:t>
      </w:r>
      <w:r w:rsidRPr="00AB0394">
        <w:rPr>
          <w:rFonts w:eastAsia="標楷體" w:hint="eastAsia"/>
          <w:sz w:val="26"/>
          <w:szCs w:val="26"/>
        </w:rPr>
        <w:t>種系統晶片元件供使用。</w:t>
      </w:r>
    </w:p>
    <w:p w:rsidR="00DE7202" w:rsidRDefault="000223C9" w:rsidP="001719B7">
      <w:pPr>
        <w:spacing w:beforeLines="50" w:before="120" w:afterLines="50" w:after="120" w:line="360" w:lineRule="auto"/>
        <w:ind w:leftChars="400" w:left="960"/>
        <w:jc w:val="both"/>
        <w:rPr>
          <w:rFonts w:eastAsia="標楷體"/>
          <w:sz w:val="26"/>
          <w:szCs w:val="26"/>
        </w:rPr>
      </w:pPr>
      <w:r w:rsidRPr="00AB0394">
        <w:rPr>
          <w:rFonts w:eastAsia="標楷體" w:hint="eastAsia"/>
          <w:sz w:val="26"/>
          <w:szCs w:val="26"/>
        </w:rPr>
        <w:sym w:font="Wingdings 2" w:char="F06D"/>
      </w:r>
      <w:r w:rsidRPr="00AB0394">
        <w:rPr>
          <w:rFonts w:eastAsia="標楷體" w:hint="eastAsia"/>
          <w:sz w:val="26"/>
          <w:szCs w:val="26"/>
        </w:rPr>
        <w:t>數位連接裝置</w:t>
      </w:r>
    </w:p>
    <w:p w:rsidR="00DE7202" w:rsidRDefault="000223C9" w:rsidP="001719B7">
      <w:pPr>
        <w:spacing w:beforeLines="50" w:before="120" w:afterLines="50" w:after="120" w:line="360" w:lineRule="auto"/>
        <w:ind w:leftChars="400" w:left="960" w:firstLineChars="200" w:firstLine="520"/>
        <w:jc w:val="both"/>
        <w:rPr>
          <w:rFonts w:eastAsia="標楷體"/>
          <w:sz w:val="26"/>
          <w:szCs w:val="26"/>
        </w:rPr>
      </w:pPr>
      <w:r w:rsidRPr="00AB0394">
        <w:rPr>
          <w:rFonts w:eastAsia="標楷體" w:hint="eastAsia"/>
          <w:sz w:val="26"/>
          <w:szCs w:val="26"/>
        </w:rPr>
        <w:t>採用創新之數位交叉點開關結構，可將系統內之可程式化設計特性拓展到電路板上。</w:t>
      </w:r>
    </w:p>
    <w:p w:rsidR="00DE7202" w:rsidRDefault="000223C9" w:rsidP="001719B7">
      <w:pPr>
        <w:spacing w:beforeLines="50" w:before="120" w:afterLines="50" w:after="120" w:line="360" w:lineRule="auto"/>
        <w:ind w:leftChars="400" w:left="960"/>
        <w:jc w:val="both"/>
        <w:rPr>
          <w:rFonts w:eastAsia="標楷體"/>
          <w:sz w:val="26"/>
          <w:szCs w:val="26"/>
        </w:rPr>
      </w:pPr>
      <w:r w:rsidRPr="00AB0394">
        <w:rPr>
          <w:rFonts w:eastAsia="標楷體" w:hint="eastAsia"/>
          <w:sz w:val="26"/>
          <w:szCs w:val="26"/>
        </w:rPr>
        <w:sym w:font="Wingdings 2" w:char="F06E"/>
      </w:r>
      <w:r w:rsidRPr="00AB0394">
        <w:rPr>
          <w:rFonts w:eastAsia="標楷體" w:hint="eastAsia"/>
          <w:sz w:val="26"/>
          <w:szCs w:val="26"/>
        </w:rPr>
        <w:t>混合信號產品</w:t>
      </w:r>
    </w:p>
    <w:p w:rsidR="00DE7202" w:rsidRDefault="000223C9" w:rsidP="001719B7">
      <w:pPr>
        <w:spacing w:beforeLines="50" w:before="120" w:afterLines="50" w:after="120" w:line="360" w:lineRule="auto"/>
        <w:ind w:leftChars="400" w:left="960" w:firstLineChars="200" w:firstLine="520"/>
        <w:jc w:val="both"/>
        <w:rPr>
          <w:rFonts w:eastAsia="標楷體"/>
          <w:sz w:val="26"/>
          <w:szCs w:val="26"/>
        </w:rPr>
      </w:pPr>
      <w:r w:rsidRPr="00AB0394">
        <w:rPr>
          <w:rFonts w:eastAsia="標楷體" w:hint="eastAsia"/>
          <w:sz w:val="26"/>
          <w:szCs w:val="26"/>
        </w:rPr>
        <w:t>以特有元件結構快速簡便連結電阻器、電容器及電路程式設計，使其成為類比電路。該產品最早應用於濾波器上，替代離散類比元件。新版產品更結合類比和高密度</w:t>
      </w:r>
      <w:r w:rsidRPr="00AB0394">
        <w:rPr>
          <w:rFonts w:eastAsia="標楷體" w:hint="eastAsia"/>
          <w:sz w:val="26"/>
          <w:szCs w:val="26"/>
        </w:rPr>
        <w:t>PLD</w:t>
      </w:r>
      <w:r w:rsidRPr="00AB0394">
        <w:rPr>
          <w:rFonts w:eastAsia="標楷體" w:hint="eastAsia"/>
          <w:sz w:val="26"/>
          <w:szCs w:val="26"/>
        </w:rPr>
        <w:t>技術，可以單一元件監控電源，使用戶可在個人電腦上以該軟體進行程式設計。</w:t>
      </w:r>
    </w:p>
    <w:p w:rsidR="00DE7202" w:rsidRDefault="00EB094D" w:rsidP="001719B7">
      <w:pPr>
        <w:numPr>
          <w:ilvl w:val="0"/>
          <w:numId w:val="24"/>
        </w:numPr>
        <w:tabs>
          <w:tab w:val="left" w:pos="1134"/>
        </w:tabs>
        <w:spacing w:beforeLines="50" w:before="120" w:afterLines="50" w:after="120" w:line="360" w:lineRule="auto"/>
        <w:ind w:hanging="1320"/>
        <w:jc w:val="both"/>
        <w:rPr>
          <w:rFonts w:eastAsia="標楷體"/>
          <w:b/>
          <w:sz w:val="26"/>
          <w:szCs w:val="26"/>
        </w:rPr>
      </w:pPr>
      <w:r w:rsidRPr="00DC1554">
        <w:rPr>
          <w:rFonts w:eastAsia="標楷體"/>
          <w:b/>
          <w:sz w:val="26"/>
          <w:szCs w:val="26"/>
        </w:rPr>
        <w:t>營運狀況</w:t>
      </w:r>
    </w:p>
    <w:p w:rsidR="00DE7202" w:rsidRDefault="003A761B" w:rsidP="001719B7">
      <w:pPr>
        <w:spacing w:beforeLines="50" w:before="120" w:afterLines="50" w:after="120" w:line="360" w:lineRule="auto"/>
        <w:ind w:leftChars="300" w:left="720" w:firstLineChars="200" w:firstLine="520"/>
        <w:jc w:val="both"/>
        <w:rPr>
          <w:rFonts w:eastAsia="標楷體"/>
          <w:sz w:val="26"/>
          <w:szCs w:val="26"/>
        </w:rPr>
      </w:pPr>
      <w:r w:rsidRPr="00AB0394">
        <w:rPr>
          <w:rFonts w:eastAsia="標楷體" w:hint="eastAsia"/>
          <w:sz w:val="26"/>
          <w:szCs w:val="26"/>
        </w:rPr>
        <w:t>萊迪思台灣分公司</w:t>
      </w:r>
      <w:r w:rsidR="009326DA" w:rsidRPr="00115E7F">
        <w:rPr>
          <w:rFonts w:eastAsia="標楷體" w:hint="eastAsia"/>
          <w:color w:val="000000" w:themeColor="text1"/>
          <w:sz w:val="26"/>
          <w:szCs w:val="26"/>
        </w:rPr>
        <w:t>10</w:t>
      </w:r>
      <w:r w:rsidR="00C41796">
        <w:rPr>
          <w:rFonts w:eastAsia="標楷體" w:hint="eastAsia"/>
          <w:color w:val="000000" w:themeColor="text1"/>
          <w:sz w:val="26"/>
          <w:szCs w:val="26"/>
        </w:rPr>
        <w:t>5</w:t>
      </w:r>
      <w:r w:rsidR="00EB094D" w:rsidRPr="00AB0394">
        <w:rPr>
          <w:rFonts w:eastAsia="標楷體" w:hint="eastAsia"/>
          <w:sz w:val="26"/>
          <w:szCs w:val="26"/>
        </w:rPr>
        <w:t>年服務收入占總營業收入比例如下：</w:t>
      </w:r>
    </w:p>
    <w:tbl>
      <w:tblPr>
        <w:tblW w:w="0" w:type="auto"/>
        <w:tblInd w:w="817"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4A0" w:firstRow="1" w:lastRow="0" w:firstColumn="1" w:lastColumn="0" w:noHBand="0" w:noVBand="1"/>
      </w:tblPr>
      <w:tblGrid>
        <w:gridCol w:w="2126"/>
        <w:gridCol w:w="2552"/>
        <w:gridCol w:w="3118"/>
      </w:tblGrid>
      <w:tr w:rsidR="006B6BFE" w:rsidRPr="00EA272E">
        <w:tc>
          <w:tcPr>
            <w:tcW w:w="2126" w:type="dxa"/>
            <w:shd w:val="clear" w:color="auto" w:fill="4F81BD"/>
          </w:tcPr>
          <w:p w:rsidR="00EB094D" w:rsidRPr="00EA272E" w:rsidRDefault="00EB094D" w:rsidP="008E1573">
            <w:pPr>
              <w:jc w:val="center"/>
              <w:rPr>
                <w:rFonts w:eastAsia="標楷體"/>
                <w:bCs/>
                <w:color w:val="FFFFFF"/>
                <w:sz w:val="26"/>
                <w:szCs w:val="26"/>
              </w:rPr>
            </w:pPr>
            <w:r w:rsidRPr="000223C9">
              <w:rPr>
                <w:rFonts w:eastAsia="標楷體" w:hint="eastAsia"/>
                <w:bCs/>
                <w:color w:val="FFFFFF"/>
                <w:sz w:val="26"/>
                <w:szCs w:val="26"/>
              </w:rPr>
              <w:t>服務</w:t>
            </w:r>
            <w:r w:rsidRPr="00EA272E">
              <w:rPr>
                <w:rFonts w:eastAsia="標楷體" w:hint="eastAsia"/>
                <w:bCs/>
                <w:color w:val="FFFFFF"/>
                <w:sz w:val="26"/>
                <w:szCs w:val="26"/>
              </w:rPr>
              <w:t>類型</w:t>
            </w:r>
          </w:p>
        </w:tc>
        <w:tc>
          <w:tcPr>
            <w:tcW w:w="2552" w:type="dxa"/>
            <w:tcBorders>
              <w:bottom w:val="single" w:sz="8" w:space="0" w:color="365F91"/>
            </w:tcBorders>
            <w:shd w:val="clear" w:color="auto" w:fill="4F81BD"/>
          </w:tcPr>
          <w:p w:rsidR="00EB094D" w:rsidRPr="00EA272E" w:rsidRDefault="00EB094D" w:rsidP="008E1573">
            <w:pPr>
              <w:jc w:val="center"/>
              <w:rPr>
                <w:rFonts w:eastAsia="標楷體"/>
                <w:bCs/>
                <w:color w:val="FFFFFF"/>
                <w:sz w:val="26"/>
                <w:szCs w:val="26"/>
              </w:rPr>
            </w:pPr>
            <w:r w:rsidRPr="00EA272E">
              <w:rPr>
                <w:rFonts w:eastAsia="標楷體" w:hint="eastAsia"/>
                <w:bCs/>
                <w:color w:val="FFFFFF"/>
                <w:sz w:val="26"/>
                <w:szCs w:val="26"/>
              </w:rPr>
              <w:t>營業收入</w:t>
            </w:r>
          </w:p>
        </w:tc>
        <w:tc>
          <w:tcPr>
            <w:tcW w:w="3118" w:type="dxa"/>
            <w:shd w:val="clear" w:color="auto" w:fill="4F81BD"/>
          </w:tcPr>
          <w:p w:rsidR="00EB094D" w:rsidRPr="00EA272E" w:rsidRDefault="00EB094D" w:rsidP="008E1573">
            <w:pPr>
              <w:jc w:val="center"/>
              <w:rPr>
                <w:rFonts w:eastAsia="標楷體"/>
                <w:bCs/>
                <w:color w:val="FFFFFF"/>
                <w:sz w:val="26"/>
                <w:szCs w:val="26"/>
              </w:rPr>
            </w:pPr>
            <w:r w:rsidRPr="00EA272E">
              <w:rPr>
                <w:rFonts w:eastAsia="標楷體" w:hint="eastAsia"/>
                <w:bCs/>
                <w:color w:val="FFFFFF"/>
                <w:sz w:val="26"/>
                <w:szCs w:val="26"/>
              </w:rPr>
              <w:t>占總收比例</w:t>
            </w:r>
          </w:p>
        </w:tc>
      </w:tr>
      <w:tr w:rsidR="006B6BFE" w:rsidRPr="00EA272E">
        <w:tc>
          <w:tcPr>
            <w:tcW w:w="2126" w:type="dxa"/>
            <w:vAlign w:val="center"/>
          </w:tcPr>
          <w:p w:rsidR="00EB094D" w:rsidRPr="00960742" w:rsidRDefault="00960742" w:rsidP="00774A23">
            <w:pPr>
              <w:jc w:val="center"/>
              <w:rPr>
                <w:rFonts w:eastAsia="標楷體"/>
                <w:bCs/>
                <w:sz w:val="26"/>
                <w:szCs w:val="26"/>
              </w:rPr>
            </w:pPr>
            <w:r w:rsidRPr="00960742">
              <w:rPr>
                <w:rFonts w:eastAsia="標楷體" w:hint="eastAsia"/>
                <w:bCs/>
                <w:sz w:val="26"/>
                <w:szCs w:val="26"/>
              </w:rPr>
              <w:t>行銷及行政相關支援服務</w:t>
            </w:r>
          </w:p>
        </w:tc>
        <w:tc>
          <w:tcPr>
            <w:tcW w:w="2552" w:type="dxa"/>
            <w:shd w:val="clear" w:color="auto" w:fill="auto"/>
            <w:vAlign w:val="center"/>
          </w:tcPr>
          <w:p w:rsidR="00EB094D" w:rsidRPr="005C11CE" w:rsidRDefault="005C11CE" w:rsidP="005C11CE">
            <w:pPr>
              <w:jc w:val="center"/>
              <w:rPr>
                <w:rFonts w:eastAsia="標楷體"/>
                <w:color w:val="000000" w:themeColor="text1"/>
                <w:sz w:val="26"/>
                <w:szCs w:val="26"/>
              </w:rPr>
            </w:pPr>
            <w:r w:rsidRPr="005C11CE">
              <w:rPr>
                <w:rFonts w:eastAsia="標楷體" w:hint="eastAsia"/>
                <w:color w:val="000000" w:themeColor="text1"/>
                <w:sz w:val="26"/>
                <w:szCs w:val="26"/>
              </w:rPr>
              <w:t>69</w:t>
            </w:r>
            <w:r w:rsidR="009326DA" w:rsidRPr="005C11CE">
              <w:rPr>
                <w:rFonts w:eastAsia="標楷體"/>
                <w:color w:val="000000" w:themeColor="text1"/>
                <w:sz w:val="26"/>
                <w:szCs w:val="26"/>
              </w:rPr>
              <w:t>,3</w:t>
            </w:r>
            <w:r w:rsidRPr="005C11CE">
              <w:rPr>
                <w:rFonts w:eastAsia="標楷體" w:hint="eastAsia"/>
                <w:color w:val="000000" w:themeColor="text1"/>
                <w:sz w:val="26"/>
                <w:szCs w:val="26"/>
              </w:rPr>
              <w:t>81</w:t>
            </w:r>
            <w:r w:rsidR="009326DA" w:rsidRPr="005C11CE">
              <w:rPr>
                <w:rFonts w:eastAsia="標楷體"/>
                <w:color w:val="000000" w:themeColor="text1"/>
                <w:sz w:val="26"/>
                <w:szCs w:val="26"/>
              </w:rPr>
              <w:t>,</w:t>
            </w:r>
            <w:r w:rsidRPr="005C11CE">
              <w:rPr>
                <w:rFonts w:eastAsia="標楷體" w:hint="eastAsia"/>
                <w:color w:val="000000" w:themeColor="text1"/>
                <w:sz w:val="26"/>
                <w:szCs w:val="26"/>
              </w:rPr>
              <w:t>182</w:t>
            </w:r>
            <w:r w:rsidR="009326DA" w:rsidRPr="005C11CE">
              <w:rPr>
                <w:rFonts w:eastAsia="標楷體"/>
                <w:color w:val="000000" w:themeColor="text1"/>
                <w:sz w:val="26"/>
                <w:szCs w:val="26"/>
              </w:rPr>
              <w:t xml:space="preserve"> </w:t>
            </w:r>
          </w:p>
        </w:tc>
        <w:tc>
          <w:tcPr>
            <w:tcW w:w="3118" w:type="dxa"/>
            <w:vAlign w:val="center"/>
          </w:tcPr>
          <w:p w:rsidR="00EB094D" w:rsidRPr="00EA272E" w:rsidRDefault="000223C9" w:rsidP="00774A23">
            <w:pPr>
              <w:jc w:val="center"/>
              <w:rPr>
                <w:rFonts w:eastAsia="標楷體"/>
                <w:bCs/>
                <w:sz w:val="26"/>
                <w:szCs w:val="26"/>
              </w:rPr>
            </w:pPr>
            <w:r>
              <w:rPr>
                <w:rFonts w:eastAsia="標楷體" w:hint="eastAsia"/>
                <w:bCs/>
                <w:sz w:val="26"/>
                <w:szCs w:val="26"/>
              </w:rPr>
              <w:t>100%</w:t>
            </w:r>
          </w:p>
        </w:tc>
      </w:tr>
    </w:tbl>
    <w:p w:rsidR="00DE7202" w:rsidRDefault="00DE04C5" w:rsidP="001719B7">
      <w:pPr>
        <w:pStyle w:val="3"/>
        <w:numPr>
          <w:ilvl w:val="0"/>
          <w:numId w:val="5"/>
        </w:numPr>
        <w:spacing w:beforeLines="50" w:before="120" w:afterLines="50" w:after="120" w:line="360" w:lineRule="auto"/>
        <w:ind w:leftChars="100" w:left="720"/>
        <w:jc w:val="both"/>
        <w:rPr>
          <w:rFonts w:ascii="Times New Roman" w:eastAsia="標楷體" w:hAnsi="Times New Roman"/>
          <w:sz w:val="32"/>
          <w:szCs w:val="32"/>
        </w:rPr>
      </w:pPr>
      <w:r w:rsidRPr="00DC1554">
        <w:rPr>
          <w:rFonts w:ascii="Times New Roman" w:eastAsia="標楷體" w:hAnsi="Times New Roman" w:hint="eastAsia"/>
          <w:sz w:val="32"/>
          <w:szCs w:val="32"/>
        </w:rPr>
        <w:lastRenderedPageBreak/>
        <w:t>集團綜</w:t>
      </w:r>
      <w:proofErr w:type="gramStart"/>
      <w:r w:rsidRPr="00DC1554">
        <w:rPr>
          <w:rFonts w:ascii="Times New Roman" w:eastAsia="標楷體" w:hAnsi="Times New Roman" w:hint="eastAsia"/>
          <w:sz w:val="32"/>
          <w:szCs w:val="32"/>
        </w:rPr>
        <w:t>覽</w:t>
      </w:r>
      <w:proofErr w:type="gramEnd"/>
    </w:p>
    <w:p w:rsidR="00DE7202" w:rsidRDefault="00731177" w:rsidP="001719B7">
      <w:pPr>
        <w:numPr>
          <w:ilvl w:val="0"/>
          <w:numId w:val="25"/>
        </w:numPr>
        <w:tabs>
          <w:tab w:val="left" w:pos="1134"/>
        </w:tabs>
        <w:spacing w:beforeLines="50" w:before="120" w:afterLines="50" w:after="120" w:line="360" w:lineRule="auto"/>
        <w:ind w:hanging="1320"/>
        <w:jc w:val="both"/>
        <w:rPr>
          <w:rFonts w:eastAsia="標楷體"/>
          <w:b/>
          <w:sz w:val="28"/>
          <w:szCs w:val="28"/>
        </w:rPr>
      </w:pPr>
      <w:r w:rsidRPr="00DC1554">
        <w:rPr>
          <w:rFonts w:eastAsia="標楷體" w:hint="eastAsia"/>
          <w:b/>
          <w:sz w:val="28"/>
          <w:szCs w:val="28"/>
        </w:rPr>
        <w:t>背景資訊</w:t>
      </w:r>
    </w:p>
    <w:p w:rsidR="00DE7202" w:rsidRDefault="00F91982" w:rsidP="001719B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LSC</w:t>
      </w:r>
      <w:r w:rsidR="00C6154A" w:rsidRPr="00AB0394">
        <w:rPr>
          <w:rFonts w:eastAsia="標楷體" w:hint="eastAsia"/>
          <w:sz w:val="26"/>
          <w:szCs w:val="26"/>
        </w:rPr>
        <w:t>專精</w:t>
      </w:r>
      <w:r w:rsidR="00C6154A" w:rsidRPr="00AB0394">
        <w:rPr>
          <w:rFonts w:eastAsia="標楷體" w:hint="eastAsia"/>
          <w:sz w:val="26"/>
          <w:szCs w:val="26"/>
        </w:rPr>
        <w:t>PLD</w:t>
      </w:r>
      <w:r w:rsidR="00C6154A" w:rsidRPr="00AB0394">
        <w:rPr>
          <w:rFonts w:eastAsia="標楷體" w:hint="eastAsia"/>
          <w:sz w:val="26"/>
          <w:szCs w:val="26"/>
        </w:rPr>
        <w:t>之設計開發，本身不執行生產，而是將設計成果委以晶圓廠代工製造，集中資金及精力於製程及產品研發。其亦受益於代工晶圓廠製造技術不斷精進之好處，取得以先進製程產製之成品。顧客主要為通訊、計算、消費、工業、汽車、醫藥及軍事市場之</w:t>
      </w:r>
      <w:r w:rsidR="00C6154A" w:rsidRPr="00AB0394">
        <w:rPr>
          <w:rFonts w:eastAsia="標楷體" w:hint="eastAsia"/>
          <w:sz w:val="26"/>
          <w:szCs w:val="26"/>
        </w:rPr>
        <w:t>OEM</w:t>
      </w:r>
      <w:r w:rsidR="00C6154A" w:rsidRPr="00AB0394">
        <w:rPr>
          <w:rFonts w:eastAsia="標楷體" w:hint="eastAsia"/>
          <w:sz w:val="26"/>
          <w:szCs w:val="26"/>
        </w:rPr>
        <w:t>廠商。</w:t>
      </w:r>
    </w:p>
    <w:p w:rsidR="00DE7202" w:rsidRDefault="00731177" w:rsidP="001719B7">
      <w:pPr>
        <w:numPr>
          <w:ilvl w:val="0"/>
          <w:numId w:val="25"/>
        </w:numPr>
        <w:tabs>
          <w:tab w:val="left" w:pos="1134"/>
        </w:tabs>
        <w:spacing w:beforeLines="50" w:before="120" w:afterLines="50" w:after="120" w:line="360" w:lineRule="auto"/>
        <w:ind w:leftChars="250" w:left="1080"/>
        <w:jc w:val="both"/>
        <w:rPr>
          <w:rFonts w:eastAsia="標楷體"/>
          <w:b/>
          <w:sz w:val="28"/>
          <w:szCs w:val="28"/>
        </w:rPr>
      </w:pPr>
      <w:r w:rsidRPr="00DC1554">
        <w:rPr>
          <w:rFonts w:eastAsia="標楷體" w:hint="eastAsia"/>
          <w:b/>
          <w:sz w:val="28"/>
          <w:szCs w:val="28"/>
        </w:rPr>
        <w:t>主要業務範圍</w:t>
      </w:r>
    </w:p>
    <w:p w:rsidR="00DE7202" w:rsidRDefault="00F91982" w:rsidP="001719B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LSC</w:t>
      </w:r>
      <w:r w:rsidR="008A1B49" w:rsidRPr="00E0403F">
        <w:rPr>
          <w:rFonts w:eastAsia="標楷體"/>
          <w:sz w:val="26"/>
          <w:szCs w:val="26"/>
        </w:rPr>
        <w:t>經由下列管道</w:t>
      </w:r>
      <w:r w:rsidR="008A1B49" w:rsidRPr="00E0403F">
        <w:rPr>
          <w:rFonts w:eastAsia="標楷體" w:hint="eastAsia"/>
          <w:sz w:val="26"/>
          <w:szCs w:val="26"/>
        </w:rPr>
        <w:t>銷售產品</w:t>
      </w:r>
      <w:r w:rsidR="008A1B49" w:rsidRPr="00E0403F">
        <w:rPr>
          <w:rFonts w:eastAsia="標楷體"/>
          <w:sz w:val="26"/>
          <w:szCs w:val="26"/>
        </w:rPr>
        <w:t>：</w:t>
      </w:r>
    </w:p>
    <w:p w:rsidR="00DE7202" w:rsidRDefault="008A1B49" w:rsidP="001719B7">
      <w:pPr>
        <w:numPr>
          <w:ilvl w:val="1"/>
          <w:numId w:val="34"/>
        </w:numPr>
        <w:spacing w:beforeLines="20" w:before="48" w:line="360" w:lineRule="auto"/>
        <w:jc w:val="both"/>
        <w:rPr>
          <w:rFonts w:eastAsia="標楷體"/>
          <w:bCs/>
          <w:iCs/>
          <w:sz w:val="26"/>
          <w:szCs w:val="26"/>
        </w:rPr>
      </w:pPr>
      <w:r w:rsidRPr="008A1B49">
        <w:rPr>
          <w:rFonts w:eastAsia="標楷體" w:hAnsi="標楷體" w:hint="eastAsia"/>
          <w:bCs/>
          <w:iCs/>
          <w:sz w:val="26"/>
          <w:szCs w:val="26"/>
        </w:rPr>
        <w:t>OEM</w:t>
      </w:r>
      <w:r w:rsidRPr="008A1B49">
        <w:rPr>
          <w:rFonts w:eastAsia="標楷體" w:hAnsi="標楷體" w:hint="eastAsia"/>
          <w:bCs/>
          <w:iCs/>
          <w:sz w:val="26"/>
          <w:szCs w:val="26"/>
        </w:rPr>
        <w:t>廠商：</w:t>
      </w:r>
      <w:r w:rsidR="000F7CA9">
        <w:rPr>
          <w:rFonts w:eastAsia="標楷體" w:hint="eastAsia"/>
          <w:sz w:val="26"/>
          <w:szCs w:val="26"/>
        </w:rPr>
        <w:t>LSC</w:t>
      </w:r>
      <w:r w:rsidRPr="008A1B49">
        <w:rPr>
          <w:rFonts w:eastAsia="標楷體" w:hAnsi="標楷體" w:hint="eastAsia"/>
          <w:bCs/>
          <w:iCs/>
          <w:sz w:val="26"/>
          <w:szCs w:val="26"/>
        </w:rPr>
        <w:t>直接售予</w:t>
      </w:r>
      <w:r w:rsidRPr="008A1B49">
        <w:rPr>
          <w:rFonts w:eastAsia="標楷體" w:hAnsi="標楷體" w:hint="eastAsia"/>
          <w:bCs/>
          <w:iCs/>
          <w:sz w:val="26"/>
          <w:szCs w:val="26"/>
        </w:rPr>
        <w:t>OEM</w:t>
      </w:r>
      <w:r w:rsidRPr="008A1B49">
        <w:rPr>
          <w:rFonts w:eastAsia="標楷體" w:hAnsi="標楷體" w:hint="eastAsia"/>
          <w:bCs/>
          <w:iCs/>
          <w:sz w:val="26"/>
          <w:szCs w:val="26"/>
        </w:rPr>
        <w:t>廠商客戶，以賣斷方式對其銷售產品。</w:t>
      </w:r>
    </w:p>
    <w:p w:rsidR="00DE7202" w:rsidRDefault="008A1B49" w:rsidP="001719B7">
      <w:pPr>
        <w:numPr>
          <w:ilvl w:val="1"/>
          <w:numId w:val="34"/>
        </w:numPr>
        <w:tabs>
          <w:tab w:val="num" w:pos="1080"/>
          <w:tab w:val="num" w:pos="1434"/>
        </w:tabs>
        <w:spacing w:beforeLines="20" w:before="48" w:line="360" w:lineRule="auto"/>
        <w:jc w:val="both"/>
        <w:rPr>
          <w:rFonts w:eastAsia="標楷體" w:hAnsi="標楷體"/>
          <w:bCs/>
          <w:iCs/>
          <w:sz w:val="26"/>
          <w:szCs w:val="26"/>
        </w:rPr>
      </w:pPr>
      <w:r w:rsidRPr="008A1B49">
        <w:rPr>
          <w:rFonts w:eastAsia="標楷體" w:hAnsi="標楷體"/>
          <w:bCs/>
          <w:iCs/>
          <w:sz w:val="26"/>
          <w:szCs w:val="26"/>
        </w:rPr>
        <w:t>代理商</w:t>
      </w:r>
      <w:r w:rsidRPr="008A1B49">
        <w:rPr>
          <w:rFonts w:eastAsia="標楷體" w:hAnsi="標楷體" w:hint="eastAsia"/>
          <w:bCs/>
          <w:iCs/>
          <w:sz w:val="26"/>
          <w:szCs w:val="26"/>
        </w:rPr>
        <w:t>：</w:t>
      </w:r>
      <w:r w:rsidRPr="008A1B49">
        <w:rPr>
          <w:rFonts w:eastAsia="標楷體"/>
          <w:bCs/>
          <w:iCs/>
          <w:sz w:val="26"/>
          <w:szCs w:val="26"/>
        </w:rPr>
        <w:t>代理商有權退貨，並被保證可以一定之價格向</w:t>
      </w:r>
      <w:r w:rsidR="000F7CA9">
        <w:rPr>
          <w:rFonts w:eastAsia="標楷體" w:hint="eastAsia"/>
          <w:sz w:val="26"/>
          <w:szCs w:val="26"/>
        </w:rPr>
        <w:t>LSC</w:t>
      </w:r>
      <w:r w:rsidRPr="008A1B49">
        <w:rPr>
          <w:rFonts w:eastAsia="標楷體"/>
          <w:bCs/>
          <w:iCs/>
          <w:sz w:val="26"/>
          <w:szCs w:val="26"/>
        </w:rPr>
        <w:t>進貨。</w:t>
      </w:r>
      <w:r w:rsidR="000F7CA9">
        <w:rPr>
          <w:rFonts w:eastAsia="標楷體" w:hint="eastAsia"/>
          <w:sz w:val="26"/>
          <w:szCs w:val="26"/>
        </w:rPr>
        <w:t>LSC</w:t>
      </w:r>
      <w:r w:rsidRPr="008A1B49">
        <w:rPr>
          <w:rFonts w:eastAsia="標楷體"/>
          <w:bCs/>
          <w:iCs/>
          <w:sz w:val="26"/>
          <w:szCs w:val="26"/>
        </w:rPr>
        <w:t>要待代理商將產品售出後，才將該</w:t>
      </w:r>
      <w:proofErr w:type="gramStart"/>
      <w:r w:rsidRPr="008A1B49">
        <w:rPr>
          <w:rFonts w:eastAsia="標楷體"/>
          <w:bCs/>
          <w:iCs/>
          <w:sz w:val="26"/>
          <w:szCs w:val="26"/>
        </w:rPr>
        <w:t>筆銷貨計</w:t>
      </w:r>
      <w:proofErr w:type="gramEnd"/>
      <w:r w:rsidRPr="008A1B49">
        <w:rPr>
          <w:rFonts w:eastAsia="標楷體" w:hint="eastAsia"/>
          <w:bCs/>
          <w:iCs/>
          <w:sz w:val="26"/>
          <w:szCs w:val="26"/>
        </w:rPr>
        <w:t>入營收</w:t>
      </w:r>
      <w:r w:rsidRPr="008A1B49">
        <w:rPr>
          <w:rFonts w:eastAsia="標楷體"/>
          <w:bCs/>
          <w:iCs/>
          <w:sz w:val="26"/>
          <w:szCs w:val="26"/>
        </w:rPr>
        <w:t>。</w:t>
      </w:r>
    </w:p>
    <w:p w:rsidR="00DE7202" w:rsidRDefault="008A1B49" w:rsidP="001719B7">
      <w:pPr>
        <w:spacing w:beforeLines="50" w:before="120" w:afterLines="50" w:after="120" w:line="360" w:lineRule="auto"/>
        <w:ind w:leftChars="200" w:left="480" w:firstLineChars="200" w:firstLine="520"/>
        <w:jc w:val="both"/>
        <w:rPr>
          <w:rFonts w:eastAsia="標楷體"/>
          <w:color w:val="0070C0"/>
          <w:sz w:val="26"/>
          <w:szCs w:val="26"/>
        </w:rPr>
      </w:pPr>
      <w:r w:rsidRPr="008A1B49">
        <w:rPr>
          <w:rFonts w:eastAsia="標楷體" w:hAnsi="標楷體"/>
          <w:bCs/>
          <w:iCs/>
          <w:sz w:val="26"/>
          <w:szCs w:val="26"/>
        </w:rPr>
        <w:t>特許代理商</w:t>
      </w:r>
      <w:r w:rsidRPr="008A1B49">
        <w:rPr>
          <w:rFonts w:eastAsia="標楷體" w:hAnsi="標楷體" w:hint="eastAsia"/>
          <w:bCs/>
          <w:iCs/>
          <w:sz w:val="26"/>
          <w:szCs w:val="26"/>
        </w:rPr>
        <w:t>：未享退貨及進貨保證之權利，以賣斷方式對其銷售產品。萊迪思台灣分公司協助</w:t>
      </w:r>
      <w:r w:rsidR="000F7CA9">
        <w:rPr>
          <w:rFonts w:eastAsia="標楷體" w:hint="eastAsia"/>
          <w:sz w:val="26"/>
          <w:szCs w:val="26"/>
        </w:rPr>
        <w:t>LSC</w:t>
      </w:r>
      <w:r w:rsidRPr="008A1B49">
        <w:rPr>
          <w:rFonts w:eastAsia="標楷體" w:hAnsi="標楷體" w:hint="eastAsia"/>
          <w:bCs/>
          <w:iCs/>
          <w:sz w:val="26"/>
          <w:szCs w:val="26"/>
        </w:rPr>
        <w:t>服務之代理商即為特許代理商。</w:t>
      </w:r>
    </w:p>
    <w:p w:rsidR="00DE7202" w:rsidRDefault="001C59A9" w:rsidP="001719B7">
      <w:pPr>
        <w:numPr>
          <w:ilvl w:val="0"/>
          <w:numId w:val="25"/>
        </w:numPr>
        <w:tabs>
          <w:tab w:val="left" w:pos="1134"/>
        </w:tabs>
        <w:spacing w:beforeLines="50" w:before="120" w:afterLines="50" w:after="120" w:line="360" w:lineRule="auto"/>
        <w:ind w:leftChars="250" w:left="1080"/>
        <w:jc w:val="both"/>
        <w:rPr>
          <w:rFonts w:eastAsia="標楷體"/>
          <w:b/>
          <w:sz w:val="28"/>
          <w:szCs w:val="28"/>
        </w:rPr>
      </w:pPr>
      <w:r w:rsidRPr="001C59A9">
        <w:rPr>
          <w:rFonts w:eastAsia="標楷體" w:hint="eastAsia"/>
          <w:b/>
          <w:sz w:val="28"/>
          <w:szCs w:val="28"/>
        </w:rPr>
        <w:t>關係企業</w:t>
      </w:r>
      <w:r w:rsidR="00EF4E8C" w:rsidRPr="00DC1554">
        <w:rPr>
          <w:rFonts w:eastAsia="標楷體" w:hint="eastAsia"/>
          <w:b/>
          <w:sz w:val="28"/>
          <w:szCs w:val="28"/>
        </w:rPr>
        <w:t>結構</w:t>
      </w:r>
    </w:p>
    <w:p w:rsidR="00DE7202" w:rsidRDefault="00EE4220" w:rsidP="001719B7">
      <w:pPr>
        <w:spacing w:beforeLines="50" w:before="120" w:afterLines="50" w:after="120" w:line="360" w:lineRule="auto"/>
        <w:ind w:leftChars="200" w:left="480" w:firstLineChars="200" w:firstLine="520"/>
        <w:jc w:val="center"/>
        <w:rPr>
          <w:rFonts w:eastAsia="標楷體"/>
          <w:color w:val="0070C0"/>
          <w:sz w:val="26"/>
          <w:szCs w:val="26"/>
        </w:rPr>
      </w:pPr>
      <w:r>
        <w:rPr>
          <w:rFonts w:eastAsia="標楷體"/>
          <w:noProof/>
          <w:color w:val="0070C0"/>
          <w:sz w:val="26"/>
          <w:szCs w:val="26"/>
        </w:rPr>
        <mc:AlternateContent>
          <mc:Choice Requires="wpc">
            <w:drawing>
              <wp:inline distT="0" distB="0" distL="0" distR="0" wp14:anchorId="419CDD7C" wp14:editId="39E9B364">
                <wp:extent cx="4419600" cy="2171700"/>
                <wp:effectExtent l="0" t="0" r="0" b="0"/>
                <wp:docPr id="189" name="畫布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 name="Text Box 190"/>
                        <wps:cNvSpPr txBox="1">
                          <a:spLocks noChangeArrowheads="1"/>
                        </wps:cNvSpPr>
                        <wps:spPr bwMode="auto">
                          <a:xfrm>
                            <a:off x="533374" y="0"/>
                            <a:ext cx="3429153" cy="343056"/>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7B5D" w:rsidRPr="00FC09BA" w:rsidRDefault="00697B5D" w:rsidP="001719B7">
                              <w:pPr>
                                <w:spacing w:beforeLines="25" w:before="60"/>
                                <w:jc w:val="center"/>
                                <w:rPr>
                                  <w:sz w:val="20"/>
                                  <w:szCs w:val="20"/>
                                </w:rPr>
                              </w:pPr>
                              <w:r w:rsidRPr="00FC09BA">
                                <w:rPr>
                                  <w:sz w:val="20"/>
                                  <w:szCs w:val="20"/>
                                </w:rPr>
                                <w:t>LATTICE SEMICONDUCTOR CORPORATION</w:t>
                              </w:r>
                            </w:p>
                          </w:txbxContent>
                        </wps:txbx>
                        <wps:bodyPr rot="0" vert="horz" wrap="square" lIns="91440" tIns="45720" rIns="91440" bIns="45720" anchor="t" anchorCtr="0" upright="1">
                          <a:noAutofit/>
                        </wps:bodyPr>
                      </wps:wsp>
                      <wps:wsp>
                        <wps:cNvPr id="22" name="Text Box 191"/>
                        <wps:cNvSpPr txBox="1">
                          <a:spLocks noChangeArrowheads="1"/>
                        </wps:cNvSpPr>
                        <wps:spPr bwMode="auto">
                          <a:xfrm>
                            <a:off x="533374" y="571266"/>
                            <a:ext cx="3429153" cy="343056"/>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7B5D" w:rsidRPr="00FC09BA" w:rsidRDefault="00697B5D" w:rsidP="001719B7">
                              <w:pPr>
                                <w:spacing w:beforeLines="25" w:before="60"/>
                                <w:jc w:val="center"/>
                                <w:rPr>
                                  <w:sz w:val="20"/>
                                  <w:szCs w:val="20"/>
                                </w:rPr>
                              </w:pPr>
                              <w:r w:rsidRPr="00FC09BA">
                                <w:rPr>
                                  <w:sz w:val="20"/>
                                  <w:szCs w:val="20"/>
                                </w:rPr>
                                <w:t xml:space="preserve">Lattice SG Pte. </w:t>
                              </w:r>
                              <w:proofErr w:type="gramStart"/>
                              <w:r w:rsidRPr="00FC09BA">
                                <w:rPr>
                                  <w:sz w:val="20"/>
                                  <w:szCs w:val="20"/>
                                </w:rPr>
                                <w:t>Ltd.</w:t>
                              </w:r>
                              <w:proofErr w:type="gramEnd"/>
                            </w:p>
                          </w:txbxContent>
                        </wps:txbx>
                        <wps:bodyPr rot="0" vert="horz" wrap="square" lIns="91440" tIns="45720" rIns="91440" bIns="45720" anchor="t" anchorCtr="0" upright="1">
                          <a:noAutofit/>
                        </wps:bodyPr>
                      </wps:wsp>
                      <wps:wsp>
                        <wps:cNvPr id="23" name="Text Box 192"/>
                        <wps:cNvSpPr txBox="1">
                          <a:spLocks noChangeArrowheads="1"/>
                        </wps:cNvSpPr>
                        <wps:spPr bwMode="auto">
                          <a:xfrm>
                            <a:off x="533374" y="1142532"/>
                            <a:ext cx="3429153" cy="343056"/>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7B5D" w:rsidRPr="00FC09BA" w:rsidRDefault="00697B5D" w:rsidP="001719B7">
                              <w:pPr>
                                <w:spacing w:beforeLines="25" w:before="60"/>
                                <w:jc w:val="center"/>
                                <w:rPr>
                                  <w:sz w:val="20"/>
                                  <w:szCs w:val="20"/>
                                </w:rPr>
                              </w:pPr>
                              <w:r w:rsidRPr="00FC09BA">
                                <w:rPr>
                                  <w:sz w:val="20"/>
                                  <w:szCs w:val="20"/>
                                </w:rPr>
                                <w:t>Lattice Semiconductor International LLC</w:t>
                              </w:r>
                            </w:p>
                          </w:txbxContent>
                        </wps:txbx>
                        <wps:bodyPr rot="0" vert="horz" wrap="square" lIns="91440" tIns="45720" rIns="91440" bIns="45720" anchor="t" anchorCtr="0" upright="1">
                          <a:noAutofit/>
                        </wps:bodyPr>
                      </wps:wsp>
                      <wps:wsp>
                        <wps:cNvPr id="24" name="Text Box 193"/>
                        <wps:cNvSpPr txBox="1">
                          <a:spLocks noChangeArrowheads="1"/>
                        </wps:cNvSpPr>
                        <wps:spPr bwMode="auto">
                          <a:xfrm>
                            <a:off x="533374" y="1714539"/>
                            <a:ext cx="3429153" cy="34231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7B5D" w:rsidRPr="00063D6B" w:rsidRDefault="00697B5D" w:rsidP="001719B7">
                              <w:pPr>
                                <w:spacing w:beforeLines="25" w:before="60"/>
                                <w:jc w:val="center"/>
                                <w:rPr>
                                  <w:sz w:val="20"/>
                                  <w:szCs w:val="20"/>
                                </w:rPr>
                              </w:pPr>
                              <w:r w:rsidRPr="00063D6B">
                                <w:rPr>
                                  <w:rFonts w:hint="eastAsia"/>
                                  <w:sz w:val="20"/>
                                  <w:szCs w:val="20"/>
                                </w:rPr>
                                <w:t>萊迪思台灣分公司</w:t>
                              </w:r>
                            </w:p>
                          </w:txbxContent>
                        </wps:txbx>
                        <wps:bodyPr rot="0" vert="horz" wrap="square" lIns="91440" tIns="45720" rIns="91440" bIns="45720" anchor="t" anchorCtr="0" upright="1">
                          <a:noAutofit/>
                        </wps:bodyPr>
                      </wps:wsp>
                      <wps:wsp>
                        <wps:cNvPr id="25" name="Line 194"/>
                        <wps:cNvCnPr/>
                        <wps:spPr bwMode="auto">
                          <a:xfrm>
                            <a:off x="2209800" y="343056"/>
                            <a:ext cx="741" cy="22821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26" name="Line 202"/>
                        <wps:cNvCnPr/>
                        <wps:spPr bwMode="auto">
                          <a:xfrm>
                            <a:off x="2209800" y="914322"/>
                            <a:ext cx="741" cy="229692"/>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27" name="Line 203"/>
                        <wps:cNvCnPr/>
                        <wps:spPr bwMode="auto">
                          <a:xfrm>
                            <a:off x="2209800" y="1485588"/>
                            <a:ext cx="741" cy="228951"/>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id="畫布 189" o:spid="_x0000_s1040" editas="canvas" style="width:348pt;height:171pt;mso-position-horizontal-relative:char;mso-position-vertical-relative:line" coordsize="44196,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">
                <v:shape id="_x0000_s1041" type="#_x0000_t75" style="position:absolute;width:44196;height:21717;visibility:visible;mso-wrap-style:square">
                  <v:fill o:detectmouseclick="t"/>
                  <v:path o:connecttype="none"/>
                </v:shape>
                <v:shape id="Text Box 190" o:spid="_x0000_s1042" type="#_x0000_t202" style="position:absolute;left:5333;width:34292;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dcsUA&#10;AADbAAAADwAAAGRycy9kb3ducmV2LnhtbESPQWvCQBSE74L/YXlCL1I3EREbXUNbLBQaKNX2/sw+&#10;k2D2bbq71fjv3YLgcZiZb5hV3ptWnMj5xrKCdJKAIC6tbrhS8L17e1yA8AFZY2uZFFzIQ74eDlaY&#10;aXvmLzptQyUihH2GCuoQukxKX9Zk0E9sRxy9g3UGQ5SuktrhOcJNK6dJMpcGG44LNXb0WlN53P4Z&#10;BS8/s01bjNH9jj+Kp82+OxyL+adSD6P+eQkiUB/u4Vv7XS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x1yxQAAANsAAAAPAAAAAAAAAAAAAAAAAJgCAABkcnMv&#10;ZG93bnJldi54bWxQSwUGAAAAAAQABAD1AAAAigMAAAAA&#10;">
                  <v:shadow on="t" opacity=".5" offset="6pt,6pt"/>
                  <v:textbox>
                    <w:txbxContent>
                      <w:p w:rsidR="00697B5D" w:rsidRPr="00FC09BA" w:rsidRDefault="00697B5D" w:rsidP="001719B7">
                        <w:pPr>
                          <w:spacing w:beforeLines="25" w:before="60"/>
                          <w:jc w:val="center"/>
                          <w:rPr>
                            <w:sz w:val="20"/>
                            <w:szCs w:val="20"/>
                          </w:rPr>
                        </w:pPr>
                        <w:r w:rsidRPr="00FC09BA">
                          <w:rPr>
                            <w:sz w:val="20"/>
                            <w:szCs w:val="20"/>
                          </w:rPr>
                          <w:t>LATTICE SEMICONDUCTOR CORPORATION</w:t>
                        </w:r>
                      </w:p>
                    </w:txbxContent>
                  </v:textbox>
                </v:shape>
                <v:shape id="Text Box 191" o:spid="_x0000_s1043" type="#_x0000_t202" style="position:absolute;left:5333;top:5712;width:34292;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DBcUA&#10;AADbAAAADwAAAGRycy9kb3ducmV2LnhtbESP3WrCQBSE7wu+w3IEb0Q3DUVqdBUrFgoNSP25P2aP&#10;STB7Nu6umr59t1Do5TAz3zDzZWcacSfna8sKnscJCOLC6ppLBYf9++gVhA/IGhvLpOCbPCwXvac5&#10;Zto++Ivuu1CKCGGfoYIqhDaT0hcVGfRj2xJH72ydwRClK6V2+Ihw08g0SSbSYM1xocKW1hUVl93N&#10;KHg7vmyafIjuOvzMp5tTe77kk61Sg363moEI1IX/8F/7QytIU/j9En+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YMFxQAAANsAAAAPAAAAAAAAAAAAAAAAAJgCAABkcnMv&#10;ZG93bnJldi54bWxQSwUGAAAAAAQABAD1AAAAigMAAAAA&#10;">
                  <v:shadow on="t" opacity=".5" offset="6pt,6pt"/>
                  <v:textbox>
                    <w:txbxContent>
                      <w:p w:rsidR="00697B5D" w:rsidRPr="00FC09BA" w:rsidRDefault="00697B5D" w:rsidP="001719B7">
                        <w:pPr>
                          <w:spacing w:beforeLines="25" w:before="60"/>
                          <w:jc w:val="center"/>
                          <w:rPr>
                            <w:sz w:val="20"/>
                            <w:szCs w:val="20"/>
                          </w:rPr>
                        </w:pPr>
                        <w:r w:rsidRPr="00FC09BA">
                          <w:rPr>
                            <w:sz w:val="20"/>
                            <w:szCs w:val="20"/>
                          </w:rPr>
                          <w:t xml:space="preserve">Lattice SG Pte. </w:t>
                        </w:r>
                        <w:proofErr w:type="gramStart"/>
                        <w:r w:rsidRPr="00FC09BA">
                          <w:rPr>
                            <w:sz w:val="20"/>
                            <w:szCs w:val="20"/>
                          </w:rPr>
                          <w:t>Ltd.</w:t>
                        </w:r>
                        <w:proofErr w:type="gramEnd"/>
                      </w:p>
                    </w:txbxContent>
                  </v:textbox>
                </v:shape>
                <v:shape id="Text Box 192" o:spid="_x0000_s1044" type="#_x0000_t202" style="position:absolute;left:5333;top:11425;width:34292;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mnsUA&#10;AADbAAAADwAAAGRycy9kb3ducmV2LnhtbESPQWvCQBSE74X+h+UVehHdaIvY1FVsUSgYEKO9v2af&#10;STD7Nt1dNf33XUHwOMzMN8x03plGnMn52rKC4SABQVxYXXOpYL9b9ScgfEDW2FgmBX/kYT57fJhi&#10;qu2Ft3TOQykihH2KCqoQ2lRKX1Rk0A9sSxy9g3UGQ5SulNrhJcJNI0dJMpYGa44LFbb0WVFxzE9G&#10;wcf367LJeuh+e+vsbfnTHo7ZeKPU81O3eAcRqAv38K39pRWMXuD6Jf4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SaexQAAANsAAAAPAAAAAAAAAAAAAAAAAJgCAABkcnMv&#10;ZG93bnJldi54bWxQSwUGAAAAAAQABAD1AAAAigMAAAAA&#10;">
                  <v:shadow on="t" opacity=".5" offset="6pt,6pt"/>
                  <v:textbox>
                    <w:txbxContent>
                      <w:p w:rsidR="00697B5D" w:rsidRPr="00FC09BA" w:rsidRDefault="00697B5D" w:rsidP="001719B7">
                        <w:pPr>
                          <w:spacing w:beforeLines="25" w:before="60"/>
                          <w:jc w:val="center"/>
                          <w:rPr>
                            <w:sz w:val="20"/>
                            <w:szCs w:val="20"/>
                          </w:rPr>
                        </w:pPr>
                        <w:r w:rsidRPr="00FC09BA">
                          <w:rPr>
                            <w:sz w:val="20"/>
                            <w:szCs w:val="20"/>
                          </w:rPr>
                          <w:t>Lattice Semiconductor International LLC</w:t>
                        </w:r>
                      </w:p>
                    </w:txbxContent>
                  </v:textbox>
                </v:shape>
                <v:shape id="Text Box 193" o:spid="_x0000_s1045" type="#_x0000_t202" style="position:absolute;left:5333;top:17145;width:34292;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6sQA&#10;AADbAAAADwAAAGRycy9kb3ducmV2LnhtbESPQWsCMRSE7wX/Q3hCL6JZRaSuRmmLQsEF0er9uXnu&#10;Lm5e1iTq9t83QqHHYWa+YebL1tTiTs5XlhUMBwkI4tzqigsFh+91/w2ED8gaa8uk4Ic8LBedlzmm&#10;2j54R/d9KESEsE9RQRlCk0rp85IM+oFtiKN3ts5giNIVUjt8RLip5ShJJtJgxXGhxIY+S8ov+5tR&#10;8HEcr+qsh+7a22TT1ak5X7LJVqnXbvs+AxGoDf/hv/aXVjAaw/N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svurEAAAA2wAAAA8AAAAAAAAAAAAAAAAAmAIAAGRycy9k&#10;b3ducmV2LnhtbFBLBQYAAAAABAAEAPUAAACJAwAAAAA=&#10;">
                  <v:shadow on="t" opacity=".5" offset="6pt,6pt"/>
                  <v:textbox>
                    <w:txbxContent>
                      <w:p w:rsidR="00697B5D" w:rsidRPr="00063D6B" w:rsidRDefault="00697B5D" w:rsidP="001719B7">
                        <w:pPr>
                          <w:spacing w:beforeLines="25" w:before="60"/>
                          <w:jc w:val="center"/>
                          <w:rPr>
                            <w:sz w:val="20"/>
                            <w:szCs w:val="20"/>
                          </w:rPr>
                        </w:pPr>
                        <w:r w:rsidRPr="00063D6B">
                          <w:rPr>
                            <w:rFonts w:hint="eastAsia"/>
                            <w:sz w:val="20"/>
                            <w:szCs w:val="20"/>
                          </w:rPr>
                          <w:t>萊迪思台灣分公司</w:t>
                        </w:r>
                      </w:p>
                    </w:txbxContent>
                  </v:textbox>
                </v:shape>
                <v:line id="Line 194" o:spid="_x0000_s1046" style="position:absolute;visibility:visible;mso-wrap-style:square" from="22098,3430" to="22105,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02" o:spid="_x0000_s1047" style="position:absolute;visibility:visible;mso-wrap-style:square" from="22098,9143" to="22105,1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03" o:spid="_x0000_s1048" style="position:absolute;visibility:visible;mso-wrap-style:square" from="22098,14855" to="22105,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w10:anchorlock/>
              </v:group>
            </w:pict>
          </mc:Fallback>
        </mc:AlternateContent>
      </w:r>
    </w:p>
    <w:p w:rsidR="00DE7202" w:rsidRDefault="00DE7202" w:rsidP="001719B7">
      <w:pPr>
        <w:spacing w:beforeLines="50" w:before="120" w:afterLines="50" w:after="120" w:line="360" w:lineRule="auto"/>
        <w:ind w:leftChars="200" w:left="480" w:firstLineChars="200" w:firstLine="520"/>
        <w:jc w:val="center"/>
        <w:rPr>
          <w:rFonts w:eastAsia="標楷體"/>
          <w:color w:val="0070C0"/>
          <w:sz w:val="26"/>
          <w:szCs w:val="26"/>
        </w:rPr>
      </w:pPr>
    </w:p>
    <w:p w:rsidR="00DE7202" w:rsidRPr="007D4A40" w:rsidRDefault="00487FDC" w:rsidP="001719B7">
      <w:pPr>
        <w:numPr>
          <w:ilvl w:val="0"/>
          <w:numId w:val="25"/>
        </w:numPr>
        <w:tabs>
          <w:tab w:val="left" w:pos="1134"/>
        </w:tabs>
        <w:spacing w:beforeLines="50" w:before="120" w:afterLines="50" w:after="120" w:line="360" w:lineRule="auto"/>
        <w:ind w:leftChars="250" w:left="1080"/>
        <w:jc w:val="both"/>
        <w:rPr>
          <w:rFonts w:eastAsia="標楷體"/>
          <w:b/>
          <w:sz w:val="28"/>
          <w:szCs w:val="28"/>
        </w:rPr>
      </w:pPr>
      <w:r w:rsidRPr="007D4A40">
        <w:rPr>
          <w:rFonts w:eastAsia="標楷體" w:hint="eastAsia"/>
          <w:b/>
          <w:sz w:val="28"/>
          <w:szCs w:val="28"/>
        </w:rPr>
        <w:lastRenderedPageBreak/>
        <w:t>關係企業簡介</w:t>
      </w: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748"/>
        <w:gridCol w:w="2451"/>
        <w:gridCol w:w="1377"/>
        <w:gridCol w:w="1266"/>
        <w:gridCol w:w="2189"/>
      </w:tblGrid>
      <w:tr w:rsidR="00AF04D8" w:rsidRPr="00D92058">
        <w:trPr>
          <w:trHeight w:val="510"/>
        </w:trPr>
        <w:tc>
          <w:tcPr>
            <w:tcW w:w="466" w:type="pct"/>
            <w:shd w:val="clear" w:color="auto" w:fill="4F81BD"/>
          </w:tcPr>
          <w:p w:rsidR="00DE7202" w:rsidRDefault="004D284E" w:rsidP="001719B7">
            <w:pPr>
              <w:spacing w:beforeLines="50" w:before="120" w:afterLines="50" w:after="120"/>
              <w:jc w:val="center"/>
              <w:rPr>
                <w:rFonts w:eastAsia="標楷體"/>
                <w:bCs/>
                <w:color w:val="FFFFFF"/>
                <w:sz w:val="26"/>
                <w:szCs w:val="26"/>
              </w:rPr>
            </w:pPr>
            <w:r w:rsidRPr="00D92058">
              <w:rPr>
                <w:rFonts w:eastAsia="標楷體"/>
                <w:bCs/>
                <w:color w:val="FFFFFF"/>
                <w:sz w:val="26"/>
                <w:szCs w:val="26"/>
              </w:rPr>
              <w:t>編號</w:t>
            </w:r>
          </w:p>
        </w:tc>
        <w:tc>
          <w:tcPr>
            <w:tcW w:w="1526" w:type="pct"/>
            <w:shd w:val="clear" w:color="auto" w:fill="4F81BD"/>
          </w:tcPr>
          <w:p w:rsidR="00DE7202" w:rsidRDefault="004D284E" w:rsidP="001719B7">
            <w:pPr>
              <w:spacing w:beforeLines="50" w:before="120" w:afterLines="50" w:after="120"/>
              <w:jc w:val="center"/>
              <w:rPr>
                <w:rFonts w:eastAsia="標楷體"/>
                <w:bCs/>
                <w:color w:val="FFFFFF"/>
                <w:sz w:val="26"/>
                <w:szCs w:val="26"/>
              </w:rPr>
            </w:pPr>
            <w:r w:rsidRPr="00D92058">
              <w:rPr>
                <w:rFonts w:eastAsia="標楷體"/>
                <w:bCs/>
                <w:color w:val="FFFFFF"/>
                <w:sz w:val="26"/>
                <w:szCs w:val="26"/>
              </w:rPr>
              <w:t>公司名稱</w:t>
            </w:r>
          </w:p>
        </w:tc>
        <w:tc>
          <w:tcPr>
            <w:tcW w:w="857" w:type="pct"/>
            <w:shd w:val="clear" w:color="auto" w:fill="4F81BD"/>
          </w:tcPr>
          <w:p w:rsidR="00DE7202" w:rsidRDefault="004D284E" w:rsidP="001719B7">
            <w:pPr>
              <w:spacing w:beforeLines="50" w:before="120" w:afterLines="50" w:after="120"/>
              <w:jc w:val="center"/>
              <w:rPr>
                <w:rFonts w:eastAsia="標楷體"/>
                <w:bCs/>
                <w:color w:val="FFFFFF"/>
                <w:sz w:val="26"/>
                <w:szCs w:val="26"/>
              </w:rPr>
            </w:pPr>
            <w:r w:rsidRPr="00D92058">
              <w:rPr>
                <w:rFonts w:eastAsia="標楷體"/>
                <w:bCs/>
                <w:color w:val="FFFFFF"/>
                <w:sz w:val="26"/>
                <w:szCs w:val="26"/>
              </w:rPr>
              <w:t>簡稱</w:t>
            </w:r>
          </w:p>
        </w:tc>
        <w:tc>
          <w:tcPr>
            <w:tcW w:w="788" w:type="pct"/>
            <w:shd w:val="clear" w:color="auto" w:fill="4F81BD"/>
          </w:tcPr>
          <w:p w:rsidR="00DE7202" w:rsidRDefault="004D284E" w:rsidP="001719B7">
            <w:pPr>
              <w:spacing w:beforeLines="50" w:before="120" w:afterLines="50" w:after="120"/>
              <w:jc w:val="center"/>
              <w:rPr>
                <w:rFonts w:eastAsia="標楷體"/>
                <w:bCs/>
                <w:color w:val="FFFFFF"/>
                <w:sz w:val="26"/>
                <w:szCs w:val="26"/>
              </w:rPr>
            </w:pPr>
            <w:r w:rsidRPr="00D92058">
              <w:rPr>
                <w:rFonts w:eastAsia="標楷體" w:hint="eastAsia"/>
                <w:bCs/>
                <w:color w:val="FFFFFF"/>
                <w:sz w:val="26"/>
                <w:szCs w:val="26"/>
              </w:rPr>
              <w:t>所在地</w:t>
            </w:r>
          </w:p>
        </w:tc>
        <w:tc>
          <w:tcPr>
            <w:tcW w:w="1363" w:type="pct"/>
            <w:shd w:val="clear" w:color="auto" w:fill="4F81BD"/>
          </w:tcPr>
          <w:p w:rsidR="00DE7202" w:rsidRDefault="004D284E" w:rsidP="001719B7">
            <w:pPr>
              <w:spacing w:beforeLines="50" w:before="120" w:afterLines="50" w:after="120"/>
              <w:jc w:val="center"/>
              <w:rPr>
                <w:rFonts w:eastAsia="標楷體"/>
                <w:bCs/>
                <w:color w:val="FFFFFF"/>
                <w:sz w:val="26"/>
                <w:szCs w:val="26"/>
              </w:rPr>
            </w:pPr>
            <w:r w:rsidRPr="00D92058">
              <w:rPr>
                <w:rFonts w:eastAsia="標楷體"/>
                <w:bCs/>
                <w:color w:val="FFFFFF"/>
                <w:sz w:val="26"/>
                <w:szCs w:val="26"/>
              </w:rPr>
              <w:t>主要營業項目</w:t>
            </w:r>
          </w:p>
        </w:tc>
      </w:tr>
      <w:tr w:rsidR="004A7C42" w:rsidRPr="00D92058">
        <w:trPr>
          <w:trHeight w:val="1440"/>
        </w:trPr>
        <w:tc>
          <w:tcPr>
            <w:tcW w:w="466" w:type="pct"/>
            <w:vAlign w:val="center"/>
          </w:tcPr>
          <w:p w:rsidR="00DE7202" w:rsidRDefault="004A7C42" w:rsidP="001719B7">
            <w:pPr>
              <w:spacing w:beforeLines="50" w:before="120" w:afterLines="50" w:after="120"/>
              <w:jc w:val="center"/>
              <w:rPr>
                <w:rFonts w:eastAsia="標楷體"/>
                <w:bCs/>
                <w:sz w:val="26"/>
                <w:szCs w:val="26"/>
              </w:rPr>
            </w:pPr>
            <w:r w:rsidRPr="00D92058">
              <w:rPr>
                <w:rFonts w:eastAsia="標楷體"/>
                <w:bCs/>
                <w:sz w:val="26"/>
                <w:szCs w:val="26"/>
              </w:rPr>
              <w:t>1</w:t>
            </w:r>
          </w:p>
        </w:tc>
        <w:tc>
          <w:tcPr>
            <w:tcW w:w="1526" w:type="pct"/>
            <w:vAlign w:val="center"/>
          </w:tcPr>
          <w:p w:rsidR="00DE7202" w:rsidRDefault="005114AE" w:rsidP="001719B7">
            <w:pPr>
              <w:spacing w:beforeLines="50" w:before="120" w:afterLines="50" w:after="120"/>
              <w:rPr>
                <w:rFonts w:eastAsia="標楷體"/>
                <w:sz w:val="26"/>
                <w:szCs w:val="26"/>
              </w:rPr>
            </w:pPr>
            <w:r w:rsidRPr="006521EA">
              <w:rPr>
                <w:rFonts w:eastAsia="標楷體"/>
                <w:sz w:val="26"/>
                <w:szCs w:val="26"/>
              </w:rPr>
              <w:t>Lattice</w:t>
            </w:r>
            <w:r w:rsidR="004A7C42" w:rsidRPr="004A7C42">
              <w:rPr>
                <w:rFonts w:eastAsia="標楷體"/>
                <w:sz w:val="26"/>
                <w:szCs w:val="26"/>
              </w:rPr>
              <w:t xml:space="preserve"> </w:t>
            </w:r>
            <w:r w:rsidRPr="00B0349B">
              <w:rPr>
                <w:rFonts w:eastAsia="標楷體"/>
                <w:sz w:val="26"/>
                <w:szCs w:val="26"/>
              </w:rPr>
              <w:t>Semiconductor</w:t>
            </w:r>
            <w:r w:rsidR="004A7C42" w:rsidRPr="004A7C42">
              <w:rPr>
                <w:rFonts w:eastAsia="標楷體"/>
                <w:sz w:val="26"/>
                <w:szCs w:val="26"/>
              </w:rPr>
              <w:t xml:space="preserve"> C</w:t>
            </w:r>
            <w:r>
              <w:rPr>
                <w:rFonts w:eastAsia="標楷體" w:hint="eastAsia"/>
                <w:sz w:val="26"/>
                <w:szCs w:val="26"/>
              </w:rPr>
              <w:t>orporation</w:t>
            </w:r>
          </w:p>
        </w:tc>
        <w:tc>
          <w:tcPr>
            <w:tcW w:w="857" w:type="pct"/>
            <w:vAlign w:val="center"/>
          </w:tcPr>
          <w:p w:rsidR="00DE7202" w:rsidRDefault="004A7C42" w:rsidP="001719B7">
            <w:pPr>
              <w:spacing w:beforeLines="50" w:before="120" w:afterLines="50" w:after="120"/>
              <w:jc w:val="center"/>
              <w:rPr>
                <w:rFonts w:eastAsia="標楷體"/>
                <w:sz w:val="26"/>
                <w:szCs w:val="26"/>
              </w:rPr>
            </w:pPr>
            <w:r>
              <w:rPr>
                <w:rFonts w:eastAsia="標楷體" w:hint="eastAsia"/>
                <w:sz w:val="26"/>
                <w:szCs w:val="26"/>
              </w:rPr>
              <w:t>LSC</w:t>
            </w:r>
          </w:p>
        </w:tc>
        <w:tc>
          <w:tcPr>
            <w:tcW w:w="788" w:type="pct"/>
            <w:vAlign w:val="center"/>
          </w:tcPr>
          <w:p w:rsidR="00DE7202" w:rsidRDefault="004A7C42" w:rsidP="001719B7">
            <w:pPr>
              <w:spacing w:beforeLines="50" w:before="120" w:afterLines="50" w:after="120"/>
              <w:jc w:val="center"/>
              <w:rPr>
                <w:rFonts w:eastAsia="標楷體"/>
                <w:sz w:val="26"/>
                <w:szCs w:val="26"/>
              </w:rPr>
            </w:pPr>
            <w:r>
              <w:rPr>
                <w:rFonts w:eastAsia="標楷體" w:hint="eastAsia"/>
                <w:sz w:val="26"/>
                <w:szCs w:val="26"/>
              </w:rPr>
              <w:t>美國</w:t>
            </w:r>
          </w:p>
        </w:tc>
        <w:tc>
          <w:tcPr>
            <w:tcW w:w="1363" w:type="pct"/>
            <w:vAlign w:val="center"/>
          </w:tcPr>
          <w:p w:rsidR="00DE7202" w:rsidRDefault="00C64A7B" w:rsidP="001719B7">
            <w:pPr>
              <w:spacing w:beforeLines="50" w:before="120" w:afterLines="50" w:after="120"/>
              <w:jc w:val="center"/>
              <w:rPr>
                <w:rFonts w:eastAsia="標楷體"/>
                <w:sz w:val="26"/>
                <w:szCs w:val="26"/>
              </w:rPr>
            </w:pPr>
            <w:r>
              <w:rPr>
                <w:rFonts w:eastAsia="標楷體" w:hint="eastAsia"/>
                <w:sz w:val="26"/>
                <w:szCs w:val="26"/>
              </w:rPr>
              <w:t>研發、</w:t>
            </w:r>
            <w:r w:rsidR="00894715">
              <w:rPr>
                <w:rFonts w:eastAsia="標楷體" w:hint="eastAsia"/>
                <w:sz w:val="26"/>
                <w:szCs w:val="26"/>
              </w:rPr>
              <w:t>行銷</w:t>
            </w:r>
            <w:r>
              <w:rPr>
                <w:rFonts w:eastAsia="標楷體" w:hint="eastAsia"/>
                <w:sz w:val="26"/>
                <w:szCs w:val="26"/>
              </w:rPr>
              <w:t>、</w:t>
            </w:r>
            <w:r w:rsidR="00894715" w:rsidRPr="006F2BAE">
              <w:rPr>
                <w:rFonts w:eastAsia="標楷體" w:hint="eastAsia"/>
                <w:sz w:val="26"/>
                <w:szCs w:val="26"/>
              </w:rPr>
              <w:t>行政</w:t>
            </w:r>
            <w:r w:rsidR="00894715">
              <w:rPr>
                <w:rFonts w:eastAsia="標楷體" w:hint="eastAsia"/>
                <w:sz w:val="26"/>
                <w:szCs w:val="26"/>
              </w:rPr>
              <w:t>管理</w:t>
            </w:r>
            <w:r>
              <w:rPr>
                <w:rFonts w:eastAsia="標楷體" w:hint="eastAsia"/>
                <w:sz w:val="26"/>
                <w:szCs w:val="26"/>
              </w:rPr>
              <w:t>及</w:t>
            </w:r>
            <w:r w:rsidRPr="006F2BAE">
              <w:rPr>
                <w:rFonts w:eastAsia="標楷體" w:hint="eastAsia"/>
                <w:sz w:val="26"/>
                <w:szCs w:val="26"/>
              </w:rPr>
              <w:t>支援服務</w:t>
            </w:r>
          </w:p>
        </w:tc>
      </w:tr>
      <w:tr w:rsidR="00B0349B" w:rsidRPr="00D92058">
        <w:trPr>
          <w:trHeight w:val="1440"/>
        </w:trPr>
        <w:tc>
          <w:tcPr>
            <w:tcW w:w="466" w:type="pct"/>
            <w:vAlign w:val="center"/>
          </w:tcPr>
          <w:p w:rsidR="00DE7202" w:rsidRDefault="00B0349B" w:rsidP="001719B7">
            <w:pPr>
              <w:spacing w:beforeLines="50" w:before="120" w:afterLines="50" w:after="120"/>
              <w:jc w:val="center"/>
              <w:rPr>
                <w:rFonts w:eastAsia="標楷體"/>
                <w:bCs/>
                <w:sz w:val="26"/>
                <w:szCs w:val="26"/>
              </w:rPr>
            </w:pPr>
            <w:r>
              <w:rPr>
                <w:rFonts w:eastAsia="標楷體" w:hint="eastAsia"/>
                <w:bCs/>
                <w:sz w:val="26"/>
                <w:szCs w:val="26"/>
              </w:rPr>
              <w:t>2</w:t>
            </w:r>
          </w:p>
        </w:tc>
        <w:tc>
          <w:tcPr>
            <w:tcW w:w="1526" w:type="pct"/>
            <w:vAlign w:val="center"/>
          </w:tcPr>
          <w:p w:rsidR="00DE7202" w:rsidRDefault="00B0349B" w:rsidP="001719B7">
            <w:pPr>
              <w:spacing w:beforeLines="50" w:before="120" w:afterLines="50" w:after="120"/>
              <w:rPr>
                <w:rFonts w:eastAsia="標楷體"/>
                <w:sz w:val="26"/>
                <w:szCs w:val="26"/>
              </w:rPr>
            </w:pPr>
            <w:r w:rsidRPr="006521EA">
              <w:rPr>
                <w:rFonts w:eastAsia="標楷體"/>
                <w:sz w:val="26"/>
                <w:szCs w:val="26"/>
              </w:rPr>
              <w:t>Lattice SG PTE LTD</w:t>
            </w:r>
          </w:p>
        </w:tc>
        <w:tc>
          <w:tcPr>
            <w:tcW w:w="857" w:type="pct"/>
            <w:vAlign w:val="center"/>
          </w:tcPr>
          <w:p w:rsidR="00DE7202" w:rsidRDefault="00B0349B" w:rsidP="001719B7">
            <w:pPr>
              <w:spacing w:beforeLines="50" w:before="120" w:afterLines="50" w:after="120"/>
              <w:jc w:val="center"/>
              <w:rPr>
                <w:rFonts w:eastAsia="標楷體"/>
                <w:sz w:val="26"/>
                <w:szCs w:val="26"/>
              </w:rPr>
            </w:pPr>
            <w:r w:rsidRPr="00F91982">
              <w:rPr>
                <w:rFonts w:eastAsia="標楷體"/>
                <w:sz w:val="26"/>
                <w:szCs w:val="26"/>
              </w:rPr>
              <w:t>LS</w:t>
            </w:r>
            <w:r>
              <w:rPr>
                <w:rFonts w:eastAsia="標楷體" w:hint="eastAsia"/>
                <w:sz w:val="26"/>
                <w:szCs w:val="26"/>
              </w:rPr>
              <w:t>G</w:t>
            </w:r>
          </w:p>
        </w:tc>
        <w:tc>
          <w:tcPr>
            <w:tcW w:w="788" w:type="pct"/>
            <w:vAlign w:val="center"/>
          </w:tcPr>
          <w:p w:rsidR="00DE7202" w:rsidRDefault="00B0349B" w:rsidP="001719B7">
            <w:pPr>
              <w:spacing w:beforeLines="50" w:before="120" w:afterLines="50" w:after="120"/>
              <w:jc w:val="center"/>
              <w:rPr>
                <w:rFonts w:eastAsia="標楷體"/>
                <w:sz w:val="26"/>
                <w:szCs w:val="26"/>
              </w:rPr>
            </w:pPr>
            <w:r w:rsidRPr="006521EA">
              <w:rPr>
                <w:rFonts w:eastAsia="標楷體" w:hint="eastAsia"/>
                <w:sz w:val="26"/>
                <w:szCs w:val="26"/>
              </w:rPr>
              <w:t>新加坡</w:t>
            </w:r>
          </w:p>
        </w:tc>
        <w:tc>
          <w:tcPr>
            <w:tcW w:w="1363" w:type="pct"/>
            <w:vAlign w:val="center"/>
          </w:tcPr>
          <w:p w:rsidR="00DE7202" w:rsidRDefault="0014663D" w:rsidP="001719B7">
            <w:pPr>
              <w:spacing w:beforeLines="50" w:before="120" w:afterLines="50" w:after="120"/>
              <w:jc w:val="center"/>
              <w:rPr>
                <w:rFonts w:eastAsia="標楷體"/>
                <w:sz w:val="26"/>
                <w:szCs w:val="26"/>
              </w:rPr>
            </w:pPr>
            <w:r>
              <w:rPr>
                <w:rFonts w:eastAsia="標楷體" w:hint="eastAsia"/>
                <w:sz w:val="26"/>
                <w:szCs w:val="26"/>
              </w:rPr>
              <w:t>產品之配銷及</w:t>
            </w:r>
            <w:r w:rsidRPr="0014663D">
              <w:rPr>
                <w:rFonts w:eastAsia="標楷體" w:hint="eastAsia"/>
                <w:sz w:val="26"/>
                <w:szCs w:val="26"/>
              </w:rPr>
              <w:t>生產協調</w:t>
            </w:r>
          </w:p>
        </w:tc>
      </w:tr>
      <w:tr w:rsidR="00B0349B" w:rsidRPr="00D92058">
        <w:trPr>
          <w:trHeight w:val="1440"/>
        </w:trPr>
        <w:tc>
          <w:tcPr>
            <w:tcW w:w="466" w:type="pct"/>
            <w:vAlign w:val="center"/>
          </w:tcPr>
          <w:p w:rsidR="00DE7202" w:rsidRDefault="00B0349B" w:rsidP="001719B7">
            <w:pPr>
              <w:spacing w:beforeLines="50" w:before="120" w:afterLines="50" w:after="120"/>
              <w:jc w:val="center"/>
              <w:rPr>
                <w:rFonts w:eastAsia="標楷體"/>
                <w:bCs/>
                <w:sz w:val="26"/>
                <w:szCs w:val="26"/>
              </w:rPr>
            </w:pPr>
            <w:r>
              <w:rPr>
                <w:rFonts w:eastAsia="標楷體" w:hint="eastAsia"/>
                <w:bCs/>
                <w:sz w:val="26"/>
                <w:szCs w:val="26"/>
              </w:rPr>
              <w:t>3</w:t>
            </w:r>
          </w:p>
        </w:tc>
        <w:tc>
          <w:tcPr>
            <w:tcW w:w="1526" w:type="pct"/>
            <w:vAlign w:val="center"/>
          </w:tcPr>
          <w:p w:rsidR="00DE7202" w:rsidRDefault="00B0349B" w:rsidP="001719B7">
            <w:pPr>
              <w:spacing w:beforeLines="50" w:before="120" w:afterLines="50" w:after="120"/>
              <w:rPr>
                <w:rFonts w:eastAsia="標楷體"/>
                <w:sz w:val="26"/>
                <w:szCs w:val="26"/>
              </w:rPr>
            </w:pPr>
            <w:r w:rsidRPr="00B0349B">
              <w:rPr>
                <w:rFonts w:eastAsia="標楷體"/>
                <w:sz w:val="26"/>
                <w:szCs w:val="26"/>
              </w:rPr>
              <w:t>Lattice Semiconductor International LLC</w:t>
            </w:r>
          </w:p>
        </w:tc>
        <w:tc>
          <w:tcPr>
            <w:tcW w:w="857" w:type="pct"/>
            <w:vAlign w:val="center"/>
          </w:tcPr>
          <w:p w:rsidR="00DE7202" w:rsidRDefault="00B0349B" w:rsidP="001719B7">
            <w:pPr>
              <w:spacing w:beforeLines="50" w:before="120" w:afterLines="50" w:after="120"/>
              <w:jc w:val="center"/>
              <w:rPr>
                <w:rFonts w:eastAsia="標楷體"/>
                <w:sz w:val="26"/>
                <w:szCs w:val="26"/>
              </w:rPr>
            </w:pPr>
            <w:r>
              <w:rPr>
                <w:rFonts w:eastAsia="標楷體" w:hint="eastAsia"/>
                <w:sz w:val="26"/>
                <w:szCs w:val="26"/>
              </w:rPr>
              <w:t>LSI</w:t>
            </w:r>
          </w:p>
        </w:tc>
        <w:tc>
          <w:tcPr>
            <w:tcW w:w="788" w:type="pct"/>
            <w:vAlign w:val="center"/>
          </w:tcPr>
          <w:p w:rsidR="00DE7202" w:rsidRDefault="00B0349B" w:rsidP="001719B7">
            <w:pPr>
              <w:spacing w:beforeLines="50" w:before="120" w:afterLines="50" w:after="120"/>
              <w:jc w:val="center"/>
              <w:rPr>
                <w:rFonts w:eastAsia="標楷體"/>
                <w:sz w:val="26"/>
                <w:szCs w:val="26"/>
              </w:rPr>
            </w:pPr>
            <w:r>
              <w:rPr>
                <w:rFonts w:eastAsia="標楷體" w:hint="eastAsia"/>
                <w:sz w:val="26"/>
                <w:szCs w:val="26"/>
              </w:rPr>
              <w:t>美國</w:t>
            </w:r>
          </w:p>
        </w:tc>
        <w:tc>
          <w:tcPr>
            <w:tcW w:w="1363" w:type="pct"/>
            <w:vAlign w:val="center"/>
          </w:tcPr>
          <w:p w:rsidR="00DE7202" w:rsidRDefault="0014663D" w:rsidP="001719B7">
            <w:pPr>
              <w:spacing w:beforeLines="50" w:before="120" w:afterLines="50" w:after="120"/>
              <w:jc w:val="center"/>
              <w:rPr>
                <w:rFonts w:eastAsia="標楷體"/>
                <w:sz w:val="26"/>
                <w:szCs w:val="26"/>
              </w:rPr>
            </w:pPr>
            <w:r w:rsidRPr="006F2BAE">
              <w:rPr>
                <w:rFonts w:eastAsia="標楷體" w:hint="eastAsia"/>
                <w:sz w:val="26"/>
                <w:szCs w:val="26"/>
              </w:rPr>
              <w:t>各種行銷及行政上相關支援服務</w:t>
            </w:r>
          </w:p>
        </w:tc>
      </w:tr>
      <w:tr w:rsidR="00697B5D" w:rsidRPr="00D92058">
        <w:trPr>
          <w:trHeight w:val="1440"/>
        </w:trPr>
        <w:tc>
          <w:tcPr>
            <w:tcW w:w="466" w:type="pct"/>
            <w:vAlign w:val="center"/>
          </w:tcPr>
          <w:p w:rsidR="00697B5D" w:rsidRDefault="00697B5D" w:rsidP="001719B7">
            <w:pPr>
              <w:spacing w:beforeLines="50" w:before="120" w:afterLines="50" w:after="120"/>
              <w:jc w:val="center"/>
              <w:rPr>
                <w:rFonts w:eastAsia="標楷體"/>
                <w:bCs/>
                <w:sz w:val="26"/>
                <w:szCs w:val="26"/>
              </w:rPr>
            </w:pPr>
            <w:r>
              <w:rPr>
                <w:rFonts w:eastAsia="標楷體" w:hint="eastAsia"/>
                <w:bCs/>
                <w:sz w:val="26"/>
                <w:szCs w:val="26"/>
              </w:rPr>
              <w:t>4</w:t>
            </w:r>
          </w:p>
        </w:tc>
        <w:tc>
          <w:tcPr>
            <w:tcW w:w="1526" w:type="pct"/>
            <w:vAlign w:val="center"/>
          </w:tcPr>
          <w:p w:rsidR="00697B5D" w:rsidRDefault="00697B5D" w:rsidP="001719B7">
            <w:pPr>
              <w:spacing w:beforeLines="50" w:before="120" w:afterLines="50" w:after="120"/>
              <w:rPr>
                <w:rFonts w:eastAsia="標楷體"/>
                <w:sz w:val="26"/>
                <w:szCs w:val="26"/>
              </w:rPr>
            </w:pPr>
            <w:r w:rsidRPr="003D6DE3">
              <w:rPr>
                <w:rFonts w:eastAsia="標楷體"/>
                <w:sz w:val="26"/>
                <w:szCs w:val="26"/>
              </w:rPr>
              <w:t>Silicon Image International LLC Taiwan Branch</w:t>
            </w:r>
          </w:p>
        </w:tc>
        <w:tc>
          <w:tcPr>
            <w:tcW w:w="857" w:type="pct"/>
            <w:vAlign w:val="center"/>
          </w:tcPr>
          <w:p w:rsidR="00697B5D" w:rsidRDefault="00697B5D" w:rsidP="001719B7">
            <w:pPr>
              <w:spacing w:beforeLines="50" w:before="120" w:afterLines="50" w:after="120"/>
              <w:jc w:val="center"/>
              <w:rPr>
                <w:rFonts w:eastAsia="標楷體"/>
                <w:sz w:val="26"/>
                <w:szCs w:val="26"/>
              </w:rPr>
            </w:pPr>
            <w:r w:rsidRPr="00371F7A">
              <w:rPr>
                <w:rFonts w:eastAsia="標楷體" w:hint="eastAsia"/>
                <w:color w:val="000000" w:themeColor="text1"/>
                <w:sz w:val="26"/>
              </w:rPr>
              <w:t>SII</w:t>
            </w:r>
          </w:p>
        </w:tc>
        <w:tc>
          <w:tcPr>
            <w:tcW w:w="788" w:type="pct"/>
            <w:vAlign w:val="center"/>
          </w:tcPr>
          <w:p w:rsidR="00697B5D" w:rsidRDefault="00697B5D" w:rsidP="001719B7">
            <w:pPr>
              <w:spacing w:beforeLines="50" w:before="120" w:afterLines="50" w:after="120"/>
              <w:jc w:val="center"/>
              <w:rPr>
                <w:rFonts w:eastAsia="標楷體"/>
                <w:sz w:val="26"/>
                <w:szCs w:val="26"/>
              </w:rPr>
            </w:pPr>
            <w:r w:rsidRPr="006F2BAE">
              <w:rPr>
                <w:rFonts w:eastAsia="標楷體" w:hint="eastAsia"/>
                <w:sz w:val="26"/>
                <w:szCs w:val="26"/>
              </w:rPr>
              <w:t>台灣</w:t>
            </w:r>
          </w:p>
        </w:tc>
        <w:tc>
          <w:tcPr>
            <w:tcW w:w="1363" w:type="pct"/>
            <w:vAlign w:val="center"/>
          </w:tcPr>
          <w:p w:rsidR="00697B5D" w:rsidRDefault="00697B5D" w:rsidP="001719B7">
            <w:pPr>
              <w:spacing w:beforeLines="50" w:before="120" w:afterLines="50" w:after="120"/>
              <w:jc w:val="center"/>
              <w:rPr>
                <w:rFonts w:eastAsia="標楷體"/>
                <w:sz w:val="26"/>
                <w:szCs w:val="26"/>
              </w:rPr>
            </w:pPr>
            <w:r w:rsidRPr="006F2BAE">
              <w:rPr>
                <w:rFonts w:eastAsia="標楷體" w:hint="eastAsia"/>
                <w:sz w:val="26"/>
                <w:szCs w:val="26"/>
              </w:rPr>
              <w:t>各種行銷及行政上相關支援服務</w:t>
            </w:r>
          </w:p>
        </w:tc>
      </w:tr>
    </w:tbl>
    <w:p w:rsidR="00DE7202" w:rsidRDefault="00A439EA" w:rsidP="001719B7">
      <w:pPr>
        <w:pStyle w:val="2"/>
        <w:numPr>
          <w:ilvl w:val="1"/>
          <w:numId w:val="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產業</w:t>
      </w:r>
      <w:r w:rsidR="001746D8">
        <w:rPr>
          <w:rFonts w:ascii="Times New Roman" w:eastAsia="標楷體" w:hAnsi="Times New Roman" w:hint="eastAsia"/>
          <w:sz w:val="36"/>
          <w:szCs w:val="40"/>
        </w:rPr>
        <w:t>及</w:t>
      </w:r>
      <w:r w:rsidRPr="00EA272E">
        <w:rPr>
          <w:rFonts w:ascii="Times New Roman" w:eastAsia="標楷體" w:hAnsi="Times New Roman" w:hint="eastAsia"/>
          <w:sz w:val="36"/>
          <w:szCs w:val="40"/>
        </w:rPr>
        <w:t>經濟</w:t>
      </w:r>
      <w:r w:rsidR="001746D8">
        <w:rPr>
          <w:rFonts w:ascii="Times New Roman" w:eastAsia="標楷體" w:hAnsi="Times New Roman" w:hint="eastAsia"/>
          <w:sz w:val="36"/>
          <w:szCs w:val="40"/>
        </w:rPr>
        <w:t>情況分析</w:t>
      </w:r>
    </w:p>
    <w:p w:rsidR="00DE7202" w:rsidRDefault="00AA0DD0" w:rsidP="001719B7">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產業總</w:t>
      </w:r>
      <w:proofErr w:type="gramStart"/>
      <w:r w:rsidRPr="00EA272E">
        <w:rPr>
          <w:rFonts w:ascii="Times New Roman" w:eastAsia="標楷體" w:hint="eastAsia"/>
          <w:sz w:val="32"/>
        </w:rPr>
        <w:t>覽</w:t>
      </w:r>
      <w:proofErr w:type="gramEnd"/>
    </w:p>
    <w:p w:rsidR="00DE7202" w:rsidRDefault="001C6326" w:rsidP="003F22D7">
      <w:pPr>
        <w:spacing w:beforeLines="50" w:before="120" w:afterLines="50" w:after="120" w:line="360" w:lineRule="auto"/>
        <w:ind w:leftChars="200" w:left="480" w:firstLineChars="200" w:firstLine="520"/>
        <w:jc w:val="both"/>
        <w:rPr>
          <w:rFonts w:eastAsia="標楷體"/>
          <w:sz w:val="26"/>
          <w:szCs w:val="26"/>
        </w:rPr>
      </w:pPr>
      <w:r w:rsidRPr="00844F7D">
        <w:rPr>
          <w:rFonts w:eastAsia="標楷體" w:hint="eastAsia"/>
          <w:sz w:val="26"/>
          <w:szCs w:val="26"/>
        </w:rPr>
        <w:t>PLD( Programmable Logic Device )</w:t>
      </w:r>
      <w:r w:rsidRPr="00844F7D">
        <w:rPr>
          <w:rFonts w:eastAsia="標楷體" w:hint="eastAsia"/>
          <w:sz w:val="26"/>
          <w:szCs w:val="26"/>
        </w:rPr>
        <w:t>是可程式規劃邏輯元件之總稱，</w:t>
      </w:r>
      <w:proofErr w:type="gramStart"/>
      <w:r w:rsidRPr="00844F7D">
        <w:rPr>
          <w:rFonts w:eastAsia="標楷體" w:hint="eastAsia"/>
          <w:sz w:val="26"/>
          <w:szCs w:val="26"/>
        </w:rPr>
        <w:t>凡可讓</w:t>
      </w:r>
      <w:proofErr w:type="gramEnd"/>
      <w:r w:rsidRPr="00844F7D">
        <w:rPr>
          <w:rFonts w:eastAsia="標楷體" w:hint="eastAsia"/>
          <w:sz w:val="26"/>
          <w:szCs w:val="26"/>
        </w:rPr>
        <w:t>使用者組成其邏輯電路功能之所有元件皆為</w:t>
      </w:r>
      <w:r w:rsidRPr="00844F7D">
        <w:rPr>
          <w:rFonts w:eastAsia="標楷體" w:hint="eastAsia"/>
          <w:sz w:val="26"/>
          <w:szCs w:val="26"/>
        </w:rPr>
        <w:t>PLD</w:t>
      </w:r>
      <w:r w:rsidRPr="00844F7D">
        <w:rPr>
          <w:rFonts w:eastAsia="標楷體" w:hint="eastAsia"/>
          <w:sz w:val="26"/>
          <w:szCs w:val="26"/>
        </w:rPr>
        <w:t>元件。</w:t>
      </w:r>
      <w:r>
        <w:rPr>
          <w:rFonts w:eastAsia="標楷體" w:hint="eastAsia"/>
          <w:sz w:val="26"/>
          <w:szCs w:val="26"/>
        </w:rPr>
        <w:t>其乃將電路與通道透過程式化的方法來組態，轉變成各種不同功能的電路，其</w:t>
      </w:r>
      <w:r w:rsidR="007974E8" w:rsidRPr="00844F7D">
        <w:rPr>
          <w:rFonts w:eastAsia="標楷體" w:hint="eastAsia"/>
          <w:sz w:val="26"/>
          <w:szCs w:val="26"/>
        </w:rPr>
        <w:t>在資訊產業生產供應鏈中扮演關鍵性角色。因使用者可以</w:t>
      </w:r>
      <w:r w:rsidR="007974E8" w:rsidRPr="00844F7D">
        <w:rPr>
          <w:rFonts w:eastAsia="標楷體" w:hint="eastAsia"/>
          <w:sz w:val="26"/>
          <w:szCs w:val="26"/>
        </w:rPr>
        <w:t>PLD</w:t>
      </w:r>
      <w:r w:rsidR="007974E8" w:rsidRPr="00844F7D">
        <w:rPr>
          <w:rFonts w:eastAsia="標楷體" w:hint="eastAsia"/>
          <w:sz w:val="26"/>
          <w:szCs w:val="26"/>
        </w:rPr>
        <w:t>為雛形，自行規劃電路功能，可大幅縮短產品設計時間及成本。</w:t>
      </w:r>
      <w:r w:rsidR="00CC467C" w:rsidRPr="00844F7D">
        <w:rPr>
          <w:rFonts w:eastAsia="標楷體" w:hint="eastAsia"/>
          <w:sz w:val="26"/>
          <w:szCs w:val="26"/>
        </w:rPr>
        <w:t>在可程式邏輯元件中，大致可分為</w:t>
      </w:r>
      <w:r w:rsidR="00CC467C" w:rsidRPr="00844F7D">
        <w:rPr>
          <w:rFonts w:eastAsia="標楷體" w:hint="eastAsia"/>
          <w:sz w:val="26"/>
          <w:szCs w:val="26"/>
        </w:rPr>
        <w:t xml:space="preserve"> SPLD(Simple PLD</w:t>
      </w:r>
      <w:r w:rsidR="00CC467C" w:rsidRPr="00844F7D">
        <w:rPr>
          <w:rFonts w:eastAsia="標楷體" w:hint="eastAsia"/>
          <w:sz w:val="26"/>
          <w:szCs w:val="26"/>
        </w:rPr>
        <w:t>，小型單純的可程式邏輯元件</w:t>
      </w:r>
      <w:r w:rsidR="00CC467C" w:rsidRPr="00844F7D">
        <w:rPr>
          <w:rFonts w:eastAsia="標楷體" w:hint="eastAsia"/>
          <w:sz w:val="26"/>
          <w:szCs w:val="26"/>
        </w:rPr>
        <w:t>)</w:t>
      </w:r>
      <w:r w:rsidR="00CC467C" w:rsidRPr="00844F7D">
        <w:rPr>
          <w:rFonts w:eastAsia="標楷體" w:hint="eastAsia"/>
          <w:sz w:val="26"/>
          <w:szCs w:val="26"/>
        </w:rPr>
        <w:t>、</w:t>
      </w:r>
      <w:r w:rsidR="00CC467C" w:rsidRPr="00844F7D">
        <w:rPr>
          <w:rFonts w:eastAsia="標楷體" w:hint="eastAsia"/>
          <w:sz w:val="26"/>
          <w:szCs w:val="26"/>
        </w:rPr>
        <w:t>FPGA(Complex PLD</w:t>
      </w:r>
      <w:r w:rsidR="00CC467C" w:rsidRPr="00844F7D">
        <w:rPr>
          <w:rFonts w:eastAsia="標楷體" w:hint="eastAsia"/>
          <w:sz w:val="26"/>
          <w:szCs w:val="26"/>
        </w:rPr>
        <w:t>，複合型高功能可程式邏輯元件</w:t>
      </w:r>
      <w:r w:rsidR="00CC467C" w:rsidRPr="00844F7D">
        <w:rPr>
          <w:rFonts w:eastAsia="標楷體" w:hint="eastAsia"/>
          <w:sz w:val="26"/>
          <w:szCs w:val="26"/>
        </w:rPr>
        <w:t>)</w:t>
      </w:r>
      <w:r w:rsidR="00CC467C" w:rsidRPr="00844F7D">
        <w:rPr>
          <w:rFonts w:eastAsia="標楷體" w:hint="eastAsia"/>
          <w:sz w:val="26"/>
          <w:szCs w:val="26"/>
        </w:rPr>
        <w:t>與</w:t>
      </w:r>
      <w:r w:rsidR="00CC467C" w:rsidRPr="00844F7D">
        <w:rPr>
          <w:rFonts w:eastAsia="標楷體" w:hint="eastAsia"/>
          <w:sz w:val="26"/>
          <w:szCs w:val="26"/>
        </w:rPr>
        <w:t xml:space="preserve">FPGA( Field </w:t>
      </w:r>
      <w:r w:rsidR="00CC467C" w:rsidRPr="00844F7D">
        <w:rPr>
          <w:rFonts w:eastAsia="標楷體" w:hint="eastAsia"/>
          <w:sz w:val="26"/>
          <w:szCs w:val="26"/>
        </w:rPr>
        <w:lastRenderedPageBreak/>
        <w:t>Programmable Gate Array</w:t>
      </w:r>
      <w:r w:rsidR="00CC467C" w:rsidRPr="00844F7D">
        <w:rPr>
          <w:rFonts w:eastAsia="標楷體" w:hint="eastAsia"/>
          <w:sz w:val="26"/>
          <w:szCs w:val="26"/>
        </w:rPr>
        <w:t>，現場可規劃邏輯陣列</w:t>
      </w:r>
      <w:r w:rsidR="00CC467C" w:rsidRPr="00844F7D">
        <w:rPr>
          <w:rFonts w:eastAsia="標楷體" w:hint="eastAsia"/>
          <w:sz w:val="26"/>
          <w:szCs w:val="26"/>
        </w:rPr>
        <w:t xml:space="preserve"> )</w:t>
      </w:r>
      <w:r w:rsidR="00CC467C" w:rsidRPr="00844F7D">
        <w:rPr>
          <w:rFonts w:eastAsia="標楷體" w:hint="eastAsia"/>
          <w:sz w:val="26"/>
          <w:szCs w:val="26"/>
        </w:rPr>
        <w:t>三大類。</w:t>
      </w:r>
    </w:p>
    <w:p w:rsidR="00DE7202" w:rsidRDefault="00CC467C" w:rsidP="003F22D7">
      <w:pPr>
        <w:spacing w:beforeLines="50" w:before="120" w:afterLines="50" w:after="120" w:line="360" w:lineRule="auto"/>
        <w:ind w:leftChars="200" w:left="480" w:firstLineChars="200" w:firstLine="520"/>
        <w:jc w:val="both"/>
        <w:rPr>
          <w:rFonts w:eastAsia="標楷體"/>
          <w:sz w:val="26"/>
          <w:szCs w:val="26"/>
        </w:rPr>
      </w:pPr>
      <w:r w:rsidRPr="00844F7D">
        <w:rPr>
          <w:rFonts w:eastAsia="標楷體" w:hint="eastAsia"/>
          <w:sz w:val="26"/>
          <w:szCs w:val="26"/>
        </w:rPr>
        <w:t>以</w:t>
      </w:r>
      <w:r w:rsidRPr="00844F7D">
        <w:rPr>
          <w:rFonts w:eastAsia="標楷體" w:hint="eastAsia"/>
          <w:sz w:val="26"/>
          <w:szCs w:val="26"/>
        </w:rPr>
        <w:t>PLD</w:t>
      </w:r>
      <w:r w:rsidRPr="00844F7D">
        <w:rPr>
          <w:rFonts w:eastAsia="標楷體" w:hint="eastAsia"/>
          <w:sz w:val="26"/>
          <w:szCs w:val="26"/>
        </w:rPr>
        <w:t>架構區分，一般分為</w:t>
      </w:r>
      <w:r w:rsidRPr="00844F7D">
        <w:rPr>
          <w:rFonts w:eastAsia="標楷體" w:hint="eastAsia"/>
          <w:sz w:val="26"/>
          <w:szCs w:val="26"/>
        </w:rPr>
        <w:t>EEPROM(</w:t>
      </w:r>
      <w:r w:rsidRPr="00844F7D">
        <w:rPr>
          <w:rFonts w:eastAsia="標楷體" w:hint="eastAsia"/>
          <w:sz w:val="26"/>
          <w:szCs w:val="26"/>
        </w:rPr>
        <w:t>或</w:t>
      </w:r>
      <w:r w:rsidRPr="00844F7D">
        <w:rPr>
          <w:rFonts w:eastAsia="標楷體" w:hint="eastAsia"/>
          <w:sz w:val="26"/>
          <w:szCs w:val="26"/>
        </w:rPr>
        <w:t>Flash)</w:t>
      </w:r>
      <w:r w:rsidRPr="00844F7D">
        <w:rPr>
          <w:rFonts w:eastAsia="標楷體" w:hint="eastAsia"/>
          <w:sz w:val="26"/>
          <w:szCs w:val="26"/>
        </w:rPr>
        <w:t>架構和</w:t>
      </w:r>
      <w:r w:rsidRPr="00844F7D">
        <w:rPr>
          <w:rFonts w:eastAsia="標楷體" w:hint="eastAsia"/>
          <w:sz w:val="26"/>
          <w:szCs w:val="26"/>
        </w:rPr>
        <w:t>SRAM</w:t>
      </w:r>
      <w:r w:rsidRPr="00844F7D">
        <w:rPr>
          <w:rFonts w:eastAsia="標楷體" w:hint="eastAsia"/>
          <w:sz w:val="26"/>
          <w:szCs w:val="26"/>
        </w:rPr>
        <w:t>架構。</w:t>
      </w:r>
      <w:r w:rsidRPr="00844F7D">
        <w:rPr>
          <w:rFonts w:eastAsia="標楷體" w:hint="eastAsia"/>
          <w:sz w:val="26"/>
          <w:szCs w:val="26"/>
        </w:rPr>
        <w:t>EEPROM</w:t>
      </w:r>
      <w:r w:rsidRPr="00844F7D">
        <w:rPr>
          <w:rFonts w:eastAsia="標楷體" w:hint="eastAsia"/>
          <w:sz w:val="26"/>
          <w:szCs w:val="26"/>
        </w:rPr>
        <w:t>架構的</w:t>
      </w:r>
      <w:r w:rsidRPr="00844F7D">
        <w:rPr>
          <w:rFonts w:eastAsia="標楷體" w:hint="eastAsia"/>
          <w:sz w:val="26"/>
          <w:szCs w:val="26"/>
        </w:rPr>
        <w:t>PLD</w:t>
      </w:r>
      <w:r w:rsidRPr="00844F7D">
        <w:rPr>
          <w:rFonts w:eastAsia="標楷體" w:hint="eastAsia"/>
          <w:sz w:val="26"/>
          <w:szCs w:val="26"/>
        </w:rPr>
        <w:t>密度小，多用於</w:t>
      </w:r>
      <w:r w:rsidRPr="00844F7D">
        <w:rPr>
          <w:rFonts w:eastAsia="標楷體" w:hint="eastAsia"/>
          <w:sz w:val="26"/>
          <w:szCs w:val="26"/>
        </w:rPr>
        <w:t>5,000</w:t>
      </w:r>
      <w:r w:rsidRPr="00844F7D">
        <w:rPr>
          <w:rFonts w:eastAsia="標楷體" w:hint="eastAsia"/>
          <w:sz w:val="26"/>
          <w:szCs w:val="26"/>
        </w:rPr>
        <w:t>閘以下的小規模設計，適合做複雜的組合邏輯，如編碼器。</w:t>
      </w:r>
      <w:r w:rsidRPr="00844F7D">
        <w:rPr>
          <w:rFonts w:eastAsia="標楷體" w:hint="eastAsia"/>
          <w:sz w:val="26"/>
          <w:szCs w:val="26"/>
        </w:rPr>
        <w:t>SRAM</w:t>
      </w:r>
      <w:r w:rsidRPr="00844F7D">
        <w:rPr>
          <w:rFonts w:eastAsia="標楷體" w:hint="eastAsia"/>
          <w:sz w:val="26"/>
          <w:szCs w:val="26"/>
        </w:rPr>
        <w:t>架構的</w:t>
      </w:r>
      <w:r w:rsidRPr="00844F7D">
        <w:rPr>
          <w:rFonts w:eastAsia="標楷體" w:hint="eastAsia"/>
          <w:sz w:val="26"/>
          <w:szCs w:val="26"/>
        </w:rPr>
        <w:t>PLD(CPLD/FPGA)</w:t>
      </w:r>
      <w:r w:rsidRPr="00844F7D">
        <w:rPr>
          <w:rFonts w:eastAsia="標楷體" w:hint="eastAsia"/>
          <w:sz w:val="26"/>
          <w:szCs w:val="26"/>
        </w:rPr>
        <w:t>，密度高，暫存器較多，多用於</w:t>
      </w:r>
      <w:r w:rsidRPr="00844F7D">
        <w:rPr>
          <w:rFonts w:eastAsia="標楷體" w:hint="eastAsia"/>
          <w:sz w:val="26"/>
          <w:szCs w:val="26"/>
        </w:rPr>
        <w:t>10,000</w:t>
      </w:r>
      <w:r w:rsidRPr="00844F7D">
        <w:rPr>
          <w:rFonts w:eastAsia="標楷體" w:hint="eastAsia"/>
          <w:sz w:val="26"/>
          <w:szCs w:val="26"/>
        </w:rPr>
        <w:t>閘以上的大型設計，適合做複雜的時序邏輯，如實現數位信號處理等各種演算法。目前世界半導體產業中有多家公司生產並發展快速高密度的可程式邏輯元件</w:t>
      </w:r>
      <w:r w:rsidRPr="00844F7D">
        <w:rPr>
          <w:rFonts w:eastAsia="標楷體" w:hint="eastAsia"/>
          <w:sz w:val="26"/>
          <w:szCs w:val="26"/>
        </w:rPr>
        <w:t>( FPGA )</w:t>
      </w:r>
      <w:r w:rsidRPr="00844F7D">
        <w:rPr>
          <w:rFonts w:eastAsia="標楷體" w:hint="eastAsia"/>
          <w:sz w:val="26"/>
          <w:szCs w:val="26"/>
        </w:rPr>
        <w:t>，而以最大的領導廠商為</w:t>
      </w:r>
      <w:r w:rsidRPr="00844F7D">
        <w:rPr>
          <w:rFonts w:eastAsia="標楷體" w:hint="eastAsia"/>
          <w:sz w:val="26"/>
          <w:szCs w:val="26"/>
        </w:rPr>
        <w:t xml:space="preserve"> Altera </w:t>
      </w:r>
      <w:r w:rsidRPr="00844F7D">
        <w:rPr>
          <w:rFonts w:eastAsia="標楷體" w:hint="eastAsia"/>
          <w:sz w:val="26"/>
          <w:szCs w:val="26"/>
        </w:rPr>
        <w:t>與</w:t>
      </w:r>
      <w:r w:rsidRPr="00844F7D">
        <w:rPr>
          <w:rFonts w:eastAsia="標楷體" w:hint="eastAsia"/>
          <w:sz w:val="26"/>
          <w:szCs w:val="26"/>
        </w:rPr>
        <w:t xml:space="preserve"> Xilinx </w:t>
      </w:r>
      <w:r w:rsidRPr="00844F7D">
        <w:rPr>
          <w:rFonts w:eastAsia="標楷體" w:hint="eastAsia"/>
          <w:sz w:val="26"/>
          <w:szCs w:val="26"/>
        </w:rPr>
        <w:t>公司。</w:t>
      </w:r>
    </w:p>
    <w:p w:rsidR="00DE7202" w:rsidRDefault="00CC467C" w:rsidP="003F22D7">
      <w:pPr>
        <w:spacing w:beforeLines="50" w:before="120" w:afterLines="50" w:after="120" w:line="360" w:lineRule="auto"/>
        <w:ind w:leftChars="200" w:left="480" w:firstLineChars="200" w:firstLine="520"/>
        <w:jc w:val="both"/>
        <w:rPr>
          <w:rFonts w:eastAsia="標楷體"/>
          <w:sz w:val="26"/>
          <w:szCs w:val="26"/>
        </w:rPr>
      </w:pPr>
      <w:r w:rsidRPr="00844F7D">
        <w:rPr>
          <w:rFonts w:eastAsia="標楷體" w:hint="eastAsia"/>
          <w:sz w:val="26"/>
          <w:szCs w:val="26"/>
        </w:rPr>
        <w:t>早期</w:t>
      </w:r>
      <w:r w:rsidRPr="00844F7D">
        <w:rPr>
          <w:rFonts w:eastAsia="標楷體" w:hint="eastAsia"/>
          <w:sz w:val="26"/>
          <w:szCs w:val="26"/>
        </w:rPr>
        <w:t>PLD</w:t>
      </w:r>
      <w:r w:rsidRPr="00844F7D">
        <w:rPr>
          <w:rFonts w:eastAsia="標楷體" w:hint="eastAsia"/>
          <w:sz w:val="26"/>
          <w:szCs w:val="26"/>
        </w:rPr>
        <w:t>元件多屬於</w:t>
      </w:r>
      <w:r w:rsidRPr="00844F7D">
        <w:rPr>
          <w:rFonts w:eastAsia="標楷體" w:hint="eastAsia"/>
          <w:sz w:val="26"/>
          <w:szCs w:val="26"/>
        </w:rPr>
        <w:t>EEPROM</w:t>
      </w:r>
      <w:r w:rsidRPr="00844F7D">
        <w:rPr>
          <w:rFonts w:eastAsia="標楷體" w:hint="eastAsia"/>
          <w:sz w:val="26"/>
          <w:szCs w:val="26"/>
        </w:rPr>
        <w:t>或乘積項</w:t>
      </w:r>
      <w:r w:rsidRPr="00844F7D">
        <w:rPr>
          <w:rFonts w:eastAsia="標楷體" w:hint="eastAsia"/>
          <w:sz w:val="26"/>
          <w:szCs w:val="26"/>
        </w:rPr>
        <w:t>(Product Term)</w:t>
      </w:r>
      <w:r w:rsidRPr="00844F7D">
        <w:rPr>
          <w:rFonts w:eastAsia="標楷體" w:hint="eastAsia"/>
          <w:sz w:val="26"/>
          <w:szCs w:val="26"/>
        </w:rPr>
        <w:t>之</w:t>
      </w:r>
      <w:r w:rsidRPr="00844F7D">
        <w:rPr>
          <w:rFonts w:eastAsia="標楷體" w:hint="eastAsia"/>
          <w:sz w:val="26"/>
          <w:szCs w:val="26"/>
        </w:rPr>
        <w:t>SPLD</w:t>
      </w:r>
      <w:r w:rsidRPr="00844F7D">
        <w:rPr>
          <w:rFonts w:eastAsia="標楷體" w:hint="eastAsia"/>
          <w:sz w:val="26"/>
          <w:szCs w:val="26"/>
        </w:rPr>
        <w:t>架構。</w:t>
      </w:r>
      <w:r w:rsidRPr="00844F7D">
        <w:rPr>
          <w:rFonts w:eastAsia="標楷體" w:hint="eastAsia"/>
          <w:sz w:val="26"/>
          <w:szCs w:val="26"/>
        </w:rPr>
        <w:t xml:space="preserve">FPGA(Field Programmable Gate </w:t>
      </w:r>
      <w:proofErr w:type="spellStart"/>
      <w:r w:rsidRPr="00844F7D">
        <w:rPr>
          <w:rFonts w:eastAsia="標楷體" w:hint="eastAsia"/>
          <w:sz w:val="26"/>
          <w:szCs w:val="26"/>
        </w:rPr>
        <w:t>Arry</w:t>
      </w:r>
      <w:proofErr w:type="spellEnd"/>
      <w:r w:rsidRPr="00844F7D">
        <w:rPr>
          <w:rFonts w:eastAsia="標楷體" w:hint="eastAsia"/>
          <w:sz w:val="26"/>
          <w:szCs w:val="26"/>
        </w:rPr>
        <w:t>)</w:t>
      </w:r>
      <w:r w:rsidRPr="00844F7D">
        <w:rPr>
          <w:rFonts w:eastAsia="標楷體" w:hint="eastAsia"/>
          <w:sz w:val="26"/>
          <w:szCs w:val="26"/>
        </w:rPr>
        <w:t>意指現場可規劃邏輯陣列，此名詞最早是由</w:t>
      </w:r>
      <w:r w:rsidRPr="00844F7D">
        <w:rPr>
          <w:rFonts w:eastAsia="標楷體" w:hint="eastAsia"/>
          <w:sz w:val="26"/>
          <w:szCs w:val="26"/>
        </w:rPr>
        <w:t>PLD</w:t>
      </w:r>
      <w:r w:rsidRPr="00844F7D">
        <w:rPr>
          <w:rFonts w:eastAsia="標楷體" w:hint="eastAsia"/>
          <w:sz w:val="26"/>
          <w:szCs w:val="26"/>
        </w:rPr>
        <w:t>領導廠商之</w:t>
      </w:r>
      <w:proofErr w:type="gramStart"/>
      <w:r w:rsidRPr="00844F7D">
        <w:rPr>
          <w:rFonts w:eastAsia="標楷體" w:hint="eastAsia"/>
          <w:sz w:val="26"/>
          <w:szCs w:val="26"/>
        </w:rPr>
        <w:t>ㄧ</w:t>
      </w:r>
      <w:proofErr w:type="gramEnd"/>
      <w:r w:rsidRPr="00844F7D">
        <w:rPr>
          <w:rFonts w:eastAsia="標楷體" w:hint="eastAsia"/>
          <w:sz w:val="26"/>
          <w:szCs w:val="26"/>
        </w:rPr>
        <w:t>Xilinx</w:t>
      </w:r>
      <w:r w:rsidRPr="00844F7D">
        <w:rPr>
          <w:rFonts w:eastAsia="標楷體" w:hint="eastAsia"/>
          <w:sz w:val="26"/>
          <w:szCs w:val="26"/>
        </w:rPr>
        <w:t>公司所推出。</w:t>
      </w:r>
      <w:r w:rsidRPr="00844F7D">
        <w:rPr>
          <w:rFonts w:eastAsia="標楷體" w:hint="eastAsia"/>
          <w:sz w:val="26"/>
          <w:szCs w:val="26"/>
        </w:rPr>
        <w:t>Xilinx</w:t>
      </w:r>
      <w:r w:rsidRPr="00844F7D">
        <w:rPr>
          <w:rFonts w:eastAsia="標楷體" w:hint="eastAsia"/>
          <w:sz w:val="26"/>
          <w:szCs w:val="26"/>
        </w:rPr>
        <w:t>將</w:t>
      </w:r>
      <w:r w:rsidRPr="00844F7D">
        <w:rPr>
          <w:rFonts w:eastAsia="標楷體" w:hint="eastAsia"/>
          <w:sz w:val="26"/>
          <w:szCs w:val="26"/>
        </w:rPr>
        <w:t>SRAM</w:t>
      </w:r>
      <w:r w:rsidRPr="00844F7D">
        <w:rPr>
          <w:rFonts w:eastAsia="標楷體" w:hint="eastAsia"/>
          <w:sz w:val="26"/>
          <w:szCs w:val="26"/>
        </w:rPr>
        <w:t>架構或查表</w:t>
      </w:r>
      <w:r w:rsidRPr="00844F7D">
        <w:rPr>
          <w:rFonts w:eastAsia="標楷體" w:hint="eastAsia"/>
          <w:sz w:val="26"/>
          <w:szCs w:val="26"/>
        </w:rPr>
        <w:t>(Look Up Table)</w:t>
      </w:r>
      <w:r w:rsidRPr="00844F7D">
        <w:rPr>
          <w:rFonts w:eastAsia="標楷體" w:hint="eastAsia"/>
          <w:sz w:val="26"/>
          <w:szCs w:val="26"/>
        </w:rPr>
        <w:t>架構的</w:t>
      </w:r>
      <w:r w:rsidRPr="00844F7D">
        <w:rPr>
          <w:rFonts w:eastAsia="標楷體" w:hint="eastAsia"/>
          <w:sz w:val="26"/>
          <w:szCs w:val="26"/>
        </w:rPr>
        <w:t>PLD(</w:t>
      </w:r>
      <w:r w:rsidRPr="00844F7D">
        <w:rPr>
          <w:rFonts w:eastAsia="標楷體" w:hint="eastAsia"/>
          <w:sz w:val="26"/>
          <w:szCs w:val="26"/>
        </w:rPr>
        <w:t>亦即是需要於元件外配置</w:t>
      </w:r>
      <w:r w:rsidRPr="00844F7D">
        <w:rPr>
          <w:rFonts w:eastAsia="標楷體" w:hint="eastAsia"/>
          <w:sz w:val="26"/>
          <w:szCs w:val="26"/>
        </w:rPr>
        <w:t>EPROM</w:t>
      </w:r>
      <w:r w:rsidRPr="00844F7D">
        <w:rPr>
          <w:rFonts w:eastAsia="標楷體" w:hint="eastAsia"/>
          <w:sz w:val="26"/>
          <w:szCs w:val="26"/>
        </w:rPr>
        <w:t>組態元件之</w:t>
      </w:r>
      <w:r w:rsidRPr="00844F7D">
        <w:rPr>
          <w:rFonts w:eastAsia="標楷體" w:hint="eastAsia"/>
          <w:sz w:val="26"/>
          <w:szCs w:val="26"/>
        </w:rPr>
        <w:t>PLD)</w:t>
      </w:r>
      <w:r w:rsidRPr="00844F7D">
        <w:rPr>
          <w:rFonts w:eastAsia="標楷體" w:hint="eastAsia"/>
          <w:sz w:val="26"/>
          <w:szCs w:val="26"/>
        </w:rPr>
        <w:t>定義為</w:t>
      </w:r>
      <w:r w:rsidRPr="00844F7D">
        <w:rPr>
          <w:rFonts w:eastAsia="標楷體" w:hint="eastAsia"/>
          <w:sz w:val="26"/>
          <w:szCs w:val="26"/>
        </w:rPr>
        <w:t>FPGA</w:t>
      </w:r>
      <w:r w:rsidRPr="00844F7D">
        <w:rPr>
          <w:rFonts w:eastAsia="標楷體" w:hint="eastAsia"/>
          <w:sz w:val="26"/>
          <w:szCs w:val="26"/>
        </w:rPr>
        <w:t>。</w:t>
      </w:r>
      <w:r w:rsidRPr="00844F7D">
        <w:rPr>
          <w:rFonts w:eastAsia="標楷體" w:hint="eastAsia"/>
          <w:sz w:val="26"/>
          <w:szCs w:val="26"/>
        </w:rPr>
        <w:t>Xilinx</w:t>
      </w:r>
      <w:r w:rsidRPr="00844F7D">
        <w:rPr>
          <w:rFonts w:eastAsia="標楷體" w:hint="eastAsia"/>
          <w:sz w:val="26"/>
          <w:szCs w:val="26"/>
        </w:rPr>
        <w:t>公司將自家產品</w:t>
      </w:r>
      <w:r w:rsidRPr="00844F7D">
        <w:rPr>
          <w:rFonts w:eastAsia="標楷體" w:hint="eastAsia"/>
          <w:sz w:val="26"/>
          <w:szCs w:val="26"/>
        </w:rPr>
        <w:t>Flash</w:t>
      </w:r>
      <w:r w:rsidRPr="00844F7D">
        <w:rPr>
          <w:rFonts w:eastAsia="標楷體" w:hint="eastAsia"/>
          <w:sz w:val="26"/>
          <w:szCs w:val="26"/>
        </w:rPr>
        <w:t>、</w:t>
      </w:r>
      <w:r w:rsidRPr="00844F7D">
        <w:rPr>
          <w:rFonts w:eastAsia="標楷體" w:hint="eastAsia"/>
          <w:sz w:val="26"/>
          <w:szCs w:val="26"/>
        </w:rPr>
        <w:t>EEPROM</w:t>
      </w:r>
      <w:r w:rsidRPr="00844F7D">
        <w:rPr>
          <w:rFonts w:eastAsia="標楷體" w:hint="eastAsia"/>
          <w:sz w:val="26"/>
          <w:szCs w:val="26"/>
        </w:rPr>
        <w:t>架構或乘積項</w:t>
      </w:r>
      <w:r w:rsidRPr="00844F7D">
        <w:rPr>
          <w:rFonts w:eastAsia="標楷體" w:hint="eastAsia"/>
          <w:sz w:val="26"/>
          <w:szCs w:val="26"/>
        </w:rPr>
        <w:t>(Product Term)</w:t>
      </w:r>
      <w:r w:rsidRPr="00844F7D">
        <w:rPr>
          <w:rFonts w:eastAsia="標楷體" w:hint="eastAsia"/>
          <w:sz w:val="26"/>
          <w:szCs w:val="26"/>
        </w:rPr>
        <w:t>架構的</w:t>
      </w:r>
      <w:r w:rsidRPr="00844F7D">
        <w:rPr>
          <w:rFonts w:eastAsia="標楷體" w:hint="eastAsia"/>
          <w:sz w:val="26"/>
          <w:szCs w:val="26"/>
        </w:rPr>
        <w:t xml:space="preserve"> PLD </w:t>
      </w:r>
      <w:r w:rsidRPr="00844F7D">
        <w:rPr>
          <w:rFonts w:eastAsia="標楷體" w:hint="eastAsia"/>
          <w:sz w:val="26"/>
          <w:szCs w:val="26"/>
        </w:rPr>
        <w:t>稱為</w:t>
      </w:r>
      <w:r w:rsidRPr="00844F7D">
        <w:rPr>
          <w:rFonts w:eastAsia="標楷體" w:hint="eastAsia"/>
          <w:sz w:val="26"/>
          <w:szCs w:val="26"/>
        </w:rPr>
        <w:t>FPGA(Complex PLD)</w:t>
      </w:r>
      <w:r w:rsidRPr="00844F7D">
        <w:rPr>
          <w:rFonts w:eastAsia="標楷體" w:hint="eastAsia"/>
          <w:sz w:val="26"/>
          <w:szCs w:val="26"/>
        </w:rPr>
        <w:t>。相較於</w:t>
      </w:r>
      <w:r w:rsidRPr="00844F7D">
        <w:rPr>
          <w:rFonts w:eastAsia="標楷體" w:hint="eastAsia"/>
          <w:sz w:val="26"/>
          <w:szCs w:val="26"/>
        </w:rPr>
        <w:t>PLD</w:t>
      </w:r>
      <w:r w:rsidRPr="00844F7D">
        <w:rPr>
          <w:rFonts w:eastAsia="標楷體" w:hint="eastAsia"/>
          <w:sz w:val="26"/>
          <w:szCs w:val="26"/>
        </w:rPr>
        <w:t>領導廠商之</w:t>
      </w:r>
      <w:proofErr w:type="gramStart"/>
      <w:r w:rsidRPr="00844F7D">
        <w:rPr>
          <w:rFonts w:eastAsia="標楷體" w:hint="eastAsia"/>
          <w:sz w:val="26"/>
          <w:szCs w:val="26"/>
        </w:rPr>
        <w:t>ㄧ</w:t>
      </w:r>
      <w:proofErr w:type="gramEnd"/>
      <w:r w:rsidRPr="00844F7D">
        <w:rPr>
          <w:rFonts w:eastAsia="標楷體" w:hint="eastAsia"/>
          <w:sz w:val="26"/>
          <w:szCs w:val="26"/>
        </w:rPr>
        <w:t>的</w:t>
      </w:r>
      <w:r w:rsidRPr="00844F7D">
        <w:rPr>
          <w:rFonts w:eastAsia="標楷體" w:hint="eastAsia"/>
          <w:sz w:val="26"/>
          <w:szCs w:val="26"/>
        </w:rPr>
        <w:t>Altera</w:t>
      </w:r>
      <w:r w:rsidRPr="00844F7D">
        <w:rPr>
          <w:rFonts w:eastAsia="標楷體" w:hint="eastAsia"/>
          <w:sz w:val="26"/>
          <w:szCs w:val="26"/>
        </w:rPr>
        <w:t>公司，</w:t>
      </w:r>
      <w:r w:rsidRPr="00844F7D">
        <w:rPr>
          <w:rFonts w:eastAsia="標楷體" w:hint="eastAsia"/>
          <w:sz w:val="26"/>
          <w:szCs w:val="26"/>
        </w:rPr>
        <w:t xml:space="preserve"> Altera</w:t>
      </w:r>
      <w:r w:rsidRPr="00844F7D">
        <w:rPr>
          <w:rFonts w:eastAsia="標楷體" w:hint="eastAsia"/>
          <w:sz w:val="26"/>
          <w:szCs w:val="26"/>
        </w:rPr>
        <w:t>將所屬的所有</w:t>
      </w:r>
      <w:r w:rsidRPr="00844F7D">
        <w:rPr>
          <w:rFonts w:eastAsia="標楷體" w:hint="eastAsia"/>
          <w:sz w:val="26"/>
          <w:szCs w:val="26"/>
        </w:rPr>
        <w:t>PLD</w:t>
      </w:r>
      <w:r w:rsidRPr="00844F7D">
        <w:rPr>
          <w:rFonts w:eastAsia="標楷體" w:hint="eastAsia"/>
          <w:sz w:val="26"/>
          <w:szCs w:val="26"/>
        </w:rPr>
        <w:t>產品元件：</w:t>
      </w:r>
      <w:r w:rsidRPr="00844F7D">
        <w:rPr>
          <w:rFonts w:eastAsia="標楷體" w:hint="eastAsia"/>
          <w:sz w:val="26"/>
          <w:szCs w:val="26"/>
        </w:rPr>
        <w:t>MAX</w:t>
      </w:r>
      <w:r w:rsidRPr="00844F7D">
        <w:rPr>
          <w:rFonts w:eastAsia="標楷體" w:hint="eastAsia"/>
          <w:sz w:val="26"/>
          <w:szCs w:val="26"/>
        </w:rPr>
        <w:t>系列</w:t>
      </w:r>
      <w:r w:rsidRPr="00844F7D">
        <w:rPr>
          <w:rFonts w:eastAsia="標楷體" w:hint="eastAsia"/>
          <w:sz w:val="26"/>
          <w:szCs w:val="26"/>
        </w:rPr>
        <w:t>(EEPROM base)</w:t>
      </w:r>
      <w:r w:rsidRPr="00844F7D">
        <w:rPr>
          <w:rFonts w:eastAsia="標楷體" w:hint="eastAsia"/>
          <w:sz w:val="26"/>
          <w:szCs w:val="26"/>
        </w:rPr>
        <w:t>，</w:t>
      </w:r>
      <w:r w:rsidRPr="00844F7D">
        <w:rPr>
          <w:rFonts w:eastAsia="標楷體" w:hint="eastAsia"/>
          <w:sz w:val="26"/>
          <w:szCs w:val="26"/>
        </w:rPr>
        <w:t xml:space="preserve">FLEX/ ACEX/ APEX/ Cyclone/ </w:t>
      </w:r>
      <w:proofErr w:type="spellStart"/>
      <w:r w:rsidRPr="00844F7D">
        <w:rPr>
          <w:rFonts w:eastAsia="標楷體" w:hint="eastAsia"/>
          <w:sz w:val="26"/>
          <w:szCs w:val="26"/>
        </w:rPr>
        <w:t>Stratix</w:t>
      </w:r>
      <w:proofErr w:type="spellEnd"/>
      <w:r w:rsidRPr="00844F7D">
        <w:rPr>
          <w:rFonts w:eastAsia="標楷體" w:hint="eastAsia"/>
          <w:sz w:val="26"/>
          <w:szCs w:val="26"/>
        </w:rPr>
        <w:t>系列</w:t>
      </w:r>
      <w:r w:rsidRPr="00844F7D">
        <w:rPr>
          <w:rFonts w:eastAsia="標楷體" w:hint="eastAsia"/>
          <w:sz w:val="26"/>
          <w:szCs w:val="26"/>
        </w:rPr>
        <w:t>(SRAM base)</w:t>
      </w:r>
      <w:r w:rsidRPr="00844F7D">
        <w:rPr>
          <w:rFonts w:eastAsia="標楷體" w:hint="eastAsia"/>
          <w:sz w:val="26"/>
          <w:szCs w:val="26"/>
        </w:rPr>
        <w:t>元件統稱為</w:t>
      </w:r>
      <w:r w:rsidRPr="00844F7D">
        <w:rPr>
          <w:rFonts w:eastAsia="標楷體" w:hint="eastAsia"/>
          <w:sz w:val="26"/>
          <w:szCs w:val="26"/>
        </w:rPr>
        <w:t>CPLD(Complex PLD</w:t>
      </w:r>
      <w:r w:rsidRPr="00844F7D">
        <w:rPr>
          <w:rFonts w:eastAsia="標楷體" w:hint="eastAsia"/>
          <w:sz w:val="26"/>
          <w:szCs w:val="26"/>
        </w:rPr>
        <w:t>，即複雜型</w:t>
      </w:r>
      <w:r w:rsidRPr="00844F7D">
        <w:rPr>
          <w:rFonts w:eastAsia="標楷體" w:hint="eastAsia"/>
          <w:sz w:val="26"/>
          <w:szCs w:val="26"/>
        </w:rPr>
        <w:t>PLD)</w:t>
      </w:r>
      <w:r w:rsidRPr="00844F7D">
        <w:rPr>
          <w:rFonts w:eastAsia="標楷體" w:hint="eastAsia"/>
          <w:sz w:val="26"/>
          <w:szCs w:val="26"/>
        </w:rPr>
        <w:t>。由於</w:t>
      </w:r>
      <w:r w:rsidRPr="00844F7D">
        <w:rPr>
          <w:rFonts w:eastAsia="標楷體" w:hint="eastAsia"/>
          <w:sz w:val="26"/>
          <w:szCs w:val="26"/>
        </w:rPr>
        <w:t>Altera</w:t>
      </w:r>
      <w:r w:rsidRPr="00844F7D">
        <w:rPr>
          <w:rFonts w:eastAsia="標楷體" w:hint="eastAsia"/>
          <w:sz w:val="26"/>
          <w:szCs w:val="26"/>
        </w:rPr>
        <w:t>的</w:t>
      </w:r>
      <w:r w:rsidRPr="00844F7D">
        <w:rPr>
          <w:rFonts w:eastAsia="標楷體" w:hint="eastAsia"/>
          <w:sz w:val="26"/>
          <w:szCs w:val="26"/>
        </w:rPr>
        <w:t>FLEX/ ACEX/APEX/Cyclone/</w:t>
      </w:r>
      <w:proofErr w:type="spellStart"/>
      <w:r w:rsidRPr="00844F7D">
        <w:rPr>
          <w:rFonts w:eastAsia="標楷體" w:hint="eastAsia"/>
          <w:sz w:val="26"/>
          <w:szCs w:val="26"/>
        </w:rPr>
        <w:t>Stratix</w:t>
      </w:r>
      <w:proofErr w:type="spellEnd"/>
      <w:r w:rsidRPr="00844F7D">
        <w:rPr>
          <w:rFonts w:eastAsia="標楷體" w:hint="eastAsia"/>
          <w:sz w:val="26"/>
          <w:szCs w:val="26"/>
        </w:rPr>
        <w:t>系列</w:t>
      </w:r>
      <w:r w:rsidRPr="00844F7D">
        <w:rPr>
          <w:rFonts w:eastAsia="標楷體" w:hint="eastAsia"/>
          <w:sz w:val="26"/>
          <w:szCs w:val="26"/>
        </w:rPr>
        <w:t>PLD</w:t>
      </w:r>
      <w:r w:rsidRPr="00844F7D">
        <w:rPr>
          <w:rFonts w:eastAsia="標楷體" w:hint="eastAsia"/>
          <w:sz w:val="26"/>
          <w:szCs w:val="26"/>
        </w:rPr>
        <w:t>元件亦屬於</w:t>
      </w:r>
      <w:r w:rsidRPr="00844F7D">
        <w:rPr>
          <w:rFonts w:eastAsia="標楷體" w:hint="eastAsia"/>
          <w:sz w:val="26"/>
          <w:szCs w:val="26"/>
        </w:rPr>
        <w:t>SRAM</w:t>
      </w:r>
      <w:r w:rsidRPr="00844F7D">
        <w:rPr>
          <w:rFonts w:eastAsia="標楷體" w:hint="eastAsia"/>
          <w:sz w:val="26"/>
          <w:szCs w:val="26"/>
        </w:rPr>
        <w:t>架構元件，需外接配置</w:t>
      </w:r>
      <w:r w:rsidRPr="00844F7D">
        <w:rPr>
          <w:rFonts w:eastAsia="標楷體" w:hint="eastAsia"/>
          <w:sz w:val="26"/>
          <w:szCs w:val="26"/>
        </w:rPr>
        <w:t>EPROM</w:t>
      </w:r>
      <w:r w:rsidRPr="00844F7D">
        <w:rPr>
          <w:rFonts w:eastAsia="標楷體" w:hint="eastAsia"/>
          <w:sz w:val="26"/>
          <w:szCs w:val="26"/>
        </w:rPr>
        <w:t>之組態元件，所以很多人亦將</w:t>
      </w:r>
      <w:r w:rsidRPr="00844F7D">
        <w:rPr>
          <w:rFonts w:eastAsia="標楷體" w:hint="eastAsia"/>
          <w:sz w:val="26"/>
          <w:szCs w:val="26"/>
        </w:rPr>
        <w:t>Altera</w:t>
      </w:r>
      <w:r w:rsidRPr="00844F7D">
        <w:rPr>
          <w:rFonts w:eastAsia="標楷體" w:hint="eastAsia"/>
          <w:sz w:val="26"/>
          <w:szCs w:val="26"/>
        </w:rPr>
        <w:t>的</w:t>
      </w:r>
      <w:r w:rsidRPr="00844F7D">
        <w:rPr>
          <w:rFonts w:eastAsia="標楷體" w:hint="eastAsia"/>
          <w:sz w:val="26"/>
          <w:szCs w:val="26"/>
        </w:rPr>
        <w:t>FLEX/ACEX/APEX/Cyclone/</w:t>
      </w:r>
      <w:proofErr w:type="spellStart"/>
      <w:r w:rsidRPr="00844F7D">
        <w:rPr>
          <w:rFonts w:eastAsia="標楷體" w:hint="eastAsia"/>
          <w:sz w:val="26"/>
          <w:szCs w:val="26"/>
        </w:rPr>
        <w:t>Stratix</w:t>
      </w:r>
      <w:proofErr w:type="spellEnd"/>
      <w:r w:rsidRPr="00844F7D">
        <w:rPr>
          <w:rFonts w:eastAsia="標楷體" w:hint="eastAsia"/>
          <w:sz w:val="26"/>
          <w:szCs w:val="26"/>
        </w:rPr>
        <w:t>系列產品稱作</w:t>
      </w:r>
      <w:r w:rsidRPr="00844F7D">
        <w:rPr>
          <w:rFonts w:eastAsia="標楷體" w:hint="eastAsia"/>
          <w:sz w:val="26"/>
          <w:szCs w:val="26"/>
        </w:rPr>
        <w:t xml:space="preserve"> FPGA</w:t>
      </w:r>
      <w:r w:rsidRPr="00844F7D">
        <w:rPr>
          <w:rFonts w:eastAsia="標楷體" w:hint="eastAsia"/>
          <w:sz w:val="26"/>
          <w:szCs w:val="26"/>
        </w:rPr>
        <w:t>。</w:t>
      </w:r>
    </w:p>
    <w:p w:rsidR="00DE7202" w:rsidRDefault="00DE7202" w:rsidP="001719B7">
      <w:pPr>
        <w:spacing w:beforeLines="50" w:before="120" w:afterLines="50" w:after="120" w:line="360" w:lineRule="auto"/>
        <w:ind w:leftChars="300" w:left="720" w:firstLineChars="200" w:firstLine="520"/>
        <w:jc w:val="both"/>
        <w:rPr>
          <w:rFonts w:eastAsia="標楷體"/>
          <w:sz w:val="26"/>
          <w:szCs w:val="26"/>
        </w:rPr>
      </w:pPr>
    </w:p>
    <w:p w:rsidR="007B68C3" w:rsidRPr="003F22D7" w:rsidRDefault="00AA0DD0" w:rsidP="003F22D7">
      <w:pPr>
        <w:pStyle w:val="3"/>
        <w:numPr>
          <w:ilvl w:val="0"/>
          <w:numId w:val="6"/>
        </w:numPr>
        <w:spacing w:beforeLines="50" w:before="120" w:afterLines="50" w:after="120" w:line="360" w:lineRule="auto"/>
        <w:ind w:leftChars="100" w:left="720"/>
        <w:jc w:val="both"/>
        <w:rPr>
          <w:rFonts w:ascii="Times New Roman" w:eastAsia="標楷體"/>
          <w:sz w:val="32"/>
        </w:rPr>
      </w:pPr>
      <w:r w:rsidRPr="00EA272E">
        <w:rPr>
          <w:rFonts w:ascii="Times New Roman" w:eastAsia="標楷體" w:hint="eastAsia"/>
          <w:sz w:val="32"/>
        </w:rPr>
        <w:lastRenderedPageBreak/>
        <w:t>市場</w:t>
      </w:r>
      <w:r w:rsidR="00FE04FB" w:rsidRPr="00EA272E">
        <w:rPr>
          <w:rFonts w:ascii="Times New Roman" w:eastAsia="標楷體" w:hint="eastAsia"/>
          <w:sz w:val="32"/>
        </w:rPr>
        <w:t>概況</w:t>
      </w:r>
      <w:r w:rsidR="009E35E9" w:rsidRPr="003F22D7">
        <w:rPr>
          <w:sz w:val="20"/>
          <w:szCs w:val="20"/>
        </w:rPr>
        <w:footnoteReference w:id="1"/>
      </w:r>
    </w:p>
    <w:p w:rsidR="00533BB5" w:rsidRPr="00610BD9" w:rsidRDefault="00533BB5" w:rsidP="003F22D7">
      <w:pPr>
        <w:spacing w:beforeLines="50" w:before="120" w:afterLines="50" w:after="120" w:line="360" w:lineRule="auto"/>
        <w:ind w:leftChars="200" w:left="480" w:firstLineChars="200" w:firstLine="520"/>
        <w:jc w:val="both"/>
        <w:rPr>
          <w:rFonts w:eastAsia="標楷體"/>
          <w:sz w:val="26"/>
          <w:szCs w:val="26"/>
        </w:rPr>
      </w:pPr>
      <w:r w:rsidRPr="00610BD9">
        <w:rPr>
          <w:rFonts w:eastAsia="標楷體" w:hint="eastAsia"/>
          <w:sz w:val="26"/>
          <w:szCs w:val="26"/>
        </w:rPr>
        <w:t>在</w:t>
      </w:r>
      <w:r w:rsidRPr="00610BD9">
        <w:rPr>
          <w:rFonts w:eastAsia="標楷體"/>
          <w:sz w:val="26"/>
          <w:szCs w:val="26"/>
        </w:rPr>
        <w:t>IC</w:t>
      </w:r>
      <w:r w:rsidRPr="00610BD9">
        <w:rPr>
          <w:rFonts w:eastAsia="標楷體" w:hint="eastAsia"/>
          <w:sz w:val="26"/>
          <w:szCs w:val="26"/>
        </w:rPr>
        <w:t>設計產業方面，工研院</w:t>
      </w:r>
      <w:r w:rsidRPr="00610BD9">
        <w:rPr>
          <w:rFonts w:eastAsia="標楷體"/>
          <w:sz w:val="26"/>
          <w:szCs w:val="26"/>
        </w:rPr>
        <w:t>IEK</w:t>
      </w:r>
      <w:r w:rsidRPr="00610BD9">
        <w:rPr>
          <w:rFonts w:eastAsia="標楷體" w:hint="eastAsia"/>
          <w:sz w:val="26"/>
          <w:szCs w:val="26"/>
        </w:rPr>
        <w:t>產業分析師指出，目前國際半導體大廠強調生活應用和使用者體驗，技術布局方向也將以自有優勢技術為核心，鎖定智慧運算、智慧感測、智慧傳輸</w:t>
      </w:r>
      <w:proofErr w:type="gramStart"/>
      <w:r w:rsidRPr="00610BD9">
        <w:rPr>
          <w:rFonts w:eastAsia="標楷體" w:hint="eastAsia"/>
          <w:sz w:val="26"/>
          <w:szCs w:val="26"/>
        </w:rPr>
        <w:t>等物聯網</w:t>
      </w:r>
      <w:proofErr w:type="gramEnd"/>
      <w:r w:rsidRPr="00610BD9">
        <w:rPr>
          <w:rFonts w:eastAsia="標楷體" w:hint="eastAsia"/>
          <w:sz w:val="26"/>
          <w:szCs w:val="26"/>
        </w:rPr>
        <w:t>所需的三大技術方向發展，建構更開放式的產業生態，更互通性的平台，並尋求強而有力的合作夥伴，</w:t>
      </w:r>
      <w:proofErr w:type="gramStart"/>
      <w:r w:rsidRPr="00610BD9">
        <w:rPr>
          <w:rFonts w:eastAsia="標楷體" w:hint="eastAsia"/>
          <w:sz w:val="26"/>
          <w:szCs w:val="26"/>
        </w:rPr>
        <w:t>臺</w:t>
      </w:r>
      <w:proofErr w:type="gramEnd"/>
      <w:r w:rsidRPr="00610BD9">
        <w:rPr>
          <w:rFonts w:eastAsia="標楷體" w:hint="eastAsia"/>
          <w:sz w:val="26"/>
          <w:szCs w:val="26"/>
        </w:rPr>
        <w:t>廠應緊密掌握此一趨勢，鎖定新興應用投入創新研發，及早布局規劃以加速轉型升級。</w:t>
      </w:r>
    </w:p>
    <w:p w:rsidR="00533BB5" w:rsidRPr="00610BD9" w:rsidRDefault="00533BB5" w:rsidP="003F22D7">
      <w:pPr>
        <w:spacing w:beforeLines="50" w:before="120" w:afterLines="50" w:after="120" w:line="360" w:lineRule="auto"/>
        <w:ind w:leftChars="200" w:left="480" w:firstLineChars="200" w:firstLine="520"/>
        <w:jc w:val="both"/>
        <w:rPr>
          <w:rFonts w:eastAsia="標楷體"/>
          <w:sz w:val="26"/>
          <w:szCs w:val="26"/>
        </w:rPr>
      </w:pPr>
      <w:r w:rsidRPr="00610BD9">
        <w:rPr>
          <w:rFonts w:eastAsia="標楷體" w:hint="eastAsia"/>
          <w:sz w:val="26"/>
          <w:szCs w:val="26"/>
        </w:rPr>
        <w:t>在</w:t>
      </w:r>
      <w:r w:rsidRPr="00610BD9">
        <w:rPr>
          <w:rFonts w:eastAsia="標楷體"/>
          <w:sz w:val="26"/>
          <w:szCs w:val="26"/>
        </w:rPr>
        <w:t>IC</w:t>
      </w:r>
      <w:r w:rsidRPr="00610BD9">
        <w:rPr>
          <w:rFonts w:eastAsia="標楷體" w:hint="eastAsia"/>
          <w:sz w:val="26"/>
          <w:szCs w:val="26"/>
        </w:rPr>
        <w:t>製造領域，工研院</w:t>
      </w:r>
      <w:r w:rsidRPr="00610BD9">
        <w:rPr>
          <w:rFonts w:eastAsia="標楷體"/>
          <w:sz w:val="26"/>
          <w:szCs w:val="26"/>
        </w:rPr>
        <w:t>IEK</w:t>
      </w:r>
      <w:r w:rsidRPr="00610BD9">
        <w:rPr>
          <w:rFonts w:eastAsia="標楷體" w:hint="eastAsia"/>
          <w:sz w:val="26"/>
          <w:szCs w:val="26"/>
        </w:rPr>
        <w:t>研究員提到，半導體晶片是新興應用的共同基石，因此先進製程仍將成為主要營收成長動能，目前全球半導體製造廠商都著重發展高度整合的異質平台，藉以提供完整的解決方案，進而達到搶攻市場的目的。</w:t>
      </w:r>
    </w:p>
    <w:p w:rsidR="00533BB5" w:rsidRPr="00610BD9" w:rsidRDefault="00533BB5" w:rsidP="003F22D7">
      <w:pPr>
        <w:spacing w:beforeLines="50" w:before="120" w:afterLines="50" w:after="120" w:line="360" w:lineRule="auto"/>
        <w:ind w:leftChars="200" w:left="480" w:firstLineChars="200" w:firstLine="520"/>
        <w:jc w:val="both"/>
        <w:rPr>
          <w:rFonts w:eastAsia="標楷體"/>
          <w:sz w:val="26"/>
          <w:szCs w:val="26"/>
        </w:rPr>
      </w:pPr>
      <w:r w:rsidRPr="00610BD9">
        <w:rPr>
          <w:rFonts w:eastAsia="標楷體" w:hint="eastAsia"/>
          <w:sz w:val="26"/>
          <w:szCs w:val="26"/>
        </w:rPr>
        <w:t>而在</w:t>
      </w:r>
      <w:r w:rsidRPr="00610BD9">
        <w:rPr>
          <w:rFonts w:eastAsia="標楷體"/>
          <w:sz w:val="26"/>
          <w:szCs w:val="26"/>
        </w:rPr>
        <w:t>IC</w:t>
      </w:r>
      <w:r w:rsidRPr="00610BD9">
        <w:rPr>
          <w:rFonts w:eastAsia="標楷體" w:hint="eastAsia"/>
          <w:sz w:val="26"/>
          <w:szCs w:val="26"/>
        </w:rPr>
        <w:t>封裝測試領域，工研院</w:t>
      </w:r>
      <w:r w:rsidRPr="00610BD9">
        <w:rPr>
          <w:rFonts w:eastAsia="標楷體"/>
          <w:sz w:val="26"/>
          <w:szCs w:val="26"/>
        </w:rPr>
        <w:t>IEK</w:t>
      </w:r>
      <w:r w:rsidRPr="00610BD9">
        <w:rPr>
          <w:rFonts w:eastAsia="標楷體" w:hint="eastAsia"/>
          <w:sz w:val="26"/>
          <w:szCs w:val="26"/>
        </w:rPr>
        <w:t>產業分析師指出，</w:t>
      </w:r>
      <w:r w:rsidRPr="00610BD9">
        <w:rPr>
          <w:rFonts w:eastAsia="標楷體"/>
          <w:sz w:val="26"/>
          <w:szCs w:val="26"/>
        </w:rPr>
        <w:t>2016</w:t>
      </w:r>
      <w:r w:rsidRPr="00610BD9">
        <w:rPr>
          <w:rFonts w:eastAsia="標楷體" w:hint="eastAsia"/>
          <w:sz w:val="26"/>
          <w:szCs w:val="26"/>
        </w:rPr>
        <w:t>年臺灣封測產值達新臺幣</w:t>
      </w:r>
      <w:r w:rsidRPr="00610BD9">
        <w:rPr>
          <w:rFonts w:eastAsia="標楷體"/>
          <w:sz w:val="26"/>
          <w:szCs w:val="26"/>
        </w:rPr>
        <w:t>4,610</w:t>
      </w:r>
      <w:r w:rsidRPr="00610BD9">
        <w:rPr>
          <w:rFonts w:eastAsia="標楷體" w:hint="eastAsia"/>
          <w:sz w:val="26"/>
          <w:szCs w:val="26"/>
        </w:rPr>
        <w:t>億元，預估年成長</w:t>
      </w:r>
      <w:r w:rsidRPr="00610BD9">
        <w:rPr>
          <w:rFonts w:eastAsia="標楷體"/>
          <w:sz w:val="26"/>
          <w:szCs w:val="26"/>
        </w:rPr>
        <w:t>4.5%</w:t>
      </w:r>
      <w:r w:rsidRPr="00610BD9">
        <w:rPr>
          <w:rFonts w:eastAsia="標楷體" w:hint="eastAsia"/>
          <w:sz w:val="26"/>
          <w:szCs w:val="26"/>
        </w:rPr>
        <w:t>，</w:t>
      </w:r>
      <w:r w:rsidRPr="00610BD9">
        <w:rPr>
          <w:rFonts w:eastAsia="標楷體"/>
          <w:sz w:val="26"/>
          <w:szCs w:val="26"/>
        </w:rPr>
        <w:t>2017</w:t>
      </w:r>
      <w:r w:rsidRPr="00610BD9">
        <w:rPr>
          <w:rFonts w:eastAsia="標楷體" w:hint="eastAsia"/>
          <w:sz w:val="26"/>
          <w:szCs w:val="26"/>
        </w:rPr>
        <w:t>年預估年成長</w:t>
      </w:r>
      <w:r w:rsidRPr="00610BD9">
        <w:rPr>
          <w:rFonts w:eastAsia="標楷體"/>
          <w:sz w:val="26"/>
          <w:szCs w:val="26"/>
        </w:rPr>
        <w:t>7.8%</w:t>
      </w:r>
      <w:r w:rsidRPr="00610BD9">
        <w:rPr>
          <w:rFonts w:eastAsia="標楷體" w:hint="eastAsia"/>
          <w:sz w:val="26"/>
          <w:szCs w:val="26"/>
        </w:rPr>
        <w:t>。在技術發展上，有</w:t>
      </w:r>
      <w:proofErr w:type="gramStart"/>
      <w:r w:rsidRPr="00610BD9">
        <w:rPr>
          <w:rFonts w:eastAsia="標楷體" w:hint="eastAsia"/>
          <w:sz w:val="26"/>
          <w:szCs w:val="26"/>
        </w:rPr>
        <w:t>鑑</w:t>
      </w:r>
      <w:proofErr w:type="gramEnd"/>
      <w:r w:rsidRPr="00610BD9">
        <w:rPr>
          <w:rFonts w:eastAsia="標楷體" w:hint="eastAsia"/>
          <w:sz w:val="26"/>
          <w:szCs w:val="26"/>
        </w:rPr>
        <w:t>於深度學習／人工智慧等應用對平行運算處理器帶來需求，圖型處理器（</w:t>
      </w:r>
      <w:r w:rsidRPr="00610BD9">
        <w:rPr>
          <w:rFonts w:eastAsia="標楷體"/>
          <w:sz w:val="26"/>
          <w:szCs w:val="26"/>
        </w:rPr>
        <w:t>GPU</w:t>
      </w:r>
      <w:r w:rsidRPr="00610BD9">
        <w:rPr>
          <w:rFonts w:eastAsia="標楷體" w:hint="eastAsia"/>
          <w:sz w:val="26"/>
          <w:szCs w:val="26"/>
        </w:rPr>
        <w:t>）將扮演下一波運算處理器主角，而</w:t>
      </w:r>
      <w:r w:rsidRPr="00610BD9">
        <w:rPr>
          <w:rFonts w:eastAsia="標楷體"/>
          <w:sz w:val="26"/>
          <w:szCs w:val="26"/>
        </w:rPr>
        <w:t>2.5D</w:t>
      </w:r>
      <w:r w:rsidRPr="00610BD9">
        <w:rPr>
          <w:rFonts w:eastAsia="標楷體" w:hint="eastAsia"/>
          <w:sz w:val="26"/>
          <w:szCs w:val="26"/>
        </w:rPr>
        <w:t>封裝在</w:t>
      </w:r>
      <w:r w:rsidRPr="00610BD9">
        <w:rPr>
          <w:rFonts w:eastAsia="標楷體"/>
          <w:sz w:val="26"/>
          <w:szCs w:val="26"/>
        </w:rPr>
        <w:t>2015</w:t>
      </w:r>
      <w:r w:rsidRPr="00610BD9">
        <w:rPr>
          <w:rFonts w:eastAsia="標楷體" w:hint="eastAsia"/>
          <w:sz w:val="26"/>
          <w:szCs w:val="26"/>
        </w:rPr>
        <w:t>年由大廠</w:t>
      </w:r>
      <w:r w:rsidRPr="00610BD9">
        <w:rPr>
          <w:rFonts w:eastAsia="標楷體"/>
          <w:sz w:val="26"/>
          <w:szCs w:val="26"/>
        </w:rPr>
        <w:t>AMD</w:t>
      </w:r>
      <w:r w:rsidRPr="00610BD9">
        <w:rPr>
          <w:rFonts w:eastAsia="標楷體" w:hint="eastAsia"/>
          <w:sz w:val="26"/>
          <w:szCs w:val="26"/>
        </w:rPr>
        <w:t>等帶領進入高階</w:t>
      </w:r>
      <w:r w:rsidRPr="00610BD9">
        <w:rPr>
          <w:rFonts w:eastAsia="標楷體"/>
          <w:sz w:val="26"/>
          <w:szCs w:val="26"/>
        </w:rPr>
        <w:t>GPU</w:t>
      </w:r>
      <w:r w:rsidRPr="00610BD9">
        <w:rPr>
          <w:rFonts w:eastAsia="標楷體" w:hint="eastAsia"/>
          <w:sz w:val="26"/>
          <w:szCs w:val="26"/>
        </w:rPr>
        <w:t>產品，</w:t>
      </w:r>
      <w:r w:rsidRPr="00610BD9">
        <w:rPr>
          <w:rFonts w:eastAsia="標楷體"/>
          <w:sz w:val="26"/>
          <w:szCs w:val="26"/>
        </w:rPr>
        <w:t>2016</w:t>
      </w:r>
      <w:r w:rsidRPr="00610BD9">
        <w:rPr>
          <w:rFonts w:eastAsia="標楷體" w:hint="eastAsia"/>
          <w:sz w:val="26"/>
          <w:szCs w:val="26"/>
        </w:rPr>
        <w:t>年</w:t>
      </w:r>
      <w:r w:rsidRPr="00610BD9">
        <w:rPr>
          <w:rFonts w:eastAsia="標楷體"/>
          <w:sz w:val="26"/>
          <w:szCs w:val="26"/>
        </w:rPr>
        <w:t>NVIDIA</w:t>
      </w:r>
      <w:r w:rsidRPr="00610BD9">
        <w:rPr>
          <w:rFonts w:eastAsia="標楷體" w:hint="eastAsia"/>
          <w:sz w:val="26"/>
          <w:szCs w:val="26"/>
        </w:rPr>
        <w:t>則使用</w:t>
      </w:r>
      <w:r w:rsidRPr="00610BD9">
        <w:rPr>
          <w:rFonts w:eastAsia="標楷體"/>
          <w:sz w:val="26"/>
          <w:szCs w:val="26"/>
        </w:rPr>
        <w:t>2.5D</w:t>
      </w:r>
      <w:r w:rsidRPr="00610BD9">
        <w:rPr>
          <w:rFonts w:eastAsia="標楷體" w:hint="eastAsia"/>
          <w:sz w:val="26"/>
          <w:szCs w:val="26"/>
        </w:rPr>
        <w:t>的</w:t>
      </w:r>
      <w:r w:rsidRPr="00610BD9">
        <w:rPr>
          <w:rFonts w:eastAsia="標楷體"/>
          <w:sz w:val="26"/>
          <w:szCs w:val="26"/>
        </w:rPr>
        <w:t>GPU</w:t>
      </w:r>
      <w:r w:rsidRPr="00610BD9">
        <w:rPr>
          <w:rFonts w:eastAsia="標楷體" w:hint="eastAsia"/>
          <w:sz w:val="26"/>
          <w:szCs w:val="26"/>
        </w:rPr>
        <w:t>於深度學習／人工智慧相關硬體之應用，預期未來在</w:t>
      </w:r>
      <w:r w:rsidRPr="00610BD9">
        <w:rPr>
          <w:rFonts w:eastAsia="標楷體"/>
          <w:sz w:val="26"/>
          <w:szCs w:val="26"/>
        </w:rPr>
        <w:t>TSV-Less</w:t>
      </w:r>
      <w:r w:rsidRPr="00610BD9">
        <w:rPr>
          <w:rFonts w:eastAsia="標楷體" w:hint="eastAsia"/>
          <w:sz w:val="26"/>
          <w:szCs w:val="26"/>
        </w:rPr>
        <w:t>技術逐漸成熟後，使用</w:t>
      </w:r>
      <w:r w:rsidRPr="00610BD9">
        <w:rPr>
          <w:rFonts w:eastAsia="標楷體"/>
          <w:sz w:val="26"/>
          <w:szCs w:val="26"/>
        </w:rPr>
        <w:t>2.5D</w:t>
      </w:r>
      <w:r w:rsidRPr="00610BD9">
        <w:rPr>
          <w:rFonts w:eastAsia="標楷體" w:hint="eastAsia"/>
          <w:sz w:val="26"/>
          <w:szCs w:val="26"/>
        </w:rPr>
        <w:t>封裝的高階</w:t>
      </w:r>
      <w:r w:rsidRPr="00610BD9">
        <w:rPr>
          <w:rFonts w:eastAsia="標楷體"/>
          <w:sz w:val="26"/>
          <w:szCs w:val="26"/>
        </w:rPr>
        <w:t>GPU</w:t>
      </w:r>
      <w:r w:rsidRPr="00610BD9">
        <w:rPr>
          <w:rFonts w:eastAsia="標楷體" w:hint="eastAsia"/>
          <w:sz w:val="26"/>
          <w:szCs w:val="26"/>
        </w:rPr>
        <w:t>將有機會轉型到</w:t>
      </w:r>
      <w:r w:rsidRPr="00610BD9">
        <w:rPr>
          <w:rFonts w:eastAsia="標楷體"/>
          <w:sz w:val="26"/>
          <w:szCs w:val="26"/>
        </w:rPr>
        <w:t>TSV-Less</w:t>
      </w:r>
      <w:r w:rsidRPr="00610BD9">
        <w:rPr>
          <w:rFonts w:eastAsia="標楷體" w:hint="eastAsia"/>
          <w:sz w:val="26"/>
          <w:szCs w:val="26"/>
        </w:rPr>
        <w:t>等潛在低成本的技術，且導入量產時程可能會較</w:t>
      </w:r>
      <w:r w:rsidRPr="00610BD9">
        <w:rPr>
          <w:rFonts w:eastAsia="標楷體"/>
          <w:sz w:val="26"/>
          <w:szCs w:val="26"/>
        </w:rPr>
        <w:t>FPGA</w:t>
      </w:r>
      <w:r w:rsidRPr="00610BD9">
        <w:rPr>
          <w:rFonts w:eastAsia="標楷體" w:hint="eastAsia"/>
          <w:sz w:val="26"/>
          <w:szCs w:val="26"/>
        </w:rPr>
        <w:t>採用</w:t>
      </w:r>
      <w:r w:rsidRPr="00610BD9">
        <w:rPr>
          <w:rFonts w:eastAsia="標楷體"/>
          <w:sz w:val="26"/>
          <w:szCs w:val="26"/>
        </w:rPr>
        <w:t>TSV-Less</w:t>
      </w:r>
      <w:r w:rsidRPr="00610BD9">
        <w:rPr>
          <w:rFonts w:eastAsia="標楷體" w:hint="eastAsia"/>
          <w:sz w:val="26"/>
          <w:szCs w:val="26"/>
        </w:rPr>
        <w:t>來的快。</w:t>
      </w:r>
    </w:p>
    <w:p w:rsidR="00DE7202" w:rsidRPr="003F22D7" w:rsidRDefault="00533BB5" w:rsidP="003F22D7">
      <w:pPr>
        <w:spacing w:beforeLines="50" w:before="120" w:afterLines="50" w:after="120" w:line="360" w:lineRule="auto"/>
        <w:ind w:leftChars="200" w:left="480" w:firstLineChars="200" w:firstLine="520"/>
        <w:jc w:val="both"/>
        <w:rPr>
          <w:rFonts w:eastAsia="標楷體"/>
          <w:sz w:val="26"/>
          <w:szCs w:val="26"/>
        </w:rPr>
      </w:pPr>
      <w:r w:rsidRPr="00610BD9">
        <w:rPr>
          <w:rFonts w:eastAsia="標楷體" w:hint="eastAsia"/>
          <w:sz w:val="26"/>
          <w:szCs w:val="26"/>
        </w:rPr>
        <w:t>整體半導體應用市場，隨著越來越多廠商投入在創新智慧載具，如：智慧機器人、無人機、智慧車輛等，從以往僅應用於特殊領域，近期正走向商用與消費型的市場，將帶動半導體應用新商機。工研院</w:t>
      </w:r>
      <w:r w:rsidRPr="00610BD9">
        <w:rPr>
          <w:rFonts w:eastAsia="標楷體"/>
          <w:sz w:val="26"/>
          <w:szCs w:val="26"/>
        </w:rPr>
        <w:t>IEK</w:t>
      </w:r>
      <w:r w:rsidRPr="00610BD9">
        <w:rPr>
          <w:rFonts w:eastAsia="標楷體" w:hint="eastAsia"/>
          <w:sz w:val="26"/>
          <w:szCs w:val="26"/>
        </w:rPr>
        <w:t>產業</w:t>
      </w:r>
      <w:r w:rsidRPr="00610BD9">
        <w:rPr>
          <w:rFonts w:eastAsia="標楷體" w:hint="eastAsia"/>
          <w:sz w:val="26"/>
          <w:szCs w:val="26"/>
        </w:rPr>
        <w:lastRenderedPageBreak/>
        <w:t>分析師指出，</w:t>
      </w:r>
      <w:proofErr w:type="gramStart"/>
      <w:r w:rsidRPr="00610BD9">
        <w:rPr>
          <w:rFonts w:eastAsia="標楷體" w:hint="eastAsia"/>
          <w:sz w:val="26"/>
          <w:szCs w:val="26"/>
        </w:rPr>
        <w:t>物聯網</w:t>
      </w:r>
      <w:proofErr w:type="gramEnd"/>
      <w:r w:rsidRPr="00610BD9">
        <w:rPr>
          <w:rFonts w:eastAsia="標楷體" w:hint="eastAsia"/>
          <w:sz w:val="26"/>
          <w:szCs w:val="26"/>
        </w:rPr>
        <w:t>半導體市場規模將在</w:t>
      </w:r>
      <w:r w:rsidRPr="00610BD9">
        <w:rPr>
          <w:rFonts w:eastAsia="標楷體"/>
          <w:sz w:val="26"/>
          <w:szCs w:val="26"/>
        </w:rPr>
        <w:t>2020</w:t>
      </w:r>
      <w:r w:rsidRPr="00610BD9">
        <w:rPr>
          <w:rFonts w:eastAsia="標楷體" w:hint="eastAsia"/>
          <w:sz w:val="26"/>
          <w:szCs w:val="26"/>
        </w:rPr>
        <w:t>年達</w:t>
      </w:r>
      <w:r w:rsidRPr="00610BD9">
        <w:rPr>
          <w:rFonts w:eastAsia="標楷體"/>
          <w:sz w:val="26"/>
          <w:szCs w:val="26"/>
        </w:rPr>
        <w:t>352</w:t>
      </w:r>
      <w:r w:rsidRPr="00610BD9">
        <w:rPr>
          <w:rFonts w:eastAsia="標楷體" w:hint="eastAsia"/>
          <w:sz w:val="26"/>
          <w:szCs w:val="26"/>
        </w:rPr>
        <w:t>億美元，年複合成長率高達</w:t>
      </w:r>
      <w:r w:rsidRPr="00610BD9">
        <w:rPr>
          <w:rFonts w:eastAsia="標楷體"/>
          <w:sz w:val="26"/>
          <w:szCs w:val="26"/>
        </w:rPr>
        <w:t>24.2%</w:t>
      </w:r>
      <w:r w:rsidRPr="00610BD9">
        <w:rPr>
          <w:rFonts w:eastAsia="標楷體" w:hint="eastAsia"/>
          <w:sz w:val="26"/>
          <w:szCs w:val="26"/>
        </w:rPr>
        <w:t>。車輛隨智慧化程度越來越高，帶動車用電子在</w:t>
      </w:r>
      <w:r w:rsidRPr="00610BD9">
        <w:rPr>
          <w:rFonts w:eastAsia="標楷體"/>
          <w:sz w:val="26"/>
          <w:szCs w:val="26"/>
        </w:rPr>
        <w:t>2020</w:t>
      </w:r>
      <w:r w:rsidRPr="00610BD9">
        <w:rPr>
          <w:rFonts w:eastAsia="標楷體" w:hint="eastAsia"/>
          <w:sz w:val="26"/>
          <w:szCs w:val="26"/>
        </w:rPr>
        <w:t>年可達到</w:t>
      </w:r>
      <w:r w:rsidRPr="00610BD9">
        <w:rPr>
          <w:rFonts w:eastAsia="標楷體"/>
          <w:sz w:val="26"/>
          <w:szCs w:val="26"/>
        </w:rPr>
        <w:t>31.6</w:t>
      </w:r>
      <w:r w:rsidRPr="00610BD9">
        <w:rPr>
          <w:rFonts w:eastAsia="標楷體" w:hint="eastAsia"/>
          <w:sz w:val="26"/>
          <w:szCs w:val="26"/>
        </w:rPr>
        <w:t>億美元的市場規模，年複合成長率高達</w:t>
      </w:r>
      <w:r w:rsidRPr="00610BD9">
        <w:rPr>
          <w:rFonts w:eastAsia="標楷體"/>
          <w:sz w:val="26"/>
          <w:szCs w:val="26"/>
        </w:rPr>
        <w:t>6.0%</w:t>
      </w:r>
      <w:r w:rsidRPr="00610BD9">
        <w:rPr>
          <w:rFonts w:eastAsia="標楷體" w:hint="eastAsia"/>
          <w:sz w:val="26"/>
          <w:szCs w:val="26"/>
        </w:rPr>
        <w:t>；進而帶動車用半導體市場在</w:t>
      </w:r>
      <w:r w:rsidRPr="00610BD9">
        <w:rPr>
          <w:rFonts w:eastAsia="標楷體"/>
          <w:sz w:val="26"/>
          <w:szCs w:val="26"/>
        </w:rPr>
        <w:t>2020</w:t>
      </w:r>
      <w:r w:rsidRPr="00610BD9">
        <w:rPr>
          <w:rFonts w:eastAsia="標楷體" w:hint="eastAsia"/>
          <w:sz w:val="26"/>
          <w:szCs w:val="26"/>
        </w:rPr>
        <w:t>年達</w:t>
      </w:r>
      <w:r w:rsidRPr="00610BD9">
        <w:rPr>
          <w:rFonts w:eastAsia="標楷體"/>
          <w:sz w:val="26"/>
          <w:szCs w:val="26"/>
        </w:rPr>
        <w:t>364</w:t>
      </w:r>
      <w:r w:rsidRPr="00610BD9">
        <w:rPr>
          <w:rFonts w:eastAsia="標楷體" w:hint="eastAsia"/>
          <w:sz w:val="26"/>
          <w:szCs w:val="26"/>
        </w:rPr>
        <w:t>億美元規模，年複合成長率高達</w:t>
      </w:r>
      <w:r w:rsidRPr="00610BD9">
        <w:rPr>
          <w:rFonts w:eastAsia="標楷體"/>
          <w:sz w:val="26"/>
          <w:szCs w:val="26"/>
        </w:rPr>
        <w:t>6.2%</w:t>
      </w:r>
      <w:r w:rsidRPr="00610BD9">
        <w:rPr>
          <w:rFonts w:eastAsia="標楷體" w:hint="eastAsia"/>
          <w:sz w:val="26"/>
          <w:szCs w:val="26"/>
        </w:rPr>
        <w:t>，也使得國際</w:t>
      </w:r>
      <w:r w:rsidRPr="00610BD9">
        <w:rPr>
          <w:rFonts w:eastAsia="標楷體"/>
          <w:sz w:val="26"/>
          <w:szCs w:val="26"/>
        </w:rPr>
        <w:t>IC</w:t>
      </w:r>
      <w:r w:rsidRPr="00610BD9">
        <w:rPr>
          <w:rFonts w:eastAsia="標楷體" w:hint="eastAsia"/>
          <w:sz w:val="26"/>
          <w:szCs w:val="26"/>
        </w:rPr>
        <w:t>設計大廠</w:t>
      </w:r>
      <w:r w:rsidRPr="00610BD9">
        <w:rPr>
          <w:rFonts w:eastAsia="標楷體"/>
          <w:sz w:val="26"/>
          <w:szCs w:val="26"/>
        </w:rPr>
        <w:t>Qualcomm</w:t>
      </w:r>
      <w:r w:rsidRPr="00610BD9">
        <w:rPr>
          <w:rFonts w:eastAsia="標楷體" w:hint="eastAsia"/>
          <w:sz w:val="26"/>
          <w:szCs w:val="26"/>
        </w:rPr>
        <w:t>藉由</w:t>
      </w:r>
      <w:proofErr w:type="gramStart"/>
      <w:r w:rsidRPr="00610BD9">
        <w:rPr>
          <w:rFonts w:eastAsia="標楷體" w:hint="eastAsia"/>
          <w:sz w:val="26"/>
          <w:szCs w:val="26"/>
        </w:rPr>
        <w:t>併</w:t>
      </w:r>
      <w:proofErr w:type="gramEnd"/>
      <w:r w:rsidRPr="00610BD9">
        <w:rPr>
          <w:rFonts w:eastAsia="標楷體" w:hint="eastAsia"/>
          <w:sz w:val="26"/>
          <w:szCs w:val="26"/>
        </w:rPr>
        <w:t>購</w:t>
      </w:r>
      <w:r w:rsidRPr="00610BD9">
        <w:rPr>
          <w:rFonts w:eastAsia="標楷體"/>
          <w:sz w:val="26"/>
          <w:szCs w:val="26"/>
        </w:rPr>
        <w:t>NXP</w:t>
      </w:r>
      <w:r w:rsidRPr="00610BD9">
        <w:rPr>
          <w:rFonts w:eastAsia="標楷體" w:hint="eastAsia"/>
          <w:sz w:val="26"/>
          <w:szCs w:val="26"/>
        </w:rPr>
        <w:t>，來儘早進入車用半導體市場。</w:t>
      </w:r>
    </w:p>
    <w:p w:rsidR="00DE7202" w:rsidRPr="00C15364" w:rsidRDefault="005855DE" w:rsidP="001719B7">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C15364">
        <w:rPr>
          <w:rFonts w:ascii="Times New Roman" w:eastAsia="標楷體" w:hAnsi="Times New Roman"/>
          <w:sz w:val="32"/>
        </w:rPr>
        <w:t>產業</w:t>
      </w:r>
      <w:r w:rsidR="00CD04A9" w:rsidRPr="00C15364">
        <w:rPr>
          <w:rFonts w:ascii="Times New Roman" w:eastAsia="標楷體" w:hAnsi="Times New Roman"/>
          <w:sz w:val="32"/>
        </w:rPr>
        <w:t>發展趨勢</w:t>
      </w:r>
      <w:r w:rsidR="009E35E9">
        <w:rPr>
          <w:rStyle w:val="af2"/>
          <w:rFonts w:ascii="Times New Roman" w:eastAsia="標楷體" w:hAnsi="Times New Roman"/>
          <w:sz w:val="32"/>
        </w:rPr>
        <w:footnoteReference w:id="2"/>
      </w:r>
    </w:p>
    <w:p w:rsidR="003E12FA" w:rsidRDefault="003E12FA" w:rsidP="003F22D7">
      <w:pPr>
        <w:spacing w:beforeLines="50" w:before="120" w:afterLines="50" w:after="120" w:line="360" w:lineRule="auto"/>
        <w:ind w:leftChars="200" w:left="480" w:firstLineChars="200" w:firstLine="520"/>
        <w:jc w:val="both"/>
        <w:rPr>
          <w:rFonts w:eastAsia="標楷體"/>
          <w:sz w:val="26"/>
          <w:szCs w:val="26"/>
        </w:rPr>
      </w:pPr>
      <w:r w:rsidRPr="00610BD9">
        <w:rPr>
          <w:rFonts w:eastAsia="標楷體" w:hint="eastAsia"/>
          <w:sz w:val="26"/>
          <w:szCs w:val="26"/>
        </w:rPr>
        <w:t>展望</w:t>
      </w:r>
      <w:r w:rsidRPr="00610BD9">
        <w:rPr>
          <w:rFonts w:eastAsia="標楷體"/>
          <w:sz w:val="26"/>
          <w:szCs w:val="26"/>
        </w:rPr>
        <w:t xml:space="preserve">2017 </w:t>
      </w:r>
      <w:r w:rsidRPr="00610BD9">
        <w:rPr>
          <w:rFonts w:eastAsia="標楷體" w:hint="eastAsia"/>
          <w:sz w:val="26"/>
          <w:szCs w:val="26"/>
        </w:rPr>
        <w:t>年，雖然消費性電子產品銷售成長動能有限，但是新的應用領域仍持續成長，例如：</w:t>
      </w:r>
      <w:proofErr w:type="gramStart"/>
      <w:r w:rsidRPr="00610BD9">
        <w:rPr>
          <w:rFonts w:eastAsia="標楷體" w:hint="eastAsia"/>
          <w:sz w:val="26"/>
          <w:szCs w:val="26"/>
        </w:rPr>
        <w:t>電競、</w:t>
      </w:r>
      <w:proofErr w:type="gramEnd"/>
      <w:r w:rsidRPr="00610BD9">
        <w:rPr>
          <w:rFonts w:eastAsia="標楷體"/>
          <w:sz w:val="26"/>
          <w:szCs w:val="26"/>
        </w:rPr>
        <w:t>AR/VR</w:t>
      </w:r>
      <w:r w:rsidRPr="00610BD9">
        <w:rPr>
          <w:rFonts w:eastAsia="標楷體" w:hint="eastAsia"/>
          <w:sz w:val="26"/>
          <w:szCs w:val="26"/>
        </w:rPr>
        <w:t>、車用電子，再加上基期較低因素，</w:t>
      </w:r>
      <w:r w:rsidRPr="00610BD9">
        <w:rPr>
          <w:rFonts w:eastAsia="標楷體"/>
          <w:sz w:val="26"/>
          <w:szCs w:val="26"/>
        </w:rPr>
        <w:t xml:space="preserve">2017 </w:t>
      </w:r>
      <w:r w:rsidRPr="00610BD9">
        <w:rPr>
          <w:rFonts w:eastAsia="標楷體" w:hint="eastAsia"/>
          <w:sz w:val="26"/>
          <w:szCs w:val="26"/>
        </w:rPr>
        <w:t>年</w:t>
      </w:r>
      <w:r w:rsidRPr="00610BD9">
        <w:rPr>
          <w:rFonts w:eastAsia="標楷體"/>
          <w:sz w:val="26"/>
          <w:szCs w:val="26"/>
        </w:rPr>
        <w:t xml:space="preserve">ASSP </w:t>
      </w:r>
      <w:r w:rsidRPr="00610BD9">
        <w:rPr>
          <w:rFonts w:eastAsia="標楷體" w:hint="eastAsia"/>
          <w:sz w:val="26"/>
          <w:szCs w:val="26"/>
        </w:rPr>
        <w:t>產值將恢復成長，再加上</w:t>
      </w:r>
      <w:r w:rsidRPr="00610BD9">
        <w:rPr>
          <w:rFonts w:eastAsia="標楷體"/>
          <w:sz w:val="26"/>
          <w:szCs w:val="26"/>
        </w:rPr>
        <w:t xml:space="preserve">DRAM </w:t>
      </w:r>
      <w:r w:rsidRPr="00610BD9">
        <w:rPr>
          <w:rFonts w:eastAsia="標楷體" w:hint="eastAsia"/>
          <w:sz w:val="26"/>
          <w:szCs w:val="26"/>
        </w:rPr>
        <w:t>及</w:t>
      </w:r>
      <w:r w:rsidRPr="00610BD9">
        <w:rPr>
          <w:rFonts w:eastAsia="標楷體"/>
          <w:sz w:val="26"/>
          <w:szCs w:val="26"/>
        </w:rPr>
        <w:t xml:space="preserve">Flash </w:t>
      </w:r>
      <w:r w:rsidRPr="00610BD9">
        <w:rPr>
          <w:rFonts w:eastAsia="標楷體" w:hint="eastAsia"/>
          <w:sz w:val="26"/>
          <w:szCs w:val="26"/>
        </w:rPr>
        <w:t>製程也演進至</w:t>
      </w:r>
      <w:r w:rsidRPr="00610BD9">
        <w:rPr>
          <w:rFonts w:eastAsia="標楷體"/>
          <w:sz w:val="26"/>
          <w:szCs w:val="26"/>
        </w:rPr>
        <w:t xml:space="preserve">20/1X </w:t>
      </w:r>
      <w:r w:rsidRPr="00610BD9">
        <w:rPr>
          <w:rFonts w:eastAsia="標楷體" w:hint="eastAsia"/>
          <w:sz w:val="26"/>
          <w:szCs w:val="26"/>
        </w:rPr>
        <w:t>奈米，導致整體供給成長有限，且行動裝置對於運算能力及儲存空間要求持續提升，</w:t>
      </w:r>
      <w:r w:rsidRPr="00610BD9">
        <w:rPr>
          <w:rFonts w:eastAsia="標楷體"/>
          <w:sz w:val="26"/>
          <w:szCs w:val="26"/>
        </w:rPr>
        <w:t xml:space="preserve">Memory </w:t>
      </w:r>
      <w:r w:rsidRPr="00610BD9">
        <w:rPr>
          <w:rFonts w:eastAsia="標楷體" w:hint="eastAsia"/>
          <w:sz w:val="26"/>
          <w:szCs w:val="26"/>
        </w:rPr>
        <w:t>報價出現反彈，同步推升</w:t>
      </w:r>
      <w:r w:rsidRPr="00610BD9">
        <w:rPr>
          <w:rFonts w:eastAsia="標楷體"/>
          <w:sz w:val="26"/>
          <w:szCs w:val="26"/>
        </w:rPr>
        <w:t xml:space="preserve">Memory </w:t>
      </w:r>
      <w:r w:rsidRPr="00610BD9">
        <w:rPr>
          <w:rFonts w:eastAsia="標楷體" w:hint="eastAsia"/>
          <w:sz w:val="26"/>
          <w:szCs w:val="26"/>
        </w:rPr>
        <w:t>產值恢復成長，根據</w:t>
      </w:r>
      <w:proofErr w:type="spellStart"/>
      <w:r w:rsidRPr="00610BD9">
        <w:rPr>
          <w:rFonts w:eastAsia="標楷體"/>
          <w:sz w:val="26"/>
          <w:szCs w:val="26"/>
        </w:rPr>
        <w:t>Garnter</w:t>
      </w:r>
      <w:proofErr w:type="spellEnd"/>
      <w:r w:rsidRPr="00610BD9">
        <w:rPr>
          <w:rFonts w:eastAsia="標楷體"/>
          <w:sz w:val="26"/>
          <w:szCs w:val="26"/>
        </w:rPr>
        <w:t xml:space="preserve"> </w:t>
      </w:r>
      <w:r w:rsidRPr="00610BD9">
        <w:rPr>
          <w:rFonts w:eastAsia="標楷體" w:hint="eastAsia"/>
          <w:sz w:val="26"/>
          <w:szCs w:val="26"/>
        </w:rPr>
        <w:t>預估，</w:t>
      </w:r>
      <w:r w:rsidRPr="00610BD9">
        <w:rPr>
          <w:rFonts w:eastAsia="標楷體"/>
          <w:sz w:val="26"/>
          <w:szCs w:val="26"/>
        </w:rPr>
        <w:t>2017</w:t>
      </w:r>
      <w:r w:rsidRPr="00610BD9">
        <w:rPr>
          <w:rFonts w:eastAsia="標楷體" w:hint="eastAsia"/>
          <w:sz w:val="26"/>
          <w:szCs w:val="26"/>
        </w:rPr>
        <w:t>年全球半導體產值將成長至</w:t>
      </w:r>
      <w:r w:rsidRPr="00610BD9">
        <w:rPr>
          <w:rFonts w:eastAsia="標楷體"/>
          <w:sz w:val="26"/>
          <w:szCs w:val="26"/>
        </w:rPr>
        <w:t>3,400</w:t>
      </w:r>
      <w:r w:rsidRPr="00610BD9">
        <w:rPr>
          <w:rFonts w:eastAsia="標楷體" w:hint="eastAsia"/>
          <w:sz w:val="26"/>
          <w:szCs w:val="26"/>
        </w:rPr>
        <w:t>億美元，年增</w:t>
      </w:r>
      <w:r w:rsidRPr="00610BD9">
        <w:rPr>
          <w:rFonts w:eastAsia="標楷體"/>
          <w:sz w:val="26"/>
          <w:szCs w:val="26"/>
        </w:rPr>
        <w:t>4.7</w:t>
      </w:r>
      <w:r w:rsidRPr="00610BD9">
        <w:rPr>
          <w:rFonts w:eastAsia="標楷體" w:hint="eastAsia"/>
          <w:sz w:val="26"/>
          <w:szCs w:val="26"/>
        </w:rPr>
        <w:t>％。</w:t>
      </w:r>
    </w:p>
    <w:p w:rsidR="009E35E9" w:rsidRPr="003F22D7" w:rsidRDefault="009E35E9" w:rsidP="003F22D7">
      <w:pPr>
        <w:spacing w:beforeLines="50" w:before="120" w:afterLines="50" w:after="120" w:line="360" w:lineRule="auto"/>
        <w:ind w:leftChars="200" w:left="480" w:firstLineChars="200" w:firstLine="520"/>
        <w:jc w:val="both"/>
        <w:rPr>
          <w:rFonts w:eastAsia="標楷體"/>
          <w:sz w:val="26"/>
          <w:szCs w:val="26"/>
        </w:rPr>
      </w:pPr>
      <w:r w:rsidRPr="00D42BFB">
        <w:rPr>
          <w:rFonts w:eastAsia="標楷體" w:hint="eastAsia"/>
          <w:sz w:val="26"/>
          <w:szCs w:val="26"/>
        </w:rPr>
        <w:t>臺灣</w:t>
      </w:r>
      <w:r w:rsidRPr="00D42BFB">
        <w:rPr>
          <w:rFonts w:eastAsia="標楷體" w:hint="eastAsia"/>
          <w:sz w:val="26"/>
          <w:szCs w:val="26"/>
        </w:rPr>
        <w:t>IC</w:t>
      </w:r>
      <w:r w:rsidRPr="00D42BFB">
        <w:rPr>
          <w:rFonts w:eastAsia="標楷體" w:hint="eastAsia"/>
          <w:sz w:val="26"/>
          <w:szCs w:val="26"/>
        </w:rPr>
        <w:t>設計</w:t>
      </w:r>
      <w:r>
        <w:rPr>
          <w:rFonts w:eastAsia="標楷體" w:hint="eastAsia"/>
          <w:sz w:val="26"/>
          <w:szCs w:val="26"/>
        </w:rPr>
        <w:t>業</w:t>
      </w:r>
      <w:r w:rsidRPr="00D42BFB">
        <w:rPr>
          <w:rFonts w:eastAsia="標楷體" w:hint="eastAsia"/>
          <w:sz w:val="26"/>
          <w:szCs w:val="26"/>
        </w:rPr>
        <w:t>廠商在中高</w:t>
      </w:r>
      <w:r w:rsidRPr="00D42BFB">
        <w:rPr>
          <w:rFonts w:eastAsia="標楷體" w:hint="eastAsia"/>
          <w:sz w:val="26"/>
          <w:szCs w:val="26"/>
        </w:rPr>
        <w:t>(</w:t>
      </w:r>
      <w:r w:rsidRPr="00D42BFB">
        <w:rPr>
          <w:rFonts w:eastAsia="標楷體" w:hint="eastAsia"/>
          <w:sz w:val="26"/>
          <w:szCs w:val="26"/>
        </w:rPr>
        <w:t>低</w:t>
      </w:r>
      <w:r w:rsidRPr="00D42BFB">
        <w:rPr>
          <w:rFonts w:eastAsia="標楷體" w:hint="eastAsia"/>
          <w:sz w:val="26"/>
          <w:szCs w:val="26"/>
        </w:rPr>
        <w:t>)</w:t>
      </w:r>
      <w:r w:rsidRPr="00D42BFB">
        <w:rPr>
          <w:rFonts w:eastAsia="標楷體" w:hint="eastAsia"/>
          <w:sz w:val="26"/>
          <w:szCs w:val="26"/>
        </w:rPr>
        <w:t>階智慧手機應用晶片產品的出貨量可望持續增加，且在</w:t>
      </w:r>
      <w:r w:rsidRPr="00D42BFB">
        <w:rPr>
          <w:rFonts w:eastAsia="標楷體" w:hint="eastAsia"/>
          <w:sz w:val="26"/>
          <w:szCs w:val="26"/>
        </w:rPr>
        <w:t>PC</w:t>
      </w:r>
      <w:r w:rsidRPr="00D42BFB">
        <w:rPr>
          <w:rFonts w:eastAsia="標楷體" w:hint="eastAsia"/>
          <w:sz w:val="26"/>
          <w:szCs w:val="26"/>
        </w:rPr>
        <w:t>相關應用晶片包含</w:t>
      </w:r>
      <w:r w:rsidRPr="00D42BFB">
        <w:rPr>
          <w:rFonts w:eastAsia="標楷體" w:hint="eastAsia"/>
          <w:sz w:val="26"/>
          <w:szCs w:val="26"/>
        </w:rPr>
        <w:t>Type C</w:t>
      </w:r>
      <w:r w:rsidRPr="00D42BFB">
        <w:rPr>
          <w:rFonts w:eastAsia="標楷體" w:hint="eastAsia"/>
          <w:sz w:val="26"/>
          <w:szCs w:val="26"/>
        </w:rPr>
        <w:t>、</w:t>
      </w:r>
      <w:r w:rsidRPr="00D42BFB">
        <w:rPr>
          <w:rFonts w:eastAsia="標楷體" w:hint="eastAsia"/>
          <w:sz w:val="26"/>
          <w:szCs w:val="26"/>
        </w:rPr>
        <w:t>SSD</w:t>
      </w:r>
      <w:r w:rsidRPr="00D42BFB">
        <w:rPr>
          <w:rFonts w:eastAsia="標楷體" w:hint="eastAsia"/>
          <w:sz w:val="26"/>
          <w:szCs w:val="26"/>
        </w:rPr>
        <w:t>控制</w:t>
      </w:r>
      <w:r w:rsidRPr="00D42BFB">
        <w:rPr>
          <w:rFonts w:eastAsia="標楷體" w:hint="eastAsia"/>
          <w:sz w:val="26"/>
          <w:szCs w:val="26"/>
        </w:rPr>
        <w:t>IC</w:t>
      </w:r>
      <w:r w:rsidRPr="00D42BFB">
        <w:rPr>
          <w:rFonts w:eastAsia="標楷體" w:hint="eastAsia"/>
          <w:sz w:val="26"/>
          <w:szCs w:val="26"/>
        </w:rPr>
        <w:t>等出貨量也維持樂觀，再加上新興應用包含車用</w:t>
      </w:r>
      <w:r w:rsidRPr="00D42BFB">
        <w:rPr>
          <w:rFonts w:eastAsia="標楷體" w:hint="eastAsia"/>
          <w:sz w:val="26"/>
          <w:szCs w:val="26"/>
        </w:rPr>
        <w:t>IC</w:t>
      </w:r>
      <w:r w:rsidRPr="00D42BFB">
        <w:rPr>
          <w:rFonts w:eastAsia="標楷體" w:hint="eastAsia"/>
          <w:sz w:val="26"/>
          <w:szCs w:val="26"/>
        </w:rPr>
        <w:t>相關產品之出貨帶動下，</w:t>
      </w:r>
      <w:r w:rsidRPr="00D42BFB">
        <w:rPr>
          <w:rFonts w:eastAsia="標楷體" w:hint="eastAsia"/>
          <w:sz w:val="26"/>
          <w:szCs w:val="26"/>
        </w:rPr>
        <w:t>2017</w:t>
      </w:r>
      <w:r w:rsidRPr="00D42BFB">
        <w:rPr>
          <w:rFonts w:eastAsia="標楷體" w:hint="eastAsia"/>
          <w:sz w:val="26"/>
          <w:szCs w:val="26"/>
        </w:rPr>
        <w:t>年臺灣</w:t>
      </w:r>
      <w:r w:rsidRPr="00D42BFB">
        <w:rPr>
          <w:rFonts w:eastAsia="標楷體" w:hint="eastAsia"/>
          <w:sz w:val="26"/>
          <w:szCs w:val="26"/>
        </w:rPr>
        <w:t>IC</w:t>
      </w:r>
      <w:r w:rsidRPr="00D42BFB">
        <w:rPr>
          <w:rFonts w:eastAsia="標楷體" w:hint="eastAsia"/>
          <w:sz w:val="26"/>
          <w:szCs w:val="26"/>
        </w:rPr>
        <w:t>設計產業仍可望維持成長態勢。整體而言，</w:t>
      </w:r>
      <w:r w:rsidRPr="00D42BFB">
        <w:rPr>
          <w:rFonts w:eastAsia="標楷體" w:hint="eastAsia"/>
          <w:sz w:val="26"/>
          <w:szCs w:val="26"/>
        </w:rPr>
        <w:t>2017</w:t>
      </w:r>
      <w:r w:rsidRPr="00D42BFB">
        <w:rPr>
          <w:rFonts w:eastAsia="標楷體" w:hint="eastAsia"/>
          <w:sz w:val="26"/>
          <w:szCs w:val="26"/>
        </w:rPr>
        <w:t>年臺灣</w:t>
      </w:r>
      <w:r w:rsidRPr="00D42BFB">
        <w:rPr>
          <w:rFonts w:eastAsia="標楷體" w:hint="eastAsia"/>
          <w:sz w:val="26"/>
          <w:szCs w:val="26"/>
        </w:rPr>
        <w:t>IC</w:t>
      </w:r>
      <w:r w:rsidRPr="00D42BFB">
        <w:rPr>
          <w:rFonts w:eastAsia="標楷體" w:hint="eastAsia"/>
          <w:sz w:val="26"/>
          <w:szCs w:val="26"/>
        </w:rPr>
        <w:t>設計產業產值將較</w:t>
      </w:r>
      <w:r w:rsidRPr="00D42BFB">
        <w:rPr>
          <w:rFonts w:eastAsia="標楷體" w:hint="eastAsia"/>
          <w:sz w:val="26"/>
          <w:szCs w:val="26"/>
        </w:rPr>
        <w:t>2016</w:t>
      </w:r>
      <w:r w:rsidRPr="00D42BFB">
        <w:rPr>
          <w:rFonts w:eastAsia="標楷體" w:hint="eastAsia"/>
          <w:sz w:val="26"/>
          <w:szCs w:val="26"/>
        </w:rPr>
        <w:t>年成長近</w:t>
      </w:r>
      <w:r w:rsidRPr="00D42BFB">
        <w:rPr>
          <w:rFonts w:eastAsia="標楷體" w:hint="eastAsia"/>
          <w:sz w:val="26"/>
          <w:szCs w:val="26"/>
        </w:rPr>
        <w:t>7%</w:t>
      </w:r>
      <w:r w:rsidRPr="00D42BFB">
        <w:rPr>
          <w:rFonts w:eastAsia="標楷體" w:hint="eastAsia"/>
          <w:sz w:val="26"/>
          <w:szCs w:val="26"/>
        </w:rPr>
        <w:t>，達</w:t>
      </w:r>
      <w:r w:rsidRPr="00D42BFB">
        <w:rPr>
          <w:rFonts w:eastAsia="標楷體" w:hint="eastAsia"/>
          <w:sz w:val="26"/>
          <w:szCs w:val="26"/>
        </w:rPr>
        <w:t>6,148</w:t>
      </w:r>
      <w:r w:rsidRPr="00D42BFB">
        <w:rPr>
          <w:rFonts w:eastAsia="標楷體" w:hint="eastAsia"/>
          <w:sz w:val="26"/>
          <w:szCs w:val="26"/>
        </w:rPr>
        <w:t>億元新台幣。</w:t>
      </w:r>
    </w:p>
    <w:p w:rsidR="00A02A2E" w:rsidRDefault="002D619E" w:rsidP="003F22D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IC</w:t>
      </w:r>
      <w:r>
        <w:rPr>
          <w:rFonts w:eastAsia="標楷體" w:hint="eastAsia"/>
          <w:sz w:val="26"/>
          <w:szCs w:val="26"/>
        </w:rPr>
        <w:t>製造業</w:t>
      </w:r>
      <w:r w:rsidR="00A02A2E" w:rsidRPr="00A02A2E">
        <w:rPr>
          <w:rFonts w:eastAsia="標楷體" w:hint="eastAsia"/>
          <w:sz w:val="26"/>
          <w:szCs w:val="26"/>
        </w:rPr>
        <w:t>在</w:t>
      </w:r>
      <w:r w:rsidR="00A02A2E" w:rsidRPr="00A02A2E">
        <w:rPr>
          <w:rFonts w:eastAsia="標楷體" w:hint="eastAsia"/>
          <w:sz w:val="26"/>
          <w:szCs w:val="26"/>
        </w:rPr>
        <w:t>10</w:t>
      </w:r>
      <w:r w:rsidR="00A02A2E" w:rsidRPr="00A02A2E">
        <w:rPr>
          <w:rFonts w:eastAsia="標楷體" w:hint="eastAsia"/>
          <w:sz w:val="26"/>
          <w:szCs w:val="26"/>
        </w:rPr>
        <w:t>奈米的製造技術量產下，</w:t>
      </w:r>
      <w:r>
        <w:rPr>
          <w:rFonts w:eastAsia="標楷體" w:hint="eastAsia"/>
          <w:sz w:val="26"/>
          <w:szCs w:val="26"/>
        </w:rPr>
        <w:t>2017</w:t>
      </w:r>
      <w:r>
        <w:rPr>
          <w:rFonts w:eastAsia="標楷體" w:hint="eastAsia"/>
          <w:sz w:val="26"/>
          <w:szCs w:val="26"/>
        </w:rPr>
        <w:t>年</w:t>
      </w:r>
      <w:r w:rsidR="00A02A2E" w:rsidRPr="00A02A2E">
        <w:rPr>
          <w:rFonts w:eastAsia="標楷體" w:hint="eastAsia"/>
          <w:sz w:val="26"/>
          <w:szCs w:val="26"/>
        </w:rPr>
        <w:t>數位</w:t>
      </w:r>
      <w:r w:rsidR="00A02A2E" w:rsidRPr="00A02A2E">
        <w:rPr>
          <w:rFonts w:eastAsia="標楷體" w:hint="eastAsia"/>
          <w:sz w:val="26"/>
          <w:szCs w:val="26"/>
        </w:rPr>
        <w:t>IC</w:t>
      </w:r>
      <w:r w:rsidR="00A02A2E" w:rsidRPr="00A02A2E">
        <w:rPr>
          <w:rFonts w:eastAsia="標楷體" w:hint="eastAsia"/>
          <w:sz w:val="26"/>
          <w:szCs w:val="26"/>
        </w:rPr>
        <w:t>的製造產值可望持續推升，但需求成長趨緩下，智慧型手機售價漲幅有限，壓縮晶片商的獲利空間。</w:t>
      </w:r>
      <w:r w:rsidR="00A02A2E">
        <w:rPr>
          <w:rFonts w:eastAsia="標楷體" w:hint="eastAsia"/>
          <w:sz w:val="26"/>
          <w:szCs w:val="26"/>
        </w:rPr>
        <w:t>然而，</w:t>
      </w:r>
      <w:r w:rsidR="00A02A2E" w:rsidRPr="00A02A2E">
        <w:rPr>
          <w:rFonts w:eastAsia="標楷體" w:hint="eastAsia"/>
          <w:sz w:val="26"/>
          <w:szCs w:val="26"/>
        </w:rPr>
        <w:t>工業</w:t>
      </w:r>
      <w:r w:rsidR="00A02A2E" w:rsidRPr="00A02A2E">
        <w:rPr>
          <w:rFonts w:eastAsia="標楷體" w:hint="eastAsia"/>
          <w:sz w:val="26"/>
          <w:szCs w:val="26"/>
        </w:rPr>
        <w:t>4.0</w:t>
      </w:r>
      <w:r w:rsidR="00A02A2E" w:rsidRPr="00A02A2E">
        <w:rPr>
          <w:rFonts w:eastAsia="標楷體" w:hint="eastAsia"/>
          <w:sz w:val="26"/>
          <w:szCs w:val="26"/>
        </w:rPr>
        <w:t>帶動智慧工廠與智慧製造議題，智</w:t>
      </w:r>
      <w:r w:rsidR="00A02A2E" w:rsidRPr="00A02A2E">
        <w:rPr>
          <w:rFonts w:eastAsia="標楷體" w:hint="eastAsia"/>
          <w:sz w:val="26"/>
          <w:szCs w:val="26"/>
        </w:rPr>
        <w:lastRenderedPageBreak/>
        <w:t>慧化製造將有大量的運算及控制需求，屆時相關半導體產品預期需求將大幅提升。國內半導體發展一向位居全球產業領先地位，工業</w:t>
      </w:r>
      <w:r w:rsidR="00A02A2E" w:rsidRPr="00A02A2E">
        <w:rPr>
          <w:rFonts w:eastAsia="標楷體" w:hint="eastAsia"/>
          <w:sz w:val="26"/>
          <w:szCs w:val="26"/>
        </w:rPr>
        <w:t>4.0</w:t>
      </w:r>
      <w:r w:rsidR="00A02A2E" w:rsidRPr="00A02A2E">
        <w:rPr>
          <w:rFonts w:eastAsia="標楷體" w:hint="eastAsia"/>
          <w:sz w:val="26"/>
          <w:szCs w:val="26"/>
        </w:rPr>
        <w:t>不僅為半導體業帶來相關設備產品商機，也是半導體製造廠商未來發展的重點之一，國內半導體產業如何藉由智慧化製造及自動化設備升級迎接晶圓製程複雜化所帶來的挑戰，及提升生產效率及產品良率、建立自身競爭優勢，為半導體廠商重要課題之</w:t>
      </w:r>
      <w:proofErr w:type="gramStart"/>
      <w:r w:rsidR="00A02A2E" w:rsidRPr="00A02A2E">
        <w:rPr>
          <w:rFonts w:eastAsia="標楷體" w:hint="eastAsia"/>
          <w:sz w:val="26"/>
          <w:szCs w:val="26"/>
        </w:rPr>
        <w:t>一</w:t>
      </w:r>
      <w:proofErr w:type="gramEnd"/>
      <w:r w:rsidR="00A02A2E" w:rsidRPr="00A02A2E">
        <w:rPr>
          <w:rFonts w:eastAsia="標楷體" w:hint="eastAsia"/>
          <w:sz w:val="26"/>
          <w:szCs w:val="26"/>
        </w:rPr>
        <w:t>。</w:t>
      </w:r>
    </w:p>
    <w:p w:rsidR="003E12FA" w:rsidRPr="00610BD9" w:rsidRDefault="002D619E" w:rsidP="003F22D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IC</w:t>
      </w:r>
      <w:r w:rsidR="003E12FA" w:rsidRPr="00610BD9">
        <w:rPr>
          <w:rFonts w:eastAsia="標楷體" w:hint="eastAsia"/>
          <w:sz w:val="26"/>
          <w:szCs w:val="26"/>
        </w:rPr>
        <w:t>封測產業，</w:t>
      </w:r>
      <w:r w:rsidR="003E12FA" w:rsidRPr="00610BD9">
        <w:rPr>
          <w:rFonts w:eastAsia="標楷體"/>
          <w:sz w:val="26"/>
          <w:szCs w:val="26"/>
        </w:rPr>
        <w:t>2017</w:t>
      </w:r>
      <w:r w:rsidR="003E12FA" w:rsidRPr="00610BD9">
        <w:rPr>
          <w:rFonts w:eastAsia="標楷體" w:hint="eastAsia"/>
          <w:sz w:val="26"/>
          <w:szCs w:val="26"/>
        </w:rPr>
        <w:t>年受惠全球晶圓出貨仍維持穩定增長，再加上封測產能擴充有限，</w:t>
      </w:r>
      <w:r w:rsidR="003E12FA" w:rsidRPr="00610BD9">
        <w:rPr>
          <w:rFonts w:eastAsia="標楷體"/>
          <w:sz w:val="26"/>
          <w:szCs w:val="26"/>
        </w:rPr>
        <w:t>2017</w:t>
      </w:r>
      <w:r w:rsidR="003E12FA" w:rsidRPr="00610BD9">
        <w:rPr>
          <w:rFonts w:eastAsia="標楷體" w:hint="eastAsia"/>
          <w:sz w:val="26"/>
          <w:szCs w:val="26"/>
        </w:rPr>
        <w:t>年封測產業產能利用率恢復成長，產業秩序穩定有助於價格競爭壓力減緩，帶動</w:t>
      </w:r>
      <w:r w:rsidR="003E12FA" w:rsidRPr="00610BD9">
        <w:rPr>
          <w:rFonts w:eastAsia="標楷體"/>
          <w:sz w:val="26"/>
          <w:szCs w:val="26"/>
        </w:rPr>
        <w:t>2017</w:t>
      </w:r>
      <w:r w:rsidR="003E12FA" w:rsidRPr="00610BD9">
        <w:rPr>
          <w:rFonts w:eastAsia="標楷體" w:hint="eastAsia"/>
          <w:sz w:val="26"/>
          <w:szCs w:val="26"/>
        </w:rPr>
        <w:t>年全球封測產業營運恢復成長，根據</w:t>
      </w:r>
      <w:r w:rsidR="003E12FA" w:rsidRPr="00610BD9">
        <w:rPr>
          <w:rFonts w:eastAsia="標楷體"/>
          <w:sz w:val="26"/>
          <w:szCs w:val="26"/>
        </w:rPr>
        <w:t>Gartner</w:t>
      </w:r>
      <w:r w:rsidR="003E12FA" w:rsidRPr="00610BD9">
        <w:rPr>
          <w:rFonts w:eastAsia="標楷體" w:hint="eastAsia"/>
          <w:sz w:val="26"/>
          <w:szCs w:val="26"/>
        </w:rPr>
        <w:t>預估，</w:t>
      </w:r>
      <w:r w:rsidR="003E12FA" w:rsidRPr="00610BD9">
        <w:rPr>
          <w:rFonts w:eastAsia="標楷體"/>
          <w:sz w:val="26"/>
          <w:szCs w:val="26"/>
        </w:rPr>
        <w:t>2017</w:t>
      </w:r>
      <w:r w:rsidR="003E12FA" w:rsidRPr="00610BD9">
        <w:rPr>
          <w:rFonts w:eastAsia="標楷體" w:hint="eastAsia"/>
          <w:sz w:val="26"/>
          <w:szCs w:val="26"/>
        </w:rPr>
        <w:t>年全球封測產業產值將成長至</w:t>
      </w:r>
      <w:r w:rsidR="003E12FA" w:rsidRPr="00610BD9">
        <w:rPr>
          <w:rFonts w:eastAsia="標楷體"/>
          <w:sz w:val="26"/>
          <w:szCs w:val="26"/>
        </w:rPr>
        <w:t>501</w:t>
      </w:r>
      <w:r w:rsidR="003E12FA" w:rsidRPr="00610BD9">
        <w:rPr>
          <w:rFonts w:eastAsia="標楷體" w:hint="eastAsia"/>
          <w:sz w:val="26"/>
          <w:szCs w:val="26"/>
        </w:rPr>
        <w:t>億美元，年增</w:t>
      </w:r>
      <w:r w:rsidR="003E12FA" w:rsidRPr="00610BD9">
        <w:rPr>
          <w:rFonts w:eastAsia="標楷體"/>
          <w:sz w:val="26"/>
          <w:szCs w:val="26"/>
        </w:rPr>
        <w:t>5.0</w:t>
      </w:r>
      <w:r w:rsidR="003E12FA" w:rsidRPr="00610BD9">
        <w:rPr>
          <w:rFonts w:eastAsia="標楷體" w:hint="eastAsia"/>
          <w:sz w:val="26"/>
          <w:szCs w:val="26"/>
        </w:rPr>
        <w:t>％，而</w:t>
      </w:r>
      <w:r w:rsidR="003E12FA" w:rsidRPr="00610BD9">
        <w:rPr>
          <w:rFonts w:eastAsia="標楷體"/>
          <w:sz w:val="26"/>
          <w:szCs w:val="26"/>
        </w:rPr>
        <w:t xml:space="preserve">SATS </w:t>
      </w:r>
      <w:r w:rsidR="003E12FA" w:rsidRPr="00610BD9">
        <w:rPr>
          <w:rFonts w:eastAsia="標楷體" w:hint="eastAsia"/>
          <w:sz w:val="26"/>
          <w:szCs w:val="26"/>
        </w:rPr>
        <w:t>成長動能又優於</w:t>
      </w:r>
      <w:r w:rsidR="003E12FA" w:rsidRPr="00610BD9">
        <w:rPr>
          <w:rFonts w:eastAsia="標楷體"/>
          <w:sz w:val="26"/>
          <w:szCs w:val="26"/>
        </w:rPr>
        <w:t>IDM</w:t>
      </w:r>
      <w:r w:rsidR="003E12FA" w:rsidRPr="00610BD9">
        <w:rPr>
          <w:rFonts w:eastAsia="標楷體" w:hint="eastAsia"/>
          <w:sz w:val="26"/>
          <w:szCs w:val="26"/>
        </w:rPr>
        <w:t>，主因為</w:t>
      </w:r>
      <w:r w:rsidR="003E12FA" w:rsidRPr="00610BD9">
        <w:rPr>
          <w:rFonts w:eastAsia="標楷體"/>
          <w:sz w:val="26"/>
          <w:szCs w:val="26"/>
        </w:rPr>
        <w:t xml:space="preserve">IDM </w:t>
      </w:r>
      <w:proofErr w:type="gramStart"/>
      <w:r w:rsidR="003E12FA" w:rsidRPr="00610BD9">
        <w:rPr>
          <w:rFonts w:eastAsia="標楷體" w:hint="eastAsia"/>
          <w:sz w:val="26"/>
          <w:szCs w:val="26"/>
        </w:rPr>
        <w:t>委外封測</w:t>
      </w:r>
      <w:proofErr w:type="gramEnd"/>
      <w:r w:rsidR="003E12FA" w:rsidRPr="00610BD9">
        <w:rPr>
          <w:rFonts w:eastAsia="標楷體" w:hint="eastAsia"/>
          <w:sz w:val="26"/>
          <w:szCs w:val="26"/>
        </w:rPr>
        <w:t>比重由</w:t>
      </w:r>
      <w:r w:rsidR="003E12FA" w:rsidRPr="00610BD9">
        <w:rPr>
          <w:rFonts w:eastAsia="標楷體"/>
          <w:sz w:val="26"/>
          <w:szCs w:val="26"/>
        </w:rPr>
        <w:t>2016</w:t>
      </w:r>
      <w:r w:rsidR="003E12FA" w:rsidRPr="00610BD9">
        <w:rPr>
          <w:rFonts w:eastAsia="標楷體" w:hint="eastAsia"/>
          <w:sz w:val="26"/>
          <w:szCs w:val="26"/>
        </w:rPr>
        <w:t>年的</w:t>
      </w:r>
      <w:r w:rsidR="003E12FA" w:rsidRPr="00610BD9">
        <w:rPr>
          <w:rFonts w:eastAsia="標楷體"/>
          <w:sz w:val="26"/>
          <w:szCs w:val="26"/>
        </w:rPr>
        <w:t>51.9</w:t>
      </w:r>
      <w:r w:rsidR="003E12FA" w:rsidRPr="00610BD9">
        <w:rPr>
          <w:rFonts w:eastAsia="標楷體" w:hint="eastAsia"/>
          <w:sz w:val="26"/>
          <w:szCs w:val="26"/>
        </w:rPr>
        <w:t>％提升至</w:t>
      </w:r>
      <w:r w:rsidR="003E12FA" w:rsidRPr="00610BD9">
        <w:rPr>
          <w:rFonts w:eastAsia="標楷體"/>
          <w:sz w:val="26"/>
          <w:szCs w:val="26"/>
        </w:rPr>
        <w:t>2017</w:t>
      </w:r>
      <w:r w:rsidR="003E12FA" w:rsidRPr="00610BD9">
        <w:rPr>
          <w:rFonts w:eastAsia="標楷體" w:hint="eastAsia"/>
          <w:sz w:val="26"/>
          <w:szCs w:val="26"/>
        </w:rPr>
        <w:t>年的</w:t>
      </w:r>
      <w:r w:rsidR="003E12FA" w:rsidRPr="00610BD9">
        <w:rPr>
          <w:rFonts w:eastAsia="標楷體"/>
          <w:sz w:val="26"/>
          <w:szCs w:val="26"/>
        </w:rPr>
        <w:t>52.5</w:t>
      </w:r>
      <w:r w:rsidR="003E12FA" w:rsidRPr="00610BD9">
        <w:rPr>
          <w:rFonts w:eastAsia="標楷體" w:hint="eastAsia"/>
          <w:sz w:val="26"/>
          <w:szCs w:val="26"/>
        </w:rPr>
        <w:t>％。</w:t>
      </w:r>
    </w:p>
    <w:p w:rsidR="00DE7202" w:rsidRDefault="003E12FA" w:rsidP="00697B5D">
      <w:pPr>
        <w:spacing w:beforeLines="50" w:before="120" w:afterLines="50" w:after="120" w:line="360" w:lineRule="auto"/>
        <w:ind w:leftChars="200" w:left="480" w:firstLineChars="200" w:firstLine="520"/>
        <w:jc w:val="both"/>
        <w:rPr>
          <w:rFonts w:eastAsia="標楷體" w:hint="eastAsia"/>
          <w:sz w:val="26"/>
          <w:szCs w:val="26"/>
        </w:rPr>
      </w:pPr>
      <w:r w:rsidRPr="00610BD9">
        <w:rPr>
          <w:rFonts w:eastAsia="標楷體" w:hint="eastAsia"/>
          <w:sz w:val="26"/>
          <w:szCs w:val="26"/>
        </w:rPr>
        <w:t>全球</w:t>
      </w:r>
      <w:r w:rsidRPr="00610BD9">
        <w:rPr>
          <w:rFonts w:eastAsia="標楷體"/>
          <w:sz w:val="26"/>
          <w:szCs w:val="26"/>
        </w:rPr>
        <w:t>80</w:t>
      </w:r>
      <w:r w:rsidRPr="00610BD9">
        <w:rPr>
          <w:rFonts w:eastAsia="標楷體" w:hint="eastAsia"/>
          <w:sz w:val="26"/>
          <w:szCs w:val="26"/>
        </w:rPr>
        <w:t>％晶圓產能集中在亞洲地區，其中又以台灣及中國分居前二名，分別占全球產能</w:t>
      </w:r>
      <w:r w:rsidRPr="00610BD9">
        <w:rPr>
          <w:rFonts w:eastAsia="標楷體"/>
          <w:sz w:val="26"/>
          <w:szCs w:val="26"/>
        </w:rPr>
        <w:t>50.2</w:t>
      </w:r>
      <w:r w:rsidRPr="00610BD9">
        <w:rPr>
          <w:rFonts w:eastAsia="標楷體" w:hint="eastAsia"/>
          <w:sz w:val="26"/>
          <w:szCs w:val="26"/>
        </w:rPr>
        <w:t>％、</w:t>
      </w:r>
      <w:r w:rsidRPr="00610BD9">
        <w:rPr>
          <w:rFonts w:eastAsia="標楷體"/>
          <w:sz w:val="26"/>
          <w:szCs w:val="26"/>
        </w:rPr>
        <w:t>13.9</w:t>
      </w:r>
      <w:r w:rsidRPr="00610BD9">
        <w:rPr>
          <w:rFonts w:eastAsia="標楷體" w:hint="eastAsia"/>
          <w:sz w:val="26"/>
          <w:szCs w:val="26"/>
        </w:rPr>
        <w:t>％，根據</w:t>
      </w:r>
      <w:r w:rsidRPr="00610BD9">
        <w:rPr>
          <w:rFonts w:eastAsia="標楷體"/>
          <w:sz w:val="26"/>
          <w:szCs w:val="26"/>
        </w:rPr>
        <w:t xml:space="preserve">Gartner </w:t>
      </w:r>
      <w:r w:rsidRPr="00610BD9">
        <w:rPr>
          <w:rFonts w:eastAsia="標楷體" w:hint="eastAsia"/>
          <w:sz w:val="26"/>
          <w:szCs w:val="26"/>
        </w:rPr>
        <w:t>統計，自</w:t>
      </w:r>
      <w:r w:rsidRPr="00610BD9">
        <w:rPr>
          <w:rFonts w:eastAsia="標楷體"/>
          <w:sz w:val="26"/>
          <w:szCs w:val="26"/>
        </w:rPr>
        <w:t>2014</w:t>
      </w:r>
      <w:r w:rsidRPr="00610BD9">
        <w:rPr>
          <w:rFonts w:eastAsia="標楷體" w:hint="eastAsia"/>
          <w:sz w:val="26"/>
          <w:szCs w:val="26"/>
        </w:rPr>
        <w:t>第一季以來全球</w:t>
      </w:r>
      <w:r w:rsidRPr="00610BD9">
        <w:rPr>
          <w:rFonts w:eastAsia="標楷體"/>
          <w:sz w:val="26"/>
          <w:szCs w:val="26"/>
        </w:rPr>
        <w:t xml:space="preserve">65 </w:t>
      </w:r>
      <w:r w:rsidRPr="00610BD9">
        <w:rPr>
          <w:rFonts w:eastAsia="標楷體" w:hint="eastAsia"/>
          <w:sz w:val="26"/>
          <w:szCs w:val="26"/>
        </w:rPr>
        <w:t>奈米以下製程的產能利用率皆達到</w:t>
      </w:r>
      <w:r w:rsidRPr="00610BD9">
        <w:rPr>
          <w:rFonts w:eastAsia="標楷體"/>
          <w:sz w:val="26"/>
          <w:szCs w:val="26"/>
        </w:rPr>
        <w:t>92</w:t>
      </w:r>
      <w:r w:rsidRPr="00610BD9">
        <w:rPr>
          <w:rFonts w:eastAsia="標楷體" w:hint="eastAsia"/>
          <w:sz w:val="26"/>
          <w:szCs w:val="26"/>
        </w:rPr>
        <w:t>％以上，未來隨著行動裝置持續納入感測元件及高階晶片製程演進，皆有助於晶圓需求持續提升，中國及台灣未來</w:t>
      </w:r>
      <w:r w:rsidRPr="00610BD9">
        <w:rPr>
          <w:rFonts w:eastAsia="標楷體"/>
          <w:sz w:val="26"/>
          <w:szCs w:val="26"/>
        </w:rPr>
        <w:t>2</w:t>
      </w:r>
      <w:r w:rsidRPr="00610BD9">
        <w:rPr>
          <w:rFonts w:eastAsia="標楷體" w:hint="eastAsia"/>
          <w:sz w:val="26"/>
          <w:szCs w:val="26"/>
        </w:rPr>
        <w:t>～</w:t>
      </w:r>
      <w:r w:rsidRPr="00610BD9">
        <w:rPr>
          <w:rFonts w:eastAsia="標楷體"/>
          <w:sz w:val="26"/>
          <w:szCs w:val="26"/>
        </w:rPr>
        <w:t xml:space="preserve">3 </w:t>
      </w:r>
      <w:r w:rsidRPr="00610BD9">
        <w:rPr>
          <w:rFonts w:eastAsia="標楷體" w:hint="eastAsia"/>
          <w:sz w:val="26"/>
          <w:szCs w:val="26"/>
        </w:rPr>
        <w:t>年全球晶圓產能仍將穩定增長，根據</w:t>
      </w:r>
      <w:r w:rsidRPr="00610BD9">
        <w:rPr>
          <w:rFonts w:eastAsia="標楷體"/>
          <w:sz w:val="26"/>
          <w:szCs w:val="26"/>
        </w:rPr>
        <w:t xml:space="preserve">Gartner </w:t>
      </w:r>
      <w:r w:rsidRPr="00610BD9">
        <w:rPr>
          <w:rFonts w:eastAsia="標楷體" w:hint="eastAsia"/>
          <w:sz w:val="26"/>
          <w:szCs w:val="26"/>
        </w:rPr>
        <w:t>預估，</w:t>
      </w:r>
      <w:r w:rsidRPr="00610BD9">
        <w:rPr>
          <w:rFonts w:eastAsia="標楷體"/>
          <w:sz w:val="26"/>
          <w:szCs w:val="26"/>
        </w:rPr>
        <w:t>2017</w:t>
      </w:r>
      <w:r w:rsidRPr="00610BD9">
        <w:rPr>
          <w:rFonts w:eastAsia="標楷體" w:hint="eastAsia"/>
          <w:sz w:val="26"/>
          <w:szCs w:val="26"/>
        </w:rPr>
        <w:t>年中國晶圓產能年複合成長率將再成長</w:t>
      </w:r>
      <w:r w:rsidRPr="00610BD9">
        <w:rPr>
          <w:rFonts w:eastAsia="標楷體"/>
          <w:sz w:val="26"/>
          <w:szCs w:val="26"/>
        </w:rPr>
        <w:t>10</w:t>
      </w:r>
      <w:r w:rsidRPr="00610BD9">
        <w:rPr>
          <w:rFonts w:eastAsia="標楷體" w:hint="eastAsia"/>
          <w:sz w:val="26"/>
          <w:szCs w:val="26"/>
        </w:rPr>
        <w:t>％；台灣年複合成長率為</w:t>
      </w:r>
      <w:r w:rsidRPr="00610BD9">
        <w:rPr>
          <w:rFonts w:eastAsia="標楷體"/>
          <w:sz w:val="26"/>
          <w:szCs w:val="26"/>
        </w:rPr>
        <w:t>6</w:t>
      </w:r>
      <w:r w:rsidRPr="00610BD9">
        <w:rPr>
          <w:rFonts w:eastAsia="標楷體" w:hint="eastAsia"/>
          <w:sz w:val="26"/>
          <w:szCs w:val="26"/>
        </w:rPr>
        <w:t>％。</w:t>
      </w:r>
    </w:p>
    <w:p w:rsidR="00C9728A" w:rsidRDefault="00C9728A" w:rsidP="00C9728A">
      <w:pPr>
        <w:spacing w:beforeLines="50" w:before="120" w:afterLines="50" w:after="120" w:line="360" w:lineRule="auto"/>
        <w:jc w:val="both"/>
        <w:rPr>
          <w:rFonts w:eastAsia="標楷體"/>
          <w:sz w:val="26"/>
          <w:szCs w:val="26"/>
        </w:rPr>
      </w:pPr>
      <w:r>
        <w:rPr>
          <w:rFonts w:eastAsia="標楷體"/>
          <w:sz w:val="26"/>
          <w:szCs w:val="26"/>
        </w:rPr>
        <w:br w:type="page"/>
      </w:r>
    </w:p>
    <w:p w:rsidR="00C9728A" w:rsidRDefault="00C9728A" w:rsidP="00C9728A">
      <w:pPr>
        <w:spacing w:beforeLines="50" w:before="120" w:afterLines="50" w:after="120" w:line="360" w:lineRule="auto"/>
        <w:jc w:val="both"/>
        <w:rPr>
          <w:rFonts w:eastAsia="標楷體"/>
          <w:sz w:val="26"/>
          <w:szCs w:val="26"/>
        </w:rPr>
      </w:pPr>
    </w:p>
    <w:p w:rsidR="00567251" w:rsidRPr="00EA272E" w:rsidRDefault="003E0141" w:rsidP="001719B7">
      <w:pPr>
        <w:autoSpaceDE w:val="0"/>
        <w:autoSpaceDN w:val="0"/>
        <w:adjustRightInd w:val="0"/>
        <w:spacing w:beforeLines="50" w:before="120" w:afterLines="50" w:after="120" w:line="360" w:lineRule="auto"/>
        <w:jc w:val="both"/>
        <w:rPr>
          <w:rFonts w:eastAsia="標楷體"/>
          <w:bCs/>
          <w:kern w:val="0"/>
          <w:sz w:val="26"/>
          <w:szCs w:val="26"/>
        </w:rPr>
        <w:sectPr w:rsidR="00567251" w:rsidRPr="00EA272E" w:rsidSect="000223C9">
          <w:headerReference w:type="even" r:id="rId22"/>
          <w:headerReference w:type="default" r:id="rId23"/>
          <w:headerReference w:type="first" r:id="rId24"/>
          <w:pgSz w:w="11906" w:h="16838" w:code="9"/>
          <w:pgMar w:top="2160" w:right="1440" w:bottom="1814" w:left="1440" w:header="851" w:footer="567" w:gutter="567"/>
          <w:cols w:space="425"/>
          <w:docGrid w:linePitch="360"/>
        </w:sectPr>
      </w:pPr>
      <w:r>
        <w:rPr>
          <w:rFonts w:eastAsia="標楷體"/>
          <w:bCs/>
          <w:kern w:val="0"/>
          <w:sz w:val="26"/>
          <w:szCs w:val="26"/>
        </w:rPr>
        <w:br w:type="page"/>
      </w:r>
    </w:p>
    <w:bookmarkStart w:id="32" w:name="_Toc253154509"/>
    <w:bookmarkStart w:id="33" w:name="_Toc253154577"/>
    <w:bookmarkStart w:id="34" w:name="_Toc272326008"/>
    <w:bookmarkStart w:id="35" w:name="_Toc272326636"/>
    <w:bookmarkStart w:id="36" w:name="_Toc272326815"/>
    <w:bookmarkStart w:id="37" w:name="_Toc275960648"/>
    <w:p w:rsidR="007821E9" w:rsidRPr="00EA272E" w:rsidRDefault="00EE4220" w:rsidP="007821E9">
      <w:pPr>
        <w:pStyle w:val="1"/>
        <w:numPr>
          <w:ilvl w:val="0"/>
          <w:numId w:val="0"/>
        </w:numPr>
        <w:spacing w:before="0" w:after="0" w:line="240" w:lineRule="auto"/>
        <w:jc w:val="right"/>
        <w:rPr>
          <w:rFonts w:ascii="Times New Roman" w:eastAsia="標楷體" w:hAnsi="Times New Roman"/>
          <w:sz w:val="56"/>
          <w:szCs w:val="56"/>
        </w:rPr>
      </w:pPr>
      <w:r>
        <w:rPr>
          <w:rFonts w:ascii="Times New Roman" w:eastAsia="標楷體" w:hAnsi="Times New Roman"/>
          <w:noProof/>
          <w:sz w:val="56"/>
          <w:szCs w:val="56"/>
        </w:rPr>
        <w:lastRenderedPageBreak/>
        <mc:AlternateContent>
          <mc:Choice Requires="wps">
            <w:drawing>
              <wp:anchor distT="0" distB="0" distL="114300" distR="114300" simplePos="0" relativeHeight="251654144" behindDoc="0" locked="0" layoutInCell="1" allowOverlap="1" wp14:anchorId="64D0AF26" wp14:editId="34DC3965">
                <wp:simplePos x="0" y="0"/>
                <wp:positionH relativeFrom="column">
                  <wp:posOffset>4665980</wp:posOffset>
                </wp:positionH>
                <wp:positionV relativeFrom="paragraph">
                  <wp:posOffset>0</wp:posOffset>
                </wp:positionV>
                <wp:extent cx="720090" cy="720090"/>
                <wp:effectExtent l="8255" t="9525" r="5080" b="13335"/>
                <wp:wrapNone/>
                <wp:docPr id="2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7B5D" w:rsidRPr="00105A31" w:rsidRDefault="00697B5D"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49" type="#_x0000_t202" style="position:absolute;left:0;text-align:left;margin-left:367.4pt;margin-top:0;width:56.7pt;height:5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">
                <v:textbox>
                  <w:txbxContent>
                    <w:p w:rsidR="00697B5D" w:rsidRPr="00105A31" w:rsidRDefault="00697B5D"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v:textbox>
              </v:shape>
            </w:pict>
          </mc:Fallback>
        </mc:AlternateContent>
      </w:r>
      <w:bookmarkEnd w:id="32"/>
      <w:bookmarkEnd w:id="33"/>
      <w:bookmarkEnd w:id="34"/>
      <w:bookmarkEnd w:id="35"/>
      <w:bookmarkEnd w:id="36"/>
      <w:bookmarkEnd w:id="37"/>
    </w:p>
    <w:p w:rsidR="007821E9" w:rsidRPr="00EA272E"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0E26E4" w:rsidRDefault="00567251" w:rsidP="002C3C01">
      <w:pPr>
        <w:pStyle w:val="1"/>
        <w:numPr>
          <w:ilvl w:val="0"/>
          <w:numId w:val="29"/>
        </w:numPr>
        <w:spacing w:before="100" w:beforeAutospacing="1" w:after="100" w:afterAutospacing="1" w:line="360" w:lineRule="auto"/>
        <w:ind w:rightChars="-19" w:right="-46"/>
        <w:jc w:val="center"/>
        <w:rPr>
          <w:rFonts w:ascii="Times New Roman" w:eastAsia="標楷體" w:hAnsi="Times New Roman"/>
          <w:sz w:val="44"/>
          <w:szCs w:val="46"/>
        </w:rPr>
      </w:pPr>
      <w:bookmarkStart w:id="38" w:name="_Toc359935469"/>
      <w:r w:rsidRPr="000E26E4">
        <w:rPr>
          <w:rFonts w:ascii="Times New Roman" w:eastAsia="標楷體" w:hAnsi="Times New Roman"/>
          <w:sz w:val="44"/>
          <w:szCs w:val="46"/>
        </w:rPr>
        <w:t>受控交易</w:t>
      </w:r>
      <w:r w:rsidR="0087751B" w:rsidRPr="000E26E4">
        <w:rPr>
          <w:rFonts w:ascii="Times New Roman" w:eastAsia="標楷體" w:hAnsi="Times New Roman" w:hint="eastAsia"/>
          <w:sz w:val="44"/>
          <w:szCs w:val="46"/>
        </w:rPr>
        <w:t>說明</w:t>
      </w:r>
      <w:bookmarkEnd w:id="38"/>
    </w:p>
    <w:p w:rsidR="00DE7202" w:rsidRDefault="00AA0DD0" w:rsidP="001719B7">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受控交易</w:t>
      </w:r>
      <w:r w:rsidR="0048600C" w:rsidRPr="00EA272E">
        <w:rPr>
          <w:rFonts w:ascii="Times New Roman" w:eastAsia="標楷體" w:hAnsi="Times New Roman" w:hint="eastAsia"/>
          <w:sz w:val="36"/>
          <w:szCs w:val="40"/>
        </w:rPr>
        <w:t>類型</w:t>
      </w:r>
    </w:p>
    <w:p w:rsidR="00DE7202" w:rsidRDefault="00567251"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依據移轉</w:t>
      </w:r>
      <w:r w:rsidRPr="00EA272E">
        <w:rPr>
          <w:rFonts w:eastAsia="標楷體"/>
          <w:bCs/>
          <w:iCs/>
          <w:sz w:val="26"/>
          <w:szCs w:val="26"/>
        </w:rPr>
        <w:t>訂價</w:t>
      </w:r>
      <w:r w:rsidRPr="00EA272E">
        <w:rPr>
          <w:rFonts w:eastAsia="標楷體"/>
          <w:sz w:val="26"/>
          <w:szCs w:val="26"/>
        </w:rPr>
        <w:t>查核準則第</w:t>
      </w:r>
      <w:r w:rsidRPr="00EA272E">
        <w:rPr>
          <w:rFonts w:eastAsia="標楷體"/>
          <w:sz w:val="26"/>
          <w:szCs w:val="26"/>
        </w:rPr>
        <w:t>5</w:t>
      </w:r>
      <w:r w:rsidRPr="00EA272E">
        <w:rPr>
          <w:rFonts w:eastAsia="標楷體"/>
          <w:sz w:val="26"/>
          <w:szCs w:val="26"/>
        </w:rPr>
        <w:t>條，適用本準則之交易類型如下：</w:t>
      </w:r>
    </w:p>
    <w:p w:rsidR="00DE7202" w:rsidRDefault="00D92058" w:rsidP="001719B7">
      <w:pPr>
        <w:spacing w:beforeLines="50" w:before="120" w:afterLines="50" w:after="120" w:line="360" w:lineRule="auto"/>
        <w:jc w:val="both"/>
        <w:rPr>
          <w:rFonts w:eastAsia="標楷體"/>
          <w:sz w:val="26"/>
          <w:szCs w:val="26"/>
        </w:rPr>
      </w:pPr>
      <w:r>
        <w:rPr>
          <w:rFonts w:eastAsia="標楷體" w:hint="eastAsia"/>
          <w:sz w:val="26"/>
          <w:szCs w:val="26"/>
        </w:rPr>
        <w:t>『</w:t>
      </w:r>
      <w:r w:rsidR="00567251" w:rsidRPr="00EA272E">
        <w:rPr>
          <w:rFonts w:eastAsia="標楷體"/>
          <w:sz w:val="26"/>
          <w:szCs w:val="26"/>
        </w:rPr>
        <w:t>一、有形資產之移轉，包括買賣、交換、贈與或其他安排。</w:t>
      </w:r>
    </w:p>
    <w:p w:rsidR="00DE7202" w:rsidRDefault="00567251" w:rsidP="001719B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二、有形資產之使用，包括租賃、設定權利、提供他人持有、使用或占有，或其他安排。</w:t>
      </w:r>
    </w:p>
    <w:p w:rsidR="00DE7202" w:rsidRDefault="00567251" w:rsidP="001719B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三、無形資產之移轉，包括買賣、交換、贈與或其他安排。</w:t>
      </w:r>
    </w:p>
    <w:p w:rsidR="00DE7202" w:rsidRDefault="00567251" w:rsidP="001719B7">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四、無形資產之使用，包括授權、再授權、提供他人使用或其他安排。</w:t>
      </w:r>
    </w:p>
    <w:p w:rsidR="00DE7202" w:rsidRDefault="00567251" w:rsidP="001719B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五、服務之提供，包括行銷、管理、行政、技術、人事、研究與發展、資訊處理、法律、會計或其他服務。</w:t>
      </w:r>
    </w:p>
    <w:p w:rsidR="00DE7202" w:rsidRDefault="00567251" w:rsidP="001719B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六、資金之使用，包括資金借貸、預付款、暫付款、擔保、延期收款或其他安排。</w:t>
      </w:r>
    </w:p>
    <w:p w:rsidR="00DE7202" w:rsidRDefault="00567251" w:rsidP="001719B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七、其他經財政部核定之交易類型。</w:t>
      </w:r>
      <w:r w:rsidR="00D92058">
        <w:rPr>
          <w:rFonts w:eastAsia="標楷體" w:hint="eastAsia"/>
          <w:sz w:val="26"/>
          <w:szCs w:val="26"/>
        </w:rPr>
        <w:t>』</w:t>
      </w:r>
    </w:p>
    <w:p w:rsidR="00DE7202" w:rsidRDefault="00DE7202" w:rsidP="001719B7">
      <w:pPr>
        <w:tabs>
          <w:tab w:val="left" w:pos="840"/>
        </w:tabs>
        <w:spacing w:beforeLines="50" w:before="120" w:afterLines="50" w:after="120" w:line="360" w:lineRule="auto"/>
        <w:ind w:leftChars="110" w:left="823" w:hangingChars="215" w:hanging="559"/>
        <w:jc w:val="both"/>
        <w:rPr>
          <w:rFonts w:eastAsia="標楷體"/>
          <w:sz w:val="26"/>
          <w:szCs w:val="26"/>
        </w:rPr>
      </w:pPr>
    </w:p>
    <w:p w:rsidR="00DE7202" w:rsidRDefault="00DE7202" w:rsidP="001719B7">
      <w:pPr>
        <w:tabs>
          <w:tab w:val="left" w:pos="840"/>
        </w:tabs>
        <w:spacing w:beforeLines="50" w:before="120" w:afterLines="50" w:after="120" w:line="360" w:lineRule="auto"/>
        <w:ind w:leftChars="110" w:left="823" w:hangingChars="215" w:hanging="559"/>
        <w:jc w:val="both"/>
        <w:rPr>
          <w:rFonts w:eastAsia="標楷體"/>
          <w:sz w:val="26"/>
          <w:szCs w:val="26"/>
        </w:rPr>
      </w:pPr>
    </w:p>
    <w:p w:rsidR="00DE7202" w:rsidRDefault="00DE7202" w:rsidP="001719B7">
      <w:pPr>
        <w:tabs>
          <w:tab w:val="left" w:pos="840"/>
        </w:tabs>
        <w:spacing w:beforeLines="50" w:before="120" w:afterLines="50" w:after="120" w:line="360" w:lineRule="auto"/>
        <w:ind w:leftChars="110" w:left="823" w:hangingChars="215" w:hanging="559"/>
        <w:jc w:val="both"/>
        <w:rPr>
          <w:rFonts w:eastAsia="標楷體"/>
          <w:sz w:val="26"/>
          <w:szCs w:val="26"/>
        </w:rPr>
      </w:pPr>
    </w:p>
    <w:p w:rsidR="00DE7202" w:rsidRDefault="0048600C" w:rsidP="001719B7">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受控交易</w:t>
      </w:r>
      <w:r w:rsidR="00AA0DD0" w:rsidRPr="00EA272E">
        <w:rPr>
          <w:rFonts w:ascii="Times New Roman" w:eastAsia="標楷體" w:hAnsi="Times New Roman" w:hint="eastAsia"/>
          <w:sz w:val="36"/>
          <w:szCs w:val="40"/>
        </w:rPr>
        <w:t>敍述</w:t>
      </w:r>
    </w:p>
    <w:p w:rsidR="00DE7202" w:rsidRDefault="00567251" w:rsidP="001719B7">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sidRPr="008B68A9">
        <w:rPr>
          <w:rFonts w:ascii="Times New Roman" w:eastAsia="標楷體" w:hAnsi="Times New Roman"/>
          <w:sz w:val="32"/>
        </w:rPr>
        <w:t>受控交易參與人</w:t>
      </w:r>
    </w:p>
    <w:tbl>
      <w:tblPr>
        <w:tblW w:w="4980" w:type="pct"/>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550"/>
        <w:gridCol w:w="1791"/>
        <w:gridCol w:w="1393"/>
        <w:gridCol w:w="1182"/>
        <w:gridCol w:w="2926"/>
        <w:gridCol w:w="798"/>
      </w:tblGrid>
      <w:tr w:rsidR="00833992" w:rsidRPr="00EA272E" w:rsidTr="006E6905">
        <w:tc>
          <w:tcPr>
            <w:tcW w:w="318" w:type="pct"/>
            <w:vMerge w:val="restart"/>
            <w:shd w:val="clear" w:color="auto" w:fill="4F81BD"/>
            <w:vAlign w:val="center"/>
          </w:tcPr>
          <w:p w:rsidR="00833992" w:rsidRPr="00EA272E" w:rsidRDefault="00833992" w:rsidP="00833992">
            <w:pPr>
              <w:spacing w:line="0" w:lineRule="atLeast"/>
              <w:ind w:right="-57"/>
              <w:jc w:val="center"/>
              <w:rPr>
                <w:rFonts w:eastAsia="標楷體"/>
                <w:b/>
                <w:bCs/>
                <w:color w:val="FFFFFF"/>
                <w:sz w:val="26"/>
              </w:rPr>
            </w:pPr>
            <w:r>
              <w:rPr>
                <w:rFonts w:eastAsia="標楷體" w:hint="eastAsia"/>
                <w:b/>
                <w:bCs/>
                <w:color w:val="FFFFFF"/>
                <w:sz w:val="26"/>
              </w:rPr>
              <w:t>編號</w:t>
            </w:r>
          </w:p>
        </w:tc>
        <w:tc>
          <w:tcPr>
            <w:tcW w:w="1036" w:type="pct"/>
            <w:vMerge w:val="restart"/>
            <w:shd w:val="clear" w:color="auto" w:fill="4F81BD"/>
            <w:vAlign w:val="center"/>
          </w:tcPr>
          <w:p w:rsidR="00833992" w:rsidRPr="00EA272E" w:rsidRDefault="00833992" w:rsidP="001E5881">
            <w:pPr>
              <w:spacing w:line="0" w:lineRule="atLeast"/>
              <w:ind w:right="-57"/>
              <w:jc w:val="center"/>
              <w:rPr>
                <w:rFonts w:eastAsia="標楷體"/>
                <w:b/>
                <w:bCs/>
                <w:color w:val="FFFFFF"/>
                <w:sz w:val="26"/>
              </w:rPr>
            </w:pPr>
            <w:r w:rsidRPr="00EA272E">
              <w:rPr>
                <w:rFonts w:eastAsia="標楷體"/>
                <w:b/>
                <w:bCs/>
                <w:color w:val="FFFFFF"/>
                <w:sz w:val="26"/>
              </w:rPr>
              <w:t>關係企業</w:t>
            </w:r>
            <w:r>
              <w:rPr>
                <w:rFonts w:eastAsia="標楷體" w:hint="eastAsia"/>
                <w:b/>
                <w:bCs/>
                <w:color w:val="FFFFFF"/>
                <w:sz w:val="26"/>
              </w:rPr>
              <w:t>/</w:t>
            </w:r>
            <w:r>
              <w:rPr>
                <w:rFonts w:eastAsia="標楷體" w:hint="eastAsia"/>
                <w:b/>
                <w:bCs/>
                <w:color w:val="FFFFFF"/>
                <w:sz w:val="26"/>
              </w:rPr>
              <w:t>人</w:t>
            </w:r>
          </w:p>
        </w:tc>
        <w:tc>
          <w:tcPr>
            <w:tcW w:w="806" w:type="pct"/>
            <w:vMerge w:val="restart"/>
            <w:shd w:val="clear" w:color="auto" w:fill="4F81BD"/>
            <w:vAlign w:val="center"/>
          </w:tcPr>
          <w:p w:rsidR="00833992" w:rsidRDefault="00833992" w:rsidP="001E5881">
            <w:pPr>
              <w:spacing w:line="0" w:lineRule="atLeast"/>
              <w:ind w:right="-57"/>
              <w:jc w:val="center"/>
              <w:rPr>
                <w:rFonts w:eastAsia="標楷體"/>
                <w:b/>
                <w:bCs/>
                <w:color w:val="FFFFFF"/>
                <w:sz w:val="26"/>
              </w:rPr>
            </w:pPr>
            <w:r w:rsidRPr="00EA272E">
              <w:rPr>
                <w:rFonts w:eastAsia="標楷體" w:hint="eastAsia"/>
                <w:b/>
                <w:bCs/>
                <w:color w:val="FFFFFF"/>
                <w:sz w:val="26"/>
              </w:rPr>
              <w:t>國籍及</w:t>
            </w:r>
          </w:p>
          <w:p w:rsidR="00833992" w:rsidRPr="00EA272E" w:rsidRDefault="00833992" w:rsidP="001E5881">
            <w:pPr>
              <w:spacing w:line="0" w:lineRule="atLeast"/>
              <w:ind w:right="-57"/>
              <w:jc w:val="center"/>
              <w:rPr>
                <w:rFonts w:eastAsia="標楷體"/>
                <w:b/>
                <w:bCs/>
                <w:color w:val="FFFFFF"/>
                <w:sz w:val="26"/>
              </w:rPr>
            </w:pPr>
            <w:r w:rsidRPr="00EA272E">
              <w:rPr>
                <w:rFonts w:eastAsia="標楷體" w:hint="eastAsia"/>
                <w:b/>
                <w:bCs/>
                <w:color w:val="FFFFFF"/>
                <w:sz w:val="26"/>
              </w:rPr>
              <w:t>所在地區</w:t>
            </w:r>
          </w:p>
        </w:tc>
        <w:tc>
          <w:tcPr>
            <w:tcW w:w="684" w:type="pct"/>
            <w:vMerge w:val="restart"/>
            <w:shd w:val="clear" w:color="auto" w:fill="4F81BD"/>
            <w:vAlign w:val="center"/>
          </w:tcPr>
          <w:p w:rsidR="00833992" w:rsidRPr="00EA272E" w:rsidRDefault="00833992" w:rsidP="001E5881">
            <w:pPr>
              <w:spacing w:line="0" w:lineRule="atLeast"/>
              <w:ind w:left="-288" w:right="-57" w:firstLineChars="69" w:firstLine="180"/>
              <w:jc w:val="center"/>
              <w:rPr>
                <w:rFonts w:eastAsia="標楷體"/>
                <w:b/>
                <w:bCs/>
                <w:color w:val="FFFFFF"/>
                <w:sz w:val="26"/>
              </w:rPr>
            </w:pPr>
            <w:r w:rsidRPr="00EA272E">
              <w:rPr>
                <w:rFonts w:eastAsia="標楷體" w:hint="eastAsia"/>
                <w:b/>
                <w:bCs/>
                <w:color w:val="FFFFFF"/>
                <w:sz w:val="26"/>
              </w:rPr>
              <w:t>簡稱</w:t>
            </w:r>
          </w:p>
        </w:tc>
        <w:tc>
          <w:tcPr>
            <w:tcW w:w="2155" w:type="pct"/>
            <w:gridSpan w:val="2"/>
            <w:shd w:val="clear" w:color="auto" w:fill="4F81BD"/>
          </w:tcPr>
          <w:p w:rsidR="00833992" w:rsidRPr="00EA272E" w:rsidRDefault="00833992" w:rsidP="001E5881">
            <w:pPr>
              <w:spacing w:line="0" w:lineRule="atLeast"/>
              <w:ind w:right="-57"/>
              <w:jc w:val="center"/>
              <w:rPr>
                <w:rFonts w:eastAsia="標楷體"/>
                <w:b/>
                <w:bCs/>
                <w:color w:val="FFFFFF"/>
                <w:sz w:val="26"/>
              </w:rPr>
            </w:pPr>
            <w:r w:rsidRPr="00EA272E">
              <w:rPr>
                <w:rFonts w:eastAsia="標楷體" w:hint="eastAsia"/>
                <w:b/>
                <w:bCs/>
                <w:color w:val="FFFFFF"/>
                <w:sz w:val="26"/>
              </w:rPr>
              <w:t>從屬與控制關係之認定</w:t>
            </w:r>
          </w:p>
        </w:tc>
      </w:tr>
      <w:tr w:rsidR="00833992" w:rsidRPr="00EA272E" w:rsidTr="006E6905">
        <w:tc>
          <w:tcPr>
            <w:tcW w:w="318" w:type="pct"/>
            <w:vMerge/>
            <w:vAlign w:val="center"/>
          </w:tcPr>
          <w:p w:rsidR="00833992" w:rsidRPr="00EA272E" w:rsidRDefault="00833992" w:rsidP="00833992">
            <w:pPr>
              <w:spacing w:line="0" w:lineRule="atLeast"/>
              <w:ind w:left="-288" w:right="128" w:firstLineChars="69" w:firstLine="180"/>
              <w:jc w:val="center"/>
              <w:rPr>
                <w:rFonts w:eastAsia="標楷體"/>
                <w:b/>
                <w:bCs/>
                <w:sz w:val="26"/>
              </w:rPr>
            </w:pPr>
          </w:p>
        </w:tc>
        <w:tc>
          <w:tcPr>
            <w:tcW w:w="1036" w:type="pct"/>
            <w:vMerge/>
          </w:tcPr>
          <w:p w:rsidR="00833992" w:rsidRPr="00EA272E" w:rsidRDefault="00833992" w:rsidP="001E5881">
            <w:pPr>
              <w:spacing w:line="0" w:lineRule="atLeast"/>
              <w:ind w:left="-288" w:right="128" w:firstLineChars="69" w:firstLine="180"/>
              <w:jc w:val="center"/>
              <w:rPr>
                <w:rFonts w:eastAsia="標楷體"/>
                <w:b/>
                <w:bCs/>
                <w:sz w:val="26"/>
              </w:rPr>
            </w:pPr>
          </w:p>
        </w:tc>
        <w:tc>
          <w:tcPr>
            <w:tcW w:w="806" w:type="pct"/>
            <w:vMerge/>
          </w:tcPr>
          <w:p w:rsidR="00833992" w:rsidRPr="00EA272E" w:rsidRDefault="00833992" w:rsidP="001E5881">
            <w:pPr>
              <w:spacing w:line="0" w:lineRule="atLeast"/>
              <w:ind w:left="-288" w:right="128" w:firstLineChars="69" w:firstLine="180"/>
              <w:jc w:val="center"/>
              <w:rPr>
                <w:rFonts w:eastAsia="標楷體"/>
                <w:b/>
                <w:sz w:val="26"/>
              </w:rPr>
            </w:pPr>
          </w:p>
        </w:tc>
        <w:tc>
          <w:tcPr>
            <w:tcW w:w="684" w:type="pct"/>
            <w:vMerge/>
          </w:tcPr>
          <w:p w:rsidR="00833992" w:rsidRPr="00EA272E" w:rsidRDefault="00833992" w:rsidP="001E5881">
            <w:pPr>
              <w:spacing w:line="0" w:lineRule="atLeast"/>
              <w:ind w:left="-288" w:right="128" w:firstLineChars="69" w:firstLine="180"/>
              <w:jc w:val="center"/>
              <w:rPr>
                <w:rFonts w:eastAsia="標楷體"/>
                <w:b/>
                <w:sz w:val="26"/>
              </w:rPr>
            </w:pPr>
          </w:p>
        </w:tc>
        <w:tc>
          <w:tcPr>
            <w:tcW w:w="1693" w:type="pct"/>
            <w:shd w:val="clear" w:color="auto" w:fill="4F81BD"/>
          </w:tcPr>
          <w:p w:rsidR="00833992" w:rsidRPr="00EA272E" w:rsidRDefault="00833992" w:rsidP="001E5881">
            <w:pPr>
              <w:spacing w:line="0" w:lineRule="atLeast"/>
              <w:ind w:right="-57"/>
              <w:jc w:val="center"/>
              <w:rPr>
                <w:rFonts w:eastAsia="標楷體"/>
                <w:bCs/>
                <w:color w:val="FFFFFF"/>
                <w:sz w:val="26"/>
              </w:rPr>
            </w:pPr>
            <w:r w:rsidRPr="00EA272E">
              <w:rPr>
                <w:rFonts w:eastAsia="標楷體" w:hint="eastAsia"/>
                <w:bCs/>
                <w:color w:val="FFFFFF"/>
                <w:sz w:val="26"/>
              </w:rPr>
              <w:t>關係說明</w:t>
            </w:r>
          </w:p>
        </w:tc>
        <w:tc>
          <w:tcPr>
            <w:tcW w:w="462" w:type="pct"/>
            <w:shd w:val="clear" w:color="auto" w:fill="4F81BD"/>
          </w:tcPr>
          <w:p w:rsidR="00833992" w:rsidRPr="00EA272E" w:rsidRDefault="00833992" w:rsidP="001E5881">
            <w:pPr>
              <w:spacing w:line="0" w:lineRule="atLeast"/>
              <w:ind w:right="-57"/>
              <w:jc w:val="center"/>
              <w:rPr>
                <w:rFonts w:eastAsia="標楷體"/>
                <w:bCs/>
                <w:color w:val="FFFFFF"/>
                <w:sz w:val="26"/>
              </w:rPr>
            </w:pPr>
            <w:r w:rsidRPr="00EA272E">
              <w:rPr>
                <w:rFonts w:eastAsia="標楷體"/>
                <w:bCs/>
                <w:color w:val="FFFFFF"/>
                <w:sz w:val="26"/>
              </w:rPr>
              <w:t>代號</w:t>
            </w:r>
            <w:r w:rsidRPr="00763B8E">
              <w:rPr>
                <w:rFonts w:eastAsia="標楷體"/>
                <w:bCs/>
                <w:color w:val="FFFFFF"/>
                <w:sz w:val="26"/>
                <w:vertAlign w:val="superscript"/>
              </w:rPr>
              <w:footnoteReference w:id="3"/>
            </w:r>
          </w:p>
        </w:tc>
      </w:tr>
      <w:tr w:rsidR="006E6905" w:rsidRPr="00EA272E" w:rsidTr="006E6905">
        <w:trPr>
          <w:trHeight w:val="900"/>
        </w:trPr>
        <w:tc>
          <w:tcPr>
            <w:tcW w:w="318" w:type="pct"/>
            <w:vAlign w:val="center"/>
          </w:tcPr>
          <w:p w:rsidR="006E6905" w:rsidRPr="00EA272E" w:rsidRDefault="006E6905" w:rsidP="00C60F47">
            <w:pPr>
              <w:spacing w:line="0" w:lineRule="atLeast"/>
              <w:jc w:val="center"/>
              <w:rPr>
                <w:rFonts w:eastAsia="標楷體"/>
                <w:b/>
                <w:bCs/>
                <w:sz w:val="26"/>
              </w:rPr>
            </w:pPr>
            <w:r>
              <w:rPr>
                <w:rFonts w:eastAsia="標楷體" w:hint="eastAsia"/>
                <w:b/>
                <w:bCs/>
                <w:sz w:val="26"/>
              </w:rPr>
              <w:t>1</w:t>
            </w:r>
          </w:p>
        </w:tc>
        <w:tc>
          <w:tcPr>
            <w:tcW w:w="1036" w:type="pct"/>
            <w:vAlign w:val="center"/>
          </w:tcPr>
          <w:p w:rsidR="006E6905" w:rsidRPr="00F22C8A" w:rsidRDefault="006E6905" w:rsidP="00643CC0">
            <w:pPr>
              <w:spacing w:line="0" w:lineRule="atLeast"/>
              <w:jc w:val="center"/>
              <w:rPr>
                <w:rFonts w:eastAsia="標楷體"/>
                <w:sz w:val="26"/>
                <w:szCs w:val="26"/>
              </w:rPr>
            </w:pPr>
            <w:r w:rsidRPr="00F22C8A">
              <w:rPr>
                <w:rFonts w:eastAsia="標楷體"/>
                <w:sz w:val="26"/>
                <w:szCs w:val="26"/>
              </w:rPr>
              <w:t>Lattice Semiconductor Int’l LLC</w:t>
            </w:r>
          </w:p>
        </w:tc>
        <w:tc>
          <w:tcPr>
            <w:tcW w:w="806" w:type="pct"/>
            <w:vAlign w:val="center"/>
          </w:tcPr>
          <w:p w:rsidR="006E6905" w:rsidRDefault="006E6905" w:rsidP="00643CC0">
            <w:pPr>
              <w:spacing w:line="0" w:lineRule="atLeast"/>
              <w:jc w:val="center"/>
              <w:rPr>
                <w:rFonts w:eastAsia="標楷體"/>
                <w:sz w:val="26"/>
              </w:rPr>
            </w:pPr>
            <w:r>
              <w:rPr>
                <w:rFonts w:eastAsia="標楷體" w:hint="eastAsia"/>
                <w:sz w:val="26"/>
              </w:rPr>
              <w:t>美國</w:t>
            </w:r>
          </w:p>
        </w:tc>
        <w:tc>
          <w:tcPr>
            <w:tcW w:w="684" w:type="pct"/>
            <w:vAlign w:val="center"/>
          </w:tcPr>
          <w:p w:rsidR="006E6905" w:rsidRPr="00F22C8A" w:rsidRDefault="006E6905" w:rsidP="00643CC0">
            <w:pPr>
              <w:spacing w:line="0" w:lineRule="atLeast"/>
              <w:jc w:val="center"/>
              <w:rPr>
                <w:rFonts w:eastAsia="標楷體"/>
                <w:sz w:val="26"/>
                <w:highlight w:val="yellow"/>
              </w:rPr>
            </w:pPr>
            <w:r w:rsidRPr="00F22C8A">
              <w:rPr>
                <w:rFonts w:eastAsia="標楷體" w:hint="eastAsia"/>
                <w:sz w:val="26"/>
              </w:rPr>
              <w:t>LSI</w:t>
            </w:r>
          </w:p>
        </w:tc>
        <w:tc>
          <w:tcPr>
            <w:tcW w:w="1693" w:type="pct"/>
            <w:vAlign w:val="center"/>
          </w:tcPr>
          <w:p w:rsidR="006E6905" w:rsidRDefault="006E6905" w:rsidP="00643CC0">
            <w:pPr>
              <w:spacing w:line="0" w:lineRule="atLeast"/>
              <w:jc w:val="center"/>
              <w:rPr>
                <w:rFonts w:eastAsia="標楷體"/>
                <w:sz w:val="26"/>
              </w:rPr>
            </w:pPr>
            <w:r>
              <w:rPr>
                <w:rFonts w:eastAsia="標楷體" w:hint="eastAsia"/>
                <w:sz w:val="26"/>
              </w:rPr>
              <w:t>為</w:t>
            </w:r>
            <w:r w:rsidRPr="00EB706F">
              <w:rPr>
                <w:rFonts w:eastAsia="標楷體" w:hint="eastAsia"/>
                <w:sz w:val="26"/>
              </w:rPr>
              <w:t>萊迪思台灣分公司</w:t>
            </w:r>
          </w:p>
          <w:p w:rsidR="006E6905" w:rsidRPr="00D95A0E" w:rsidRDefault="006E6905" w:rsidP="00643CC0">
            <w:pPr>
              <w:spacing w:line="0" w:lineRule="atLeast"/>
              <w:jc w:val="center"/>
              <w:rPr>
                <w:rFonts w:eastAsia="標楷體"/>
                <w:sz w:val="26"/>
              </w:rPr>
            </w:pPr>
            <w:r w:rsidRPr="00D95A0E">
              <w:rPr>
                <w:rFonts w:eastAsia="標楷體" w:hint="eastAsia"/>
                <w:sz w:val="26"/>
              </w:rPr>
              <w:t>之</w:t>
            </w:r>
            <w:r>
              <w:rPr>
                <w:rFonts w:eastAsia="標楷體" w:hint="eastAsia"/>
                <w:sz w:val="26"/>
              </w:rPr>
              <w:t>總公司</w:t>
            </w:r>
          </w:p>
        </w:tc>
        <w:tc>
          <w:tcPr>
            <w:tcW w:w="462" w:type="pct"/>
            <w:vAlign w:val="center"/>
          </w:tcPr>
          <w:p w:rsidR="006E6905" w:rsidRPr="00C60F47" w:rsidRDefault="006E6905" w:rsidP="00643CC0">
            <w:pPr>
              <w:spacing w:line="0" w:lineRule="atLeast"/>
              <w:ind w:left="-108" w:right="-71"/>
              <w:jc w:val="center"/>
              <w:rPr>
                <w:rFonts w:eastAsia="標楷體"/>
                <w:bCs/>
                <w:sz w:val="26"/>
              </w:rPr>
            </w:pPr>
            <w:smartTag w:uri="urn:schemas-microsoft-com:office:smarttags" w:element="chmetcnv">
              <w:smartTagPr>
                <w:attr w:name="TCSC" w:val="0"/>
                <w:attr w:name="NumberType" w:val="1"/>
                <w:attr w:name="Negative" w:val="False"/>
                <w:attr w:name="HasSpace" w:val="False"/>
                <w:attr w:name="SourceValue" w:val="7"/>
                <w:attr w:name="UnitName" w:val="a"/>
              </w:smartTagPr>
              <w:r>
                <w:rPr>
                  <w:rFonts w:eastAsia="標楷體" w:hint="eastAsia"/>
                  <w:bCs/>
                  <w:sz w:val="26"/>
                </w:rPr>
                <w:t>7a</w:t>
              </w:r>
            </w:smartTag>
          </w:p>
        </w:tc>
      </w:tr>
      <w:tr w:rsidR="006E6905" w:rsidRPr="00EA272E" w:rsidTr="006E6905">
        <w:trPr>
          <w:trHeight w:val="900"/>
        </w:trPr>
        <w:tc>
          <w:tcPr>
            <w:tcW w:w="318" w:type="pct"/>
            <w:vAlign w:val="center"/>
          </w:tcPr>
          <w:p w:rsidR="006E6905" w:rsidRDefault="006E6905" w:rsidP="00C60F47">
            <w:pPr>
              <w:spacing w:line="0" w:lineRule="atLeast"/>
              <w:jc w:val="center"/>
              <w:rPr>
                <w:rFonts w:eastAsia="標楷體"/>
                <w:b/>
                <w:bCs/>
                <w:sz w:val="26"/>
              </w:rPr>
            </w:pPr>
            <w:r>
              <w:rPr>
                <w:rFonts w:eastAsia="標楷體" w:hint="eastAsia"/>
                <w:b/>
                <w:bCs/>
                <w:sz w:val="26"/>
              </w:rPr>
              <w:t>2</w:t>
            </w:r>
          </w:p>
        </w:tc>
        <w:tc>
          <w:tcPr>
            <w:tcW w:w="1036" w:type="pct"/>
            <w:vAlign w:val="center"/>
          </w:tcPr>
          <w:p w:rsidR="006E6905" w:rsidRPr="00C60F47" w:rsidRDefault="006E6905" w:rsidP="00643CC0">
            <w:pPr>
              <w:spacing w:line="0" w:lineRule="atLeast"/>
              <w:jc w:val="center"/>
              <w:rPr>
                <w:rFonts w:eastAsia="標楷體"/>
                <w:bCs/>
                <w:sz w:val="26"/>
              </w:rPr>
            </w:pPr>
            <w:r w:rsidRPr="00C60F47">
              <w:rPr>
                <w:rFonts w:eastAsia="標楷體" w:hint="eastAsia"/>
                <w:bCs/>
                <w:kern w:val="0"/>
                <w:sz w:val="26"/>
                <w:szCs w:val="26"/>
              </w:rPr>
              <w:t>Lattice SG PTE LTD</w:t>
            </w:r>
          </w:p>
        </w:tc>
        <w:tc>
          <w:tcPr>
            <w:tcW w:w="806" w:type="pct"/>
            <w:vAlign w:val="center"/>
          </w:tcPr>
          <w:p w:rsidR="006E6905" w:rsidRPr="00C60F47" w:rsidRDefault="006E6905" w:rsidP="00643CC0">
            <w:pPr>
              <w:spacing w:line="0" w:lineRule="atLeast"/>
              <w:jc w:val="center"/>
              <w:rPr>
                <w:rFonts w:eastAsia="標楷體"/>
                <w:sz w:val="26"/>
              </w:rPr>
            </w:pPr>
            <w:r w:rsidRPr="00C60F47">
              <w:rPr>
                <w:rFonts w:eastAsia="標楷體" w:hint="eastAsia"/>
                <w:sz w:val="26"/>
              </w:rPr>
              <w:t>新加坡</w:t>
            </w:r>
          </w:p>
        </w:tc>
        <w:tc>
          <w:tcPr>
            <w:tcW w:w="684" w:type="pct"/>
            <w:vAlign w:val="center"/>
          </w:tcPr>
          <w:p w:rsidR="006E6905" w:rsidRPr="00350FF3" w:rsidRDefault="006E6905" w:rsidP="00643CC0">
            <w:pPr>
              <w:spacing w:line="0" w:lineRule="atLeast"/>
              <w:jc w:val="center"/>
              <w:rPr>
                <w:rFonts w:eastAsia="標楷體"/>
                <w:sz w:val="26"/>
              </w:rPr>
            </w:pPr>
            <w:r>
              <w:rPr>
                <w:rFonts w:eastAsia="標楷體" w:hint="eastAsia"/>
                <w:sz w:val="26"/>
              </w:rPr>
              <w:t>LSG</w:t>
            </w:r>
          </w:p>
        </w:tc>
        <w:tc>
          <w:tcPr>
            <w:tcW w:w="1693" w:type="pct"/>
            <w:vAlign w:val="center"/>
          </w:tcPr>
          <w:p w:rsidR="006E6905" w:rsidRPr="00D02459" w:rsidRDefault="006E6905" w:rsidP="00643CC0">
            <w:pPr>
              <w:spacing w:line="0" w:lineRule="atLeast"/>
              <w:jc w:val="center"/>
              <w:rPr>
                <w:rFonts w:eastAsia="標楷體"/>
                <w:sz w:val="26"/>
              </w:rPr>
            </w:pPr>
            <w:r>
              <w:rPr>
                <w:rFonts w:eastAsia="標楷體" w:hint="eastAsia"/>
                <w:sz w:val="26"/>
              </w:rPr>
              <w:t>為</w:t>
            </w:r>
            <w:r>
              <w:rPr>
                <w:rFonts w:eastAsia="標楷體" w:hint="eastAsia"/>
                <w:sz w:val="26"/>
              </w:rPr>
              <w:t>LSI</w:t>
            </w:r>
            <w:r>
              <w:rPr>
                <w:rFonts w:eastAsia="標楷體" w:hint="eastAsia"/>
                <w:sz w:val="26"/>
              </w:rPr>
              <w:t>之母公司</w:t>
            </w:r>
          </w:p>
        </w:tc>
        <w:tc>
          <w:tcPr>
            <w:tcW w:w="462" w:type="pct"/>
            <w:vAlign w:val="center"/>
          </w:tcPr>
          <w:p w:rsidR="006E6905" w:rsidRPr="00C60F47" w:rsidRDefault="006E6905" w:rsidP="00643CC0">
            <w:pPr>
              <w:spacing w:line="0" w:lineRule="atLeast"/>
              <w:ind w:left="-108" w:right="-71"/>
              <w:jc w:val="center"/>
              <w:rPr>
                <w:rFonts w:eastAsia="標楷體"/>
                <w:bCs/>
                <w:sz w:val="26"/>
              </w:rPr>
            </w:pPr>
            <w:r>
              <w:rPr>
                <w:rFonts w:eastAsia="標楷體" w:hint="eastAsia"/>
                <w:bCs/>
                <w:sz w:val="26"/>
              </w:rPr>
              <w:t>2</w:t>
            </w:r>
          </w:p>
        </w:tc>
      </w:tr>
      <w:tr w:rsidR="006E6905" w:rsidRPr="00EA272E" w:rsidTr="006E6905">
        <w:trPr>
          <w:trHeight w:val="900"/>
        </w:trPr>
        <w:tc>
          <w:tcPr>
            <w:tcW w:w="318" w:type="pct"/>
            <w:vAlign w:val="center"/>
          </w:tcPr>
          <w:p w:rsidR="006E6905" w:rsidRDefault="006E6905" w:rsidP="00C60F47">
            <w:pPr>
              <w:spacing w:line="0" w:lineRule="atLeast"/>
              <w:jc w:val="center"/>
              <w:rPr>
                <w:rFonts w:eastAsia="標楷體"/>
                <w:b/>
                <w:bCs/>
                <w:sz w:val="26"/>
              </w:rPr>
            </w:pPr>
            <w:r>
              <w:rPr>
                <w:rFonts w:eastAsia="標楷體" w:hint="eastAsia"/>
                <w:b/>
                <w:bCs/>
                <w:sz w:val="26"/>
              </w:rPr>
              <w:t>3</w:t>
            </w:r>
          </w:p>
        </w:tc>
        <w:tc>
          <w:tcPr>
            <w:tcW w:w="1036" w:type="pct"/>
            <w:vAlign w:val="center"/>
          </w:tcPr>
          <w:p w:rsidR="006E6905" w:rsidRPr="003D6DE3" w:rsidRDefault="006E6905" w:rsidP="00643CC0">
            <w:pPr>
              <w:spacing w:line="0" w:lineRule="atLeast"/>
              <w:jc w:val="center"/>
              <w:rPr>
                <w:rFonts w:eastAsia="標楷體"/>
                <w:bCs/>
                <w:sz w:val="26"/>
                <w:szCs w:val="26"/>
              </w:rPr>
            </w:pPr>
            <w:r w:rsidRPr="003D6DE3">
              <w:rPr>
                <w:rFonts w:eastAsia="標楷體"/>
                <w:sz w:val="26"/>
                <w:szCs w:val="26"/>
              </w:rPr>
              <w:t>Silicon Image International LLC Taiwan Branch</w:t>
            </w:r>
          </w:p>
        </w:tc>
        <w:tc>
          <w:tcPr>
            <w:tcW w:w="806" w:type="pct"/>
            <w:vAlign w:val="center"/>
          </w:tcPr>
          <w:p w:rsidR="006E6905" w:rsidRPr="00C60F47" w:rsidRDefault="006E6905" w:rsidP="00643CC0">
            <w:pPr>
              <w:spacing w:line="0" w:lineRule="atLeast"/>
              <w:jc w:val="center"/>
              <w:rPr>
                <w:rFonts w:eastAsia="標楷體"/>
                <w:sz w:val="26"/>
              </w:rPr>
            </w:pPr>
            <w:r>
              <w:rPr>
                <w:rFonts w:eastAsia="標楷體" w:hint="eastAsia"/>
                <w:sz w:val="26"/>
              </w:rPr>
              <w:t>台灣</w:t>
            </w:r>
          </w:p>
        </w:tc>
        <w:tc>
          <w:tcPr>
            <w:tcW w:w="684" w:type="pct"/>
            <w:vAlign w:val="center"/>
          </w:tcPr>
          <w:p w:rsidR="006E6905" w:rsidRPr="00371F7A" w:rsidRDefault="006E6905" w:rsidP="00643CC0">
            <w:pPr>
              <w:spacing w:line="0" w:lineRule="atLeast"/>
              <w:jc w:val="center"/>
              <w:rPr>
                <w:rFonts w:eastAsia="標楷體"/>
                <w:color w:val="000000" w:themeColor="text1"/>
                <w:sz w:val="26"/>
              </w:rPr>
            </w:pPr>
            <w:r w:rsidRPr="00371F7A">
              <w:rPr>
                <w:rFonts w:eastAsia="標楷體" w:hint="eastAsia"/>
                <w:color w:val="000000" w:themeColor="text1"/>
                <w:sz w:val="26"/>
              </w:rPr>
              <w:t>SII</w:t>
            </w:r>
          </w:p>
        </w:tc>
        <w:tc>
          <w:tcPr>
            <w:tcW w:w="1693" w:type="pct"/>
            <w:vAlign w:val="center"/>
          </w:tcPr>
          <w:p w:rsidR="006E6905" w:rsidRPr="006E6905" w:rsidRDefault="006E6905" w:rsidP="00643CC0">
            <w:pPr>
              <w:spacing w:line="0" w:lineRule="atLeast"/>
              <w:jc w:val="center"/>
              <w:rPr>
                <w:rFonts w:eastAsia="標楷體"/>
                <w:sz w:val="26"/>
              </w:rPr>
            </w:pPr>
            <w:r w:rsidRPr="006E6905">
              <w:rPr>
                <w:rFonts w:eastAsia="標楷體" w:hint="eastAsia"/>
                <w:sz w:val="26"/>
              </w:rPr>
              <w:t>聯屬公司</w:t>
            </w:r>
          </w:p>
        </w:tc>
        <w:tc>
          <w:tcPr>
            <w:tcW w:w="462" w:type="pct"/>
            <w:vAlign w:val="center"/>
          </w:tcPr>
          <w:p w:rsidR="006E6905" w:rsidRPr="006E6905" w:rsidRDefault="006E6905" w:rsidP="00643CC0">
            <w:pPr>
              <w:spacing w:line="0" w:lineRule="atLeast"/>
              <w:ind w:left="-108" w:right="-71"/>
              <w:jc w:val="center"/>
              <w:rPr>
                <w:rFonts w:eastAsia="標楷體"/>
                <w:bCs/>
                <w:sz w:val="26"/>
              </w:rPr>
            </w:pPr>
            <w:r w:rsidRPr="006E6905">
              <w:rPr>
                <w:rFonts w:eastAsia="標楷體" w:hint="eastAsia"/>
                <w:bCs/>
                <w:sz w:val="26"/>
              </w:rPr>
              <w:t>2</w:t>
            </w:r>
          </w:p>
        </w:tc>
      </w:tr>
    </w:tbl>
    <w:p w:rsidR="00DE7202" w:rsidRDefault="00526ABF" w:rsidP="001719B7">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10</w:t>
      </w:r>
      <w:r w:rsidR="000D5025">
        <w:rPr>
          <w:rFonts w:ascii="Times New Roman" w:eastAsia="標楷體" w:hAnsi="Times New Roman" w:hint="eastAsia"/>
          <w:sz w:val="32"/>
        </w:rPr>
        <w:t>5</w:t>
      </w:r>
      <w:r w:rsidR="006E057A" w:rsidRPr="006D2544">
        <w:rPr>
          <w:rFonts w:ascii="Times New Roman" w:eastAsia="標楷體" w:hAnsi="Times New Roman"/>
          <w:sz w:val="32"/>
        </w:rPr>
        <w:t>受控交易</w:t>
      </w:r>
      <w:r w:rsidR="00686FAB" w:rsidRPr="006D2544">
        <w:rPr>
          <w:rFonts w:ascii="Times New Roman" w:eastAsia="標楷體" w:hAnsi="Times New Roman" w:hint="eastAsia"/>
          <w:sz w:val="32"/>
        </w:rPr>
        <w:t>彙總明細</w:t>
      </w:r>
    </w:p>
    <w:tbl>
      <w:tblPr>
        <w:tblW w:w="8786" w:type="dxa"/>
        <w:tblInd w:w="2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CellMar>
          <w:left w:w="28" w:type="dxa"/>
          <w:right w:w="28" w:type="dxa"/>
        </w:tblCellMar>
        <w:tblLook w:val="0000" w:firstRow="0" w:lastRow="0" w:firstColumn="0" w:lastColumn="0" w:noHBand="0" w:noVBand="0"/>
      </w:tblPr>
      <w:tblGrid>
        <w:gridCol w:w="1985"/>
        <w:gridCol w:w="1299"/>
        <w:gridCol w:w="1516"/>
        <w:gridCol w:w="2280"/>
        <w:gridCol w:w="1706"/>
      </w:tblGrid>
      <w:tr w:rsidR="0044536F" w:rsidRPr="00EA272E">
        <w:trPr>
          <w:trHeight w:val="330"/>
          <w:tblHeader/>
        </w:trPr>
        <w:tc>
          <w:tcPr>
            <w:tcW w:w="7080" w:type="dxa"/>
            <w:gridSpan w:val="4"/>
            <w:shd w:val="clear" w:color="auto" w:fill="4F81BD"/>
            <w:noWrap/>
            <w:vAlign w:val="center"/>
          </w:tcPr>
          <w:p w:rsidR="0044536F" w:rsidRPr="00EA272E" w:rsidRDefault="0044536F" w:rsidP="00297B34">
            <w:pPr>
              <w:widowControl/>
              <w:spacing w:line="0" w:lineRule="atLeast"/>
              <w:jc w:val="center"/>
              <w:rPr>
                <w:rFonts w:eastAsia="標楷體"/>
                <w:bCs/>
                <w:color w:val="FFFFFF"/>
                <w:kern w:val="0"/>
                <w:sz w:val="26"/>
                <w:szCs w:val="26"/>
              </w:rPr>
            </w:pPr>
            <w:r w:rsidRPr="00EA272E">
              <w:rPr>
                <w:rFonts w:eastAsia="標楷體" w:hint="eastAsia"/>
                <w:bCs/>
                <w:color w:val="FFFFFF"/>
                <w:kern w:val="0"/>
                <w:sz w:val="26"/>
                <w:szCs w:val="26"/>
              </w:rPr>
              <w:t>受控交易說明</w:t>
            </w:r>
          </w:p>
        </w:tc>
        <w:tc>
          <w:tcPr>
            <w:tcW w:w="1706" w:type="dxa"/>
            <w:vMerge w:val="restart"/>
            <w:shd w:val="clear" w:color="auto" w:fill="4F81BD"/>
            <w:noWrap/>
            <w:vAlign w:val="center"/>
          </w:tcPr>
          <w:p w:rsidR="0044536F" w:rsidRPr="00EA272E" w:rsidRDefault="0044536F" w:rsidP="00297B34">
            <w:pPr>
              <w:widowControl/>
              <w:spacing w:line="0" w:lineRule="atLeast"/>
              <w:jc w:val="center"/>
              <w:rPr>
                <w:rFonts w:eastAsia="標楷體"/>
                <w:bCs/>
                <w:color w:val="FFFFFF"/>
                <w:kern w:val="0"/>
                <w:sz w:val="26"/>
                <w:szCs w:val="26"/>
              </w:rPr>
            </w:pPr>
            <w:r w:rsidRPr="00EA272E">
              <w:rPr>
                <w:rFonts w:eastAsia="標楷體"/>
                <w:bCs/>
                <w:color w:val="FFFFFF"/>
                <w:kern w:val="0"/>
                <w:sz w:val="26"/>
                <w:szCs w:val="26"/>
              </w:rPr>
              <w:t>金額</w:t>
            </w:r>
          </w:p>
          <w:p w:rsidR="0044536F" w:rsidRPr="00EA272E" w:rsidRDefault="0044536F" w:rsidP="00297B34">
            <w:pPr>
              <w:spacing w:line="0" w:lineRule="atLeast"/>
              <w:jc w:val="center"/>
              <w:rPr>
                <w:rFonts w:eastAsia="標楷體"/>
                <w:bCs/>
                <w:color w:val="FFFFFF"/>
                <w:kern w:val="0"/>
                <w:sz w:val="26"/>
                <w:szCs w:val="26"/>
              </w:rPr>
            </w:pPr>
            <w:r w:rsidRPr="00EA272E">
              <w:rPr>
                <w:rFonts w:eastAsia="標楷體"/>
                <w:bCs/>
                <w:color w:val="FFFFFF"/>
                <w:kern w:val="0"/>
                <w:sz w:val="26"/>
                <w:szCs w:val="26"/>
              </w:rPr>
              <w:t>(</w:t>
            </w:r>
            <w:r w:rsidRPr="00EA272E">
              <w:rPr>
                <w:rFonts w:eastAsia="標楷體"/>
                <w:bCs/>
                <w:color w:val="FFFFFF"/>
                <w:kern w:val="0"/>
                <w:sz w:val="26"/>
                <w:szCs w:val="26"/>
              </w:rPr>
              <w:t>新台幣元</w:t>
            </w:r>
            <w:r w:rsidRPr="00EA272E">
              <w:rPr>
                <w:rFonts w:eastAsia="標楷體"/>
                <w:bCs/>
                <w:color w:val="FFFFFF"/>
                <w:kern w:val="0"/>
                <w:sz w:val="26"/>
                <w:szCs w:val="26"/>
              </w:rPr>
              <w:t>)</w:t>
            </w:r>
          </w:p>
        </w:tc>
      </w:tr>
      <w:tr w:rsidR="00253AB8" w:rsidRPr="00EA272E" w:rsidTr="00527A95">
        <w:trPr>
          <w:trHeight w:val="330"/>
          <w:tblHeader/>
        </w:trPr>
        <w:tc>
          <w:tcPr>
            <w:tcW w:w="1985" w:type="dxa"/>
            <w:shd w:val="clear" w:color="auto" w:fill="4F81BD"/>
            <w:noWrap/>
            <w:vAlign w:val="center"/>
          </w:tcPr>
          <w:p w:rsidR="00253AB8" w:rsidRPr="00EA272E" w:rsidRDefault="00253AB8" w:rsidP="006E057A">
            <w:pPr>
              <w:widowControl/>
              <w:spacing w:line="0" w:lineRule="atLeast"/>
              <w:jc w:val="center"/>
              <w:rPr>
                <w:rFonts w:eastAsia="標楷體"/>
                <w:bCs/>
                <w:color w:val="FFFFFF"/>
                <w:kern w:val="0"/>
                <w:sz w:val="26"/>
                <w:szCs w:val="26"/>
              </w:rPr>
            </w:pPr>
            <w:r w:rsidRPr="00EA272E">
              <w:rPr>
                <w:rFonts w:eastAsia="標楷體" w:hint="eastAsia"/>
                <w:bCs/>
                <w:color w:val="FFFFFF"/>
                <w:kern w:val="0"/>
                <w:sz w:val="26"/>
                <w:szCs w:val="26"/>
              </w:rPr>
              <w:t>受控</w:t>
            </w:r>
            <w:r w:rsidRPr="00EA272E">
              <w:rPr>
                <w:rFonts w:eastAsia="標楷體"/>
                <w:bCs/>
                <w:color w:val="FFFFFF"/>
                <w:kern w:val="0"/>
                <w:sz w:val="26"/>
                <w:szCs w:val="26"/>
              </w:rPr>
              <w:t>交易類型</w:t>
            </w:r>
          </w:p>
        </w:tc>
        <w:tc>
          <w:tcPr>
            <w:tcW w:w="1299" w:type="dxa"/>
            <w:shd w:val="clear" w:color="auto" w:fill="4F81BD"/>
            <w:noWrap/>
            <w:vAlign w:val="center"/>
          </w:tcPr>
          <w:p w:rsidR="00253AB8" w:rsidRPr="00EA272E" w:rsidRDefault="00253AB8" w:rsidP="00297B34">
            <w:pPr>
              <w:spacing w:line="0" w:lineRule="atLeast"/>
              <w:jc w:val="center"/>
              <w:rPr>
                <w:rFonts w:eastAsia="標楷體"/>
                <w:bCs/>
                <w:color w:val="FFFFFF"/>
                <w:kern w:val="0"/>
                <w:sz w:val="26"/>
                <w:szCs w:val="26"/>
              </w:rPr>
            </w:pPr>
            <w:r w:rsidRPr="00EA272E">
              <w:rPr>
                <w:rFonts w:eastAsia="標楷體" w:hint="eastAsia"/>
                <w:bCs/>
                <w:color w:val="FFFFFF"/>
                <w:kern w:val="0"/>
                <w:sz w:val="26"/>
                <w:szCs w:val="26"/>
              </w:rPr>
              <w:t>會計科目</w:t>
            </w:r>
          </w:p>
        </w:tc>
        <w:tc>
          <w:tcPr>
            <w:tcW w:w="1516" w:type="dxa"/>
            <w:shd w:val="clear" w:color="auto" w:fill="4F81BD"/>
            <w:vAlign w:val="center"/>
          </w:tcPr>
          <w:p w:rsidR="00253AB8" w:rsidRPr="00EA272E" w:rsidRDefault="00253AB8" w:rsidP="00297B34">
            <w:pPr>
              <w:spacing w:line="0" w:lineRule="atLeast"/>
              <w:jc w:val="center"/>
              <w:rPr>
                <w:rFonts w:eastAsia="標楷體"/>
                <w:bCs/>
                <w:color w:val="FFFFFF"/>
                <w:kern w:val="0"/>
                <w:sz w:val="26"/>
                <w:szCs w:val="26"/>
              </w:rPr>
            </w:pPr>
            <w:r w:rsidRPr="00EA272E">
              <w:rPr>
                <w:rFonts w:eastAsia="標楷體" w:hint="eastAsia"/>
                <w:bCs/>
                <w:color w:val="FFFFFF"/>
                <w:kern w:val="0"/>
                <w:sz w:val="26"/>
                <w:szCs w:val="26"/>
              </w:rPr>
              <w:t>交易</w:t>
            </w:r>
            <w:r w:rsidRPr="00EA272E">
              <w:rPr>
                <w:rFonts w:eastAsia="標楷體"/>
                <w:bCs/>
                <w:color w:val="FFFFFF"/>
                <w:kern w:val="0"/>
                <w:sz w:val="26"/>
                <w:szCs w:val="26"/>
              </w:rPr>
              <w:t>對象</w:t>
            </w:r>
          </w:p>
        </w:tc>
        <w:tc>
          <w:tcPr>
            <w:tcW w:w="2280" w:type="dxa"/>
            <w:shd w:val="clear" w:color="auto" w:fill="4F81BD"/>
            <w:noWrap/>
            <w:vAlign w:val="center"/>
          </w:tcPr>
          <w:p w:rsidR="00253AB8" w:rsidRPr="00EA272E" w:rsidRDefault="00253AB8" w:rsidP="00297B34">
            <w:pPr>
              <w:widowControl/>
              <w:spacing w:line="0" w:lineRule="atLeast"/>
              <w:jc w:val="center"/>
              <w:rPr>
                <w:rFonts w:eastAsia="標楷體"/>
                <w:bCs/>
                <w:color w:val="FFFFFF"/>
                <w:kern w:val="0"/>
                <w:sz w:val="26"/>
                <w:szCs w:val="26"/>
              </w:rPr>
            </w:pPr>
            <w:r w:rsidRPr="00EA272E">
              <w:rPr>
                <w:rFonts w:eastAsia="標楷體"/>
                <w:bCs/>
                <w:color w:val="FFFFFF"/>
                <w:kern w:val="0"/>
                <w:sz w:val="26"/>
                <w:szCs w:val="26"/>
              </w:rPr>
              <w:t>交易內容敘述</w:t>
            </w:r>
          </w:p>
        </w:tc>
        <w:tc>
          <w:tcPr>
            <w:tcW w:w="1706" w:type="dxa"/>
            <w:vMerge/>
            <w:shd w:val="clear" w:color="auto" w:fill="4F81BD"/>
            <w:noWrap/>
            <w:vAlign w:val="center"/>
          </w:tcPr>
          <w:p w:rsidR="00253AB8" w:rsidRPr="00EA272E" w:rsidRDefault="00253AB8" w:rsidP="00297B34">
            <w:pPr>
              <w:widowControl/>
              <w:spacing w:line="0" w:lineRule="atLeast"/>
              <w:jc w:val="center"/>
              <w:rPr>
                <w:rFonts w:eastAsia="標楷體"/>
                <w:b/>
                <w:bCs/>
                <w:kern w:val="0"/>
                <w:sz w:val="26"/>
                <w:szCs w:val="26"/>
              </w:rPr>
            </w:pPr>
          </w:p>
        </w:tc>
      </w:tr>
      <w:tr w:rsidR="00A336D2" w:rsidRPr="00EA272E" w:rsidTr="00527A95">
        <w:trPr>
          <w:trHeight w:val="1015"/>
          <w:tblHeader/>
        </w:trPr>
        <w:tc>
          <w:tcPr>
            <w:tcW w:w="1985" w:type="dxa"/>
            <w:shd w:val="clear" w:color="auto" w:fill="auto"/>
            <w:noWrap/>
            <w:vAlign w:val="center"/>
          </w:tcPr>
          <w:p w:rsidR="00A336D2" w:rsidRPr="00371F7A" w:rsidRDefault="00A336D2" w:rsidP="00297B34">
            <w:pPr>
              <w:widowControl/>
              <w:spacing w:line="0" w:lineRule="atLeast"/>
              <w:jc w:val="center"/>
              <w:rPr>
                <w:rFonts w:eastAsia="標楷體"/>
                <w:bCs/>
                <w:color w:val="000000" w:themeColor="text1"/>
                <w:kern w:val="0"/>
                <w:sz w:val="26"/>
                <w:szCs w:val="26"/>
              </w:rPr>
            </w:pPr>
            <w:r w:rsidRPr="00371F7A">
              <w:rPr>
                <w:rFonts w:eastAsia="標楷體" w:hint="eastAsia"/>
                <w:bCs/>
                <w:color w:val="000000" w:themeColor="text1"/>
                <w:kern w:val="0"/>
                <w:sz w:val="26"/>
                <w:szCs w:val="26"/>
              </w:rPr>
              <w:t>服務之提供</w:t>
            </w:r>
          </w:p>
        </w:tc>
        <w:tc>
          <w:tcPr>
            <w:tcW w:w="1299" w:type="dxa"/>
            <w:shd w:val="clear" w:color="auto" w:fill="auto"/>
            <w:noWrap/>
            <w:vAlign w:val="center"/>
          </w:tcPr>
          <w:p w:rsidR="00A336D2" w:rsidRPr="00371F7A" w:rsidRDefault="00A336D2" w:rsidP="00297B34">
            <w:pPr>
              <w:spacing w:line="0" w:lineRule="atLeast"/>
              <w:jc w:val="center"/>
              <w:rPr>
                <w:rFonts w:eastAsia="標楷體"/>
                <w:bCs/>
                <w:color w:val="000000" w:themeColor="text1"/>
                <w:kern w:val="0"/>
                <w:sz w:val="26"/>
                <w:szCs w:val="26"/>
              </w:rPr>
            </w:pPr>
            <w:r w:rsidRPr="00371F7A">
              <w:rPr>
                <w:rFonts w:eastAsia="標楷體" w:hAnsi="標楷體"/>
                <w:bCs/>
                <w:color w:val="000000" w:themeColor="text1"/>
                <w:kern w:val="0"/>
                <w:sz w:val="26"/>
                <w:szCs w:val="26"/>
              </w:rPr>
              <w:t>營業收入</w:t>
            </w:r>
          </w:p>
        </w:tc>
        <w:tc>
          <w:tcPr>
            <w:tcW w:w="1516" w:type="dxa"/>
            <w:shd w:val="clear" w:color="auto" w:fill="auto"/>
            <w:vAlign w:val="center"/>
          </w:tcPr>
          <w:p w:rsidR="00A336D2" w:rsidRPr="00371F7A" w:rsidRDefault="00A336D2" w:rsidP="00A336D2">
            <w:pPr>
              <w:spacing w:line="0" w:lineRule="atLeast"/>
              <w:jc w:val="center"/>
              <w:rPr>
                <w:rFonts w:eastAsia="標楷體"/>
                <w:bCs/>
                <w:color w:val="000000" w:themeColor="text1"/>
                <w:kern w:val="0"/>
                <w:sz w:val="26"/>
                <w:szCs w:val="26"/>
              </w:rPr>
            </w:pPr>
            <w:r w:rsidRPr="00371F7A">
              <w:rPr>
                <w:rFonts w:eastAsia="標楷體" w:hint="eastAsia"/>
                <w:color w:val="000000" w:themeColor="text1"/>
                <w:sz w:val="26"/>
              </w:rPr>
              <w:t>LSG</w:t>
            </w:r>
          </w:p>
        </w:tc>
        <w:tc>
          <w:tcPr>
            <w:tcW w:w="2280" w:type="dxa"/>
            <w:shd w:val="clear" w:color="auto" w:fill="auto"/>
            <w:noWrap/>
            <w:vAlign w:val="center"/>
          </w:tcPr>
          <w:p w:rsidR="00A336D2" w:rsidRPr="00371F7A" w:rsidRDefault="00A336D2" w:rsidP="00B03B0A">
            <w:pPr>
              <w:widowControl/>
              <w:spacing w:line="0" w:lineRule="atLeast"/>
              <w:jc w:val="both"/>
              <w:rPr>
                <w:rFonts w:eastAsia="標楷體"/>
                <w:bCs/>
                <w:color w:val="000000" w:themeColor="text1"/>
                <w:kern w:val="0"/>
                <w:sz w:val="26"/>
                <w:szCs w:val="26"/>
              </w:rPr>
            </w:pPr>
            <w:r w:rsidRPr="00371F7A">
              <w:rPr>
                <w:rFonts w:eastAsia="標楷體" w:hint="eastAsia"/>
                <w:color w:val="000000" w:themeColor="text1"/>
                <w:sz w:val="26"/>
                <w:szCs w:val="26"/>
              </w:rPr>
              <w:t>提供</w:t>
            </w:r>
            <w:r w:rsidRPr="00371F7A">
              <w:rPr>
                <w:rFonts w:eastAsia="標楷體"/>
                <w:color w:val="000000" w:themeColor="text1"/>
                <w:sz w:val="26"/>
                <w:szCs w:val="26"/>
              </w:rPr>
              <w:t>行銷</w:t>
            </w:r>
            <w:r w:rsidRPr="00371F7A">
              <w:rPr>
                <w:rFonts w:eastAsia="標楷體" w:hint="eastAsia"/>
                <w:color w:val="000000" w:themeColor="text1"/>
                <w:sz w:val="26"/>
                <w:szCs w:val="26"/>
              </w:rPr>
              <w:t>、客戶聯繫、產品技術支援及產品</w:t>
            </w:r>
            <w:r w:rsidRPr="00371F7A">
              <w:rPr>
                <w:rFonts w:eastAsia="標楷體"/>
                <w:color w:val="000000" w:themeColor="text1"/>
                <w:sz w:val="26"/>
                <w:szCs w:val="26"/>
              </w:rPr>
              <w:t>服務。</w:t>
            </w:r>
          </w:p>
        </w:tc>
        <w:tc>
          <w:tcPr>
            <w:tcW w:w="1706" w:type="dxa"/>
            <w:shd w:val="clear" w:color="auto" w:fill="auto"/>
            <w:noWrap/>
            <w:vAlign w:val="center"/>
          </w:tcPr>
          <w:p w:rsidR="004D3685" w:rsidRPr="004D3685" w:rsidRDefault="004D3685" w:rsidP="004D3685">
            <w:pPr>
              <w:spacing w:line="0" w:lineRule="atLeast"/>
              <w:jc w:val="right"/>
              <w:rPr>
                <w:rFonts w:eastAsia="標楷體"/>
                <w:color w:val="000000" w:themeColor="text1"/>
                <w:sz w:val="26"/>
                <w:szCs w:val="26"/>
              </w:rPr>
            </w:pPr>
            <w:r>
              <w:rPr>
                <w:rFonts w:eastAsia="標楷體" w:hint="eastAsia"/>
                <w:color w:val="000000" w:themeColor="text1"/>
                <w:sz w:val="26"/>
                <w:szCs w:val="26"/>
              </w:rPr>
              <w:t>69</w:t>
            </w:r>
            <w:r w:rsidR="00527A95" w:rsidRPr="00371F7A">
              <w:rPr>
                <w:rFonts w:eastAsia="標楷體"/>
                <w:color w:val="000000" w:themeColor="text1"/>
                <w:sz w:val="26"/>
                <w:szCs w:val="26"/>
              </w:rPr>
              <w:t>,3</w:t>
            </w:r>
            <w:r>
              <w:rPr>
                <w:rFonts w:eastAsia="標楷體" w:hint="eastAsia"/>
                <w:color w:val="000000" w:themeColor="text1"/>
                <w:sz w:val="26"/>
                <w:szCs w:val="26"/>
              </w:rPr>
              <w:t>81</w:t>
            </w:r>
            <w:r w:rsidR="00527A95" w:rsidRPr="00371F7A">
              <w:rPr>
                <w:rFonts w:eastAsia="標楷體"/>
                <w:color w:val="000000" w:themeColor="text1"/>
                <w:sz w:val="26"/>
                <w:szCs w:val="26"/>
              </w:rPr>
              <w:t>,</w:t>
            </w:r>
            <w:r>
              <w:rPr>
                <w:rFonts w:eastAsia="標楷體" w:hint="eastAsia"/>
                <w:color w:val="000000" w:themeColor="text1"/>
                <w:sz w:val="26"/>
                <w:szCs w:val="26"/>
              </w:rPr>
              <w:t>182</w:t>
            </w:r>
          </w:p>
        </w:tc>
      </w:tr>
      <w:tr w:rsidR="004D3685" w:rsidRPr="00EA272E" w:rsidTr="00AD5AB0">
        <w:trPr>
          <w:trHeight w:val="579"/>
          <w:tblHeader/>
        </w:trPr>
        <w:tc>
          <w:tcPr>
            <w:tcW w:w="1985" w:type="dxa"/>
            <w:vMerge w:val="restart"/>
            <w:shd w:val="clear" w:color="auto" w:fill="auto"/>
            <w:noWrap/>
            <w:vAlign w:val="center"/>
          </w:tcPr>
          <w:p w:rsidR="004D3685" w:rsidRPr="00371F7A" w:rsidRDefault="004D3685" w:rsidP="00492FD1">
            <w:pPr>
              <w:widowControl/>
              <w:spacing w:line="0" w:lineRule="atLeast"/>
              <w:jc w:val="center"/>
              <w:rPr>
                <w:rFonts w:eastAsia="標楷體"/>
                <w:bCs/>
                <w:color w:val="000000" w:themeColor="text1"/>
                <w:kern w:val="0"/>
                <w:sz w:val="26"/>
                <w:szCs w:val="26"/>
              </w:rPr>
            </w:pPr>
            <w:r w:rsidRPr="00371F7A">
              <w:rPr>
                <w:rFonts w:eastAsia="標楷體" w:hint="eastAsia"/>
                <w:bCs/>
                <w:color w:val="000000" w:themeColor="text1"/>
                <w:kern w:val="0"/>
                <w:sz w:val="26"/>
                <w:szCs w:val="26"/>
              </w:rPr>
              <w:t>資金之使用</w:t>
            </w:r>
          </w:p>
        </w:tc>
        <w:tc>
          <w:tcPr>
            <w:tcW w:w="1299" w:type="dxa"/>
            <w:shd w:val="clear" w:color="auto" w:fill="auto"/>
            <w:noWrap/>
            <w:vAlign w:val="center"/>
          </w:tcPr>
          <w:p w:rsidR="004D3685" w:rsidRPr="00371F7A" w:rsidRDefault="00AD5AB0" w:rsidP="00AD5AB0">
            <w:pPr>
              <w:spacing w:line="0" w:lineRule="atLeast"/>
              <w:jc w:val="center"/>
              <w:rPr>
                <w:rFonts w:eastAsia="標楷體" w:hAnsi="標楷體"/>
                <w:bCs/>
                <w:color w:val="000000" w:themeColor="text1"/>
                <w:kern w:val="0"/>
                <w:sz w:val="26"/>
                <w:szCs w:val="26"/>
              </w:rPr>
            </w:pPr>
            <w:r>
              <w:rPr>
                <w:rFonts w:eastAsia="標楷體" w:hAnsi="標楷體" w:hint="eastAsia"/>
                <w:bCs/>
                <w:color w:val="000000" w:themeColor="text1"/>
                <w:kern w:val="0"/>
                <w:sz w:val="26"/>
                <w:szCs w:val="26"/>
              </w:rPr>
              <w:t>股東</w:t>
            </w:r>
            <w:r w:rsidR="004D3685" w:rsidRPr="00371F7A">
              <w:rPr>
                <w:rFonts w:eastAsia="標楷體" w:hAnsi="標楷體" w:hint="eastAsia"/>
                <w:bCs/>
                <w:color w:val="000000" w:themeColor="text1"/>
                <w:kern w:val="0"/>
                <w:sz w:val="26"/>
                <w:szCs w:val="26"/>
              </w:rPr>
              <w:t>往來</w:t>
            </w:r>
          </w:p>
        </w:tc>
        <w:tc>
          <w:tcPr>
            <w:tcW w:w="1516" w:type="dxa"/>
            <w:shd w:val="clear" w:color="auto" w:fill="auto"/>
            <w:vAlign w:val="center"/>
          </w:tcPr>
          <w:p w:rsidR="004D3685" w:rsidRPr="00371F7A" w:rsidRDefault="004D3685" w:rsidP="00492FD1">
            <w:pPr>
              <w:spacing w:line="0" w:lineRule="atLeast"/>
              <w:jc w:val="center"/>
              <w:rPr>
                <w:rFonts w:eastAsia="標楷體"/>
                <w:color w:val="000000" w:themeColor="text1"/>
                <w:sz w:val="26"/>
              </w:rPr>
            </w:pPr>
            <w:r w:rsidRPr="00371F7A">
              <w:rPr>
                <w:rFonts w:eastAsia="標楷體" w:hint="eastAsia"/>
                <w:color w:val="000000" w:themeColor="text1"/>
                <w:sz w:val="26"/>
              </w:rPr>
              <w:t>LSI</w:t>
            </w:r>
          </w:p>
        </w:tc>
        <w:tc>
          <w:tcPr>
            <w:tcW w:w="2280" w:type="dxa"/>
            <w:vMerge w:val="restart"/>
            <w:shd w:val="clear" w:color="auto" w:fill="auto"/>
            <w:noWrap/>
            <w:vAlign w:val="center"/>
          </w:tcPr>
          <w:p w:rsidR="004D3685" w:rsidRPr="00371F7A" w:rsidRDefault="004D3685" w:rsidP="00492FD1">
            <w:pPr>
              <w:widowControl/>
              <w:spacing w:line="0" w:lineRule="atLeast"/>
              <w:jc w:val="both"/>
              <w:rPr>
                <w:rFonts w:eastAsia="標楷體"/>
                <w:color w:val="000000" w:themeColor="text1"/>
                <w:sz w:val="26"/>
                <w:szCs w:val="26"/>
              </w:rPr>
            </w:pPr>
            <w:r w:rsidRPr="00371F7A">
              <w:rPr>
                <w:rFonts w:eastAsia="標楷體" w:hint="eastAsia"/>
                <w:color w:val="000000" w:themeColor="text1"/>
                <w:sz w:val="26"/>
                <w:szCs w:val="26"/>
              </w:rPr>
              <w:t>應付性質款項。</w:t>
            </w:r>
          </w:p>
        </w:tc>
        <w:tc>
          <w:tcPr>
            <w:tcW w:w="1706" w:type="dxa"/>
            <w:shd w:val="clear" w:color="auto" w:fill="auto"/>
            <w:noWrap/>
            <w:vAlign w:val="center"/>
          </w:tcPr>
          <w:p w:rsidR="004D3685" w:rsidRPr="00371F7A" w:rsidRDefault="004D3685" w:rsidP="004D3685">
            <w:pPr>
              <w:widowControl/>
              <w:spacing w:line="0" w:lineRule="atLeast"/>
              <w:jc w:val="right"/>
              <w:rPr>
                <w:rFonts w:eastAsia="標楷體"/>
                <w:bCs/>
                <w:color w:val="000000" w:themeColor="text1"/>
                <w:kern w:val="0"/>
                <w:sz w:val="26"/>
                <w:szCs w:val="26"/>
              </w:rPr>
            </w:pPr>
            <w:r>
              <w:rPr>
                <w:rFonts w:eastAsia="標楷體" w:hint="eastAsia"/>
                <w:color w:val="000000" w:themeColor="text1"/>
                <w:sz w:val="26"/>
                <w:szCs w:val="26"/>
              </w:rPr>
              <w:t>30</w:t>
            </w:r>
            <w:r w:rsidRPr="00371F7A">
              <w:rPr>
                <w:rFonts w:eastAsia="標楷體"/>
                <w:color w:val="000000" w:themeColor="text1"/>
                <w:sz w:val="26"/>
                <w:szCs w:val="26"/>
              </w:rPr>
              <w:t>,</w:t>
            </w:r>
            <w:r>
              <w:rPr>
                <w:rFonts w:eastAsia="標楷體" w:hint="eastAsia"/>
                <w:color w:val="000000" w:themeColor="text1"/>
                <w:sz w:val="26"/>
                <w:szCs w:val="26"/>
              </w:rPr>
              <w:t>620</w:t>
            </w:r>
            <w:r w:rsidRPr="00371F7A">
              <w:rPr>
                <w:rFonts w:eastAsia="標楷體"/>
                <w:color w:val="000000" w:themeColor="text1"/>
                <w:sz w:val="26"/>
                <w:szCs w:val="26"/>
              </w:rPr>
              <w:t>,</w:t>
            </w:r>
            <w:r>
              <w:rPr>
                <w:rFonts w:eastAsia="標楷體" w:hint="eastAsia"/>
                <w:color w:val="000000" w:themeColor="text1"/>
                <w:sz w:val="26"/>
                <w:szCs w:val="26"/>
              </w:rPr>
              <w:t>505</w:t>
            </w:r>
          </w:p>
        </w:tc>
      </w:tr>
      <w:tr w:rsidR="004D3685" w:rsidRPr="00EA272E" w:rsidTr="00643CC0">
        <w:trPr>
          <w:trHeight w:val="537"/>
          <w:tblHeader/>
        </w:trPr>
        <w:tc>
          <w:tcPr>
            <w:tcW w:w="1985" w:type="dxa"/>
            <w:vMerge/>
            <w:shd w:val="clear" w:color="auto" w:fill="auto"/>
            <w:noWrap/>
            <w:vAlign w:val="center"/>
          </w:tcPr>
          <w:p w:rsidR="004D3685" w:rsidRPr="00371F7A" w:rsidRDefault="004D3685" w:rsidP="004D3685">
            <w:pPr>
              <w:widowControl/>
              <w:spacing w:line="0" w:lineRule="atLeast"/>
              <w:jc w:val="center"/>
              <w:rPr>
                <w:rFonts w:eastAsia="標楷體"/>
                <w:bCs/>
                <w:color w:val="000000" w:themeColor="text1"/>
                <w:kern w:val="0"/>
                <w:sz w:val="26"/>
                <w:szCs w:val="26"/>
              </w:rPr>
            </w:pPr>
          </w:p>
        </w:tc>
        <w:tc>
          <w:tcPr>
            <w:tcW w:w="1299" w:type="dxa"/>
            <w:shd w:val="clear" w:color="auto" w:fill="auto"/>
            <w:noWrap/>
            <w:vAlign w:val="center"/>
          </w:tcPr>
          <w:p w:rsidR="004D3685" w:rsidRPr="00371F7A" w:rsidRDefault="00AD5AB0" w:rsidP="00297B34">
            <w:pPr>
              <w:spacing w:line="0" w:lineRule="atLeast"/>
              <w:jc w:val="center"/>
              <w:rPr>
                <w:rFonts w:eastAsia="標楷體" w:hAnsi="標楷體"/>
                <w:bCs/>
                <w:color w:val="000000" w:themeColor="text1"/>
                <w:kern w:val="0"/>
                <w:sz w:val="26"/>
                <w:szCs w:val="26"/>
              </w:rPr>
            </w:pPr>
            <w:r>
              <w:rPr>
                <w:rFonts w:eastAsia="標楷體" w:hAnsi="標楷體" w:hint="eastAsia"/>
                <w:bCs/>
                <w:color w:val="000000" w:themeColor="text1"/>
                <w:kern w:val="0"/>
                <w:sz w:val="26"/>
                <w:szCs w:val="26"/>
              </w:rPr>
              <w:t>同業往來</w:t>
            </w:r>
          </w:p>
        </w:tc>
        <w:tc>
          <w:tcPr>
            <w:tcW w:w="1516" w:type="dxa"/>
            <w:shd w:val="clear" w:color="auto" w:fill="auto"/>
            <w:vAlign w:val="center"/>
          </w:tcPr>
          <w:p w:rsidR="004D3685" w:rsidRPr="00371F7A" w:rsidRDefault="004D3685" w:rsidP="00CC0CBC">
            <w:pPr>
              <w:spacing w:line="0" w:lineRule="atLeast"/>
              <w:jc w:val="center"/>
              <w:rPr>
                <w:rFonts w:eastAsia="標楷體"/>
                <w:color w:val="000000" w:themeColor="text1"/>
                <w:sz w:val="26"/>
              </w:rPr>
            </w:pPr>
            <w:r w:rsidRPr="00371F7A">
              <w:rPr>
                <w:rFonts w:eastAsia="標楷體" w:hint="eastAsia"/>
                <w:color w:val="000000" w:themeColor="text1"/>
                <w:sz w:val="26"/>
              </w:rPr>
              <w:t>SII</w:t>
            </w:r>
          </w:p>
        </w:tc>
        <w:tc>
          <w:tcPr>
            <w:tcW w:w="2280" w:type="dxa"/>
            <w:vMerge/>
            <w:shd w:val="clear" w:color="auto" w:fill="auto"/>
            <w:noWrap/>
            <w:vAlign w:val="center"/>
          </w:tcPr>
          <w:p w:rsidR="004D3685" w:rsidRPr="00371F7A" w:rsidRDefault="004D3685" w:rsidP="00F944C7">
            <w:pPr>
              <w:widowControl/>
              <w:spacing w:line="0" w:lineRule="atLeast"/>
              <w:jc w:val="both"/>
              <w:rPr>
                <w:rFonts w:eastAsia="標楷體"/>
                <w:color w:val="000000" w:themeColor="text1"/>
                <w:sz w:val="26"/>
                <w:szCs w:val="26"/>
              </w:rPr>
            </w:pPr>
          </w:p>
        </w:tc>
        <w:tc>
          <w:tcPr>
            <w:tcW w:w="1706" w:type="dxa"/>
            <w:shd w:val="clear" w:color="auto" w:fill="auto"/>
            <w:noWrap/>
            <w:vAlign w:val="center"/>
          </w:tcPr>
          <w:p w:rsidR="004D3685" w:rsidRPr="004D3685" w:rsidRDefault="004D3685" w:rsidP="004D3685">
            <w:pPr>
              <w:widowControl/>
              <w:spacing w:line="0" w:lineRule="atLeast"/>
              <w:jc w:val="right"/>
              <w:rPr>
                <w:rFonts w:eastAsia="標楷體"/>
                <w:color w:val="000000" w:themeColor="text1"/>
                <w:sz w:val="26"/>
                <w:szCs w:val="26"/>
              </w:rPr>
            </w:pPr>
            <w:r>
              <w:rPr>
                <w:rFonts w:eastAsia="標楷體" w:hint="eastAsia"/>
                <w:color w:val="000000" w:themeColor="text1"/>
                <w:sz w:val="26"/>
                <w:szCs w:val="26"/>
              </w:rPr>
              <w:t>27</w:t>
            </w:r>
            <w:r w:rsidRPr="00371F7A">
              <w:rPr>
                <w:rFonts w:eastAsia="標楷體"/>
                <w:color w:val="000000" w:themeColor="text1"/>
                <w:sz w:val="26"/>
                <w:szCs w:val="26"/>
              </w:rPr>
              <w:t>,</w:t>
            </w:r>
            <w:r>
              <w:rPr>
                <w:rFonts w:eastAsia="標楷體" w:hint="eastAsia"/>
                <w:color w:val="000000" w:themeColor="text1"/>
                <w:sz w:val="26"/>
                <w:szCs w:val="26"/>
              </w:rPr>
              <w:t>919</w:t>
            </w:r>
            <w:r w:rsidRPr="00371F7A">
              <w:rPr>
                <w:rFonts w:eastAsia="標楷體"/>
                <w:color w:val="000000" w:themeColor="text1"/>
                <w:sz w:val="26"/>
                <w:szCs w:val="26"/>
              </w:rPr>
              <w:t>,4</w:t>
            </w:r>
            <w:r>
              <w:rPr>
                <w:rFonts w:eastAsia="標楷體" w:hint="eastAsia"/>
                <w:color w:val="000000" w:themeColor="text1"/>
                <w:sz w:val="26"/>
                <w:szCs w:val="26"/>
              </w:rPr>
              <w:t>81</w:t>
            </w:r>
          </w:p>
        </w:tc>
      </w:tr>
    </w:tbl>
    <w:p w:rsidR="00DE7202" w:rsidRDefault="00567251" w:rsidP="001719B7">
      <w:pPr>
        <w:pStyle w:val="3"/>
        <w:numPr>
          <w:ilvl w:val="0"/>
          <w:numId w:val="8"/>
        </w:numPr>
        <w:spacing w:beforeLines="100" w:before="240" w:afterLines="100" w:after="240" w:line="360" w:lineRule="auto"/>
        <w:ind w:leftChars="100" w:left="722" w:hanging="482"/>
        <w:jc w:val="both"/>
        <w:rPr>
          <w:rFonts w:ascii="Times New Roman" w:eastAsia="標楷體" w:hAnsi="Times New Roman"/>
          <w:sz w:val="32"/>
        </w:rPr>
      </w:pPr>
      <w:r w:rsidRPr="00EA272E">
        <w:rPr>
          <w:rFonts w:ascii="Times New Roman" w:eastAsia="標楷體" w:hAnsi="Times New Roman"/>
          <w:sz w:val="32"/>
        </w:rPr>
        <w:t>受控交易流程</w:t>
      </w:r>
      <w:r w:rsidR="00686FAB" w:rsidRPr="00EA272E">
        <w:rPr>
          <w:rFonts w:ascii="Times New Roman" w:eastAsia="標楷體" w:hAnsi="Times New Roman" w:hint="eastAsia"/>
          <w:sz w:val="32"/>
        </w:rPr>
        <w:t>及說明</w:t>
      </w:r>
    </w:p>
    <w:p w:rsidR="00DE7202" w:rsidRDefault="002A5C61" w:rsidP="001719B7">
      <w:pPr>
        <w:numPr>
          <w:ilvl w:val="0"/>
          <w:numId w:val="35"/>
        </w:numPr>
        <w:tabs>
          <w:tab w:val="left" w:pos="1134"/>
        </w:tabs>
        <w:spacing w:beforeLines="50" w:before="120" w:afterLines="50" w:after="120" w:line="360" w:lineRule="auto"/>
        <w:jc w:val="both"/>
        <w:rPr>
          <w:rFonts w:eastAsia="標楷體"/>
          <w:b/>
          <w:sz w:val="28"/>
          <w:szCs w:val="26"/>
        </w:rPr>
      </w:pPr>
      <w:r w:rsidRPr="002A5C61">
        <w:rPr>
          <w:rFonts w:eastAsia="標楷體" w:hint="eastAsia"/>
          <w:b/>
          <w:sz w:val="28"/>
          <w:szCs w:val="26"/>
        </w:rPr>
        <w:t>服務之提供</w:t>
      </w:r>
    </w:p>
    <w:p w:rsidR="00DE7202" w:rsidRDefault="00102577" w:rsidP="001719B7">
      <w:pPr>
        <w:tabs>
          <w:tab w:val="left" w:pos="1134"/>
        </w:tabs>
        <w:spacing w:beforeLines="50" w:before="120" w:afterLines="50" w:after="120" w:line="360" w:lineRule="auto"/>
        <w:ind w:leftChars="400" w:left="960"/>
        <w:jc w:val="both"/>
        <w:rPr>
          <w:rFonts w:eastAsia="標楷體"/>
          <w:color w:val="000000" w:themeColor="text1"/>
          <w:sz w:val="26"/>
          <w:szCs w:val="26"/>
        </w:rPr>
      </w:pPr>
      <w:r w:rsidRPr="005C09D4">
        <w:rPr>
          <w:rFonts w:eastAsia="標楷體" w:hint="eastAsia"/>
          <w:sz w:val="26"/>
          <w:szCs w:val="26"/>
        </w:rPr>
        <w:t>萊迪思台灣分公司協助</w:t>
      </w:r>
      <w:r w:rsidR="00A26460">
        <w:rPr>
          <w:rFonts w:eastAsia="標楷體" w:hint="eastAsia"/>
          <w:sz w:val="26"/>
          <w:szCs w:val="26"/>
        </w:rPr>
        <w:t>關係企業</w:t>
      </w:r>
      <w:r w:rsidR="00CF58B5" w:rsidRPr="00CF58B5">
        <w:rPr>
          <w:rFonts w:eastAsia="標楷體" w:hint="eastAsia"/>
          <w:sz w:val="26"/>
          <w:szCs w:val="26"/>
        </w:rPr>
        <w:t>提供亞洲各地分公司、代理商、客戶行銷、客戶聯繫、產品技術支援及產品服務</w:t>
      </w:r>
      <w:r w:rsidR="00371F7A">
        <w:rPr>
          <w:rFonts w:eastAsia="標楷體" w:hint="eastAsia"/>
          <w:sz w:val="26"/>
          <w:szCs w:val="26"/>
        </w:rPr>
        <w:t>，</w:t>
      </w:r>
      <w:proofErr w:type="gramStart"/>
      <w:r w:rsidR="00371F7A">
        <w:rPr>
          <w:rFonts w:eastAsia="標楷體" w:hint="eastAsia"/>
          <w:sz w:val="26"/>
          <w:szCs w:val="26"/>
        </w:rPr>
        <w:t>10</w:t>
      </w:r>
      <w:r w:rsidR="000D5025">
        <w:rPr>
          <w:rFonts w:eastAsia="標楷體" w:hint="eastAsia"/>
          <w:sz w:val="26"/>
          <w:szCs w:val="26"/>
        </w:rPr>
        <w:t>5</w:t>
      </w:r>
      <w:proofErr w:type="gramEnd"/>
      <w:r w:rsidR="00371F7A">
        <w:rPr>
          <w:rFonts w:eastAsia="標楷體" w:hint="eastAsia"/>
          <w:sz w:val="26"/>
          <w:szCs w:val="26"/>
        </w:rPr>
        <w:t>年度交易金額</w:t>
      </w:r>
      <w:r w:rsidR="00371F7A">
        <w:rPr>
          <w:rFonts w:eastAsia="標楷體" w:hint="eastAsia"/>
          <w:sz w:val="26"/>
          <w:szCs w:val="26"/>
        </w:rPr>
        <w:lastRenderedPageBreak/>
        <w:t>為</w:t>
      </w:r>
      <w:r w:rsidR="004D3685">
        <w:rPr>
          <w:rFonts w:eastAsia="標楷體" w:hint="eastAsia"/>
          <w:color w:val="000000" w:themeColor="text1"/>
          <w:sz w:val="26"/>
          <w:szCs w:val="26"/>
        </w:rPr>
        <w:t>69</w:t>
      </w:r>
      <w:r w:rsidR="004D3685" w:rsidRPr="00371F7A">
        <w:rPr>
          <w:rFonts w:eastAsia="標楷體"/>
          <w:color w:val="000000" w:themeColor="text1"/>
          <w:sz w:val="26"/>
          <w:szCs w:val="26"/>
        </w:rPr>
        <w:t>,3</w:t>
      </w:r>
      <w:r w:rsidR="004D3685">
        <w:rPr>
          <w:rFonts w:eastAsia="標楷體" w:hint="eastAsia"/>
          <w:color w:val="000000" w:themeColor="text1"/>
          <w:sz w:val="26"/>
          <w:szCs w:val="26"/>
        </w:rPr>
        <w:t>81</w:t>
      </w:r>
      <w:r w:rsidR="004D3685" w:rsidRPr="00371F7A">
        <w:rPr>
          <w:rFonts w:eastAsia="標楷體"/>
          <w:color w:val="000000" w:themeColor="text1"/>
          <w:sz w:val="26"/>
          <w:szCs w:val="26"/>
        </w:rPr>
        <w:t>,</w:t>
      </w:r>
      <w:r w:rsidR="004D3685">
        <w:rPr>
          <w:rFonts w:eastAsia="標楷體" w:hint="eastAsia"/>
          <w:color w:val="000000" w:themeColor="text1"/>
          <w:sz w:val="26"/>
          <w:szCs w:val="26"/>
        </w:rPr>
        <w:t>182</w:t>
      </w:r>
      <w:r w:rsidR="00371F7A">
        <w:rPr>
          <w:rFonts w:eastAsia="標楷體" w:hint="eastAsia"/>
          <w:color w:val="000000" w:themeColor="text1"/>
          <w:sz w:val="26"/>
          <w:szCs w:val="26"/>
        </w:rPr>
        <w:t>元。</w:t>
      </w:r>
    </w:p>
    <w:p w:rsidR="00697B5D" w:rsidRDefault="00697B5D" w:rsidP="00697B5D">
      <w:pPr>
        <w:tabs>
          <w:tab w:val="left" w:pos="1134"/>
        </w:tabs>
        <w:spacing w:beforeLines="50" w:before="120" w:afterLines="50" w:after="120" w:line="360" w:lineRule="auto"/>
        <w:ind w:leftChars="400" w:left="960"/>
        <w:jc w:val="both"/>
        <w:rPr>
          <w:rFonts w:eastAsia="標楷體"/>
          <w:sz w:val="26"/>
          <w:szCs w:val="26"/>
        </w:rPr>
      </w:pPr>
      <w:r w:rsidRPr="005C09D4">
        <w:rPr>
          <w:rFonts w:eastAsia="標楷體" w:hint="eastAsia"/>
          <w:sz w:val="26"/>
          <w:szCs w:val="26"/>
        </w:rPr>
        <w:t>萊迪思台灣分公司與</w:t>
      </w:r>
      <w:r>
        <w:rPr>
          <w:rFonts w:eastAsia="標楷體" w:hint="eastAsia"/>
          <w:sz w:val="26"/>
          <w:szCs w:val="26"/>
        </w:rPr>
        <w:t>關係企業</w:t>
      </w:r>
      <w:r w:rsidRPr="006170AF">
        <w:rPr>
          <w:rFonts w:eastAsia="標楷體" w:hint="eastAsia"/>
          <w:sz w:val="26"/>
          <w:szCs w:val="26"/>
        </w:rPr>
        <w:t>技術服務</w:t>
      </w:r>
      <w:r w:rsidRPr="005C09D4">
        <w:rPr>
          <w:rFonts w:eastAsia="標楷體" w:hint="eastAsia"/>
          <w:sz w:val="26"/>
          <w:szCs w:val="26"/>
        </w:rPr>
        <w:t>受控交易流程如下圖所示：</w:t>
      </w:r>
    </w:p>
    <w:p w:rsidR="00697B5D" w:rsidRDefault="00697B5D" w:rsidP="00697B5D">
      <w:pPr>
        <w:tabs>
          <w:tab w:val="left" w:pos="1134"/>
        </w:tabs>
        <w:spacing w:beforeLines="50" w:before="120" w:afterLines="50" w:after="120" w:line="360" w:lineRule="auto"/>
        <w:ind w:leftChars="400" w:left="960" w:firstLineChars="2" w:firstLine="5"/>
        <w:jc w:val="center"/>
        <w:rPr>
          <w:rFonts w:eastAsia="標楷體"/>
          <w:color w:val="0070C0"/>
          <w:sz w:val="26"/>
          <w:szCs w:val="26"/>
        </w:rPr>
      </w:pPr>
      <w:r>
        <w:rPr>
          <w:rFonts w:eastAsia="標楷體"/>
          <w:noProof/>
          <w:color w:val="0070C0"/>
          <w:sz w:val="26"/>
          <w:szCs w:val="26"/>
        </w:rPr>
        <mc:AlternateContent>
          <mc:Choice Requires="wpc">
            <w:drawing>
              <wp:inline distT="0" distB="0" distL="0" distR="0" wp14:anchorId="0AA7BA19" wp14:editId="5F9B07EE">
                <wp:extent cx="4703445" cy="1544955"/>
                <wp:effectExtent l="0" t="0" r="0" b="74295"/>
                <wp:docPr id="33" name="畫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Rectangle 237"/>
                        <wps:cNvSpPr>
                          <a:spLocks noChangeArrowheads="1"/>
                        </wps:cNvSpPr>
                        <wps:spPr bwMode="auto">
                          <a:xfrm>
                            <a:off x="1447800" y="1068070"/>
                            <a:ext cx="1828800" cy="45910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7B5D" w:rsidRPr="00063D6B" w:rsidRDefault="00697B5D" w:rsidP="00697B5D">
                              <w:pPr>
                                <w:spacing w:beforeLines="50" w:before="120"/>
                                <w:jc w:val="center"/>
                                <w:rPr>
                                  <w:rFonts w:ascii="標楷體" w:eastAsia="標楷體" w:hAnsi="標楷體"/>
                                  <w:sz w:val="26"/>
                                  <w:szCs w:val="26"/>
                                </w:rPr>
                              </w:pPr>
                              <w:r w:rsidRPr="00063D6B">
                                <w:rPr>
                                  <w:rFonts w:ascii="標楷體" w:eastAsia="標楷體" w:hAnsi="標楷體" w:hint="eastAsia"/>
                                  <w:sz w:val="26"/>
                                  <w:szCs w:val="26"/>
                                </w:rPr>
                                <w:t>萊迪思台灣分公司</w:t>
                              </w:r>
                            </w:p>
                          </w:txbxContent>
                        </wps:txbx>
                        <wps:bodyPr rot="0" vert="horz" wrap="square" lIns="91440" tIns="45720" rIns="91440" bIns="45720" anchor="t" anchorCtr="0" upright="1">
                          <a:noAutofit/>
                        </wps:bodyPr>
                      </wps:wsp>
                      <wps:wsp>
                        <wps:cNvPr id="18" name="Text Box 238"/>
                        <wps:cNvSpPr txBox="1">
                          <a:spLocks noChangeArrowheads="1"/>
                        </wps:cNvSpPr>
                        <wps:spPr bwMode="auto">
                          <a:xfrm>
                            <a:off x="1259840" y="680720"/>
                            <a:ext cx="104648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B5D" w:rsidRPr="00554CD8" w:rsidRDefault="00697B5D" w:rsidP="00697B5D">
                              <w:pPr>
                                <w:widowControl/>
                                <w:spacing w:line="0" w:lineRule="atLeast"/>
                                <w:jc w:val="center"/>
                                <w:rPr>
                                  <w:rFonts w:ascii="標楷體" w:eastAsia="標楷體" w:hAnsi="標楷體"/>
                                </w:rPr>
                              </w:pPr>
                              <w:r w:rsidRPr="00021EB4">
                                <w:rPr>
                                  <w:rFonts w:eastAsia="標楷體" w:hint="eastAsia"/>
                                  <w:bCs/>
                                  <w:kern w:val="0"/>
                                  <w:sz w:val="26"/>
                                  <w:szCs w:val="26"/>
                                </w:rPr>
                                <w:t>服務</w:t>
                              </w:r>
                              <w:r>
                                <w:rPr>
                                  <w:rFonts w:eastAsia="標楷體" w:hint="eastAsia"/>
                                  <w:bCs/>
                                  <w:kern w:val="0"/>
                                  <w:sz w:val="26"/>
                                  <w:szCs w:val="26"/>
                                </w:rPr>
                                <w:t>之</w:t>
                              </w:r>
                              <w:r w:rsidRPr="002A5C61">
                                <w:rPr>
                                  <w:rFonts w:eastAsia="標楷體" w:hint="eastAsia"/>
                                  <w:sz w:val="26"/>
                                  <w:szCs w:val="26"/>
                                </w:rPr>
                                <w:t>提供</w:t>
                              </w:r>
                            </w:p>
                          </w:txbxContent>
                        </wps:txbx>
                        <wps:bodyPr rot="0" vert="horz" wrap="square" lIns="91440" tIns="45720" rIns="91440" bIns="45720" anchor="t" anchorCtr="0" upright="1">
                          <a:noAutofit/>
                        </wps:bodyPr>
                      </wps:wsp>
                      <wps:wsp>
                        <wps:cNvPr id="19" name="Rectangle 239"/>
                        <wps:cNvSpPr>
                          <a:spLocks noChangeArrowheads="1"/>
                        </wps:cNvSpPr>
                        <wps:spPr bwMode="auto">
                          <a:xfrm>
                            <a:off x="1449069" y="99060"/>
                            <a:ext cx="1828800" cy="4318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7B5D" w:rsidRPr="00063D6B" w:rsidRDefault="00697B5D" w:rsidP="00697B5D">
                              <w:pPr>
                                <w:spacing w:beforeLines="50" w:before="120"/>
                                <w:jc w:val="center"/>
                                <w:rPr>
                                  <w:rFonts w:eastAsia="標楷體"/>
                                  <w:sz w:val="26"/>
                                  <w:szCs w:val="26"/>
                                </w:rPr>
                              </w:pPr>
                              <w:r w:rsidRPr="00063D6B">
                                <w:rPr>
                                  <w:rFonts w:eastAsia="標楷體"/>
                                  <w:sz w:val="26"/>
                                  <w:szCs w:val="26"/>
                                </w:rPr>
                                <w:t>LSG</w:t>
                              </w:r>
                            </w:p>
                          </w:txbxContent>
                        </wps:txbx>
                        <wps:bodyPr rot="0" vert="horz" wrap="square" lIns="91440" tIns="45720" rIns="91440" bIns="45720" anchor="t" anchorCtr="0" upright="1">
                          <a:noAutofit/>
                        </wps:bodyPr>
                      </wps:wsp>
                      <wps:wsp>
                        <wps:cNvPr id="32" name="AutoShape 249"/>
                        <wps:cNvCnPr>
                          <a:cxnSpLocks noChangeShapeType="1"/>
                          <a:stCxn id="16" idx="0"/>
                          <a:endCxn id="19" idx="2"/>
                        </wps:cNvCnPr>
                        <wps:spPr bwMode="auto">
                          <a:xfrm flipV="1">
                            <a:off x="2362200" y="530860"/>
                            <a:ext cx="1269" cy="537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畫布 33" o:spid="_x0000_s1050" editas="canvas" style="width:370.35pt;height:121.65pt;mso-position-horizontal-relative:char;mso-position-vertical-relative:line" coordsize="47034,1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">
                <v:shape id="_x0000_s1051" type="#_x0000_t75" style="position:absolute;width:47034;height:15449;visibility:visible;mso-wrap-style:square">
                  <v:fill o:detectmouseclick="t"/>
                  <v:path o:connecttype="none"/>
                </v:shape>
                <v:rect id="Rectangle 237" o:spid="_x0000_s1052" style="position:absolute;left:14478;top:10680;width:18288;height:4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AwsIA&#10;AADbAAAADwAAAGRycy9kb3ducmV2LnhtbERPS2uDQBC+F/oflgnkUuKaHEIwWaUEhLa32DyuU3eq&#10;UnfWuls1/z5bCOQ2H99zdtlkWjFQ7xrLCpZRDIK4tLrhSsHxM19sQDiPrLG1TAqu5CBLn592mGg7&#10;8oGGwlcihLBLUEHtfZdI6cqaDLrIdsSB+7a9QR9gX0nd4xjCTStXcbyWBhsODTV2tK+p/Cn+jIL3&#10;4dKWv8eX01Lba26rzflj+jJKzWfT6xaEp8k/xHf3mw7z1/D/SzhAp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8DCwgAAANsAAAAPAAAAAAAAAAAAAAAAAJgCAABkcnMvZG93&#10;bnJldi54bWxQSwUGAAAAAAQABAD1AAAAhwMAAAAA&#10;">
                  <v:shadow on="t" opacity=".5" offset="6pt,6pt"/>
                  <v:textbox>
                    <w:txbxContent>
                      <w:p w:rsidR="00697B5D" w:rsidRPr="00063D6B" w:rsidRDefault="00697B5D" w:rsidP="00697B5D">
                        <w:pPr>
                          <w:spacing w:beforeLines="50" w:before="120"/>
                          <w:jc w:val="center"/>
                          <w:rPr>
                            <w:rFonts w:ascii="標楷體" w:eastAsia="標楷體" w:hAnsi="標楷體"/>
                            <w:sz w:val="26"/>
                            <w:szCs w:val="26"/>
                          </w:rPr>
                        </w:pPr>
                        <w:r w:rsidRPr="00063D6B">
                          <w:rPr>
                            <w:rFonts w:ascii="標楷體" w:eastAsia="標楷體" w:hAnsi="標楷體" w:hint="eastAsia"/>
                            <w:sz w:val="26"/>
                            <w:szCs w:val="26"/>
                          </w:rPr>
                          <w:t>萊迪思台灣分公司</w:t>
                        </w:r>
                      </w:p>
                    </w:txbxContent>
                  </v:textbox>
                </v:rect>
                <v:shape id="Text Box 238" o:spid="_x0000_s1053" type="#_x0000_t202" style="position:absolute;left:12598;top:6807;width:10465;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697B5D" w:rsidRPr="00554CD8" w:rsidRDefault="00697B5D" w:rsidP="00697B5D">
                        <w:pPr>
                          <w:widowControl/>
                          <w:spacing w:line="0" w:lineRule="atLeast"/>
                          <w:jc w:val="center"/>
                          <w:rPr>
                            <w:rFonts w:ascii="標楷體" w:eastAsia="標楷體" w:hAnsi="標楷體"/>
                          </w:rPr>
                        </w:pPr>
                        <w:r w:rsidRPr="00021EB4">
                          <w:rPr>
                            <w:rFonts w:eastAsia="標楷體" w:hint="eastAsia"/>
                            <w:bCs/>
                            <w:kern w:val="0"/>
                            <w:sz w:val="26"/>
                            <w:szCs w:val="26"/>
                          </w:rPr>
                          <w:t>服務</w:t>
                        </w:r>
                        <w:r>
                          <w:rPr>
                            <w:rFonts w:eastAsia="標楷體" w:hint="eastAsia"/>
                            <w:bCs/>
                            <w:kern w:val="0"/>
                            <w:sz w:val="26"/>
                            <w:szCs w:val="26"/>
                          </w:rPr>
                          <w:t>之</w:t>
                        </w:r>
                        <w:r w:rsidRPr="002A5C61">
                          <w:rPr>
                            <w:rFonts w:eastAsia="標楷體" w:hint="eastAsia"/>
                            <w:sz w:val="26"/>
                            <w:szCs w:val="26"/>
                          </w:rPr>
                          <w:t>提供</w:t>
                        </w:r>
                      </w:p>
                    </w:txbxContent>
                  </v:textbox>
                </v:shape>
                <v:rect id="Rectangle 239" o:spid="_x0000_s1054" style="position:absolute;left:14490;top:990;width:1828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UsMEA&#10;AADbAAAADwAAAGRycy9kb3ducmV2LnhtbERPS4vCMBC+C/sfwix4EU3rQdxqlEUoqDcfu3sdm7Et&#10;20xqE2v990YQvM3H95z5sjOVaKlxpWUF8SgCQZxZXXKu4HhIh1MQziNrrCyTgjs5WC4+enNMtL3x&#10;jtq9z0UIYZeggsL7OpHSZQUZdCNbEwfubBuDPsAml7rBWwg3lRxH0UQaLDk0FFjTqqDsf381Cjbt&#10;X5VdjoOfWNt7avPp77Y7GaX6n933DISnzr/FL/dah/lf8PwlH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4VLDBAAAA2wAAAA8AAAAAAAAAAAAAAAAAmAIAAGRycy9kb3du&#10;cmV2LnhtbFBLBQYAAAAABAAEAPUAAACGAwAAAAA=&#10;">
                  <v:shadow on="t" opacity=".5" offset="6pt,6pt"/>
                  <v:textbox>
                    <w:txbxContent>
                      <w:p w:rsidR="00697B5D" w:rsidRPr="00063D6B" w:rsidRDefault="00697B5D" w:rsidP="00697B5D">
                        <w:pPr>
                          <w:spacing w:beforeLines="50" w:before="120"/>
                          <w:jc w:val="center"/>
                          <w:rPr>
                            <w:rFonts w:eastAsia="標楷體"/>
                            <w:sz w:val="26"/>
                            <w:szCs w:val="26"/>
                          </w:rPr>
                        </w:pPr>
                        <w:r w:rsidRPr="00063D6B">
                          <w:rPr>
                            <w:rFonts w:eastAsia="標楷體"/>
                            <w:sz w:val="26"/>
                            <w:szCs w:val="26"/>
                          </w:rPr>
                          <w:t>LSG</w:t>
                        </w:r>
                      </w:p>
                    </w:txbxContent>
                  </v:textbox>
                </v:rect>
                <v:shapetype id="_x0000_t32" coordsize="21600,21600" o:spt="32" o:oned="t" path="m,l21600,21600e" filled="f">
                  <v:path arrowok="t" fillok="f" o:connecttype="none"/>
                  <o:lock v:ext="edit" shapetype="t"/>
                </v:shapetype>
                <v:shape id="AutoShape 249" o:spid="_x0000_s1055" type="#_x0000_t32" style="position:absolute;left:23622;top:5308;width:12;height:53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w10:anchorlock/>
              </v:group>
            </w:pict>
          </mc:Fallback>
        </mc:AlternateContent>
      </w:r>
    </w:p>
    <w:p w:rsidR="00F22C8A" w:rsidRDefault="00F22C8A" w:rsidP="001719B7">
      <w:pPr>
        <w:numPr>
          <w:ilvl w:val="0"/>
          <w:numId w:val="35"/>
        </w:numPr>
        <w:tabs>
          <w:tab w:val="left" w:pos="1134"/>
        </w:tabs>
        <w:spacing w:beforeLines="50" w:before="120" w:afterLines="50" w:after="120" w:line="360" w:lineRule="auto"/>
        <w:jc w:val="both"/>
        <w:rPr>
          <w:rFonts w:eastAsia="標楷體"/>
          <w:b/>
          <w:sz w:val="28"/>
          <w:szCs w:val="26"/>
        </w:rPr>
      </w:pPr>
      <w:r w:rsidRPr="001B49DE">
        <w:rPr>
          <w:rFonts w:eastAsia="標楷體" w:hint="eastAsia"/>
          <w:b/>
          <w:sz w:val="28"/>
          <w:szCs w:val="26"/>
        </w:rPr>
        <w:t>資金之使用</w:t>
      </w:r>
    </w:p>
    <w:p w:rsidR="00F22C8A" w:rsidRPr="00371F7A" w:rsidRDefault="00F22C8A" w:rsidP="001719B7">
      <w:pPr>
        <w:tabs>
          <w:tab w:val="left" w:pos="1134"/>
        </w:tabs>
        <w:spacing w:beforeLines="50" w:before="120" w:afterLines="50" w:after="120" w:line="360" w:lineRule="auto"/>
        <w:ind w:leftChars="400" w:left="960"/>
        <w:jc w:val="both"/>
        <w:rPr>
          <w:rFonts w:eastAsia="標楷體"/>
          <w:sz w:val="26"/>
          <w:szCs w:val="26"/>
        </w:rPr>
      </w:pPr>
      <w:r w:rsidRPr="00371F7A">
        <w:rPr>
          <w:rFonts w:eastAsia="標楷體" w:hint="eastAsia"/>
          <w:sz w:val="26"/>
          <w:szCs w:val="26"/>
        </w:rPr>
        <w:t>萊迪思台灣分公司帳上有</w:t>
      </w:r>
      <w:r w:rsidR="00E43C84" w:rsidRPr="00E43C84">
        <w:rPr>
          <w:rFonts w:eastAsia="標楷體" w:hint="eastAsia"/>
          <w:sz w:val="26"/>
          <w:szCs w:val="26"/>
        </w:rPr>
        <w:t>與關係企業</w:t>
      </w:r>
      <w:r w:rsidR="00E43C84">
        <w:rPr>
          <w:rFonts w:eastAsia="標楷體" w:hint="eastAsia"/>
          <w:sz w:val="26"/>
          <w:szCs w:val="26"/>
        </w:rPr>
        <w:t>資金</w:t>
      </w:r>
      <w:r w:rsidRPr="00371F7A">
        <w:rPr>
          <w:rFonts w:eastAsia="標楷體" w:hint="eastAsia"/>
          <w:sz w:val="26"/>
          <w:szCs w:val="26"/>
        </w:rPr>
        <w:t>往來，其為應付性質之款項。</w:t>
      </w:r>
    </w:p>
    <w:p w:rsidR="00DE7202" w:rsidRDefault="00567251" w:rsidP="001719B7">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契約條款及憑證</w:t>
      </w:r>
    </w:p>
    <w:p w:rsidR="00DE7202" w:rsidRDefault="00D9100D" w:rsidP="001719B7">
      <w:pPr>
        <w:spacing w:beforeLines="50" w:before="120" w:afterLines="50" w:after="120" w:line="360" w:lineRule="auto"/>
        <w:ind w:firstLineChars="200" w:firstLine="520"/>
        <w:jc w:val="both"/>
        <w:rPr>
          <w:rFonts w:eastAsia="標楷體"/>
          <w:sz w:val="26"/>
          <w:szCs w:val="26"/>
        </w:rPr>
      </w:pPr>
      <w:r w:rsidRPr="00D9100D">
        <w:rPr>
          <w:rFonts w:eastAsia="標楷體" w:hint="eastAsia"/>
          <w:sz w:val="26"/>
          <w:szCs w:val="26"/>
        </w:rPr>
        <w:t>萊迪思台灣分公司與</w:t>
      </w:r>
      <w:proofErr w:type="gramStart"/>
      <w:r w:rsidR="00316331">
        <w:rPr>
          <w:rFonts w:eastAsia="標楷體" w:hint="eastAsia"/>
          <w:sz w:val="26"/>
          <w:szCs w:val="26"/>
        </w:rPr>
        <w:t>關係企業</w:t>
      </w:r>
      <w:r w:rsidRPr="00D9100D">
        <w:rPr>
          <w:rFonts w:eastAsia="標楷體" w:hint="eastAsia"/>
          <w:sz w:val="26"/>
          <w:szCs w:val="26"/>
        </w:rPr>
        <w:t>間訂有</w:t>
      </w:r>
      <w:proofErr w:type="gramEnd"/>
      <w:r w:rsidRPr="00D9100D">
        <w:rPr>
          <w:rFonts w:eastAsia="標楷體" w:hint="eastAsia"/>
          <w:sz w:val="26"/>
          <w:szCs w:val="26"/>
        </w:rPr>
        <w:t>支援服務合約</w:t>
      </w:r>
      <w:r w:rsidR="00A6473B" w:rsidRPr="00D9100D">
        <w:rPr>
          <w:rFonts w:eastAsia="標楷體" w:hint="eastAsia"/>
          <w:sz w:val="26"/>
          <w:szCs w:val="26"/>
        </w:rPr>
        <w:t>。</w:t>
      </w:r>
    </w:p>
    <w:p w:rsidR="00DE7202" w:rsidRDefault="002C1CD5" w:rsidP="001719B7">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收</w:t>
      </w:r>
      <w:r w:rsidR="00CB2FA0" w:rsidRPr="00EA272E">
        <w:rPr>
          <w:rFonts w:ascii="Times New Roman" w:eastAsia="標楷體" w:hAnsi="Times New Roman"/>
          <w:sz w:val="36"/>
          <w:szCs w:val="40"/>
        </w:rPr>
        <w:t>付款</w:t>
      </w:r>
      <w:r w:rsidR="00E06761" w:rsidRPr="00EA272E">
        <w:rPr>
          <w:rFonts w:ascii="Times New Roman" w:eastAsia="標楷體" w:hAnsi="Times New Roman" w:hint="eastAsia"/>
          <w:sz w:val="36"/>
          <w:szCs w:val="40"/>
        </w:rPr>
        <w:t>條件</w:t>
      </w:r>
    </w:p>
    <w:p w:rsidR="00DE7202" w:rsidRDefault="003A761B" w:rsidP="001719B7">
      <w:pPr>
        <w:spacing w:beforeLines="50" w:before="120" w:afterLines="50" w:after="120" w:line="360" w:lineRule="auto"/>
        <w:ind w:firstLineChars="200" w:firstLine="520"/>
        <w:jc w:val="both"/>
        <w:rPr>
          <w:rFonts w:eastAsia="標楷體"/>
        </w:rPr>
      </w:pPr>
      <w:r w:rsidRPr="00D9100D">
        <w:rPr>
          <w:rFonts w:eastAsia="標楷體" w:hint="eastAsia"/>
          <w:sz w:val="26"/>
          <w:szCs w:val="26"/>
        </w:rPr>
        <w:t>萊迪思台灣分公司</w:t>
      </w:r>
      <w:r w:rsidR="00E06761" w:rsidRPr="00D9100D">
        <w:rPr>
          <w:rFonts w:eastAsia="標楷體" w:hint="eastAsia"/>
          <w:sz w:val="26"/>
          <w:szCs w:val="26"/>
        </w:rPr>
        <w:t>給予關係企業之付款條件為</w:t>
      </w:r>
      <w:r w:rsidR="00D9100D" w:rsidRPr="00D9100D">
        <w:rPr>
          <w:rFonts w:eastAsia="標楷體" w:hint="eastAsia"/>
          <w:sz w:val="26"/>
          <w:szCs w:val="26"/>
        </w:rPr>
        <w:t>每月底撥款</w:t>
      </w:r>
      <w:r w:rsidR="00E06761" w:rsidRPr="00D9100D">
        <w:rPr>
          <w:rFonts w:eastAsia="標楷體" w:hint="eastAsia"/>
          <w:sz w:val="26"/>
          <w:szCs w:val="26"/>
        </w:rPr>
        <w:t>。</w:t>
      </w:r>
    </w:p>
    <w:p w:rsidR="00DE7202" w:rsidRDefault="00B40737" w:rsidP="001719B7">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bookmarkStart w:id="39" w:name="_Toc136775348"/>
      <w:r w:rsidRPr="00B40737">
        <w:rPr>
          <w:rFonts w:ascii="Times New Roman" w:eastAsia="標楷體" w:hAnsi="Times New Roman" w:hint="eastAsia"/>
          <w:sz w:val="36"/>
          <w:szCs w:val="40"/>
        </w:rPr>
        <w:t>未於</w:t>
      </w:r>
      <w:r w:rsidRPr="00B40737">
        <w:rPr>
          <w:rFonts w:ascii="Times New Roman" w:eastAsia="標楷體" w:hAnsi="Times New Roman"/>
          <w:sz w:val="36"/>
          <w:szCs w:val="40"/>
        </w:rPr>
        <w:t>本</w:t>
      </w:r>
      <w:r w:rsidRPr="00B40737">
        <w:rPr>
          <w:rFonts w:ascii="Times New Roman" w:eastAsia="標楷體" w:hAnsi="Times New Roman" w:hint="eastAsia"/>
          <w:sz w:val="36"/>
          <w:szCs w:val="40"/>
        </w:rPr>
        <w:t>替代文據進行個別</w:t>
      </w:r>
      <w:r w:rsidRPr="00B40737">
        <w:rPr>
          <w:rFonts w:ascii="Times New Roman" w:eastAsia="標楷體" w:hAnsi="Times New Roman"/>
          <w:sz w:val="36"/>
          <w:szCs w:val="40"/>
        </w:rPr>
        <w:t>分析之</w:t>
      </w:r>
      <w:r w:rsidRPr="00B40737">
        <w:rPr>
          <w:rFonts w:ascii="Times New Roman" w:eastAsia="標楷體" w:hAnsi="Times New Roman" w:hint="eastAsia"/>
          <w:sz w:val="36"/>
          <w:szCs w:val="40"/>
        </w:rPr>
        <w:t>受控</w:t>
      </w:r>
      <w:r w:rsidRPr="00B40737">
        <w:rPr>
          <w:rFonts w:ascii="Times New Roman" w:eastAsia="標楷體" w:hAnsi="Times New Roman"/>
          <w:sz w:val="36"/>
          <w:szCs w:val="40"/>
        </w:rPr>
        <w:t>交易</w:t>
      </w:r>
    </w:p>
    <w:p w:rsidR="00751857" w:rsidRDefault="00751857" w:rsidP="001719B7">
      <w:pPr>
        <w:numPr>
          <w:ilvl w:val="0"/>
          <w:numId w:val="46"/>
        </w:numPr>
        <w:tabs>
          <w:tab w:val="left" w:pos="1134"/>
        </w:tabs>
        <w:spacing w:beforeLines="50" w:before="120" w:afterLines="50" w:after="120" w:line="360" w:lineRule="auto"/>
        <w:jc w:val="both"/>
        <w:rPr>
          <w:rFonts w:eastAsia="標楷體"/>
          <w:b/>
          <w:sz w:val="28"/>
          <w:szCs w:val="26"/>
        </w:rPr>
      </w:pPr>
      <w:r w:rsidRPr="001B49DE">
        <w:rPr>
          <w:rFonts w:eastAsia="標楷體" w:hint="eastAsia"/>
          <w:b/>
          <w:sz w:val="28"/>
          <w:szCs w:val="26"/>
        </w:rPr>
        <w:t>資金</w:t>
      </w:r>
      <w:r>
        <w:rPr>
          <w:rFonts w:eastAsia="標楷體" w:hint="eastAsia"/>
          <w:b/>
          <w:sz w:val="28"/>
          <w:szCs w:val="26"/>
        </w:rPr>
        <w:t>之</w:t>
      </w:r>
      <w:r w:rsidRPr="001B49DE">
        <w:rPr>
          <w:rFonts w:eastAsia="標楷體" w:hint="eastAsia"/>
          <w:b/>
          <w:sz w:val="28"/>
          <w:szCs w:val="26"/>
        </w:rPr>
        <w:t>使用</w:t>
      </w:r>
    </w:p>
    <w:p w:rsidR="00751857" w:rsidRPr="00751857" w:rsidRDefault="00751857" w:rsidP="001719B7">
      <w:pPr>
        <w:tabs>
          <w:tab w:val="left" w:pos="1134"/>
        </w:tabs>
        <w:spacing w:beforeLines="50" w:before="120" w:afterLines="50" w:after="120" w:line="360" w:lineRule="auto"/>
        <w:ind w:left="1080"/>
        <w:jc w:val="both"/>
        <w:rPr>
          <w:rFonts w:eastAsia="標楷體"/>
          <w:b/>
          <w:sz w:val="28"/>
          <w:szCs w:val="26"/>
        </w:rPr>
      </w:pPr>
      <w:r w:rsidRPr="00751857">
        <w:rPr>
          <w:rFonts w:eastAsia="標楷體" w:hint="eastAsia"/>
          <w:sz w:val="26"/>
          <w:szCs w:val="26"/>
        </w:rPr>
        <w:t>萊迪思台灣分公司帳上有與</w:t>
      </w:r>
      <w:r w:rsidR="00E43C84">
        <w:rPr>
          <w:rFonts w:eastAsia="標楷體" w:hint="eastAsia"/>
          <w:sz w:val="26"/>
          <w:szCs w:val="26"/>
        </w:rPr>
        <w:t>關係企業應付性質款項之</w:t>
      </w:r>
      <w:r w:rsidRPr="00751857">
        <w:rPr>
          <w:rFonts w:eastAsia="標楷體" w:hint="eastAsia"/>
          <w:sz w:val="26"/>
          <w:szCs w:val="26"/>
        </w:rPr>
        <w:t>往來，因</w:t>
      </w:r>
      <w:r w:rsidR="00E43C84">
        <w:rPr>
          <w:rFonts w:eastAsia="標楷體" w:hint="eastAsia"/>
          <w:sz w:val="26"/>
          <w:szCs w:val="26"/>
        </w:rPr>
        <w:t>關係企業未對萊迪思台灣分公司收取利息，</w:t>
      </w:r>
      <w:r w:rsidRPr="00751857">
        <w:rPr>
          <w:rFonts w:eastAsia="標楷體" w:hint="eastAsia"/>
          <w:sz w:val="26"/>
          <w:szCs w:val="26"/>
        </w:rPr>
        <w:t>對我國稅收有利，故</w:t>
      </w:r>
      <w:proofErr w:type="gramStart"/>
      <w:r w:rsidRPr="00751857">
        <w:rPr>
          <w:rFonts w:eastAsia="標楷體" w:hint="eastAsia"/>
          <w:sz w:val="26"/>
          <w:szCs w:val="26"/>
        </w:rPr>
        <w:t>不</w:t>
      </w:r>
      <w:proofErr w:type="gramEnd"/>
      <w:r w:rsidRPr="00751857">
        <w:rPr>
          <w:rFonts w:eastAsia="標楷體" w:hint="eastAsia"/>
          <w:sz w:val="26"/>
          <w:szCs w:val="26"/>
        </w:rPr>
        <w:t>於本文據中個別分析。</w:t>
      </w:r>
    </w:p>
    <w:p w:rsidR="00756857" w:rsidRPr="00371F7A" w:rsidRDefault="00756857" w:rsidP="001719B7">
      <w:pPr>
        <w:tabs>
          <w:tab w:val="left" w:pos="1134"/>
        </w:tabs>
        <w:spacing w:beforeLines="50" w:before="120" w:afterLines="50" w:after="120" w:line="360" w:lineRule="auto"/>
        <w:ind w:left="1080"/>
        <w:jc w:val="both"/>
        <w:rPr>
          <w:rFonts w:eastAsia="標楷體"/>
          <w:color w:val="000000" w:themeColor="text1"/>
          <w:sz w:val="26"/>
          <w:szCs w:val="26"/>
        </w:rPr>
      </w:pPr>
    </w:p>
    <w:p w:rsidR="00F22C8A" w:rsidRDefault="00F22C8A" w:rsidP="001719B7">
      <w:pPr>
        <w:tabs>
          <w:tab w:val="left" w:pos="1134"/>
        </w:tabs>
        <w:spacing w:beforeLines="50" w:before="120" w:afterLines="50" w:after="120" w:line="360" w:lineRule="auto"/>
        <w:ind w:leftChars="400" w:left="960"/>
        <w:jc w:val="both"/>
        <w:rPr>
          <w:rFonts w:eastAsia="標楷體"/>
          <w:sz w:val="26"/>
          <w:szCs w:val="26"/>
        </w:rPr>
      </w:pPr>
    </w:p>
    <w:p w:rsidR="00F22C8A" w:rsidRPr="00F22C8A" w:rsidRDefault="00F22C8A" w:rsidP="001719B7">
      <w:pPr>
        <w:tabs>
          <w:tab w:val="left" w:pos="1134"/>
        </w:tabs>
        <w:spacing w:beforeLines="50" w:before="120" w:afterLines="50" w:after="120" w:line="360" w:lineRule="auto"/>
        <w:ind w:leftChars="400" w:left="960"/>
        <w:jc w:val="both"/>
        <w:rPr>
          <w:rFonts w:eastAsia="標楷體"/>
          <w:color w:val="FF0000"/>
          <w:sz w:val="26"/>
          <w:szCs w:val="26"/>
        </w:rPr>
      </w:pPr>
    </w:p>
    <w:p w:rsidR="008C48FB" w:rsidRPr="00B40737" w:rsidRDefault="008C48FB" w:rsidP="001719B7">
      <w:pPr>
        <w:spacing w:beforeLines="50" w:before="120" w:afterLines="50" w:after="120" w:line="360" w:lineRule="auto"/>
        <w:jc w:val="both"/>
        <w:rPr>
          <w:rFonts w:eastAsia="標楷體"/>
          <w:sz w:val="26"/>
          <w:szCs w:val="26"/>
        </w:rPr>
        <w:sectPr w:rsidR="008C48FB" w:rsidRPr="00B40737" w:rsidSect="000223C9">
          <w:type w:val="oddPage"/>
          <w:pgSz w:w="11906" w:h="16838" w:code="9"/>
          <w:pgMar w:top="2160" w:right="1440" w:bottom="1814" w:left="1440" w:header="851" w:footer="567" w:gutter="567"/>
          <w:cols w:space="425"/>
          <w:docGrid w:linePitch="360"/>
        </w:sectPr>
      </w:pPr>
      <w:r>
        <w:rPr>
          <w:rFonts w:eastAsia="標楷體"/>
          <w:sz w:val="26"/>
          <w:szCs w:val="26"/>
        </w:rPr>
        <w:br w:type="page"/>
      </w:r>
    </w:p>
    <w:bookmarkStart w:id="40" w:name="_Toc253154511"/>
    <w:bookmarkStart w:id="41" w:name="_Toc253154579"/>
    <w:bookmarkStart w:id="42" w:name="_Toc272326010"/>
    <w:bookmarkStart w:id="43" w:name="_Toc272326638"/>
    <w:bookmarkStart w:id="44" w:name="_Toc272326817"/>
    <w:bookmarkStart w:id="45" w:name="_Toc275960650"/>
    <w:p w:rsidR="007821E9" w:rsidRPr="00EA272E" w:rsidRDefault="00EE4220"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5168" behindDoc="0" locked="0" layoutInCell="1" allowOverlap="1" wp14:anchorId="5DDE127D" wp14:editId="2B78308F">
                <wp:simplePos x="0" y="0"/>
                <wp:positionH relativeFrom="column">
                  <wp:posOffset>4671060</wp:posOffset>
                </wp:positionH>
                <wp:positionV relativeFrom="paragraph">
                  <wp:posOffset>0</wp:posOffset>
                </wp:positionV>
                <wp:extent cx="720090" cy="720090"/>
                <wp:effectExtent l="13335" t="9525" r="9525" b="13335"/>
                <wp:wrapNone/>
                <wp:docPr id="1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7B5D" w:rsidRPr="001F43DB" w:rsidRDefault="00697B5D"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2" type="#_x0000_t202" style="position:absolute;left:0;text-align:left;margin-left:367.8pt;margin-top:0;width:56.7pt;height:5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DoAINQKAIAAFoEAAAOAAAAAAAAAAAAAAAAAC4CAABkcnMvZTJv&#10;RG9jLnhtbFBLAQItABQABgAIAAAAIQCzjQgT3gAAAAgBAAAPAAAAAAAAAAAAAAAAAIIEAABkcnMv&#10;ZG93bnJldi54bWxQSwUGAAAAAAQABADzAAAAjQUAAAAA&#10;">
                <v:textbox>
                  <w:txbxContent>
                    <w:p w:rsidR="00697B5D" w:rsidRPr="001F43DB" w:rsidRDefault="00697B5D"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40"/>
      <w:bookmarkEnd w:id="41"/>
      <w:bookmarkEnd w:id="42"/>
      <w:bookmarkEnd w:id="43"/>
      <w:bookmarkEnd w:id="44"/>
      <w:bookmarkEnd w:id="45"/>
    </w:p>
    <w:p w:rsidR="007821E9" w:rsidRPr="0025570B" w:rsidRDefault="007821E9" w:rsidP="008E0EB4">
      <w:pPr>
        <w:pStyle w:val="1"/>
        <w:numPr>
          <w:ilvl w:val="0"/>
          <w:numId w:val="0"/>
        </w:numPr>
        <w:spacing w:before="0" w:after="0" w:line="240" w:lineRule="auto"/>
        <w:jc w:val="right"/>
        <w:rPr>
          <w:rFonts w:ascii="Times New Roman" w:eastAsia="標楷體" w:hAnsi="Times New Roman"/>
          <w:noProof/>
          <w:sz w:val="36"/>
          <w:szCs w:val="48"/>
        </w:rPr>
      </w:pPr>
    </w:p>
    <w:p w:rsidR="00567251" w:rsidRPr="000E26E4" w:rsidRDefault="0025570B" w:rsidP="002C3C01">
      <w:pPr>
        <w:pStyle w:val="1"/>
        <w:numPr>
          <w:ilvl w:val="0"/>
          <w:numId w:val="29"/>
        </w:numPr>
        <w:spacing w:before="100" w:beforeAutospacing="1" w:after="100" w:afterAutospacing="1" w:line="360" w:lineRule="auto"/>
        <w:ind w:rightChars="-19" w:right="-46"/>
        <w:jc w:val="center"/>
        <w:rPr>
          <w:rFonts w:ascii="Times New Roman" w:eastAsia="標楷體" w:hAnsi="Times New Roman"/>
          <w:sz w:val="44"/>
          <w:szCs w:val="46"/>
        </w:rPr>
      </w:pPr>
      <w:bookmarkStart w:id="46" w:name="_Toc359935470"/>
      <w:r w:rsidRPr="000E26E4">
        <w:rPr>
          <w:rFonts w:ascii="Times New Roman" w:eastAsia="標楷體" w:hAnsi="Times New Roman" w:hint="eastAsia"/>
          <w:sz w:val="44"/>
          <w:szCs w:val="46"/>
        </w:rPr>
        <w:t>證明</w:t>
      </w:r>
      <w:bookmarkEnd w:id="39"/>
      <w:r w:rsidRPr="000E26E4">
        <w:rPr>
          <w:rFonts w:ascii="Times New Roman" w:eastAsia="標楷體" w:hAnsi="Times New Roman" w:hint="eastAsia"/>
          <w:sz w:val="44"/>
          <w:szCs w:val="46"/>
        </w:rPr>
        <w:t>訂價結果為符合常規結果之文據</w:t>
      </w:r>
      <w:bookmarkEnd w:id="46"/>
    </w:p>
    <w:p w:rsidR="00DE7202" w:rsidRDefault="00A40930" w:rsidP="001719B7">
      <w:pPr>
        <w:spacing w:beforeLines="50" w:before="120" w:afterLines="50" w:after="120" w:line="360" w:lineRule="auto"/>
        <w:ind w:firstLineChars="200" w:firstLine="520"/>
        <w:jc w:val="both"/>
        <w:rPr>
          <w:rFonts w:eastAsia="標楷體"/>
          <w:sz w:val="26"/>
          <w:szCs w:val="26"/>
        </w:rPr>
      </w:pPr>
      <w:r w:rsidRPr="00781EAA">
        <w:rPr>
          <w:rFonts w:eastAsia="標楷體" w:hint="eastAsia"/>
          <w:sz w:val="26"/>
          <w:szCs w:val="26"/>
        </w:rPr>
        <w:t>萊迪思台灣分公司</w:t>
      </w:r>
      <w:r w:rsidR="0025570B" w:rsidRPr="00781EAA">
        <w:rPr>
          <w:rFonts w:eastAsia="標楷體"/>
          <w:sz w:val="26"/>
          <w:szCs w:val="26"/>
        </w:rPr>
        <w:t>因</w:t>
      </w:r>
      <w:proofErr w:type="gramStart"/>
      <w:r w:rsidR="00526ABF">
        <w:rPr>
          <w:rFonts w:eastAsia="標楷體" w:hint="eastAsia"/>
          <w:sz w:val="26"/>
          <w:szCs w:val="26"/>
        </w:rPr>
        <w:t>10</w:t>
      </w:r>
      <w:r w:rsidR="000D5025">
        <w:rPr>
          <w:rFonts w:eastAsia="標楷體" w:hint="eastAsia"/>
          <w:sz w:val="26"/>
          <w:szCs w:val="26"/>
        </w:rPr>
        <w:t>5</w:t>
      </w:r>
      <w:proofErr w:type="gramEnd"/>
      <w:r w:rsidR="00C6119F" w:rsidRPr="00781EAA">
        <w:rPr>
          <w:rFonts w:eastAsia="標楷體" w:hint="eastAsia"/>
          <w:sz w:val="26"/>
          <w:szCs w:val="26"/>
        </w:rPr>
        <w:t>年度收入總額</w:t>
      </w:r>
      <w:r w:rsidR="00C6119F" w:rsidRPr="00781EAA">
        <w:rPr>
          <w:rFonts w:eastAsia="標楷體"/>
          <w:sz w:val="26"/>
          <w:szCs w:val="26"/>
        </w:rPr>
        <w:t>未達新台幣</w:t>
      </w:r>
      <w:r w:rsidR="00C6119F" w:rsidRPr="00781EAA">
        <w:rPr>
          <w:rFonts w:eastAsia="標楷體" w:hint="eastAsia"/>
          <w:sz w:val="26"/>
          <w:szCs w:val="26"/>
        </w:rPr>
        <w:t>3</w:t>
      </w:r>
      <w:r w:rsidR="00C6119F" w:rsidRPr="00781EAA">
        <w:rPr>
          <w:rFonts w:eastAsia="標楷體"/>
          <w:sz w:val="26"/>
          <w:szCs w:val="26"/>
        </w:rPr>
        <w:t>億元，</w:t>
      </w:r>
      <w:r w:rsidR="0025570B" w:rsidRPr="00781EAA">
        <w:rPr>
          <w:rFonts w:eastAsia="標楷體"/>
          <w:sz w:val="26"/>
          <w:szCs w:val="26"/>
        </w:rPr>
        <w:t>故得以替代</w:t>
      </w:r>
      <w:r w:rsidR="0025570B" w:rsidRPr="00047E9F">
        <w:rPr>
          <w:rFonts w:eastAsia="標楷體"/>
          <w:sz w:val="26"/>
          <w:szCs w:val="26"/>
        </w:rPr>
        <w:t>文據證明其訂價結果符合常規交易。依台財稅字第</w:t>
      </w:r>
      <w:r w:rsidR="0025570B" w:rsidRPr="00047E9F">
        <w:rPr>
          <w:rFonts w:eastAsia="標楷體"/>
          <w:sz w:val="26"/>
          <w:szCs w:val="26"/>
        </w:rPr>
        <w:t>09</w:t>
      </w:r>
      <w:r w:rsidR="0025570B" w:rsidRPr="00047E9F">
        <w:rPr>
          <w:rFonts w:eastAsia="標楷體" w:hint="eastAsia"/>
          <w:sz w:val="26"/>
          <w:szCs w:val="26"/>
        </w:rPr>
        <w:t>704555160</w:t>
      </w:r>
      <w:r w:rsidR="0025570B" w:rsidRPr="00047E9F">
        <w:rPr>
          <w:rFonts w:eastAsia="標楷體"/>
          <w:sz w:val="26"/>
          <w:szCs w:val="26"/>
        </w:rPr>
        <w:t>號</w:t>
      </w:r>
      <w:r w:rsidR="0025570B" w:rsidRPr="008F4F5B">
        <w:rPr>
          <w:rFonts w:eastAsia="標楷體"/>
          <w:sz w:val="26"/>
          <w:szCs w:val="26"/>
        </w:rPr>
        <w:t>令</w:t>
      </w:r>
      <w:r w:rsidR="004574AF" w:rsidRPr="008F4F5B">
        <w:rPr>
          <w:rFonts w:eastAsia="標楷體"/>
          <w:sz w:val="26"/>
          <w:szCs w:val="26"/>
        </w:rPr>
        <w:t>第四點第二款</w:t>
      </w:r>
      <w:r w:rsidR="0025570B" w:rsidRPr="008F4F5B">
        <w:rPr>
          <w:rFonts w:eastAsia="標楷體"/>
          <w:sz w:val="26"/>
          <w:szCs w:val="26"/>
        </w:rPr>
        <w:t>規定，『替代文據』有下列選擇：</w:t>
      </w:r>
    </w:p>
    <w:p w:rsidR="00DE7202" w:rsidRDefault="0025570B" w:rsidP="001719B7">
      <w:pPr>
        <w:numPr>
          <w:ilvl w:val="0"/>
          <w:numId w:val="28"/>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可比較未受控交易之公開招標文件及資料。</w:t>
      </w:r>
    </w:p>
    <w:p w:rsidR="00DE7202" w:rsidRDefault="0025570B" w:rsidP="001719B7">
      <w:pPr>
        <w:numPr>
          <w:ilvl w:val="0"/>
          <w:numId w:val="28"/>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營利事業所得稅查核準則第</w:t>
      </w:r>
      <w:r w:rsidRPr="008F4F5B">
        <w:rPr>
          <w:rFonts w:eastAsia="標楷體"/>
          <w:sz w:val="26"/>
          <w:szCs w:val="26"/>
        </w:rPr>
        <w:t>22</w:t>
      </w:r>
      <w:r w:rsidRPr="008F4F5B">
        <w:rPr>
          <w:rFonts w:eastAsia="標楷體"/>
          <w:sz w:val="26"/>
          <w:szCs w:val="26"/>
        </w:rPr>
        <w:t>條第</w:t>
      </w:r>
      <w:r w:rsidRPr="008F4F5B">
        <w:rPr>
          <w:rFonts w:eastAsia="標楷體"/>
          <w:sz w:val="26"/>
          <w:szCs w:val="26"/>
        </w:rPr>
        <w:t>3</w:t>
      </w:r>
      <w:r w:rsidRPr="008F4F5B">
        <w:rPr>
          <w:rFonts w:eastAsia="標楷體"/>
          <w:sz w:val="26"/>
          <w:szCs w:val="26"/>
        </w:rPr>
        <w:t>項規定之時價資料。</w:t>
      </w:r>
    </w:p>
    <w:p w:rsidR="00DE7202" w:rsidRDefault="0025570B" w:rsidP="001719B7">
      <w:pPr>
        <w:numPr>
          <w:ilvl w:val="0"/>
          <w:numId w:val="28"/>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獨立不動產估價師依法製作之估價報告或公證機構出具之</w:t>
      </w:r>
      <w:proofErr w:type="gramStart"/>
      <w:r w:rsidRPr="008F4F5B">
        <w:rPr>
          <w:rFonts w:eastAsia="標楷體"/>
          <w:sz w:val="26"/>
          <w:szCs w:val="26"/>
        </w:rPr>
        <w:t>鑑</w:t>
      </w:r>
      <w:proofErr w:type="gramEnd"/>
      <w:r w:rsidRPr="008F4F5B">
        <w:rPr>
          <w:rFonts w:eastAsia="標楷體"/>
          <w:sz w:val="26"/>
          <w:szCs w:val="26"/>
        </w:rPr>
        <w:t>價報告。</w:t>
      </w:r>
    </w:p>
    <w:p w:rsidR="00DE7202" w:rsidRDefault="0025570B" w:rsidP="001719B7">
      <w:pPr>
        <w:numPr>
          <w:ilvl w:val="0"/>
          <w:numId w:val="28"/>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受控交易參與人之一為中華民國境外之關係企業，其依所在地國移轉訂價法規作成之移轉訂價報告。但其內容顯與我國移轉訂價法規不符者，應進行適當之修正。</w:t>
      </w:r>
    </w:p>
    <w:p w:rsidR="00DE7202" w:rsidRDefault="0025570B" w:rsidP="001719B7">
      <w:pPr>
        <w:numPr>
          <w:ilvl w:val="0"/>
          <w:numId w:val="28"/>
        </w:numPr>
        <w:tabs>
          <w:tab w:val="clear" w:pos="1800"/>
          <w:tab w:val="left" w:pos="709"/>
        </w:tabs>
        <w:spacing w:beforeLines="50" w:before="120" w:afterLines="50" w:after="120" w:line="360" w:lineRule="auto"/>
        <w:ind w:left="709"/>
        <w:jc w:val="both"/>
        <w:rPr>
          <w:rFonts w:eastAsia="標楷體"/>
          <w:sz w:val="26"/>
          <w:szCs w:val="26"/>
        </w:rPr>
      </w:pPr>
      <w:r w:rsidRPr="008F4F5B">
        <w:rPr>
          <w:rFonts w:eastAsia="標楷體"/>
          <w:sz w:val="26"/>
          <w:szCs w:val="26"/>
        </w:rPr>
        <w:t>其他符合移轉訂價查核準則第</w:t>
      </w:r>
      <w:r w:rsidRPr="008F4F5B">
        <w:rPr>
          <w:rFonts w:eastAsia="標楷體"/>
          <w:sz w:val="26"/>
          <w:szCs w:val="26"/>
        </w:rPr>
        <w:t>7</w:t>
      </w:r>
      <w:r w:rsidRPr="008F4F5B">
        <w:rPr>
          <w:rFonts w:eastAsia="標楷體"/>
          <w:sz w:val="26"/>
          <w:szCs w:val="26"/>
        </w:rPr>
        <w:t>條第</w:t>
      </w:r>
      <w:r w:rsidRPr="008F4F5B">
        <w:rPr>
          <w:rFonts w:eastAsia="標楷體"/>
          <w:sz w:val="26"/>
          <w:szCs w:val="26"/>
        </w:rPr>
        <w:t>1</w:t>
      </w:r>
      <w:r w:rsidRPr="008F4F5B">
        <w:rPr>
          <w:rFonts w:eastAsia="標楷體"/>
          <w:sz w:val="26"/>
          <w:szCs w:val="26"/>
        </w:rPr>
        <w:t>款規定可比較原則，足資證明其訂價結果符合常規交易結果之文據。</w:t>
      </w:r>
    </w:p>
    <w:p w:rsidR="00DE7202" w:rsidRDefault="00CB6B76" w:rsidP="001719B7">
      <w:pPr>
        <w:spacing w:beforeLines="50" w:before="120" w:afterLines="50" w:after="120" w:line="360" w:lineRule="auto"/>
        <w:ind w:firstLineChars="200" w:firstLine="520"/>
        <w:jc w:val="both"/>
        <w:rPr>
          <w:rFonts w:eastAsia="標楷體"/>
        </w:rPr>
      </w:pPr>
      <w:r w:rsidRPr="00781EAA">
        <w:rPr>
          <w:rFonts w:eastAsia="標楷體" w:hint="eastAsia"/>
          <w:sz w:val="26"/>
          <w:szCs w:val="26"/>
        </w:rPr>
        <w:t>萊迪思台灣分公司</w:t>
      </w:r>
      <w:r w:rsidR="00F34FC0" w:rsidRPr="00781EAA">
        <w:rPr>
          <w:rFonts w:eastAsia="標楷體" w:hint="eastAsia"/>
          <w:sz w:val="26"/>
          <w:szCs w:val="26"/>
        </w:rPr>
        <w:t>「服務之提供」之受控交易</w:t>
      </w:r>
      <w:r w:rsidR="0025570B" w:rsidRPr="00781EAA">
        <w:rPr>
          <w:rFonts w:eastAsia="標楷體" w:hint="eastAsia"/>
          <w:sz w:val="26"/>
          <w:szCs w:val="26"/>
        </w:rPr>
        <w:t>，因</w:t>
      </w:r>
      <w:r w:rsidR="0025570B" w:rsidRPr="00781EAA">
        <w:rPr>
          <w:rFonts w:eastAsia="標楷體"/>
          <w:sz w:val="26"/>
          <w:szCs w:val="26"/>
        </w:rPr>
        <w:t>無法取得</w:t>
      </w:r>
      <w:r w:rsidR="0025570B" w:rsidRPr="0025570B">
        <w:rPr>
          <w:rFonts w:eastAsia="標楷體"/>
          <w:sz w:val="26"/>
          <w:szCs w:val="26"/>
        </w:rPr>
        <w:t>上述</w:t>
      </w:r>
      <w:r w:rsidR="00166290">
        <w:rPr>
          <w:rFonts w:eastAsia="標楷體" w:hint="eastAsia"/>
          <w:sz w:val="26"/>
          <w:szCs w:val="26"/>
        </w:rPr>
        <w:t>號</w:t>
      </w:r>
      <w:r w:rsidR="0025570B" w:rsidRPr="0025570B">
        <w:rPr>
          <w:rFonts w:eastAsia="標楷體"/>
          <w:sz w:val="26"/>
          <w:szCs w:val="26"/>
        </w:rPr>
        <w:t>令中第四點第二款</w:t>
      </w:r>
      <w:r w:rsidR="0025570B" w:rsidRPr="0025570B">
        <w:rPr>
          <w:rFonts w:eastAsia="標楷體"/>
          <w:sz w:val="26"/>
          <w:szCs w:val="26"/>
        </w:rPr>
        <w:t>1</w:t>
      </w:r>
      <w:r w:rsidR="0025570B" w:rsidRPr="0025570B">
        <w:rPr>
          <w:rFonts w:eastAsia="標楷體"/>
          <w:sz w:val="26"/>
          <w:szCs w:val="26"/>
        </w:rPr>
        <w:t>至</w:t>
      </w:r>
      <w:r w:rsidR="0025570B" w:rsidRPr="0025570B">
        <w:rPr>
          <w:rFonts w:eastAsia="標楷體"/>
          <w:sz w:val="26"/>
          <w:szCs w:val="26"/>
        </w:rPr>
        <w:t>4</w:t>
      </w:r>
      <w:r w:rsidR="0025570B" w:rsidRPr="0025570B">
        <w:rPr>
          <w:rFonts w:eastAsia="標楷體"/>
          <w:sz w:val="26"/>
          <w:szCs w:val="26"/>
        </w:rPr>
        <w:t>項規定之文據，</w:t>
      </w:r>
      <w:r w:rsidR="0025570B" w:rsidRPr="0025570B">
        <w:rPr>
          <w:rFonts w:eastAsia="標楷體" w:hint="eastAsia"/>
          <w:sz w:val="26"/>
          <w:szCs w:val="26"/>
        </w:rPr>
        <w:t>本所</w:t>
      </w:r>
      <w:r w:rsidR="0025570B" w:rsidRPr="0025570B">
        <w:rPr>
          <w:rFonts w:eastAsia="標楷體"/>
          <w:sz w:val="26"/>
          <w:szCs w:val="26"/>
        </w:rPr>
        <w:t>依第</w:t>
      </w:r>
      <w:r w:rsidR="0025570B" w:rsidRPr="0025570B">
        <w:rPr>
          <w:rFonts w:eastAsia="標楷體"/>
          <w:sz w:val="26"/>
          <w:szCs w:val="26"/>
        </w:rPr>
        <w:t>5</w:t>
      </w:r>
      <w:r w:rsidR="0025570B" w:rsidRPr="0025570B">
        <w:rPr>
          <w:rFonts w:eastAsia="標楷體"/>
          <w:sz w:val="26"/>
          <w:szCs w:val="26"/>
        </w:rPr>
        <w:t>項規定，按移轉訂價查核準則第</w:t>
      </w:r>
      <w:r w:rsidR="0025570B" w:rsidRPr="0025570B">
        <w:rPr>
          <w:rFonts w:eastAsia="標楷體"/>
          <w:sz w:val="26"/>
          <w:szCs w:val="26"/>
        </w:rPr>
        <w:t>7</w:t>
      </w:r>
      <w:r w:rsidR="0025570B" w:rsidRPr="0025570B">
        <w:rPr>
          <w:rFonts w:eastAsia="標楷體"/>
          <w:sz w:val="26"/>
          <w:szCs w:val="26"/>
        </w:rPr>
        <w:t>條第</w:t>
      </w:r>
      <w:r w:rsidR="0025570B" w:rsidRPr="0025570B">
        <w:rPr>
          <w:rFonts w:eastAsia="標楷體"/>
          <w:sz w:val="26"/>
          <w:szCs w:val="26"/>
        </w:rPr>
        <w:t>1</w:t>
      </w:r>
      <w:r w:rsidR="0025570B" w:rsidRPr="0025570B">
        <w:rPr>
          <w:rFonts w:eastAsia="標楷體"/>
          <w:sz w:val="26"/>
          <w:szCs w:val="26"/>
        </w:rPr>
        <w:t>款可比較原則，準備足資證明訂價結果符合常規交易之文據。</w:t>
      </w:r>
    </w:p>
    <w:p w:rsidR="00BD6F3C" w:rsidRDefault="008C48FB" w:rsidP="00AB3D8C">
      <w:pPr>
        <w:rPr>
          <w:rFonts w:eastAsia="標楷體"/>
        </w:rPr>
      </w:pPr>
      <w:r>
        <w:rPr>
          <w:rFonts w:eastAsia="標楷體"/>
        </w:rPr>
        <w:br w:type="page"/>
      </w:r>
    </w:p>
    <w:p w:rsidR="000E26E4" w:rsidRDefault="000E26E4" w:rsidP="00AB3D8C">
      <w:pPr>
        <w:rPr>
          <w:rFonts w:eastAsia="標楷體"/>
        </w:rPr>
      </w:pPr>
    </w:p>
    <w:p w:rsidR="000E26E4" w:rsidRPr="00EA272E" w:rsidRDefault="000E26E4" w:rsidP="00AB3D8C">
      <w:pPr>
        <w:rPr>
          <w:rFonts w:eastAsia="標楷體"/>
        </w:rPr>
      </w:pPr>
    </w:p>
    <w:p w:rsidR="0076045E" w:rsidRPr="00EA272E" w:rsidRDefault="0076045E" w:rsidP="00ED670D">
      <w:pPr>
        <w:pStyle w:val="1"/>
        <w:spacing w:before="0" w:after="0" w:line="360" w:lineRule="auto"/>
        <w:ind w:left="0" w:firstLine="0"/>
        <w:jc w:val="center"/>
        <w:rPr>
          <w:rFonts w:ascii="Times New Roman" w:eastAsia="標楷體" w:hAnsi="Times New Roman"/>
          <w:sz w:val="48"/>
          <w:szCs w:val="48"/>
        </w:rPr>
        <w:sectPr w:rsidR="0076045E" w:rsidRPr="00EA272E" w:rsidSect="000223C9">
          <w:type w:val="oddPage"/>
          <w:pgSz w:w="11906" w:h="16838" w:code="9"/>
          <w:pgMar w:top="2160" w:right="1440" w:bottom="1814" w:left="1440" w:header="851" w:footer="567" w:gutter="567"/>
          <w:cols w:space="425"/>
          <w:docGrid w:linePitch="360"/>
        </w:sectPr>
      </w:pPr>
    </w:p>
    <w:bookmarkStart w:id="47" w:name="_Toc253154513"/>
    <w:bookmarkStart w:id="48" w:name="_Toc253154581"/>
    <w:bookmarkStart w:id="49" w:name="_Toc272326012"/>
    <w:bookmarkStart w:id="50" w:name="_Toc272326640"/>
    <w:bookmarkStart w:id="51" w:name="_Toc272326819"/>
    <w:bookmarkStart w:id="52" w:name="_Toc275960652"/>
    <w:p w:rsidR="00995F8B" w:rsidRPr="00EA272E" w:rsidRDefault="00EE4220"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6192" behindDoc="0" locked="0" layoutInCell="1" allowOverlap="1" wp14:anchorId="3CEBAE0C" wp14:editId="3880E2DE">
                <wp:simplePos x="0" y="0"/>
                <wp:positionH relativeFrom="column">
                  <wp:posOffset>4662170</wp:posOffset>
                </wp:positionH>
                <wp:positionV relativeFrom="paragraph">
                  <wp:posOffset>0</wp:posOffset>
                </wp:positionV>
                <wp:extent cx="720090" cy="720090"/>
                <wp:effectExtent l="13970" t="9525" r="8890" b="13335"/>
                <wp:wrapNone/>
                <wp:docPr id="1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7B5D" w:rsidRPr="008C6F22" w:rsidRDefault="00697B5D"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3" type="#_x0000_t202" style="position:absolute;left:0;text-align:left;margin-left:367.1pt;margin-top:0;width:56.7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">
                <v:textbox>
                  <w:txbxContent>
                    <w:p w:rsidR="00697B5D" w:rsidRPr="008C6F22" w:rsidRDefault="00697B5D"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47"/>
      <w:bookmarkEnd w:id="48"/>
      <w:bookmarkEnd w:id="49"/>
      <w:bookmarkEnd w:id="50"/>
      <w:bookmarkEnd w:id="51"/>
      <w:bookmarkEnd w:id="52"/>
    </w:p>
    <w:p w:rsidR="00995F8B" w:rsidRPr="00EA272E"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0E26E4" w:rsidRDefault="00F70BB6" w:rsidP="002C3C01">
      <w:pPr>
        <w:pStyle w:val="1"/>
        <w:numPr>
          <w:ilvl w:val="0"/>
          <w:numId w:val="29"/>
        </w:numPr>
        <w:spacing w:before="100" w:beforeAutospacing="1" w:after="100" w:afterAutospacing="1" w:line="360" w:lineRule="auto"/>
        <w:ind w:rightChars="-19" w:right="-46"/>
        <w:jc w:val="center"/>
        <w:rPr>
          <w:rFonts w:ascii="Times New Roman" w:eastAsia="標楷體" w:hAnsi="Times New Roman"/>
          <w:sz w:val="44"/>
          <w:szCs w:val="46"/>
        </w:rPr>
      </w:pPr>
      <w:bookmarkStart w:id="53" w:name="_Toc359935471"/>
      <w:r w:rsidRPr="000E26E4">
        <w:rPr>
          <w:rFonts w:ascii="Times New Roman" w:eastAsia="標楷體" w:hAnsi="Times New Roman" w:hint="eastAsia"/>
          <w:sz w:val="44"/>
          <w:szCs w:val="46"/>
        </w:rPr>
        <w:t>遵循移轉訂價查核準則辦理情形</w:t>
      </w:r>
      <w:bookmarkEnd w:id="53"/>
    </w:p>
    <w:p w:rsidR="00F70BB6" w:rsidRPr="00EA272E"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影響企業訂定交易價格之因素繁多，價格之高低與交易相對人扮演之角色（即所執行之功能）及所承擔之風險息息相關。但除功能及風險之考量外，影響價格或利潤之因素還有其他，移轉訂價查核準則第</w:t>
      </w:r>
      <w:r w:rsidRPr="00EA272E">
        <w:rPr>
          <w:rFonts w:eastAsia="標楷體"/>
          <w:sz w:val="26"/>
          <w:szCs w:val="26"/>
        </w:rPr>
        <w:t>8</w:t>
      </w:r>
      <w:r w:rsidRPr="00EA272E">
        <w:rPr>
          <w:rFonts w:eastAsia="標楷體"/>
          <w:sz w:val="26"/>
          <w:szCs w:val="26"/>
        </w:rPr>
        <w:t>條</w:t>
      </w:r>
      <w:r w:rsidRPr="00EA272E">
        <w:rPr>
          <w:rFonts w:eastAsia="標楷體" w:hint="eastAsia"/>
          <w:sz w:val="26"/>
          <w:szCs w:val="26"/>
        </w:rPr>
        <w:t>共</w:t>
      </w:r>
      <w:r w:rsidRPr="00EA272E">
        <w:rPr>
          <w:rFonts w:eastAsia="標楷體"/>
          <w:sz w:val="26"/>
          <w:szCs w:val="26"/>
        </w:rPr>
        <w:t>列出七項要件，規定於決定受控交易與未受控交易之可比較程度時，應基於此七項要件做比較。</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所謂『可比較程度』，為非關係企業間交易（即『未受控交易』）與關係企業間交易（即『受控交易』）之相似程度。</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本所遵循移轉訂價查核準則第</w:t>
      </w:r>
      <w:r w:rsidRPr="00EA272E">
        <w:rPr>
          <w:rFonts w:eastAsia="標楷體"/>
          <w:sz w:val="26"/>
          <w:szCs w:val="26"/>
        </w:rPr>
        <w:t>8</w:t>
      </w:r>
      <w:r w:rsidRPr="00EA272E">
        <w:rPr>
          <w:rFonts w:eastAsia="標楷體"/>
          <w:sz w:val="26"/>
          <w:szCs w:val="26"/>
        </w:rPr>
        <w:t>條列舉之影響價格或利潤因素，作為選擇可比較對象之依據。</w:t>
      </w:r>
    </w:p>
    <w:p w:rsidR="00DE7202" w:rsidRDefault="00F70BB6" w:rsidP="001719B7">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一、</w:t>
      </w:r>
      <w:r w:rsidRPr="00EA272E">
        <w:rPr>
          <w:rFonts w:ascii="Times New Roman" w:eastAsia="標楷體" w:hAnsi="Times New Roman" w:hint="eastAsia"/>
          <w:sz w:val="32"/>
          <w:szCs w:val="32"/>
        </w:rPr>
        <w:t>交易標的</w:t>
      </w:r>
      <w:r w:rsidRPr="00EA272E">
        <w:rPr>
          <w:rFonts w:ascii="Times New Roman" w:eastAsia="標楷體" w:hAnsi="Times New Roman"/>
          <w:sz w:val="32"/>
          <w:szCs w:val="32"/>
        </w:rPr>
        <w:t>資產或服務之特性</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5</w:t>
      </w:r>
      <w:r w:rsidRPr="00EA272E">
        <w:rPr>
          <w:rFonts w:eastAsia="標楷體"/>
          <w:sz w:val="26"/>
          <w:szCs w:val="26"/>
        </w:rPr>
        <w:t>條規定受控交易應按條文列舉之七種類型加以分類</w:t>
      </w:r>
      <w:r w:rsidRPr="00EA272E">
        <w:rPr>
          <w:rFonts w:eastAsia="標楷體" w:hint="eastAsia"/>
          <w:sz w:val="26"/>
          <w:szCs w:val="26"/>
        </w:rPr>
        <w:t>，</w:t>
      </w:r>
      <w:r w:rsidRPr="00EA272E">
        <w:rPr>
          <w:rFonts w:eastAsia="標楷體"/>
          <w:sz w:val="26"/>
          <w:szCs w:val="26"/>
        </w:rPr>
        <w:t>是故除特殊交易可向財政部申請核</w:t>
      </w:r>
      <w:r w:rsidRPr="00EA272E">
        <w:rPr>
          <w:rFonts w:eastAsia="標楷體" w:hint="eastAsia"/>
          <w:sz w:val="26"/>
          <w:szCs w:val="26"/>
        </w:rPr>
        <w:t>定</w:t>
      </w:r>
      <w:r w:rsidRPr="00EA272E">
        <w:rPr>
          <w:rFonts w:eastAsia="標楷體"/>
          <w:sz w:val="26"/>
          <w:szCs w:val="26"/>
        </w:rPr>
        <w:t>為特殊交易類型</w:t>
      </w:r>
      <w:r w:rsidRPr="00EA272E">
        <w:rPr>
          <w:rFonts w:eastAsia="標楷體" w:hint="eastAsia"/>
          <w:sz w:val="26"/>
          <w:szCs w:val="26"/>
        </w:rPr>
        <w:t>外</w:t>
      </w:r>
      <w:r w:rsidRPr="00EA272E">
        <w:rPr>
          <w:rFonts w:eastAsia="標楷體"/>
          <w:sz w:val="26"/>
          <w:szCs w:val="26"/>
        </w:rPr>
        <w:t>，一般性交易應依資產或服務之特性區分為有形資產之移轉、有形資產之使用、無形資產之移轉、無形資產之使用、服務之提供或資金之使用等交易類型。</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EA272E">
        <w:rPr>
          <w:rFonts w:eastAsia="標楷體"/>
          <w:sz w:val="26"/>
          <w:szCs w:val="26"/>
        </w:rPr>
        <w:t>9</w:t>
      </w:r>
      <w:r w:rsidRPr="00EA272E">
        <w:rPr>
          <w:rFonts w:eastAsia="標楷體"/>
          <w:sz w:val="26"/>
          <w:szCs w:val="26"/>
        </w:rPr>
        <w:t>條規定，採用</w:t>
      </w:r>
      <w:proofErr w:type="gramStart"/>
      <w:r w:rsidRPr="00EA272E">
        <w:rPr>
          <w:rFonts w:eastAsia="標楷體"/>
          <w:sz w:val="26"/>
          <w:szCs w:val="26"/>
        </w:rPr>
        <w:t>最</w:t>
      </w:r>
      <w:proofErr w:type="gramEnd"/>
      <w:r w:rsidRPr="00EA272E">
        <w:rPr>
          <w:rFonts w:eastAsia="標楷體"/>
          <w:sz w:val="26"/>
          <w:szCs w:val="26"/>
        </w:rPr>
        <w:t>適常規交易方法時，應依受控交易之交易類型，受控交易及未受控交易間之可比較程度，以及所蒐集資料與假設之品</w:t>
      </w:r>
      <w:r w:rsidRPr="00EA272E">
        <w:rPr>
          <w:rFonts w:eastAsia="標楷體"/>
          <w:sz w:val="26"/>
          <w:szCs w:val="26"/>
        </w:rPr>
        <w:lastRenderedPageBreak/>
        <w:t>質，分別適用移轉訂價查核準則第</w:t>
      </w:r>
      <w:r w:rsidRPr="00EA272E">
        <w:rPr>
          <w:rFonts w:eastAsia="標楷體"/>
          <w:sz w:val="26"/>
          <w:szCs w:val="26"/>
        </w:rPr>
        <w:t>10</w:t>
      </w:r>
      <w:r w:rsidRPr="00EA272E">
        <w:rPr>
          <w:rFonts w:eastAsia="標楷體"/>
          <w:sz w:val="26"/>
          <w:szCs w:val="26"/>
        </w:rPr>
        <w:t>條至第</w:t>
      </w:r>
      <w:r w:rsidRPr="00EA272E">
        <w:rPr>
          <w:rFonts w:eastAsia="標楷體"/>
          <w:sz w:val="26"/>
          <w:szCs w:val="26"/>
        </w:rPr>
        <w:t>13</w:t>
      </w:r>
      <w:r w:rsidRPr="00EA272E">
        <w:rPr>
          <w:rFonts w:eastAsia="標楷體"/>
          <w:sz w:val="26"/>
          <w:szCs w:val="26"/>
        </w:rPr>
        <w:t>條規定，決定</w:t>
      </w:r>
      <w:proofErr w:type="gramStart"/>
      <w:r w:rsidRPr="00EA272E">
        <w:rPr>
          <w:rFonts w:eastAsia="標楷體"/>
          <w:sz w:val="26"/>
          <w:szCs w:val="26"/>
        </w:rPr>
        <w:t>最</w:t>
      </w:r>
      <w:proofErr w:type="gramEnd"/>
      <w:r w:rsidRPr="00EA272E">
        <w:rPr>
          <w:rFonts w:eastAsia="標楷體"/>
          <w:sz w:val="26"/>
          <w:szCs w:val="26"/>
        </w:rPr>
        <w:t>適常規交易方法。</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各常規交易方法對於可比較對象之可比較程度各有特別考量，各該考量因素分別列舉於移轉訂價查核準則第</w:t>
      </w:r>
      <w:r w:rsidRPr="00EA272E">
        <w:rPr>
          <w:rFonts w:eastAsia="標楷體"/>
          <w:sz w:val="26"/>
          <w:szCs w:val="26"/>
        </w:rPr>
        <w:t>14</w:t>
      </w:r>
      <w:r w:rsidRPr="00EA272E">
        <w:rPr>
          <w:rFonts w:eastAsia="標楷體"/>
          <w:sz w:val="26"/>
          <w:szCs w:val="26"/>
        </w:rPr>
        <w:t>條至</w:t>
      </w:r>
      <w:r w:rsidRPr="00EA272E">
        <w:rPr>
          <w:rFonts w:eastAsia="標楷體"/>
          <w:sz w:val="26"/>
          <w:szCs w:val="26"/>
        </w:rPr>
        <w:t>19</w:t>
      </w:r>
      <w:r w:rsidRPr="00EA272E">
        <w:rPr>
          <w:rFonts w:eastAsia="標楷體"/>
          <w:sz w:val="26"/>
          <w:szCs w:val="26"/>
        </w:rPr>
        <w:t>條之條文中。各常規交易方法以其特有考量因素評估未受控交易及受控交易，兩者相似程度越高，則未受控交易越適於比較。</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本所除遵循移轉訂價查核準則第</w:t>
      </w:r>
      <w:r w:rsidRPr="00EA272E">
        <w:rPr>
          <w:rFonts w:eastAsia="標楷體"/>
          <w:sz w:val="26"/>
          <w:szCs w:val="26"/>
        </w:rPr>
        <w:t>8</w:t>
      </w:r>
      <w:r w:rsidRPr="00EA272E">
        <w:rPr>
          <w:rFonts w:eastAsia="標楷體"/>
          <w:sz w:val="26"/>
          <w:szCs w:val="26"/>
        </w:rPr>
        <w:t>條規定之要件選擇可比較對象外，並</w:t>
      </w:r>
      <w:r w:rsidRPr="00781EAA">
        <w:rPr>
          <w:rFonts w:eastAsia="標楷體"/>
          <w:sz w:val="26"/>
          <w:szCs w:val="26"/>
        </w:rPr>
        <w:t>將</w:t>
      </w:r>
      <w:r w:rsidR="003A761B" w:rsidRPr="00781EAA">
        <w:rPr>
          <w:rFonts w:eastAsia="標楷體" w:hint="eastAsia"/>
          <w:sz w:val="26"/>
          <w:szCs w:val="26"/>
        </w:rPr>
        <w:t>萊迪思台灣分公司</w:t>
      </w:r>
      <w:r w:rsidRPr="00781EAA">
        <w:rPr>
          <w:rFonts w:eastAsia="標楷體"/>
          <w:sz w:val="26"/>
          <w:szCs w:val="26"/>
        </w:rPr>
        <w:t>交易類型適用常規交易方法考量之特別因素納入評估。</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781EAA">
        <w:rPr>
          <w:rFonts w:eastAsia="標楷體"/>
          <w:sz w:val="26"/>
          <w:szCs w:val="26"/>
        </w:rPr>
        <w:t>為</w:t>
      </w:r>
      <w:r w:rsidR="003A761B" w:rsidRPr="00781EAA">
        <w:rPr>
          <w:rFonts w:eastAsia="標楷體" w:hint="eastAsia"/>
          <w:sz w:val="26"/>
          <w:szCs w:val="26"/>
        </w:rPr>
        <w:t>萊迪思台灣分公司</w:t>
      </w:r>
      <w:r w:rsidRPr="00781EAA">
        <w:rPr>
          <w:rFonts w:eastAsia="標楷體"/>
          <w:sz w:val="26"/>
          <w:szCs w:val="26"/>
        </w:rPr>
        <w:t>之受控交易選擇</w:t>
      </w:r>
      <w:proofErr w:type="gramStart"/>
      <w:r w:rsidRPr="00781EAA">
        <w:rPr>
          <w:rFonts w:eastAsia="標楷體"/>
          <w:sz w:val="26"/>
          <w:szCs w:val="26"/>
        </w:rPr>
        <w:t>最</w:t>
      </w:r>
      <w:proofErr w:type="gramEnd"/>
      <w:r w:rsidRPr="00781EAA">
        <w:rPr>
          <w:rFonts w:eastAsia="標楷體"/>
          <w:sz w:val="26"/>
          <w:szCs w:val="26"/>
        </w:rPr>
        <w:t>適常規交易方法之過程</w:t>
      </w:r>
      <w:r w:rsidRPr="00781EAA">
        <w:rPr>
          <w:rFonts w:eastAsia="標楷體" w:hint="eastAsia"/>
          <w:sz w:val="26"/>
          <w:szCs w:val="26"/>
        </w:rPr>
        <w:t>，</w:t>
      </w:r>
      <w:r w:rsidRPr="00781EAA">
        <w:rPr>
          <w:rFonts w:eastAsia="標楷體"/>
          <w:sz w:val="26"/>
          <w:szCs w:val="26"/>
        </w:rPr>
        <w:t>詳述</w:t>
      </w:r>
      <w:r w:rsidRPr="00781EAA">
        <w:rPr>
          <w:rFonts w:eastAsia="標楷體" w:hint="eastAsia"/>
          <w:sz w:val="26"/>
          <w:szCs w:val="26"/>
        </w:rPr>
        <w:t>於</w:t>
      </w:r>
      <w:r w:rsidRPr="00EA272E">
        <w:rPr>
          <w:rFonts w:eastAsia="標楷體"/>
          <w:sz w:val="26"/>
          <w:szCs w:val="26"/>
        </w:rPr>
        <w:t>本</w:t>
      </w:r>
      <w:r w:rsidR="00CB63D1">
        <w:rPr>
          <w:rFonts w:eastAsia="標楷體" w:hint="eastAsia"/>
          <w:sz w:val="26"/>
          <w:szCs w:val="26"/>
        </w:rPr>
        <w:t>文據</w:t>
      </w:r>
      <w:r w:rsidRPr="00EA272E">
        <w:rPr>
          <w:rFonts w:eastAsia="標楷體"/>
          <w:sz w:val="26"/>
          <w:szCs w:val="26"/>
        </w:rPr>
        <w:t>第</w:t>
      </w:r>
      <w:r w:rsidR="00CB63D1">
        <w:rPr>
          <w:rFonts w:eastAsia="標楷體" w:hint="eastAsia"/>
          <w:sz w:val="26"/>
          <w:szCs w:val="26"/>
        </w:rPr>
        <w:t>陸</w:t>
      </w:r>
      <w:r w:rsidRPr="00EA272E">
        <w:rPr>
          <w:rFonts w:eastAsia="標楷體"/>
          <w:sz w:val="26"/>
          <w:szCs w:val="26"/>
        </w:rPr>
        <w:t>章。</w:t>
      </w:r>
    </w:p>
    <w:p w:rsidR="00DE7202" w:rsidRDefault="00F70BB6" w:rsidP="001719B7">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二、</w:t>
      </w:r>
      <w:r w:rsidRPr="00EA272E">
        <w:rPr>
          <w:rFonts w:ascii="Times New Roman" w:eastAsia="標楷體" w:hAnsi="Times New Roman" w:hint="eastAsia"/>
          <w:sz w:val="32"/>
          <w:szCs w:val="32"/>
        </w:rPr>
        <w:t>執行之</w:t>
      </w:r>
      <w:r w:rsidRPr="00EA272E">
        <w:rPr>
          <w:rFonts w:ascii="Times New Roman" w:eastAsia="標楷體" w:hAnsi="Times New Roman"/>
          <w:sz w:val="32"/>
          <w:szCs w:val="32"/>
        </w:rPr>
        <w:t>功能</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款將營利事業執行之功能分為七類。本</w:t>
      </w:r>
      <w:r w:rsidR="00CB63D1">
        <w:rPr>
          <w:rFonts w:eastAsia="標楷體" w:hint="eastAsia"/>
          <w:sz w:val="26"/>
          <w:szCs w:val="26"/>
        </w:rPr>
        <w:t>文據</w:t>
      </w:r>
      <w:r w:rsidRPr="00EA272E">
        <w:rPr>
          <w:rFonts w:eastAsia="標楷體"/>
          <w:sz w:val="26"/>
          <w:szCs w:val="26"/>
        </w:rPr>
        <w:t>已依</w:t>
      </w:r>
      <w:r w:rsidRPr="00EA272E">
        <w:rPr>
          <w:rFonts w:eastAsia="標楷體" w:hint="eastAsia"/>
          <w:sz w:val="26"/>
          <w:szCs w:val="26"/>
        </w:rPr>
        <w:t>移轉訂價</w:t>
      </w:r>
      <w:r w:rsidRPr="00EA272E">
        <w:rPr>
          <w:rFonts w:eastAsia="標楷體"/>
          <w:sz w:val="26"/>
          <w:szCs w:val="26"/>
        </w:rPr>
        <w:t>查核準則規定，</w:t>
      </w:r>
      <w:r w:rsidR="00CB63D1">
        <w:rPr>
          <w:rFonts w:eastAsia="標楷體" w:hint="eastAsia"/>
          <w:sz w:val="26"/>
          <w:szCs w:val="26"/>
        </w:rPr>
        <w:t>考量該項可能影</w:t>
      </w:r>
      <w:r w:rsidR="00CB63D1" w:rsidRPr="008F4F5B">
        <w:rPr>
          <w:rFonts w:eastAsia="標楷體"/>
          <w:sz w:val="26"/>
          <w:szCs w:val="26"/>
        </w:rPr>
        <w:t>響價格或利潤之因素</w:t>
      </w:r>
      <w:r w:rsidRPr="00EA272E">
        <w:rPr>
          <w:rFonts w:eastAsia="標楷體"/>
          <w:sz w:val="26"/>
          <w:szCs w:val="26"/>
        </w:rPr>
        <w:t>。</w:t>
      </w:r>
    </w:p>
    <w:p w:rsidR="00DE7202" w:rsidRDefault="00F70BB6" w:rsidP="001719B7">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三、契約條款</w:t>
      </w:r>
    </w:p>
    <w:p w:rsidR="00F70BB6" w:rsidRDefault="00F70BB6" w:rsidP="00F70BB6">
      <w:pPr>
        <w:spacing w:before="50" w:after="50" w:line="360" w:lineRule="auto"/>
        <w:ind w:firstLineChars="200" w:firstLine="520"/>
        <w:jc w:val="both"/>
        <w:rPr>
          <w:rFonts w:eastAsia="標楷體"/>
          <w:sz w:val="26"/>
          <w:szCs w:val="26"/>
        </w:rPr>
      </w:pPr>
      <w:r w:rsidRPr="0043456B">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F70BB6" w:rsidRPr="00781EAA" w:rsidRDefault="003A761B" w:rsidP="00F70BB6">
      <w:pPr>
        <w:spacing w:before="50" w:after="50" w:line="360" w:lineRule="auto"/>
        <w:ind w:firstLineChars="200" w:firstLine="520"/>
        <w:jc w:val="both"/>
        <w:rPr>
          <w:rFonts w:eastAsia="標楷體"/>
          <w:sz w:val="26"/>
          <w:szCs w:val="26"/>
        </w:rPr>
      </w:pPr>
      <w:r w:rsidRPr="00781EAA">
        <w:rPr>
          <w:rFonts w:eastAsia="標楷體" w:hint="eastAsia"/>
          <w:sz w:val="26"/>
          <w:szCs w:val="26"/>
        </w:rPr>
        <w:t>萊迪思台灣分公司</w:t>
      </w:r>
      <w:r w:rsidR="00F70BB6" w:rsidRPr="00781EAA">
        <w:rPr>
          <w:rFonts w:eastAsia="標楷體" w:hint="eastAsia"/>
          <w:sz w:val="26"/>
          <w:szCs w:val="26"/>
        </w:rPr>
        <w:t>與關係企業所簽訂之契約條款</w:t>
      </w:r>
      <w:r w:rsidR="00F70BB6" w:rsidRPr="00781EAA">
        <w:rPr>
          <w:rFonts w:eastAsia="標楷體"/>
          <w:sz w:val="26"/>
          <w:szCs w:val="26"/>
        </w:rPr>
        <w:t>詳述於本</w:t>
      </w:r>
      <w:r w:rsidR="00CB63D1" w:rsidRPr="00781EAA">
        <w:rPr>
          <w:rFonts w:eastAsia="標楷體" w:hint="eastAsia"/>
          <w:sz w:val="26"/>
          <w:szCs w:val="26"/>
        </w:rPr>
        <w:t>文據</w:t>
      </w:r>
      <w:r w:rsidR="00F70BB6" w:rsidRPr="00781EAA">
        <w:rPr>
          <w:rFonts w:eastAsia="標楷體"/>
          <w:sz w:val="26"/>
          <w:szCs w:val="26"/>
        </w:rPr>
        <w:t>第參章。</w:t>
      </w:r>
    </w:p>
    <w:p w:rsidR="00F70BB6" w:rsidRPr="00EA272E" w:rsidRDefault="00F70BB6" w:rsidP="00F70BB6">
      <w:pPr>
        <w:pStyle w:val="2"/>
        <w:numPr>
          <w:ilvl w:val="0"/>
          <w:numId w:val="0"/>
        </w:numPr>
        <w:spacing w:before="100" w:beforeAutospacing="1" w:after="100" w:afterAutospacing="1" w:line="360" w:lineRule="auto"/>
        <w:rPr>
          <w:rFonts w:ascii="Times New Roman" w:eastAsia="標楷體" w:hAnsi="Times New Roman"/>
          <w:sz w:val="32"/>
          <w:szCs w:val="32"/>
        </w:rPr>
      </w:pPr>
      <w:r w:rsidRPr="00EA272E">
        <w:rPr>
          <w:rFonts w:ascii="Times New Roman" w:eastAsia="標楷體" w:hAnsi="Times New Roman"/>
          <w:sz w:val="32"/>
          <w:szCs w:val="32"/>
        </w:rPr>
        <w:lastRenderedPageBreak/>
        <w:t>四、承擔</w:t>
      </w:r>
      <w:r w:rsidRPr="00EA272E">
        <w:rPr>
          <w:rFonts w:ascii="Times New Roman" w:eastAsia="標楷體" w:hAnsi="Times New Roman" w:hint="eastAsia"/>
          <w:sz w:val="32"/>
          <w:szCs w:val="32"/>
        </w:rPr>
        <w:t>之</w:t>
      </w:r>
      <w:r w:rsidRPr="00EA272E">
        <w:rPr>
          <w:rFonts w:ascii="Times New Roman" w:eastAsia="標楷體" w:hAnsi="Times New Roman"/>
          <w:sz w:val="32"/>
          <w:szCs w:val="32"/>
        </w:rPr>
        <w:t>風險</w:t>
      </w:r>
    </w:p>
    <w:p w:rsidR="00F70BB6" w:rsidRPr="00EA272E"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款將營利事業承擔之風險分為五</w:t>
      </w:r>
      <w:r w:rsidR="00CB63D1">
        <w:rPr>
          <w:rFonts w:eastAsia="標楷體"/>
          <w:sz w:val="26"/>
          <w:szCs w:val="26"/>
        </w:rPr>
        <w:t>類。本</w:t>
      </w:r>
      <w:r w:rsidR="00CB63D1">
        <w:rPr>
          <w:rFonts w:eastAsia="標楷體" w:hint="eastAsia"/>
          <w:sz w:val="26"/>
          <w:szCs w:val="26"/>
        </w:rPr>
        <w:t>文據</w:t>
      </w:r>
      <w:r w:rsidRPr="00EA272E">
        <w:rPr>
          <w:rFonts w:eastAsia="標楷體"/>
          <w:sz w:val="26"/>
          <w:szCs w:val="26"/>
        </w:rPr>
        <w:t>已依</w:t>
      </w:r>
      <w:r w:rsidRPr="00EA272E">
        <w:rPr>
          <w:rFonts w:eastAsia="標楷體" w:hint="eastAsia"/>
          <w:sz w:val="26"/>
          <w:szCs w:val="26"/>
        </w:rPr>
        <w:t>移轉訂價</w:t>
      </w:r>
      <w:r w:rsidRPr="00EA272E">
        <w:rPr>
          <w:rFonts w:eastAsia="標楷體"/>
          <w:sz w:val="26"/>
          <w:szCs w:val="26"/>
        </w:rPr>
        <w:t>查核準則規定，</w:t>
      </w:r>
      <w:r w:rsidR="00CB63D1">
        <w:rPr>
          <w:rFonts w:eastAsia="標楷體" w:hint="eastAsia"/>
          <w:sz w:val="26"/>
          <w:szCs w:val="26"/>
        </w:rPr>
        <w:t>考量該項可能影</w:t>
      </w:r>
      <w:r w:rsidR="00CB63D1" w:rsidRPr="008F4F5B">
        <w:rPr>
          <w:rFonts w:eastAsia="標楷體"/>
          <w:sz w:val="26"/>
          <w:szCs w:val="26"/>
        </w:rPr>
        <w:t>響價格或利潤之因素</w:t>
      </w:r>
      <w:r w:rsidRPr="00EA272E">
        <w:rPr>
          <w:rFonts w:eastAsia="標楷體"/>
          <w:sz w:val="26"/>
          <w:szCs w:val="26"/>
        </w:rPr>
        <w:t>。</w:t>
      </w:r>
    </w:p>
    <w:p w:rsidR="00DE7202" w:rsidRDefault="00F70BB6" w:rsidP="001719B7">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五、經濟及市場情況</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43456B">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DE7202" w:rsidRDefault="002F0DEF" w:rsidP="001719B7">
      <w:pPr>
        <w:spacing w:beforeLines="50" w:before="120" w:afterLines="50" w:after="120" w:line="360" w:lineRule="auto"/>
        <w:ind w:firstLineChars="200" w:firstLine="520"/>
        <w:jc w:val="both"/>
        <w:rPr>
          <w:rFonts w:eastAsia="標楷體"/>
          <w:sz w:val="26"/>
          <w:szCs w:val="26"/>
        </w:rPr>
      </w:pPr>
      <w:r w:rsidRPr="00781EAA">
        <w:rPr>
          <w:rFonts w:eastAsia="標楷體" w:hint="eastAsia"/>
          <w:sz w:val="26"/>
          <w:szCs w:val="26"/>
        </w:rPr>
        <w:t>萊迪思台灣分公司</w:t>
      </w:r>
      <w:r w:rsidR="00CB63D1" w:rsidRPr="00781EAA">
        <w:rPr>
          <w:rFonts w:eastAsia="標楷體" w:hint="eastAsia"/>
          <w:sz w:val="26"/>
          <w:szCs w:val="26"/>
        </w:rPr>
        <w:t>所處產業經濟及市場情況已詳述於本文據</w:t>
      </w:r>
      <w:r w:rsidR="00F70BB6" w:rsidRPr="00781EAA">
        <w:rPr>
          <w:rFonts w:eastAsia="標楷體" w:hint="eastAsia"/>
          <w:sz w:val="26"/>
          <w:szCs w:val="26"/>
        </w:rPr>
        <w:t>第貳章。本所找尋</w:t>
      </w:r>
      <w:r w:rsidRPr="00781EAA">
        <w:rPr>
          <w:rFonts w:eastAsia="標楷體" w:hint="eastAsia"/>
          <w:sz w:val="26"/>
          <w:szCs w:val="26"/>
        </w:rPr>
        <w:t>萊迪思台灣分公司</w:t>
      </w:r>
      <w:r w:rsidR="00F70BB6" w:rsidRPr="00781EAA">
        <w:rPr>
          <w:rFonts w:eastAsia="標楷體" w:hint="eastAsia"/>
          <w:sz w:val="26"/>
          <w:szCs w:val="26"/>
        </w:rPr>
        <w:t>可比較對象時，盡可能選取與其位於相同地理位置</w:t>
      </w:r>
      <w:r w:rsidR="00F70BB6" w:rsidRPr="0043456B">
        <w:rPr>
          <w:rFonts w:eastAsia="標楷體" w:hint="eastAsia"/>
          <w:sz w:val="26"/>
          <w:szCs w:val="26"/>
        </w:rPr>
        <w:t>區塊、市場大小、市場競爭程度相似者作為可比較對象。</w:t>
      </w:r>
    </w:p>
    <w:p w:rsidR="00DE7202" w:rsidRDefault="00F70BB6" w:rsidP="001719B7">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六、商業策略</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商業策略亦可影響企業之移轉訂價政策</w:t>
      </w:r>
      <w:r w:rsidRPr="00EA272E">
        <w:rPr>
          <w:rFonts w:eastAsia="標楷體" w:hint="eastAsia"/>
          <w:sz w:val="26"/>
          <w:szCs w:val="26"/>
        </w:rPr>
        <w:t>，其包括</w:t>
      </w:r>
      <w:r w:rsidRPr="00EA272E">
        <w:rPr>
          <w:rFonts w:eastAsia="標楷體"/>
          <w:sz w:val="26"/>
          <w:szCs w:val="26"/>
        </w:rPr>
        <w:t>1</w:t>
      </w:r>
      <w:proofErr w:type="gramStart"/>
      <w:r w:rsidRPr="00EA272E">
        <w:rPr>
          <w:rFonts w:eastAsia="標楷體" w:hint="eastAsia"/>
          <w:sz w:val="26"/>
          <w:szCs w:val="26"/>
        </w:rPr>
        <w:t>）</w:t>
      </w:r>
      <w:proofErr w:type="gramEnd"/>
      <w:r w:rsidRPr="00EA272E">
        <w:rPr>
          <w:rFonts w:eastAsia="標楷體" w:hint="eastAsia"/>
          <w:sz w:val="26"/>
          <w:szCs w:val="26"/>
        </w:rPr>
        <w:t>創新及產品開發策略、</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hint="eastAsia"/>
          <w:sz w:val="26"/>
          <w:szCs w:val="26"/>
        </w:rPr>
        <w:t>避險策略與</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hint="eastAsia"/>
          <w:sz w:val="26"/>
          <w:szCs w:val="26"/>
        </w:rPr>
        <w:t>市場占有率策略等。</w:t>
      </w:r>
      <w:r w:rsidRPr="00EA272E">
        <w:rPr>
          <w:rFonts w:eastAsia="標楷體"/>
          <w:sz w:val="26"/>
          <w:szCs w:val="26"/>
        </w:rPr>
        <w:t>例如</w:t>
      </w:r>
      <w:r w:rsidRPr="00EA272E">
        <w:rPr>
          <w:rFonts w:eastAsia="標楷體" w:hint="eastAsia"/>
          <w:sz w:val="26"/>
          <w:szCs w:val="26"/>
        </w:rPr>
        <w:t>其中</w:t>
      </w:r>
      <w:r w:rsidRPr="00EA272E">
        <w:rPr>
          <w:rFonts w:eastAsia="標楷體"/>
          <w:sz w:val="26"/>
          <w:szCs w:val="26"/>
        </w:rPr>
        <w:t>企業為搶奪市場佔有率，而採用『市場滲透計畫』，短期內以低於類似產品售價之價格銷售產品，此時其售價會落於常規交易結果之外</w:t>
      </w:r>
      <w:r w:rsidRPr="00EA272E">
        <w:rPr>
          <w:rFonts w:eastAsia="標楷體" w:hint="eastAsia"/>
          <w:sz w:val="26"/>
          <w:szCs w:val="26"/>
        </w:rPr>
        <w:t>，故</w:t>
      </w:r>
      <w:r w:rsidRPr="00EA272E">
        <w:rPr>
          <w:rFonts w:eastAsia="標楷體"/>
          <w:sz w:val="26"/>
          <w:szCs w:val="26"/>
        </w:rPr>
        <w:t>此交易結果則須</w:t>
      </w:r>
      <w:r w:rsidRPr="00EA272E">
        <w:rPr>
          <w:rFonts w:eastAsia="標楷體" w:hint="eastAsia"/>
          <w:sz w:val="26"/>
          <w:szCs w:val="26"/>
        </w:rPr>
        <w:t>消除商業策略之差異後才行比較</w:t>
      </w:r>
      <w:r w:rsidRPr="00EA272E">
        <w:rPr>
          <w:rFonts w:eastAsia="標楷體"/>
          <w:sz w:val="26"/>
          <w:szCs w:val="26"/>
        </w:rPr>
        <w:t>。</w:t>
      </w:r>
    </w:p>
    <w:p w:rsidR="00F70BB6" w:rsidRPr="00781EAA" w:rsidRDefault="003A761B" w:rsidP="00F70BB6">
      <w:pPr>
        <w:snapToGrid w:val="0"/>
        <w:spacing w:before="50" w:after="50" w:line="360" w:lineRule="auto"/>
        <w:ind w:firstLineChars="200" w:firstLine="520"/>
        <w:jc w:val="both"/>
        <w:rPr>
          <w:rFonts w:eastAsia="標楷體"/>
          <w:sz w:val="26"/>
          <w:szCs w:val="26"/>
        </w:rPr>
      </w:pPr>
      <w:r w:rsidRPr="00781EAA">
        <w:rPr>
          <w:rFonts w:eastAsia="標楷體" w:hint="eastAsia"/>
          <w:sz w:val="26"/>
          <w:szCs w:val="26"/>
        </w:rPr>
        <w:t>萊迪思台灣分公司</w:t>
      </w:r>
      <w:r w:rsidR="00F70BB6" w:rsidRPr="00781EAA">
        <w:rPr>
          <w:rFonts w:eastAsia="標楷體"/>
          <w:sz w:val="26"/>
          <w:szCs w:val="26"/>
        </w:rPr>
        <w:t>並未採取特別之商業策略，故不受此項因素影響。</w:t>
      </w:r>
    </w:p>
    <w:p w:rsidR="00F70BB6" w:rsidRPr="00EA272E" w:rsidRDefault="00F70BB6" w:rsidP="001719B7">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hint="eastAsia"/>
          <w:sz w:val="32"/>
          <w:szCs w:val="32"/>
        </w:rPr>
        <w:t>七</w:t>
      </w:r>
      <w:r w:rsidRPr="00EA272E">
        <w:rPr>
          <w:rFonts w:ascii="Times New Roman" w:eastAsia="標楷體" w:hAnsi="Times New Roman"/>
          <w:sz w:val="32"/>
          <w:szCs w:val="32"/>
        </w:rPr>
        <w:t>、其他影響可比較程度之因素</w:t>
      </w:r>
    </w:p>
    <w:p w:rsidR="00DE7202" w:rsidRDefault="00F70BB6" w:rsidP="001719B7">
      <w:pPr>
        <w:spacing w:beforeLines="50" w:before="120" w:afterLines="50" w:after="120" w:line="360" w:lineRule="auto"/>
        <w:ind w:firstLineChars="200" w:firstLine="520"/>
        <w:jc w:val="both"/>
        <w:rPr>
          <w:rFonts w:eastAsia="標楷體"/>
          <w:color w:val="000000"/>
          <w:sz w:val="26"/>
          <w:szCs w:val="26"/>
        </w:rPr>
      </w:pPr>
      <w:r w:rsidRPr="00781EAA">
        <w:rPr>
          <w:rFonts w:eastAsia="標楷體" w:hint="eastAsia"/>
          <w:sz w:val="26"/>
          <w:szCs w:val="26"/>
        </w:rPr>
        <w:t>經分析</w:t>
      </w:r>
      <w:r w:rsidR="003A761B" w:rsidRPr="00781EAA">
        <w:rPr>
          <w:rFonts w:eastAsia="標楷體" w:hint="eastAsia"/>
          <w:sz w:val="26"/>
          <w:szCs w:val="26"/>
        </w:rPr>
        <w:t>萊迪思台灣分公司</w:t>
      </w:r>
      <w:r w:rsidRPr="00781EAA">
        <w:rPr>
          <w:rFonts w:eastAsia="標楷體" w:hint="eastAsia"/>
          <w:sz w:val="26"/>
          <w:szCs w:val="26"/>
        </w:rPr>
        <w:t>之受控交易，</w:t>
      </w:r>
      <w:r w:rsidRPr="00781EAA">
        <w:rPr>
          <w:rFonts w:eastAsia="標楷體"/>
          <w:sz w:val="26"/>
          <w:szCs w:val="26"/>
        </w:rPr>
        <w:t>並</w:t>
      </w:r>
      <w:r w:rsidRPr="00781EAA">
        <w:rPr>
          <w:rFonts w:eastAsia="標楷體" w:hint="eastAsia"/>
          <w:sz w:val="26"/>
          <w:szCs w:val="26"/>
        </w:rPr>
        <w:t>無發現有其他</w:t>
      </w:r>
      <w:r w:rsidRPr="00781EAA">
        <w:rPr>
          <w:rFonts w:eastAsia="標楷體"/>
          <w:sz w:val="26"/>
          <w:szCs w:val="26"/>
        </w:rPr>
        <w:t>特殊且會影響訂</w:t>
      </w:r>
      <w:r w:rsidRPr="00EA272E">
        <w:rPr>
          <w:rFonts w:eastAsia="標楷體"/>
          <w:color w:val="000000"/>
          <w:sz w:val="26"/>
          <w:szCs w:val="26"/>
        </w:rPr>
        <w:lastRenderedPageBreak/>
        <w:t>價策略或利潤之因素</w:t>
      </w:r>
      <w:r>
        <w:rPr>
          <w:rFonts w:eastAsia="標楷體" w:hint="eastAsia"/>
          <w:color w:val="000000"/>
          <w:sz w:val="26"/>
          <w:szCs w:val="26"/>
        </w:rPr>
        <w:t>存在。</w:t>
      </w:r>
    </w:p>
    <w:p w:rsidR="00DE7202" w:rsidRDefault="008C48FB" w:rsidP="001719B7">
      <w:pPr>
        <w:spacing w:beforeLines="50" w:before="120" w:afterLines="50" w:after="120" w:line="360" w:lineRule="auto"/>
        <w:jc w:val="both"/>
        <w:rPr>
          <w:rFonts w:eastAsia="標楷體"/>
          <w:color w:val="000000"/>
          <w:sz w:val="26"/>
          <w:szCs w:val="26"/>
        </w:rPr>
      </w:pPr>
      <w:r>
        <w:rPr>
          <w:rFonts w:eastAsia="標楷體"/>
          <w:color w:val="000000"/>
          <w:sz w:val="26"/>
          <w:szCs w:val="26"/>
        </w:rPr>
        <w:br w:type="page"/>
      </w:r>
    </w:p>
    <w:p w:rsidR="00564BF5" w:rsidRPr="00EA272E" w:rsidRDefault="00564BF5" w:rsidP="001719B7">
      <w:pPr>
        <w:spacing w:beforeLines="50" w:before="120" w:afterLines="50" w:after="120" w:line="360" w:lineRule="auto"/>
        <w:ind w:firstLineChars="200" w:firstLine="520"/>
        <w:jc w:val="both"/>
        <w:rPr>
          <w:rFonts w:eastAsia="標楷體"/>
          <w:sz w:val="26"/>
          <w:szCs w:val="26"/>
        </w:rPr>
        <w:sectPr w:rsidR="00564BF5" w:rsidRPr="00EA272E" w:rsidSect="000223C9">
          <w:type w:val="oddPage"/>
          <w:pgSz w:w="11906" w:h="16838" w:code="9"/>
          <w:pgMar w:top="2160" w:right="1440" w:bottom="1814" w:left="1440" w:header="851" w:footer="567" w:gutter="567"/>
          <w:cols w:space="425"/>
          <w:docGrid w:linePitch="360"/>
        </w:sectPr>
      </w:pPr>
      <w:bookmarkStart w:id="54" w:name="_Toc137897621"/>
    </w:p>
    <w:bookmarkStart w:id="55" w:name="_Toc253154515"/>
    <w:bookmarkStart w:id="56" w:name="_Toc253154583"/>
    <w:bookmarkStart w:id="57" w:name="_Toc272326014"/>
    <w:bookmarkStart w:id="58" w:name="_Toc272326642"/>
    <w:bookmarkStart w:id="59" w:name="_Toc272326821"/>
    <w:bookmarkStart w:id="60" w:name="_Toc275960654"/>
    <w:p w:rsidR="000314E8" w:rsidRPr="00EA272E" w:rsidRDefault="00EE4220"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7216" behindDoc="0" locked="0" layoutInCell="1" allowOverlap="1" wp14:anchorId="438C36B0" wp14:editId="751AE82F">
                <wp:simplePos x="0" y="0"/>
                <wp:positionH relativeFrom="column">
                  <wp:posOffset>4671060</wp:posOffset>
                </wp:positionH>
                <wp:positionV relativeFrom="paragraph">
                  <wp:posOffset>0</wp:posOffset>
                </wp:positionV>
                <wp:extent cx="720090" cy="720090"/>
                <wp:effectExtent l="13335" t="9525" r="9525" b="13335"/>
                <wp:wrapNone/>
                <wp:docPr id="1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7B5D" w:rsidRPr="005F6F74" w:rsidRDefault="00697B5D"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64" type="#_x0000_t202" style="position:absolute;left:0;text-align:left;margin-left:367.8pt;margin-top:0;width:56.7pt;height:5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CdmiytKAIAAFoEAAAOAAAAAAAAAAAAAAAAAC4CAABkcnMvZTJv&#10;RG9jLnhtbFBLAQItABQABgAIAAAAIQCzjQgT3gAAAAgBAAAPAAAAAAAAAAAAAAAAAIIEAABkcnMv&#10;ZG93bnJldi54bWxQSwUGAAAAAAQABADzAAAAjQUAAAAA&#10;">
                <v:textbox>
                  <w:txbxContent>
                    <w:p w:rsidR="00697B5D" w:rsidRPr="005F6F74" w:rsidRDefault="00697B5D"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55"/>
      <w:bookmarkEnd w:id="56"/>
      <w:bookmarkEnd w:id="57"/>
      <w:bookmarkEnd w:id="58"/>
      <w:bookmarkEnd w:id="59"/>
      <w:bookmarkEnd w:id="60"/>
    </w:p>
    <w:p w:rsidR="000314E8" w:rsidRPr="00EA272E"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0E26E4" w:rsidRDefault="00F70BB6" w:rsidP="002C3C01">
      <w:pPr>
        <w:pStyle w:val="1"/>
        <w:numPr>
          <w:ilvl w:val="0"/>
          <w:numId w:val="29"/>
        </w:numPr>
        <w:spacing w:before="100" w:beforeAutospacing="1" w:after="100" w:afterAutospacing="1" w:line="360" w:lineRule="auto"/>
        <w:ind w:rightChars="-19" w:right="-46"/>
        <w:jc w:val="center"/>
        <w:rPr>
          <w:rFonts w:ascii="Times New Roman" w:eastAsia="標楷體" w:hAnsi="Times New Roman"/>
          <w:sz w:val="44"/>
          <w:szCs w:val="46"/>
        </w:rPr>
      </w:pPr>
      <w:bookmarkStart w:id="61" w:name="_Toc359935472"/>
      <w:bookmarkEnd w:id="54"/>
      <w:r w:rsidRPr="000E26E4">
        <w:rPr>
          <w:rFonts w:ascii="Times New Roman" w:eastAsia="標楷體" w:hAnsi="Times New Roman" w:hint="eastAsia"/>
          <w:sz w:val="44"/>
          <w:szCs w:val="46"/>
        </w:rPr>
        <w:t>最適常規交易方法之決定</w:t>
      </w:r>
      <w:bookmarkEnd w:id="61"/>
    </w:p>
    <w:p w:rsidR="00DE7202" w:rsidRDefault="00F70BB6" w:rsidP="001719B7">
      <w:pPr>
        <w:pStyle w:val="2"/>
        <w:numPr>
          <w:ilvl w:val="1"/>
          <w:numId w:val="1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最適</w:t>
      </w:r>
      <w:r w:rsidRPr="00EA272E">
        <w:rPr>
          <w:rFonts w:ascii="Times New Roman" w:eastAsia="標楷體" w:hAnsi="Times New Roman"/>
          <w:sz w:val="36"/>
          <w:szCs w:val="40"/>
        </w:rPr>
        <w:t>常規交易</w:t>
      </w:r>
      <w:r w:rsidRPr="00EA272E">
        <w:rPr>
          <w:rFonts w:ascii="Times New Roman" w:eastAsia="標楷體" w:hAnsi="Times New Roman" w:hint="eastAsia"/>
          <w:sz w:val="36"/>
          <w:szCs w:val="40"/>
        </w:rPr>
        <w:t>方法之說明</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所謂『常規交易方法』，根據移轉訂價查核準則第</w:t>
      </w:r>
      <w:r w:rsidRPr="00EA272E">
        <w:rPr>
          <w:rFonts w:eastAsia="標楷體"/>
          <w:sz w:val="26"/>
          <w:szCs w:val="26"/>
        </w:rPr>
        <w:t>4</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11</w:t>
      </w:r>
      <w:r w:rsidRPr="00EA272E">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8F4F5B">
        <w:rPr>
          <w:rFonts w:eastAsia="標楷體"/>
          <w:sz w:val="26"/>
          <w:szCs w:val="26"/>
        </w:rPr>
        <w:t>為減少徵納雙方之</w:t>
      </w:r>
      <w:proofErr w:type="gramStart"/>
      <w:r w:rsidRPr="008F4F5B">
        <w:rPr>
          <w:rFonts w:eastAsia="標楷體"/>
          <w:sz w:val="26"/>
          <w:szCs w:val="26"/>
        </w:rPr>
        <w:t>稽</w:t>
      </w:r>
      <w:proofErr w:type="gramEnd"/>
      <w:r w:rsidRPr="008F4F5B">
        <w:rPr>
          <w:rFonts w:eastAsia="標楷體"/>
          <w:sz w:val="26"/>
          <w:szCs w:val="26"/>
        </w:rPr>
        <w:t>徵成本及依從成本，我國財政部於制訂移轉訂價查核準則時，參照美國內地稅法</w:t>
      </w:r>
      <w:r w:rsidRPr="008F4F5B">
        <w:rPr>
          <w:rFonts w:eastAsia="標楷體"/>
          <w:sz w:val="26"/>
          <w:szCs w:val="26"/>
        </w:rPr>
        <w:t>482</w:t>
      </w:r>
      <w:r w:rsidRPr="008F4F5B">
        <w:rPr>
          <w:rFonts w:eastAsia="標楷體"/>
          <w:sz w:val="26"/>
          <w:szCs w:val="26"/>
        </w:rPr>
        <w:t>條之『最佳方法』原則，決定</w:t>
      </w:r>
      <w:proofErr w:type="gramStart"/>
      <w:r w:rsidRPr="008F4F5B">
        <w:rPr>
          <w:rFonts w:eastAsia="標楷體"/>
          <w:sz w:val="26"/>
          <w:szCs w:val="26"/>
        </w:rPr>
        <w:t>最</w:t>
      </w:r>
      <w:proofErr w:type="gramEnd"/>
      <w:r w:rsidRPr="008F4F5B">
        <w:rPr>
          <w:rFonts w:eastAsia="標楷體"/>
          <w:sz w:val="26"/>
          <w:szCs w:val="26"/>
        </w:rPr>
        <w:t>適常規交易方法。</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2</w:t>
      </w:r>
      <w:r w:rsidRPr="00EA272E">
        <w:rPr>
          <w:rFonts w:eastAsia="標楷體"/>
          <w:sz w:val="26"/>
          <w:szCs w:val="26"/>
        </w:rPr>
        <w:t>款規定，於採用</w:t>
      </w:r>
      <w:proofErr w:type="gramStart"/>
      <w:r w:rsidRPr="00EA272E">
        <w:rPr>
          <w:rFonts w:eastAsia="標楷體"/>
          <w:sz w:val="26"/>
          <w:szCs w:val="26"/>
        </w:rPr>
        <w:t>最</w:t>
      </w:r>
      <w:proofErr w:type="gramEnd"/>
      <w:r w:rsidRPr="00EA272E">
        <w:rPr>
          <w:rFonts w:eastAsia="標楷體"/>
          <w:sz w:val="26"/>
          <w:szCs w:val="26"/>
        </w:rPr>
        <w:t>適常規交易方法時，應按交易類型採用</w:t>
      </w:r>
      <w:proofErr w:type="gramStart"/>
      <w:r w:rsidRPr="00EA272E">
        <w:rPr>
          <w:rFonts w:eastAsia="標楷體"/>
          <w:sz w:val="26"/>
          <w:szCs w:val="26"/>
        </w:rPr>
        <w:t>最</w:t>
      </w:r>
      <w:proofErr w:type="gramEnd"/>
      <w:r w:rsidRPr="00EA272E">
        <w:rPr>
          <w:rFonts w:eastAsia="標楷體"/>
          <w:sz w:val="26"/>
          <w:szCs w:val="26"/>
        </w:rPr>
        <w:t>適之常規交易方法，以決定其常規交易結果。</w:t>
      </w:r>
      <w:r w:rsidRPr="008F4F5B">
        <w:rPr>
          <w:rFonts w:eastAsia="標楷體"/>
          <w:sz w:val="26"/>
          <w:szCs w:val="26"/>
        </w:rPr>
        <w:t>另外，根據移轉訂價查核準則第</w:t>
      </w:r>
      <w:r w:rsidRPr="008F4F5B">
        <w:rPr>
          <w:rFonts w:eastAsia="標楷體"/>
          <w:sz w:val="26"/>
          <w:szCs w:val="26"/>
        </w:rPr>
        <w:t>7</w:t>
      </w:r>
      <w:r w:rsidRPr="008F4F5B">
        <w:rPr>
          <w:rFonts w:eastAsia="標楷體"/>
          <w:sz w:val="26"/>
          <w:szCs w:val="26"/>
        </w:rPr>
        <w:t>條第</w:t>
      </w:r>
      <w:r w:rsidRPr="008F4F5B">
        <w:rPr>
          <w:rFonts w:eastAsia="標楷體"/>
          <w:sz w:val="26"/>
          <w:szCs w:val="26"/>
        </w:rPr>
        <w:t>3</w:t>
      </w:r>
      <w:r w:rsidRPr="008F4F5B">
        <w:rPr>
          <w:rFonts w:eastAsia="標楷體"/>
          <w:sz w:val="26"/>
          <w:szCs w:val="26"/>
        </w:rPr>
        <w:t>款規定，決定受控交易之常規交易結果，應以個別交易為基礎，各自適用常規交易方法，以期常規交易結果盡可能接近公平市價。但個別</w:t>
      </w:r>
      <w:proofErr w:type="gramStart"/>
      <w:r w:rsidRPr="008F4F5B">
        <w:rPr>
          <w:rFonts w:eastAsia="標楷體"/>
          <w:sz w:val="26"/>
          <w:szCs w:val="26"/>
        </w:rPr>
        <w:t>交易</w:t>
      </w:r>
      <w:r w:rsidR="00075B4D">
        <w:rPr>
          <w:rFonts w:eastAsia="標楷體" w:hint="eastAsia"/>
          <w:sz w:val="26"/>
          <w:szCs w:val="26"/>
        </w:rPr>
        <w:t>間</w:t>
      </w:r>
      <w:r w:rsidRPr="008F4F5B">
        <w:rPr>
          <w:rFonts w:eastAsia="標楷體"/>
          <w:sz w:val="26"/>
          <w:szCs w:val="26"/>
        </w:rPr>
        <w:t>有關聯</w:t>
      </w:r>
      <w:proofErr w:type="gramEnd"/>
      <w:r w:rsidRPr="008F4F5B">
        <w:rPr>
          <w:rFonts w:eastAsia="標楷體"/>
          <w:sz w:val="26"/>
          <w:szCs w:val="26"/>
        </w:rPr>
        <w:t>性或連續性者，應合併相關交易適用常規交易方法，以決定其常規交易結果，所以移轉訂價</w:t>
      </w:r>
      <w:r>
        <w:rPr>
          <w:rFonts w:eastAsia="標楷體" w:hint="eastAsia"/>
          <w:sz w:val="26"/>
          <w:szCs w:val="26"/>
        </w:rPr>
        <w:t>分析</w:t>
      </w:r>
      <w:r w:rsidRPr="008F4F5B">
        <w:rPr>
          <w:rFonts w:eastAsia="標楷體"/>
          <w:sz w:val="26"/>
          <w:szCs w:val="26"/>
        </w:rPr>
        <w:t>原則上應以個別交易為基礎。</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而在決定</w:t>
      </w:r>
      <w:proofErr w:type="gramStart"/>
      <w:r w:rsidRPr="00EA272E">
        <w:rPr>
          <w:rFonts w:eastAsia="標楷體" w:hint="eastAsia"/>
          <w:sz w:val="26"/>
          <w:szCs w:val="26"/>
        </w:rPr>
        <w:t>最</w:t>
      </w:r>
      <w:proofErr w:type="gramEnd"/>
      <w:r w:rsidRPr="00EA272E">
        <w:rPr>
          <w:rFonts w:eastAsia="標楷體" w:hint="eastAsia"/>
          <w:sz w:val="26"/>
          <w:szCs w:val="26"/>
        </w:rPr>
        <w:t>適常規交易方法時，應依遵循移轉訂價查核準則第</w:t>
      </w:r>
      <w:r w:rsidRPr="00EA272E">
        <w:rPr>
          <w:rFonts w:eastAsia="標楷體" w:hint="eastAsia"/>
          <w:sz w:val="26"/>
          <w:szCs w:val="26"/>
        </w:rPr>
        <w:t>9</w:t>
      </w:r>
      <w:r w:rsidRPr="00EA272E">
        <w:rPr>
          <w:rFonts w:eastAsia="標楷體" w:hint="eastAsia"/>
          <w:sz w:val="26"/>
          <w:szCs w:val="26"/>
        </w:rPr>
        <w:t>條規定，考量下列兩點：</w:t>
      </w:r>
    </w:p>
    <w:p w:rsidR="00DE7202" w:rsidRDefault="00DE7202" w:rsidP="001719B7">
      <w:pPr>
        <w:spacing w:beforeLines="50" w:before="120" w:afterLines="50" w:after="120" w:line="360" w:lineRule="auto"/>
        <w:ind w:firstLineChars="200" w:firstLine="520"/>
        <w:jc w:val="both"/>
        <w:rPr>
          <w:rFonts w:eastAsia="標楷體"/>
          <w:sz w:val="26"/>
          <w:szCs w:val="26"/>
        </w:rPr>
      </w:pPr>
    </w:p>
    <w:p w:rsidR="00F70BB6" w:rsidRPr="00EA272E" w:rsidRDefault="00F70BB6" w:rsidP="00697B5D">
      <w:pPr>
        <w:pStyle w:val="4"/>
        <w:keepNext w:val="0"/>
        <w:widowControl/>
        <w:numPr>
          <w:ilvl w:val="0"/>
          <w:numId w:val="2"/>
        </w:numPr>
        <w:tabs>
          <w:tab w:val="clear" w:pos="1272"/>
          <w:tab w:val="num" w:pos="0"/>
        </w:tabs>
        <w:spacing w:beforeLines="50" w:before="120" w:afterLines="50" w:after="120"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lastRenderedPageBreak/>
        <w:t>可比較程度</w:t>
      </w:r>
    </w:p>
    <w:p w:rsidR="00DE7202" w:rsidRDefault="00F70BB6" w:rsidP="001719B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hint="eastAsia"/>
          <w:sz w:val="26"/>
          <w:szCs w:val="26"/>
        </w:rPr>
        <w:t>可比較程度應</w:t>
      </w:r>
      <w:r w:rsidRPr="00EA272E">
        <w:rPr>
          <w:rFonts w:eastAsia="標楷體"/>
          <w:sz w:val="26"/>
          <w:szCs w:val="26"/>
        </w:rPr>
        <w:t>考量</w:t>
      </w:r>
      <w:r w:rsidRPr="00EA272E">
        <w:rPr>
          <w:rFonts w:eastAsia="標楷體"/>
          <w:sz w:val="26"/>
          <w:szCs w:val="26"/>
        </w:rPr>
        <w:t>1</w:t>
      </w:r>
      <w:proofErr w:type="gramStart"/>
      <w:r w:rsidRPr="00EA272E">
        <w:rPr>
          <w:rFonts w:eastAsia="標楷體" w:hint="eastAsia"/>
          <w:sz w:val="26"/>
          <w:szCs w:val="26"/>
        </w:rPr>
        <w:t>）</w:t>
      </w:r>
      <w:proofErr w:type="gramEnd"/>
      <w:r w:rsidRPr="00EA272E">
        <w:rPr>
          <w:rFonts w:eastAsia="標楷體" w:hint="eastAsia"/>
          <w:sz w:val="26"/>
          <w:szCs w:val="26"/>
        </w:rPr>
        <w:t>交易標的資產或服務之特性、</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hint="eastAsia"/>
          <w:sz w:val="26"/>
          <w:szCs w:val="26"/>
        </w:rPr>
        <w:t>執行之功能、</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hint="eastAsia"/>
          <w:sz w:val="26"/>
          <w:szCs w:val="26"/>
        </w:rPr>
        <w:t>契約條款、</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hint="eastAsia"/>
          <w:sz w:val="26"/>
          <w:szCs w:val="26"/>
        </w:rPr>
        <w:t>承擔之風險、</w:t>
      </w:r>
      <w:r w:rsidRPr="00EA272E">
        <w:rPr>
          <w:rFonts w:eastAsia="標楷體" w:hint="eastAsia"/>
          <w:sz w:val="26"/>
          <w:szCs w:val="26"/>
        </w:rPr>
        <w:t>5</w:t>
      </w:r>
      <w:proofErr w:type="gramStart"/>
      <w:r w:rsidRPr="00EA272E">
        <w:rPr>
          <w:rFonts w:eastAsia="標楷體" w:hint="eastAsia"/>
          <w:sz w:val="26"/>
          <w:szCs w:val="26"/>
        </w:rPr>
        <w:t>）</w:t>
      </w:r>
      <w:proofErr w:type="gramEnd"/>
      <w:r w:rsidRPr="00EA272E">
        <w:rPr>
          <w:rFonts w:eastAsia="標楷體" w:hint="eastAsia"/>
          <w:sz w:val="26"/>
          <w:szCs w:val="26"/>
        </w:rPr>
        <w:t>經濟及市場情況及</w:t>
      </w:r>
      <w:r w:rsidRPr="00EA272E">
        <w:rPr>
          <w:rFonts w:eastAsia="標楷體" w:hint="eastAsia"/>
          <w:sz w:val="26"/>
          <w:szCs w:val="26"/>
        </w:rPr>
        <w:t>6</w:t>
      </w:r>
      <w:proofErr w:type="gramStart"/>
      <w:r w:rsidRPr="00EA272E">
        <w:rPr>
          <w:rFonts w:eastAsia="標楷體" w:hint="eastAsia"/>
          <w:sz w:val="26"/>
          <w:szCs w:val="26"/>
        </w:rPr>
        <w:t>）</w:t>
      </w:r>
      <w:proofErr w:type="gramEnd"/>
      <w:r w:rsidRPr="00EA272E">
        <w:rPr>
          <w:rFonts w:eastAsia="標楷體" w:hint="eastAsia"/>
          <w:sz w:val="26"/>
          <w:szCs w:val="26"/>
        </w:rPr>
        <w:t>商業策略等應特別</w:t>
      </w:r>
      <w:r w:rsidRPr="00EA272E">
        <w:rPr>
          <w:rFonts w:eastAsia="標楷體"/>
          <w:sz w:val="26"/>
          <w:szCs w:val="26"/>
        </w:rPr>
        <w:t>因素</w:t>
      </w:r>
      <w:r w:rsidRPr="00EA272E">
        <w:rPr>
          <w:rFonts w:eastAsia="標楷體" w:hint="eastAsia"/>
          <w:sz w:val="26"/>
          <w:szCs w:val="26"/>
        </w:rPr>
        <w:t>之相似程度。相似程度越高者，其適用性越高。</w:t>
      </w:r>
    </w:p>
    <w:p w:rsidR="00F70BB6" w:rsidRPr="00EA272E" w:rsidRDefault="00F70BB6" w:rsidP="00697B5D">
      <w:pPr>
        <w:pStyle w:val="4"/>
        <w:keepNext w:val="0"/>
        <w:widowControl/>
        <w:numPr>
          <w:ilvl w:val="0"/>
          <w:numId w:val="2"/>
        </w:numPr>
        <w:tabs>
          <w:tab w:val="clear" w:pos="1272"/>
          <w:tab w:val="num" w:pos="0"/>
        </w:tabs>
        <w:spacing w:beforeLines="50" w:before="120" w:afterLines="50" w:after="120"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資料與假設的品質</w:t>
      </w:r>
    </w:p>
    <w:p w:rsidR="00DE7202" w:rsidRDefault="00F70BB6" w:rsidP="001719B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hint="eastAsia"/>
          <w:sz w:val="26"/>
          <w:szCs w:val="26"/>
        </w:rPr>
        <w:t>品質應</w:t>
      </w:r>
      <w:r w:rsidRPr="00EA272E">
        <w:rPr>
          <w:rFonts w:eastAsia="標楷體"/>
          <w:sz w:val="26"/>
          <w:szCs w:val="26"/>
        </w:rPr>
        <w:t>考量</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以蒐集之資料足夠完整正確且能確認</w:t>
      </w:r>
      <w:r w:rsidRPr="00EA272E">
        <w:rPr>
          <w:rFonts w:eastAsia="標楷體" w:hint="eastAsia"/>
          <w:sz w:val="26"/>
          <w:szCs w:val="26"/>
        </w:rPr>
        <w:t>可比較程度分析因素</w:t>
      </w:r>
      <w:r w:rsidRPr="00EA272E">
        <w:rPr>
          <w:rFonts w:eastAsia="標楷體"/>
          <w:sz w:val="26"/>
          <w:szCs w:val="26"/>
        </w:rPr>
        <w:t>之差異</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依</w:t>
      </w:r>
      <w:r w:rsidRPr="00EA272E">
        <w:rPr>
          <w:rFonts w:eastAsia="標楷體" w:hint="eastAsia"/>
          <w:sz w:val="26"/>
          <w:szCs w:val="26"/>
        </w:rPr>
        <w:t>移轉訂價查核準則第</w:t>
      </w:r>
      <w:r w:rsidRPr="00EA272E">
        <w:rPr>
          <w:rFonts w:eastAsia="標楷體" w:hint="eastAsia"/>
          <w:sz w:val="26"/>
          <w:szCs w:val="26"/>
        </w:rPr>
        <w:t>8</w:t>
      </w:r>
      <w:r w:rsidRPr="00EA272E">
        <w:rPr>
          <w:rFonts w:eastAsia="標楷體" w:hint="eastAsia"/>
          <w:sz w:val="26"/>
          <w:szCs w:val="26"/>
        </w:rPr>
        <w:t>條</w:t>
      </w:r>
      <w:r w:rsidRPr="00EA272E">
        <w:rPr>
          <w:rFonts w:eastAsia="標楷體"/>
          <w:sz w:val="26"/>
          <w:szCs w:val="26"/>
        </w:rPr>
        <w:t>規定進行調整以消除差異之可能性及適宜性</w:t>
      </w:r>
      <w:r w:rsidRPr="00EA272E">
        <w:rPr>
          <w:rFonts w:eastAsia="標楷體" w:hint="eastAsia"/>
          <w:sz w:val="26"/>
          <w:szCs w:val="26"/>
        </w:rPr>
        <w:t>與</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使用假設之合理性</w:t>
      </w:r>
      <w:r w:rsidRPr="00EA272E">
        <w:rPr>
          <w:rFonts w:eastAsia="標楷體" w:hint="eastAsia"/>
          <w:sz w:val="26"/>
          <w:szCs w:val="26"/>
        </w:rPr>
        <w:t>等</w:t>
      </w:r>
      <w:r w:rsidRPr="00EA272E">
        <w:rPr>
          <w:rFonts w:eastAsia="標楷體"/>
          <w:sz w:val="26"/>
          <w:szCs w:val="26"/>
        </w:rPr>
        <w:t>因素。品質愈佳者，其適用性愈高。</w:t>
      </w:r>
    </w:p>
    <w:p w:rsidR="00F70BB6" w:rsidRPr="00EA272E" w:rsidRDefault="00F70BB6" w:rsidP="00F70BB6">
      <w:pPr>
        <w:spacing w:before="100" w:beforeAutospacing="1" w:after="100" w:afterAutospacing="1" w:line="360" w:lineRule="auto"/>
        <w:ind w:leftChars="200" w:left="480"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1</w:t>
      </w:r>
      <w:r w:rsidRPr="00EA272E">
        <w:rPr>
          <w:rFonts w:eastAsia="標楷體" w:hint="eastAsia"/>
          <w:sz w:val="26"/>
          <w:szCs w:val="26"/>
        </w:rPr>
        <w:t>0</w:t>
      </w:r>
      <w:r w:rsidRPr="00EA272E">
        <w:rPr>
          <w:rFonts w:eastAsia="標楷體"/>
          <w:sz w:val="26"/>
          <w:szCs w:val="26"/>
        </w:rPr>
        <w:t>條至</w:t>
      </w:r>
      <w:r w:rsidRPr="00EA272E">
        <w:rPr>
          <w:rFonts w:eastAsia="標楷體"/>
          <w:sz w:val="26"/>
          <w:szCs w:val="26"/>
        </w:rPr>
        <w:t>19</w:t>
      </w:r>
      <w:r w:rsidRPr="00EA272E">
        <w:rPr>
          <w:rFonts w:eastAsia="標楷體"/>
          <w:sz w:val="26"/>
          <w:szCs w:val="26"/>
        </w:rPr>
        <w:t>條</w:t>
      </w:r>
      <w:r w:rsidRPr="00EA272E">
        <w:rPr>
          <w:rFonts w:eastAsia="標楷體" w:hint="eastAsia"/>
          <w:sz w:val="26"/>
          <w:szCs w:val="26"/>
        </w:rPr>
        <w:t>有針</w:t>
      </w:r>
      <w:r w:rsidRPr="00EA272E">
        <w:rPr>
          <w:rFonts w:eastAsia="標楷體"/>
          <w:sz w:val="26"/>
          <w:szCs w:val="26"/>
        </w:rPr>
        <w:t>對採用各種常規交易方法時所應特別考慮之因素有</w:t>
      </w:r>
      <w:r w:rsidRPr="00EA272E">
        <w:rPr>
          <w:rFonts w:eastAsia="標楷體" w:hint="eastAsia"/>
          <w:sz w:val="26"/>
          <w:szCs w:val="26"/>
        </w:rPr>
        <w:t>作</w:t>
      </w:r>
      <w:r w:rsidRPr="00EA272E">
        <w:rPr>
          <w:rFonts w:eastAsia="標楷體"/>
          <w:sz w:val="26"/>
          <w:szCs w:val="26"/>
        </w:rPr>
        <w:t>詳細</w:t>
      </w:r>
      <w:r w:rsidRPr="00EA272E">
        <w:rPr>
          <w:rFonts w:eastAsia="標楷體" w:hint="eastAsia"/>
          <w:sz w:val="26"/>
          <w:szCs w:val="26"/>
        </w:rPr>
        <w:t>敘述，故將各種</w:t>
      </w:r>
      <w:r w:rsidRPr="00EA272E">
        <w:rPr>
          <w:rFonts w:eastAsia="標楷體"/>
          <w:sz w:val="26"/>
          <w:szCs w:val="26"/>
        </w:rPr>
        <w:t>常規</w:t>
      </w:r>
      <w:r w:rsidRPr="00EA272E">
        <w:rPr>
          <w:rFonts w:eastAsia="標楷體" w:hint="eastAsia"/>
          <w:sz w:val="26"/>
          <w:szCs w:val="26"/>
        </w:rPr>
        <w:t>交易</w:t>
      </w:r>
      <w:r w:rsidRPr="00EA272E">
        <w:rPr>
          <w:rFonts w:eastAsia="標楷體"/>
          <w:sz w:val="26"/>
          <w:szCs w:val="26"/>
        </w:rPr>
        <w:t>方法說明如下</w:t>
      </w:r>
      <w:r w:rsidRPr="00EA272E">
        <w:rPr>
          <w:rFonts w:eastAsia="標楷體" w:hint="eastAsia"/>
          <w:sz w:val="26"/>
          <w:szCs w:val="26"/>
        </w:rPr>
        <w:t>：</w:t>
      </w:r>
    </w:p>
    <w:p w:rsidR="00DE7202" w:rsidRDefault="00F70BB6" w:rsidP="001719B7">
      <w:pPr>
        <w:numPr>
          <w:ilvl w:val="0"/>
          <w:numId w:val="12"/>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可比較未受控價格法</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14</w:t>
      </w:r>
      <w:r w:rsidRPr="00EA272E">
        <w:rPr>
          <w:rFonts w:eastAsia="標楷體"/>
          <w:sz w:val="26"/>
          <w:szCs w:val="26"/>
        </w:rPr>
        <w:t>條所</w:t>
      </w:r>
      <w:r w:rsidRPr="00EA272E">
        <w:rPr>
          <w:rFonts w:eastAsia="標楷體" w:hint="eastAsia"/>
          <w:sz w:val="26"/>
          <w:szCs w:val="26"/>
        </w:rPr>
        <w:t>定</w:t>
      </w:r>
      <w:r w:rsidRPr="00EA272E">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評估可比較未受控價格法之適用性時，尤應特別考量從事受控交易之營利事業與非關係人之交易標的資產或服務之特性、契約條款及經濟情況</w:t>
      </w:r>
      <w:r w:rsidRPr="00EA272E">
        <w:rPr>
          <w:rFonts w:eastAsia="標楷體" w:hint="eastAsia"/>
          <w:sz w:val="26"/>
          <w:szCs w:val="26"/>
        </w:rPr>
        <w:t>等因素</w:t>
      </w:r>
      <w:r w:rsidRPr="00EA272E">
        <w:rPr>
          <w:rFonts w:eastAsia="標楷體"/>
          <w:sz w:val="26"/>
          <w:szCs w:val="26"/>
        </w:rPr>
        <w:t>之差異，其間如有</w:t>
      </w:r>
      <w:r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DE7202" w:rsidRDefault="00DE7202" w:rsidP="001719B7">
      <w:pPr>
        <w:spacing w:beforeLines="50" w:before="120" w:afterLines="50" w:after="120" w:line="360" w:lineRule="auto"/>
        <w:ind w:leftChars="400" w:left="960" w:firstLineChars="200" w:firstLine="520"/>
        <w:jc w:val="both"/>
        <w:rPr>
          <w:rFonts w:eastAsia="標楷體"/>
          <w:sz w:val="26"/>
          <w:szCs w:val="26"/>
        </w:rPr>
      </w:pPr>
    </w:p>
    <w:p w:rsidR="00DE7202" w:rsidRDefault="00F70BB6" w:rsidP="001719B7">
      <w:pPr>
        <w:numPr>
          <w:ilvl w:val="0"/>
          <w:numId w:val="12"/>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lastRenderedPageBreak/>
        <w:t>可比較未受控交易法</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依移轉訂價查核準則第</w:t>
      </w:r>
      <w:r w:rsidRPr="00EA272E">
        <w:rPr>
          <w:rFonts w:eastAsia="標楷體"/>
          <w:sz w:val="26"/>
          <w:szCs w:val="26"/>
        </w:rPr>
        <w:t>15</w:t>
      </w:r>
      <w:r w:rsidRPr="00EA272E">
        <w:rPr>
          <w:rFonts w:eastAsia="標楷體"/>
          <w:sz w:val="26"/>
          <w:szCs w:val="26"/>
        </w:rPr>
        <w:t>條</w:t>
      </w:r>
      <w:r w:rsidRPr="00EA272E">
        <w:rPr>
          <w:rFonts w:eastAsia="標楷體" w:hint="eastAsia"/>
          <w:sz w:val="26"/>
          <w:szCs w:val="26"/>
        </w:rPr>
        <w:t>所定</w:t>
      </w:r>
      <w:r w:rsidRPr="00EA272E">
        <w:rPr>
          <w:rFonts w:eastAsia="標楷體"/>
          <w:sz w:val="26"/>
          <w:szCs w:val="26"/>
        </w:rPr>
        <w:t>可比較未受控交易法</w:t>
      </w:r>
      <w:r w:rsidRPr="00EA272E">
        <w:rPr>
          <w:rFonts w:eastAsia="標楷體" w:hint="eastAsia"/>
          <w:sz w:val="26"/>
          <w:szCs w:val="26"/>
        </w:rPr>
        <w:t>，</w:t>
      </w:r>
      <w:r w:rsidRPr="00EA272E">
        <w:rPr>
          <w:rFonts w:eastAsia="標楷體"/>
          <w:sz w:val="26"/>
          <w:szCs w:val="26"/>
        </w:rPr>
        <w:t>係以非關係人於可比較情況下，從事無形資產之移轉或使用之可比較未受控交易所收取之價格，為受控交易之常規交易價格。</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評估可比較未受控交易法之適用性時，尤應特別考量從事受控交易之營利事業與非關係人之交易標的無形資產之可比較程度及二者所處情況之可比較程度。</w:t>
      </w:r>
      <w:r w:rsidRPr="00EA272E">
        <w:rPr>
          <w:rFonts w:eastAsia="標楷體" w:hint="eastAsia"/>
          <w:sz w:val="26"/>
          <w:szCs w:val="26"/>
        </w:rPr>
        <w:t>其中所處情況之</w:t>
      </w:r>
      <w:r w:rsidRPr="00EA272E">
        <w:rPr>
          <w:rFonts w:eastAsia="標楷體"/>
          <w:sz w:val="26"/>
          <w:szCs w:val="26"/>
        </w:rPr>
        <w:t>可比較程度應考量</w:t>
      </w:r>
      <w:r w:rsidRPr="00EA272E">
        <w:rPr>
          <w:rFonts w:eastAsia="標楷體" w:hint="eastAsia"/>
          <w:sz w:val="26"/>
          <w:szCs w:val="26"/>
        </w:rPr>
        <w:t>：</w:t>
      </w:r>
      <w:r w:rsidRPr="00EA272E">
        <w:rPr>
          <w:rFonts w:eastAsia="標楷體"/>
          <w:sz w:val="26"/>
          <w:szCs w:val="26"/>
        </w:rPr>
        <w:t>1</w:t>
      </w:r>
      <w:proofErr w:type="gramStart"/>
      <w:r w:rsidRPr="00EA272E">
        <w:rPr>
          <w:rFonts w:eastAsia="標楷體" w:hint="eastAsia"/>
          <w:sz w:val="26"/>
          <w:szCs w:val="26"/>
        </w:rPr>
        <w:t>）</w:t>
      </w:r>
      <w:proofErr w:type="gramEnd"/>
      <w:r w:rsidRPr="00EA272E">
        <w:rPr>
          <w:rFonts w:eastAsia="標楷體"/>
          <w:sz w:val="26"/>
          <w:szCs w:val="26"/>
        </w:rPr>
        <w:t>移轉條件</w:t>
      </w:r>
      <w:r w:rsidRPr="00EA272E">
        <w:rPr>
          <w:rFonts w:eastAsia="標楷體" w:hint="eastAsia"/>
          <w:sz w:val="26"/>
          <w:szCs w:val="26"/>
        </w:rPr>
        <w:t>（</w:t>
      </w:r>
      <w:r w:rsidRPr="00EA272E">
        <w:rPr>
          <w:rFonts w:eastAsia="標楷體"/>
          <w:sz w:val="26"/>
          <w:szCs w:val="26"/>
        </w:rPr>
        <w:t>包括無形資產之使用權或授權是否具有專屬性、是否有任何使用限制、權利行使有無地區之限制</w:t>
      </w:r>
      <w:r w:rsidRPr="00EA272E">
        <w:rPr>
          <w:rFonts w:eastAsia="標楷體" w:hint="eastAsia"/>
          <w:sz w:val="26"/>
          <w:szCs w:val="26"/>
        </w:rPr>
        <w:t>）；</w:t>
      </w:r>
      <w:r w:rsidRPr="00EA272E">
        <w:rPr>
          <w:rFonts w:eastAsia="標楷體"/>
          <w:sz w:val="26"/>
          <w:szCs w:val="26"/>
        </w:rPr>
        <w:t>2</w:t>
      </w:r>
      <w:proofErr w:type="gramStart"/>
      <w:r w:rsidRPr="00EA272E">
        <w:rPr>
          <w:rFonts w:eastAsia="標楷體" w:hint="eastAsia"/>
          <w:sz w:val="26"/>
          <w:szCs w:val="26"/>
        </w:rPr>
        <w:t>）</w:t>
      </w:r>
      <w:proofErr w:type="gramEnd"/>
      <w:r w:rsidRPr="00EA272E">
        <w:rPr>
          <w:rFonts w:eastAsia="標楷體"/>
          <w:sz w:val="26"/>
          <w:szCs w:val="26"/>
        </w:rPr>
        <w:t>無形資產於使用市場所處之發展階段</w:t>
      </w:r>
      <w:r w:rsidRPr="00EA272E">
        <w:rPr>
          <w:rFonts w:eastAsia="標楷體" w:hint="eastAsia"/>
          <w:sz w:val="26"/>
          <w:szCs w:val="26"/>
        </w:rPr>
        <w:t>（</w:t>
      </w:r>
      <w:r w:rsidRPr="00EA272E">
        <w:rPr>
          <w:rFonts w:eastAsia="標楷體"/>
          <w:sz w:val="26"/>
          <w:szCs w:val="26"/>
        </w:rPr>
        <w:t>包括是否須政府核准、授權或核發執照</w:t>
      </w:r>
      <w:r w:rsidRPr="00EA272E">
        <w:rPr>
          <w:rFonts w:eastAsia="標楷體" w:hint="eastAsia"/>
          <w:sz w:val="26"/>
          <w:szCs w:val="26"/>
        </w:rPr>
        <w:t>）；</w:t>
      </w:r>
      <w:r w:rsidRPr="00EA272E">
        <w:rPr>
          <w:rFonts w:eastAsia="標楷體"/>
          <w:sz w:val="26"/>
          <w:szCs w:val="26"/>
        </w:rPr>
        <w:t>3</w:t>
      </w:r>
      <w:proofErr w:type="gramStart"/>
      <w:r w:rsidRPr="00EA272E">
        <w:rPr>
          <w:rFonts w:eastAsia="標楷體" w:hint="eastAsia"/>
          <w:sz w:val="26"/>
          <w:szCs w:val="26"/>
        </w:rPr>
        <w:t>）</w:t>
      </w:r>
      <w:proofErr w:type="gramEnd"/>
      <w:r w:rsidRPr="00EA272E">
        <w:rPr>
          <w:rFonts w:eastAsia="標楷體"/>
          <w:sz w:val="26"/>
          <w:szCs w:val="26"/>
        </w:rPr>
        <w:t>是否擁有無形資產之更新、修改及修正之權利；</w:t>
      </w:r>
      <w:r w:rsidRPr="00EA272E">
        <w:rPr>
          <w:rFonts w:eastAsia="標楷體"/>
          <w:sz w:val="26"/>
          <w:szCs w:val="26"/>
        </w:rPr>
        <w:t>4</w:t>
      </w:r>
      <w:proofErr w:type="gramStart"/>
      <w:r w:rsidRPr="00EA272E">
        <w:rPr>
          <w:rFonts w:eastAsia="標楷體" w:hint="eastAsia"/>
          <w:sz w:val="26"/>
          <w:szCs w:val="26"/>
        </w:rPr>
        <w:t>）</w:t>
      </w:r>
      <w:proofErr w:type="gramEnd"/>
      <w:r w:rsidRPr="00EA272E">
        <w:rPr>
          <w:rFonts w:eastAsia="標楷體"/>
          <w:sz w:val="26"/>
          <w:szCs w:val="26"/>
        </w:rPr>
        <w:t>無形資產之獨特性及其維持獨特性之</w:t>
      </w:r>
      <w:proofErr w:type="gramStart"/>
      <w:r w:rsidRPr="00EA272E">
        <w:rPr>
          <w:rFonts w:eastAsia="標楷體"/>
          <w:sz w:val="26"/>
          <w:szCs w:val="26"/>
        </w:rPr>
        <w:t>期間</w:t>
      </w:r>
      <w:r w:rsidRPr="00EA272E">
        <w:rPr>
          <w:rFonts w:eastAsia="標楷體" w:hint="eastAsia"/>
          <w:sz w:val="26"/>
          <w:szCs w:val="26"/>
        </w:rPr>
        <w:t>（</w:t>
      </w:r>
      <w:proofErr w:type="gramEnd"/>
      <w:r w:rsidRPr="00EA272E">
        <w:rPr>
          <w:rFonts w:eastAsia="標楷體"/>
          <w:sz w:val="26"/>
          <w:szCs w:val="26"/>
        </w:rPr>
        <w:t>包括相關國家法律對於該無形資產之保護程度及期間</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5</w:t>
      </w:r>
      <w:proofErr w:type="gramStart"/>
      <w:r w:rsidRPr="00EA272E">
        <w:rPr>
          <w:rFonts w:eastAsia="標楷體" w:hint="eastAsia"/>
          <w:sz w:val="26"/>
          <w:szCs w:val="26"/>
        </w:rPr>
        <w:t>）</w:t>
      </w:r>
      <w:proofErr w:type="gramEnd"/>
      <w:r w:rsidRPr="00EA272E">
        <w:rPr>
          <w:rFonts w:eastAsia="標楷體"/>
          <w:sz w:val="26"/>
          <w:szCs w:val="26"/>
        </w:rPr>
        <w:t>授權、契約或其他協議之持續期間</w:t>
      </w:r>
      <w:r w:rsidRPr="00EA272E">
        <w:rPr>
          <w:rFonts w:eastAsia="標楷體" w:hint="eastAsia"/>
          <w:sz w:val="26"/>
          <w:szCs w:val="26"/>
        </w:rPr>
        <w:t>及終止或協商權力</w:t>
      </w:r>
      <w:r w:rsidRPr="00EA272E">
        <w:rPr>
          <w:rFonts w:eastAsia="標楷體"/>
          <w:sz w:val="26"/>
          <w:szCs w:val="26"/>
        </w:rPr>
        <w:t>；</w:t>
      </w:r>
      <w:r w:rsidRPr="00EA272E">
        <w:rPr>
          <w:rFonts w:eastAsia="標楷體"/>
          <w:sz w:val="26"/>
          <w:szCs w:val="26"/>
        </w:rPr>
        <w:t>6</w:t>
      </w:r>
      <w:proofErr w:type="gramStart"/>
      <w:r w:rsidRPr="00EA272E">
        <w:rPr>
          <w:rFonts w:eastAsia="標楷體" w:hint="eastAsia"/>
          <w:sz w:val="26"/>
          <w:szCs w:val="26"/>
        </w:rPr>
        <w:t>）</w:t>
      </w:r>
      <w:proofErr w:type="gramEnd"/>
      <w:r w:rsidRPr="00EA272E">
        <w:rPr>
          <w:rFonts w:eastAsia="標楷體"/>
          <w:sz w:val="26"/>
          <w:szCs w:val="26"/>
        </w:rPr>
        <w:t>受讓人承擔之</w:t>
      </w:r>
      <w:r w:rsidRPr="00EA272E">
        <w:rPr>
          <w:rFonts w:eastAsia="標楷體" w:hint="eastAsia"/>
          <w:sz w:val="26"/>
          <w:szCs w:val="26"/>
        </w:rPr>
        <w:t>任何</w:t>
      </w:r>
      <w:r w:rsidRPr="00EA272E">
        <w:rPr>
          <w:rFonts w:eastAsia="標楷體"/>
          <w:sz w:val="26"/>
          <w:szCs w:val="26"/>
        </w:rPr>
        <w:t>經濟及產品責任風險</w:t>
      </w:r>
      <w:r w:rsidRPr="00EA272E">
        <w:rPr>
          <w:rFonts w:eastAsia="標楷體" w:hint="eastAsia"/>
          <w:sz w:val="26"/>
          <w:szCs w:val="26"/>
        </w:rPr>
        <w:t>與</w:t>
      </w:r>
      <w:r w:rsidRPr="00EA272E">
        <w:rPr>
          <w:rFonts w:eastAsia="標楷體"/>
          <w:sz w:val="26"/>
          <w:szCs w:val="26"/>
        </w:rPr>
        <w:t>7</w:t>
      </w:r>
      <w:proofErr w:type="gramStart"/>
      <w:r w:rsidRPr="00EA272E">
        <w:rPr>
          <w:rFonts w:eastAsia="標楷體" w:hint="eastAsia"/>
          <w:sz w:val="26"/>
          <w:szCs w:val="26"/>
        </w:rPr>
        <w:t>）</w:t>
      </w:r>
      <w:proofErr w:type="gramEnd"/>
      <w:r w:rsidRPr="00EA272E">
        <w:rPr>
          <w:rFonts w:eastAsia="標楷體"/>
          <w:sz w:val="26"/>
          <w:szCs w:val="26"/>
        </w:rPr>
        <w:t>受讓人與讓與人所執行之功能</w:t>
      </w:r>
      <w:r w:rsidRPr="00EA272E">
        <w:rPr>
          <w:rFonts w:eastAsia="標楷體" w:hint="eastAsia"/>
          <w:sz w:val="26"/>
          <w:szCs w:val="26"/>
        </w:rPr>
        <w:t>（</w:t>
      </w:r>
      <w:r w:rsidRPr="00EA272E">
        <w:rPr>
          <w:rFonts w:eastAsia="標楷體"/>
          <w:sz w:val="26"/>
          <w:szCs w:val="26"/>
        </w:rPr>
        <w:t>包括附屬及支援服務</w:t>
      </w:r>
      <w:r w:rsidRPr="00EA272E">
        <w:rPr>
          <w:rFonts w:eastAsia="標楷體" w:hint="eastAsia"/>
          <w:sz w:val="26"/>
          <w:szCs w:val="26"/>
        </w:rPr>
        <w:t>）</w:t>
      </w:r>
      <w:r w:rsidRPr="00EA272E">
        <w:rPr>
          <w:rFonts w:eastAsia="標楷體"/>
          <w:sz w:val="26"/>
          <w:szCs w:val="26"/>
        </w:rPr>
        <w:t>等因素</w:t>
      </w:r>
      <w:r w:rsidRPr="00EA272E">
        <w:rPr>
          <w:rFonts w:eastAsia="標楷體" w:hint="eastAsia"/>
          <w:sz w:val="26"/>
          <w:szCs w:val="26"/>
        </w:rPr>
        <w:t>之差異</w:t>
      </w:r>
      <w:r w:rsidRPr="00EA272E">
        <w:rPr>
          <w:rFonts w:eastAsia="標楷體"/>
          <w:sz w:val="26"/>
          <w:szCs w:val="26"/>
        </w:rPr>
        <w:t>。其間如有</w:t>
      </w:r>
      <w:r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DE7202" w:rsidRDefault="00F70BB6" w:rsidP="001719B7">
      <w:pPr>
        <w:numPr>
          <w:ilvl w:val="0"/>
          <w:numId w:val="12"/>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再售價格法</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16</w:t>
      </w:r>
      <w:r w:rsidRPr="00EA272E">
        <w:rPr>
          <w:rFonts w:eastAsia="標楷體"/>
          <w:sz w:val="26"/>
          <w:szCs w:val="26"/>
        </w:rPr>
        <w:t>條所</w:t>
      </w:r>
      <w:r w:rsidRPr="00EA272E">
        <w:rPr>
          <w:rFonts w:eastAsia="標楷體" w:hint="eastAsia"/>
          <w:sz w:val="26"/>
          <w:szCs w:val="26"/>
        </w:rPr>
        <w:t>定</w:t>
      </w:r>
      <w:r w:rsidRPr="00EA272E">
        <w:rPr>
          <w:rFonts w:eastAsia="標楷體"/>
          <w:sz w:val="26"/>
          <w:szCs w:val="26"/>
        </w:rPr>
        <w:t>再</w:t>
      </w:r>
      <w:proofErr w:type="gramStart"/>
      <w:r w:rsidRPr="00EA272E">
        <w:rPr>
          <w:rFonts w:eastAsia="標楷體"/>
          <w:sz w:val="26"/>
          <w:szCs w:val="26"/>
        </w:rPr>
        <w:t>售價格法</w:t>
      </w:r>
      <w:proofErr w:type="gramEnd"/>
      <w:r w:rsidRPr="00EA272E">
        <w:rPr>
          <w:rFonts w:eastAsia="標楷體"/>
          <w:sz w:val="26"/>
          <w:szCs w:val="26"/>
        </w:rPr>
        <w:t>，係按從事受控交易之營利事業再銷售予非關係人之價格，減除依可比較未受控交易毛利率計算之毛利後之金額，為受控交易之常規交易價格。</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評估再</w:t>
      </w:r>
      <w:proofErr w:type="gramStart"/>
      <w:r w:rsidRPr="00EA272E">
        <w:rPr>
          <w:rFonts w:eastAsia="標楷體"/>
          <w:sz w:val="26"/>
          <w:szCs w:val="26"/>
        </w:rPr>
        <w:t>售價格法之</w:t>
      </w:r>
      <w:proofErr w:type="gramEnd"/>
      <w:r w:rsidRPr="00EA272E">
        <w:rPr>
          <w:rFonts w:eastAsia="標楷體"/>
          <w:sz w:val="26"/>
          <w:szCs w:val="26"/>
        </w:rPr>
        <w:t>適用性時，尤應特別考量</w:t>
      </w:r>
      <w:r w:rsidRPr="00EA272E">
        <w:rPr>
          <w:rFonts w:eastAsia="標楷體" w:hint="eastAsia"/>
          <w:sz w:val="26"/>
          <w:szCs w:val="26"/>
        </w:rPr>
        <w:t>：</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如銷售、行銷、廣告及服務</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如存貨水準及其週轉率及相關風險</w:t>
      </w:r>
      <w:r w:rsidRPr="00EA272E">
        <w:rPr>
          <w:rFonts w:eastAsia="標楷體" w:hint="eastAsia"/>
          <w:sz w:val="26"/>
          <w:szCs w:val="26"/>
        </w:rPr>
        <w:t>）；</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如保證範圍及條款、交易數量、信用條</w:t>
      </w:r>
      <w:r w:rsidRPr="00EA272E">
        <w:rPr>
          <w:rFonts w:eastAsia="標楷體"/>
          <w:sz w:val="26"/>
          <w:szCs w:val="26"/>
        </w:rPr>
        <w:lastRenderedPageBreak/>
        <w:t>件、交貨條件</w:t>
      </w:r>
      <w:r w:rsidRPr="00EA272E">
        <w:rPr>
          <w:rFonts w:eastAsia="標楷體" w:hint="eastAsia"/>
          <w:sz w:val="26"/>
          <w:szCs w:val="26"/>
        </w:rPr>
        <w:t>）；</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sz w:val="26"/>
          <w:szCs w:val="26"/>
        </w:rPr>
        <w:t>市場情況</w:t>
      </w:r>
      <w:r w:rsidRPr="00EA272E">
        <w:rPr>
          <w:rFonts w:eastAsia="標楷體" w:hint="eastAsia"/>
          <w:sz w:val="26"/>
          <w:szCs w:val="26"/>
        </w:rPr>
        <w:t>（</w:t>
      </w:r>
      <w:r w:rsidRPr="00EA272E">
        <w:rPr>
          <w:rFonts w:eastAsia="標楷體"/>
          <w:sz w:val="26"/>
          <w:szCs w:val="26"/>
        </w:rPr>
        <w:t>如處於批發或零售之市場層級</w:t>
      </w:r>
      <w:r w:rsidRPr="00EA272E">
        <w:rPr>
          <w:rFonts w:eastAsia="標楷體" w:hint="eastAsia"/>
          <w:sz w:val="26"/>
          <w:szCs w:val="26"/>
        </w:rPr>
        <w:t>）；</w:t>
      </w:r>
      <w:r w:rsidRPr="00EA272E">
        <w:rPr>
          <w:rFonts w:eastAsia="標楷體" w:hint="eastAsia"/>
          <w:sz w:val="26"/>
          <w:szCs w:val="26"/>
        </w:rPr>
        <w:t>5</w:t>
      </w:r>
      <w:proofErr w:type="gramStart"/>
      <w:r w:rsidRPr="00EA272E">
        <w:rPr>
          <w:rFonts w:eastAsia="標楷體" w:hint="eastAsia"/>
          <w:sz w:val="26"/>
          <w:szCs w:val="26"/>
        </w:rPr>
        <w:t>）</w:t>
      </w:r>
      <w:proofErr w:type="gramEnd"/>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6</w:t>
      </w:r>
      <w:proofErr w:type="gramStart"/>
      <w:r w:rsidRPr="00EA272E">
        <w:rPr>
          <w:rFonts w:eastAsia="標楷體" w:hint="eastAsia"/>
          <w:sz w:val="26"/>
          <w:szCs w:val="26"/>
        </w:rPr>
        <w:t>）</w:t>
      </w:r>
      <w:proofErr w:type="gramEnd"/>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7</w:t>
      </w:r>
      <w:proofErr w:type="gramStart"/>
      <w:r w:rsidRPr="00EA272E">
        <w:rPr>
          <w:rFonts w:eastAsia="標楷體" w:hint="eastAsia"/>
          <w:sz w:val="26"/>
          <w:szCs w:val="26"/>
        </w:rPr>
        <w:t>）</w:t>
      </w:r>
      <w:proofErr w:type="gramEnd"/>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8</w:t>
      </w:r>
      <w:proofErr w:type="gramStart"/>
      <w:r w:rsidRPr="00EA272E">
        <w:rPr>
          <w:rFonts w:eastAsia="標楷體" w:hint="eastAsia"/>
          <w:sz w:val="26"/>
          <w:szCs w:val="26"/>
        </w:rPr>
        <w:t>）</w:t>
      </w:r>
      <w:proofErr w:type="gramEnd"/>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9</w:t>
      </w:r>
      <w:proofErr w:type="gramStart"/>
      <w:r w:rsidRPr="00EA272E">
        <w:rPr>
          <w:rFonts w:eastAsia="標楷體" w:hint="eastAsia"/>
          <w:sz w:val="26"/>
          <w:szCs w:val="26"/>
        </w:rPr>
        <w:t>）</w:t>
      </w:r>
      <w:proofErr w:type="gramEnd"/>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影響毛利率之因素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Pr="00EA272E">
        <w:rPr>
          <w:rFonts w:eastAsia="標楷體" w:hint="eastAsia"/>
          <w:sz w:val="26"/>
          <w:szCs w:val="26"/>
        </w:rPr>
        <w:t>前項</w:t>
      </w:r>
      <w:r w:rsidRPr="00EA272E">
        <w:rPr>
          <w:rFonts w:eastAsia="標楷體"/>
          <w:sz w:val="26"/>
          <w:szCs w:val="26"/>
        </w:rPr>
        <w:t>差異，應就該等差異對毛利率之影響進行合理之調整，其無法經由合理之調整以消除該等差異者，應採用其他適合之常規交易方法。</w:t>
      </w:r>
    </w:p>
    <w:p w:rsidR="00DE7202" w:rsidRDefault="00F70BB6" w:rsidP="001719B7">
      <w:pPr>
        <w:numPr>
          <w:ilvl w:val="0"/>
          <w:numId w:val="12"/>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成本加價法</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17</w:t>
      </w:r>
      <w:r w:rsidRPr="00EA272E">
        <w:rPr>
          <w:rFonts w:eastAsia="標楷體"/>
          <w:sz w:val="26"/>
          <w:szCs w:val="26"/>
        </w:rPr>
        <w:t>條所</w:t>
      </w:r>
      <w:r w:rsidRPr="00EA272E">
        <w:rPr>
          <w:rFonts w:eastAsia="標楷體" w:hint="eastAsia"/>
          <w:sz w:val="26"/>
          <w:szCs w:val="26"/>
        </w:rPr>
        <w:t>定</w:t>
      </w:r>
      <w:r w:rsidRPr="00EA272E">
        <w:rPr>
          <w:rFonts w:eastAsia="標楷體"/>
          <w:sz w:val="26"/>
          <w:szCs w:val="26"/>
        </w:rPr>
        <w:t>成本加價法，係以自非關係人購進之成本或自行製造之成本，</w:t>
      </w:r>
      <w:proofErr w:type="gramStart"/>
      <w:r w:rsidRPr="00EA272E">
        <w:rPr>
          <w:rFonts w:eastAsia="標楷體"/>
          <w:sz w:val="26"/>
          <w:szCs w:val="26"/>
        </w:rPr>
        <w:t>加計依可</w:t>
      </w:r>
      <w:proofErr w:type="gramEnd"/>
      <w:r w:rsidRPr="00EA272E">
        <w:rPr>
          <w:rFonts w:eastAsia="標楷體"/>
          <w:sz w:val="26"/>
          <w:szCs w:val="26"/>
        </w:rPr>
        <w:t>比較未受控交易成本加價率計算之毛利後之金額，為受控交易之常規交易價格。</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評估成本加價法之適用性時，尤應特別考量</w:t>
      </w:r>
      <w:r w:rsidRPr="00EA272E">
        <w:rPr>
          <w:rFonts w:eastAsia="標楷體" w:hint="eastAsia"/>
          <w:sz w:val="26"/>
          <w:szCs w:val="26"/>
        </w:rPr>
        <w:t>：</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如製造、加工技術或安裝複雜程度、測試功能</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如市場風險、匯兌風險</w:t>
      </w:r>
      <w:r w:rsidRPr="00EA272E">
        <w:rPr>
          <w:rFonts w:eastAsia="標楷體" w:hint="eastAsia"/>
          <w:sz w:val="26"/>
          <w:szCs w:val="26"/>
        </w:rPr>
        <w:t>）；</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w:t>
      </w:r>
      <w:r w:rsidRPr="00EA272E">
        <w:rPr>
          <w:rFonts w:eastAsia="標楷體" w:hint="eastAsia"/>
          <w:sz w:val="26"/>
          <w:szCs w:val="26"/>
        </w:rPr>
        <w:t>件</w:t>
      </w:r>
      <w:r w:rsidRPr="00EA272E">
        <w:rPr>
          <w:rFonts w:eastAsia="標楷體"/>
          <w:sz w:val="26"/>
          <w:szCs w:val="26"/>
        </w:rPr>
        <w:t>、交易數量、信用條件、交貨條件</w:t>
      </w:r>
      <w:r w:rsidRPr="00EA272E">
        <w:rPr>
          <w:rFonts w:eastAsia="標楷體" w:hint="eastAsia"/>
          <w:sz w:val="26"/>
          <w:szCs w:val="26"/>
        </w:rPr>
        <w:t>）；</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5</w:t>
      </w:r>
      <w:proofErr w:type="gramStart"/>
      <w:r w:rsidRPr="00EA272E">
        <w:rPr>
          <w:rFonts w:eastAsia="標楷體" w:hint="eastAsia"/>
          <w:sz w:val="26"/>
          <w:szCs w:val="26"/>
        </w:rPr>
        <w:t>）</w:t>
      </w:r>
      <w:proofErr w:type="gramEnd"/>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6</w:t>
      </w:r>
      <w:proofErr w:type="gramStart"/>
      <w:r w:rsidRPr="00EA272E">
        <w:rPr>
          <w:rFonts w:eastAsia="標楷體" w:hint="eastAsia"/>
          <w:sz w:val="26"/>
          <w:szCs w:val="26"/>
        </w:rPr>
        <w:t>）</w:t>
      </w:r>
      <w:proofErr w:type="gramEnd"/>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7</w:t>
      </w:r>
      <w:proofErr w:type="gramStart"/>
      <w:r w:rsidRPr="00EA272E">
        <w:rPr>
          <w:rFonts w:eastAsia="標楷體" w:hint="eastAsia"/>
          <w:sz w:val="26"/>
          <w:szCs w:val="26"/>
        </w:rPr>
        <w:t>）</w:t>
      </w:r>
      <w:proofErr w:type="gramEnd"/>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8</w:t>
      </w:r>
      <w:proofErr w:type="gramStart"/>
      <w:r w:rsidRPr="00EA272E">
        <w:rPr>
          <w:rFonts w:eastAsia="標楷體" w:hint="eastAsia"/>
          <w:sz w:val="26"/>
          <w:szCs w:val="26"/>
        </w:rPr>
        <w:t>）</w:t>
      </w:r>
      <w:proofErr w:type="gramEnd"/>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影響成本加價率之因素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Pr="00EA272E">
        <w:rPr>
          <w:rFonts w:eastAsia="標楷體" w:hint="eastAsia"/>
          <w:sz w:val="26"/>
          <w:szCs w:val="26"/>
        </w:rPr>
        <w:t>前項</w:t>
      </w:r>
      <w:r w:rsidRPr="00EA272E">
        <w:rPr>
          <w:rFonts w:eastAsia="標楷體"/>
          <w:sz w:val="26"/>
          <w:szCs w:val="26"/>
        </w:rPr>
        <w:t>差異，應就該等差異對成本加價率之影響進行合理之調整，其無法經由合理之調整以消除該等差異者，應採用其他適合之常規交易方法。</w:t>
      </w:r>
    </w:p>
    <w:p w:rsidR="00DE7202" w:rsidRDefault="00F70BB6" w:rsidP="001719B7">
      <w:pPr>
        <w:numPr>
          <w:ilvl w:val="0"/>
          <w:numId w:val="12"/>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可比較利潤法</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18</w:t>
      </w:r>
      <w:r w:rsidRPr="00EA272E">
        <w:rPr>
          <w:rFonts w:eastAsia="標楷體"/>
          <w:sz w:val="26"/>
          <w:szCs w:val="26"/>
        </w:rPr>
        <w:t>條所定可比較利潤法，係以可比較未受控交易於特定年限內之平均利潤率指標為基礎，計算可比較營業</w:t>
      </w:r>
      <w:r w:rsidRPr="00EA272E">
        <w:rPr>
          <w:rFonts w:eastAsia="標楷體"/>
          <w:sz w:val="26"/>
          <w:szCs w:val="26"/>
        </w:rPr>
        <w:lastRenderedPageBreak/>
        <w:t>利潤，並據以決定受控交易之常規交易結果。</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採用可比較利潤法時，</w:t>
      </w:r>
      <w:r w:rsidRPr="00EA272E">
        <w:rPr>
          <w:rFonts w:eastAsia="標楷體" w:hint="eastAsia"/>
          <w:sz w:val="26"/>
          <w:szCs w:val="26"/>
        </w:rPr>
        <w:t>須遵循下列步驟：</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選定受測個體及受測活動</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選定與受測個體及受測活動相似之可比較未受控交易</w:t>
      </w:r>
      <w:r w:rsidRPr="00EA272E">
        <w:rPr>
          <w:rFonts w:eastAsia="標楷體" w:hint="eastAsia"/>
          <w:sz w:val="26"/>
          <w:szCs w:val="26"/>
        </w:rPr>
        <w:t>；</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選定利潤率指標</w:t>
      </w:r>
      <w:r w:rsidRPr="00EA272E">
        <w:rPr>
          <w:rFonts w:eastAsia="標楷體" w:hint="eastAsia"/>
          <w:sz w:val="26"/>
          <w:szCs w:val="26"/>
        </w:rPr>
        <w:t>；</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sz w:val="26"/>
          <w:szCs w:val="26"/>
        </w:rPr>
        <w:t>決定可比較未受控交易之平均利潤率</w:t>
      </w:r>
      <w:r w:rsidRPr="00EA272E">
        <w:rPr>
          <w:rFonts w:eastAsia="標楷體" w:hint="eastAsia"/>
          <w:sz w:val="26"/>
          <w:szCs w:val="26"/>
        </w:rPr>
        <w:t>；</w:t>
      </w:r>
      <w:r w:rsidRPr="00EA272E">
        <w:rPr>
          <w:rFonts w:eastAsia="標楷體" w:hint="eastAsia"/>
          <w:sz w:val="26"/>
          <w:szCs w:val="26"/>
        </w:rPr>
        <w:t>5</w:t>
      </w:r>
      <w:proofErr w:type="gramStart"/>
      <w:r w:rsidRPr="00EA272E">
        <w:rPr>
          <w:rFonts w:eastAsia="標楷體" w:hint="eastAsia"/>
          <w:sz w:val="26"/>
          <w:szCs w:val="26"/>
        </w:rPr>
        <w:t>）</w:t>
      </w:r>
      <w:proofErr w:type="gramEnd"/>
      <w:r w:rsidRPr="00EA272E">
        <w:rPr>
          <w:rFonts w:eastAsia="標楷體"/>
          <w:sz w:val="26"/>
          <w:szCs w:val="26"/>
        </w:rPr>
        <w:t>依受測個體之受測活動於特定年限內之營業資產、銷貨淨額、營業費用或其他基礎之年平均數，計算可比較營業利潤</w:t>
      </w:r>
      <w:r w:rsidRPr="00EA272E">
        <w:rPr>
          <w:rFonts w:eastAsia="標楷體" w:hint="eastAsia"/>
          <w:sz w:val="26"/>
          <w:szCs w:val="26"/>
        </w:rPr>
        <w:t>；</w:t>
      </w:r>
      <w:r w:rsidRPr="00EA272E">
        <w:rPr>
          <w:rFonts w:eastAsia="標楷體" w:hint="eastAsia"/>
          <w:sz w:val="26"/>
          <w:szCs w:val="26"/>
        </w:rPr>
        <w:t>6</w:t>
      </w:r>
      <w:proofErr w:type="gramStart"/>
      <w:r w:rsidRPr="00EA272E">
        <w:rPr>
          <w:rFonts w:eastAsia="標楷體" w:hint="eastAsia"/>
          <w:sz w:val="26"/>
          <w:szCs w:val="26"/>
        </w:rPr>
        <w:t>）</w:t>
      </w:r>
      <w:proofErr w:type="gramEnd"/>
      <w:r w:rsidRPr="00EA272E">
        <w:rPr>
          <w:rFonts w:eastAsia="標楷體"/>
          <w:sz w:val="26"/>
          <w:szCs w:val="26"/>
        </w:rPr>
        <w:t>受測個體從事受測活動於特定年限內之平均營業利潤</w:t>
      </w:r>
      <w:r w:rsidRPr="00EA272E">
        <w:rPr>
          <w:rFonts w:eastAsia="標楷體" w:hint="eastAsia"/>
          <w:sz w:val="26"/>
          <w:szCs w:val="26"/>
        </w:rPr>
        <w:t>在</w:t>
      </w:r>
      <w:r w:rsidRPr="00EA272E">
        <w:rPr>
          <w:rFonts w:eastAsia="標楷體"/>
          <w:sz w:val="26"/>
          <w:szCs w:val="26"/>
        </w:rPr>
        <w:t>常規交易範圍之內者，視為符合常規；在該範圍之外者，按交易當年度所有可比較營業利潤之中位數調整受測個體當年度之營業利潤</w:t>
      </w:r>
      <w:r w:rsidRPr="00EA272E">
        <w:rPr>
          <w:rFonts w:eastAsia="標楷體" w:hint="eastAsia"/>
          <w:sz w:val="26"/>
          <w:szCs w:val="26"/>
        </w:rPr>
        <w:t>及</w:t>
      </w:r>
      <w:r w:rsidRPr="00EA272E">
        <w:rPr>
          <w:rFonts w:eastAsia="標楷體" w:hint="eastAsia"/>
          <w:sz w:val="26"/>
          <w:szCs w:val="26"/>
        </w:rPr>
        <w:t>7</w:t>
      </w:r>
      <w:proofErr w:type="gramStart"/>
      <w:r w:rsidRPr="00EA272E">
        <w:rPr>
          <w:rFonts w:eastAsia="標楷體" w:hint="eastAsia"/>
          <w:sz w:val="26"/>
          <w:szCs w:val="26"/>
        </w:rPr>
        <w:t>）</w:t>
      </w:r>
      <w:proofErr w:type="gramEnd"/>
      <w:r w:rsidRPr="00EA272E">
        <w:rPr>
          <w:rFonts w:eastAsia="標楷體"/>
          <w:sz w:val="26"/>
          <w:szCs w:val="26"/>
        </w:rPr>
        <w:t>以受測個體之常規營業利潤為基礎，決定受測個體以外依</w:t>
      </w:r>
      <w:r w:rsidRPr="00EA272E">
        <w:rPr>
          <w:rFonts w:eastAsia="標楷體" w:hint="eastAsia"/>
          <w:sz w:val="26"/>
          <w:szCs w:val="26"/>
        </w:rPr>
        <w:t>移轉訂價查核準則</w:t>
      </w:r>
      <w:r w:rsidRPr="00EA272E">
        <w:rPr>
          <w:rFonts w:eastAsia="標楷體"/>
          <w:sz w:val="26"/>
          <w:szCs w:val="26"/>
        </w:rPr>
        <w:t>規定應繳納中華民國所得稅之同一受控交易其他參與人之常規交易結果</w:t>
      </w:r>
      <w:r w:rsidRPr="00EA272E">
        <w:rPr>
          <w:rFonts w:eastAsia="標楷體" w:hint="eastAsia"/>
          <w:sz w:val="26"/>
          <w:szCs w:val="26"/>
        </w:rPr>
        <w:t>。</w:t>
      </w:r>
    </w:p>
    <w:p w:rsidR="00DE7202" w:rsidRPr="00697B5D"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評估可比較利潤法之適用性時，尤應特別考量受測個體及受測活動與非關係人及其所從事相關活動之</w:t>
      </w:r>
      <w:r w:rsidRPr="00EA272E">
        <w:rPr>
          <w:rFonts w:eastAsia="標楷體" w:hint="eastAsia"/>
          <w:sz w:val="26"/>
          <w:szCs w:val="26"/>
        </w:rPr>
        <w:t>下列因素：</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影響</w:t>
      </w:r>
      <w:proofErr w:type="gramStart"/>
      <w:r w:rsidRPr="00EA272E">
        <w:rPr>
          <w:rFonts w:eastAsia="標楷體"/>
          <w:sz w:val="26"/>
          <w:szCs w:val="26"/>
        </w:rPr>
        <w:t>二者間可比較</w:t>
      </w:r>
      <w:proofErr w:type="gramEnd"/>
      <w:r w:rsidRPr="00EA272E">
        <w:rPr>
          <w:rFonts w:eastAsia="標楷體"/>
          <w:sz w:val="26"/>
          <w:szCs w:val="26"/>
        </w:rPr>
        <w:t>程度</w:t>
      </w:r>
      <w:r w:rsidRPr="00EA272E">
        <w:rPr>
          <w:rFonts w:eastAsia="標楷體" w:hint="eastAsia"/>
          <w:sz w:val="26"/>
          <w:szCs w:val="26"/>
        </w:rPr>
        <w:t>之</w:t>
      </w:r>
      <w:r w:rsidRPr="00EA272E">
        <w:rPr>
          <w:rFonts w:eastAsia="標楷體"/>
          <w:sz w:val="26"/>
          <w:szCs w:val="26"/>
        </w:rPr>
        <w:t>因素</w:t>
      </w:r>
      <w:r w:rsidRPr="00EA272E">
        <w:rPr>
          <w:rFonts w:eastAsia="標楷體" w:hint="eastAsia"/>
          <w:sz w:val="26"/>
          <w:szCs w:val="26"/>
        </w:rPr>
        <w:t>（</w:t>
      </w:r>
      <w:r w:rsidRPr="00EA272E">
        <w:rPr>
          <w:rFonts w:eastAsia="標楷體"/>
          <w:sz w:val="26"/>
          <w:szCs w:val="26"/>
        </w:rPr>
        <w:t>包括執行之功能、承擔之風險、使用之營業資產、相關之營業、交易標的資產或服務之市場、營業規模、位於商業循環或產品循環之階段</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成本、費用、所得及資產，於受測活動及其他活動間分攤方式之合理性及適宜性</w:t>
      </w:r>
      <w:r w:rsidRPr="00EA272E">
        <w:rPr>
          <w:rFonts w:eastAsia="標楷體" w:hint="eastAsia"/>
          <w:sz w:val="26"/>
          <w:szCs w:val="26"/>
        </w:rPr>
        <w:t>與</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會計處理之一致性</w:t>
      </w:r>
      <w:r w:rsidRPr="00EA272E">
        <w:rPr>
          <w:rFonts w:eastAsia="標楷體" w:hint="eastAsia"/>
          <w:sz w:val="26"/>
          <w:szCs w:val="26"/>
        </w:rPr>
        <w:t>。若</w:t>
      </w:r>
      <w:r w:rsidRPr="00EA272E">
        <w:rPr>
          <w:rFonts w:eastAsia="標楷體"/>
          <w:sz w:val="26"/>
          <w:szCs w:val="26"/>
        </w:rPr>
        <w:t>受測個體及受測活動，與非關係人及其所從事之</w:t>
      </w:r>
      <w:r w:rsidRPr="00697B5D">
        <w:rPr>
          <w:rFonts w:eastAsia="標楷體"/>
          <w:sz w:val="26"/>
          <w:szCs w:val="26"/>
        </w:rPr>
        <w:t>相關活動間，如存在前項因素之差異，應就該等差異對營業利潤之影響進行合理之調整，其無法經由合理之調整以消除該等差異者，應採用其他適合之常規交易方法。</w:t>
      </w:r>
    </w:p>
    <w:p w:rsidR="00DE7202" w:rsidRDefault="00F70BB6" w:rsidP="001719B7">
      <w:pPr>
        <w:numPr>
          <w:ilvl w:val="0"/>
          <w:numId w:val="12"/>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利潤分割法</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19</w:t>
      </w:r>
      <w:r w:rsidRPr="00EA272E">
        <w:rPr>
          <w:rFonts w:eastAsia="標楷體"/>
          <w:sz w:val="26"/>
          <w:szCs w:val="26"/>
        </w:rPr>
        <w:t>條所定利潤分割法，係於受控交易之各參與人所從事之活動高度整合致無法單獨衡量其交易結果時，</w:t>
      </w:r>
      <w:r w:rsidRPr="00EA272E">
        <w:rPr>
          <w:rFonts w:eastAsia="標楷體" w:hint="eastAsia"/>
          <w:sz w:val="26"/>
          <w:szCs w:val="26"/>
        </w:rPr>
        <w:t>依</w:t>
      </w:r>
      <w:r w:rsidRPr="00EA272E">
        <w:rPr>
          <w:rFonts w:eastAsia="標楷體"/>
          <w:sz w:val="26"/>
          <w:szCs w:val="26"/>
        </w:rPr>
        <w:lastRenderedPageBreak/>
        <w:t>各參與人對所有參與人合併營業利潤之貢獻，計算各參與人應分配之營業利潤。</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合併營業利潤之分配，</w:t>
      </w:r>
      <w:r w:rsidRPr="00EA272E">
        <w:rPr>
          <w:rFonts w:eastAsia="標楷體" w:hint="eastAsia"/>
          <w:sz w:val="26"/>
          <w:szCs w:val="26"/>
        </w:rPr>
        <w:t>須先</w:t>
      </w:r>
      <w:r w:rsidRPr="00EA272E">
        <w:rPr>
          <w:rFonts w:eastAsia="標楷體"/>
          <w:sz w:val="26"/>
          <w:szCs w:val="26"/>
        </w:rPr>
        <w:t>按例行性貢獻分配例行性利潤</w:t>
      </w:r>
      <w:r w:rsidRPr="00EA272E">
        <w:rPr>
          <w:rFonts w:eastAsia="標楷體" w:hint="eastAsia"/>
          <w:sz w:val="26"/>
          <w:szCs w:val="26"/>
        </w:rPr>
        <w:t>：</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以合併營業利潤為基礎，依各參與人從事相關營業活動之例行性貢獻，分配其應得之市場公平報酬</w:t>
      </w:r>
      <w:r w:rsidRPr="00EA272E">
        <w:rPr>
          <w:rFonts w:eastAsia="標楷體" w:hint="eastAsia"/>
          <w:sz w:val="26"/>
          <w:szCs w:val="26"/>
        </w:rPr>
        <w:t>；</w:t>
      </w:r>
      <w:r w:rsidRPr="00EA272E">
        <w:rPr>
          <w:rFonts w:eastAsia="標楷體" w:hint="eastAsia"/>
          <w:sz w:val="26"/>
          <w:szCs w:val="26"/>
        </w:rPr>
        <w:t>2</w:t>
      </w:r>
      <w:proofErr w:type="gramStart"/>
      <w:r w:rsidRPr="00EA272E">
        <w:rPr>
          <w:rFonts w:eastAsia="標楷體" w:hint="eastAsia"/>
          <w:sz w:val="26"/>
          <w:szCs w:val="26"/>
        </w:rPr>
        <w:t>）</w:t>
      </w:r>
      <w:proofErr w:type="gramEnd"/>
      <w:r w:rsidRPr="00EA272E">
        <w:rPr>
          <w:rFonts w:eastAsia="標楷體"/>
          <w:sz w:val="26"/>
          <w:szCs w:val="26"/>
        </w:rPr>
        <w:t>所稱例行性貢獻，指非關係人對於相同或類似營業活動之貢獻，其以可資辨識市場公平報酬之營業活動為基礎</w:t>
      </w:r>
      <w:r w:rsidRPr="00EA272E">
        <w:rPr>
          <w:rFonts w:eastAsia="標楷體" w:hint="eastAsia"/>
          <w:sz w:val="26"/>
          <w:szCs w:val="26"/>
        </w:rPr>
        <w:t>及</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計算例行性利潤時，應進行功能分析，依各參與人執行之功能、承擔之風險及使用之資產，確認其從事相關營業活動應分配之市場公平報酬。</w:t>
      </w:r>
      <w:r w:rsidRPr="00EA272E">
        <w:rPr>
          <w:rFonts w:eastAsia="標楷體" w:hint="eastAsia"/>
          <w:sz w:val="26"/>
          <w:szCs w:val="26"/>
        </w:rPr>
        <w:t>然後再</w:t>
      </w:r>
      <w:r w:rsidRPr="00EA272E">
        <w:rPr>
          <w:rFonts w:eastAsia="標楷體"/>
          <w:sz w:val="26"/>
          <w:szCs w:val="26"/>
        </w:rPr>
        <w:t>按對無形資產之貢獻分配剩餘利潤</w:t>
      </w:r>
      <w:r w:rsidRPr="00EA272E">
        <w:rPr>
          <w:rFonts w:eastAsia="標楷體" w:hint="eastAsia"/>
          <w:sz w:val="26"/>
          <w:szCs w:val="26"/>
        </w:rPr>
        <w:t>：</w:t>
      </w:r>
      <w:r w:rsidRPr="00EA272E">
        <w:rPr>
          <w:rFonts w:eastAsia="標楷體"/>
          <w:sz w:val="26"/>
          <w:szCs w:val="26"/>
        </w:rPr>
        <w:t>合併營業利潤減除分配予各參與人之例行性利潤後，以其餘額按各參與人於相關營業活動中對於無形資產之貢獻價值，計算其應分配之剩餘利潤。</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評估利潤分割法之適用性時</w:t>
      </w:r>
      <w:r w:rsidRPr="00EA272E">
        <w:rPr>
          <w:rFonts w:eastAsia="標楷體" w:hint="eastAsia"/>
          <w:sz w:val="26"/>
          <w:szCs w:val="26"/>
        </w:rPr>
        <w:t>，</w:t>
      </w:r>
      <w:r w:rsidRPr="00EA272E">
        <w:rPr>
          <w:rFonts w:eastAsia="標楷體"/>
          <w:sz w:val="26"/>
          <w:szCs w:val="26"/>
        </w:rPr>
        <w:t>尤應特別考量</w:t>
      </w:r>
      <w:r w:rsidRPr="00EA272E">
        <w:rPr>
          <w:rFonts w:eastAsia="標楷體" w:hint="eastAsia"/>
          <w:sz w:val="26"/>
          <w:szCs w:val="26"/>
        </w:rPr>
        <w:t>下列因素：</w:t>
      </w:r>
      <w:r w:rsidRPr="00EA272E">
        <w:rPr>
          <w:rFonts w:eastAsia="標楷體" w:hint="eastAsia"/>
          <w:sz w:val="26"/>
          <w:szCs w:val="26"/>
        </w:rPr>
        <w:t>1</w:t>
      </w:r>
      <w:proofErr w:type="gramStart"/>
      <w:r w:rsidRPr="00EA272E">
        <w:rPr>
          <w:rFonts w:eastAsia="標楷體" w:hint="eastAsia"/>
          <w:sz w:val="26"/>
          <w:szCs w:val="26"/>
        </w:rPr>
        <w:t>）</w:t>
      </w:r>
      <w:proofErr w:type="gramEnd"/>
      <w:r w:rsidRPr="00EA272E">
        <w:rPr>
          <w:rFonts w:eastAsia="標楷體"/>
          <w:sz w:val="26"/>
          <w:szCs w:val="26"/>
        </w:rPr>
        <w:t>決定例行性貢獻市場公平報酬之方法所應考量之因素</w:t>
      </w:r>
      <w:r w:rsidRPr="00EA272E">
        <w:rPr>
          <w:rFonts w:eastAsia="標楷體" w:hint="eastAsia"/>
          <w:sz w:val="26"/>
          <w:szCs w:val="26"/>
        </w:rPr>
        <w:t>（</w:t>
      </w:r>
      <w:r w:rsidRPr="00EA272E">
        <w:rPr>
          <w:rFonts w:eastAsia="標楷體"/>
          <w:sz w:val="26"/>
          <w:szCs w:val="26"/>
        </w:rPr>
        <w:t>包括執行之功能、承擔之風險及使用之資產</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2</w:t>
      </w:r>
      <w:proofErr w:type="gramStart"/>
      <w:r w:rsidRPr="00EA272E">
        <w:rPr>
          <w:rFonts w:eastAsia="標楷體"/>
          <w:sz w:val="26"/>
          <w:szCs w:val="26"/>
        </w:rPr>
        <w:t>）</w:t>
      </w:r>
      <w:proofErr w:type="gramEnd"/>
      <w:r w:rsidRPr="00EA272E">
        <w:rPr>
          <w:rFonts w:eastAsia="標楷體"/>
          <w:sz w:val="26"/>
          <w:szCs w:val="26"/>
        </w:rPr>
        <w:t>成本、費用、所得及資產，於相關營業活動及其他活動間分攤方式之合理性及適宜性</w:t>
      </w:r>
      <w:r w:rsidRPr="00EA272E">
        <w:rPr>
          <w:rFonts w:eastAsia="標楷體" w:hint="eastAsia"/>
          <w:sz w:val="26"/>
          <w:szCs w:val="26"/>
        </w:rPr>
        <w:t>；</w:t>
      </w:r>
      <w:r w:rsidRPr="00EA272E">
        <w:rPr>
          <w:rFonts w:eastAsia="標楷體" w:hint="eastAsia"/>
          <w:sz w:val="26"/>
          <w:szCs w:val="26"/>
        </w:rPr>
        <w:t>3</w:t>
      </w:r>
      <w:proofErr w:type="gramStart"/>
      <w:r w:rsidRPr="00EA272E">
        <w:rPr>
          <w:rFonts w:eastAsia="標楷體" w:hint="eastAsia"/>
          <w:sz w:val="26"/>
          <w:szCs w:val="26"/>
        </w:rPr>
        <w:t>）</w:t>
      </w:r>
      <w:proofErr w:type="gramEnd"/>
      <w:r w:rsidRPr="00EA272E">
        <w:rPr>
          <w:rFonts w:eastAsia="標楷體"/>
          <w:sz w:val="26"/>
          <w:szCs w:val="26"/>
        </w:rPr>
        <w:t>會計處理之一致性</w:t>
      </w:r>
      <w:r w:rsidRPr="00EA272E">
        <w:rPr>
          <w:rFonts w:eastAsia="標楷體" w:hint="eastAsia"/>
          <w:sz w:val="26"/>
          <w:szCs w:val="26"/>
        </w:rPr>
        <w:t>及</w:t>
      </w:r>
      <w:r w:rsidRPr="00EA272E">
        <w:rPr>
          <w:rFonts w:eastAsia="標楷體" w:hint="eastAsia"/>
          <w:sz w:val="26"/>
          <w:szCs w:val="26"/>
        </w:rPr>
        <w:t>4</w:t>
      </w:r>
      <w:proofErr w:type="gramStart"/>
      <w:r w:rsidRPr="00EA272E">
        <w:rPr>
          <w:rFonts w:eastAsia="標楷體" w:hint="eastAsia"/>
          <w:sz w:val="26"/>
          <w:szCs w:val="26"/>
        </w:rPr>
        <w:t>）</w:t>
      </w:r>
      <w:proofErr w:type="gramEnd"/>
      <w:r w:rsidRPr="00EA272E">
        <w:rPr>
          <w:rFonts w:eastAsia="標楷體"/>
          <w:sz w:val="26"/>
          <w:szCs w:val="26"/>
        </w:rPr>
        <w:t>決定各參與人對無形資產之貢獻價值所使用資料及假設之可信賴程度</w:t>
      </w:r>
      <w:r w:rsidRPr="00EA272E">
        <w:rPr>
          <w:rFonts w:eastAsia="標楷體" w:hint="eastAsia"/>
          <w:sz w:val="26"/>
          <w:szCs w:val="26"/>
        </w:rPr>
        <w:t>。若</w:t>
      </w:r>
      <w:r w:rsidRPr="00EA272E">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DE7202" w:rsidRDefault="00F70BB6" w:rsidP="00697B5D">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一般而言，</w:t>
      </w:r>
      <w:r w:rsidRPr="00EA272E">
        <w:rPr>
          <w:rFonts w:eastAsia="標楷體" w:hint="eastAsia"/>
          <w:sz w:val="26"/>
          <w:szCs w:val="26"/>
        </w:rPr>
        <w:t>可比較利潤法及利潤分割法等利潤法</w:t>
      </w:r>
      <w:r w:rsidRPr="00EA272E">
        <w:rPr>
          <w:rFonts w:eastAsia="標楷體"/>
          <w:sz w:val="26"/>
          <w:szCs w:val="26"/>
        </w:rPr>
        <w:t>之適用範圍較</w:t>
      </w:r>
      <w:r w:rsidRPr="00EA272E">
        <w:rPr>
          <w:rFonts w:eastAsia="標楷體" w:hint="eastAsia"/>
          <w:sz w:val="26"/>
          <w:szCs w:val="26"/>
        </w:rPr>
        <w:t>可比較未受控價格（交易）法、</w:t>
      </w:r>
      <w:r w:rsidRPr="00EA272E">
        <w:rPr>
          <w:rFonts w:eastAsia="標楷體"/>
          <w:sz w:val="26"/>
          <w:szCs w:val="26"/>
        </w:rPr>
        <w:t>再</w:t>
      </w:r>
      <w:proofErr w:type="gramStart"/>
      <w:r w:rsidRPr="00EA272E">
        <w:rPr>
          <w:rFonts w:eastAsia="標楷體"/>
          <w:sz w:val="26"/>
          <w:szCs w:val="26"/>
        </w:rPr>
        <w:t>售價格法及</w:t>
      </w:r>
      <w:proofErr w:type="gramEnd"/>
      <w:r w:rsidRPr="00EA272E">
        <w:rPr>
          <w:rFonts w:eastAsia="標楷體"/>
          <w:sz w:val="26"/>
          <w:szCs w:val="26"/>
        </w:rPr>
        <w:t>成本加價法</w:t>
      </w:r>
      <w:r w:rsidRPr="00EA272E">
        <w:rPr>
          <w:rFonts w:eastAsia="標楷體" w:hint="eastAsia"/>
          <w:sz w:val="26"/>
          <w:szCs w:val="26"/>
        </w:rPr>
        <w:t>等傳統法</w:t>
      </w:r>
      <w:r w:rsidRPr="00EA272E">
        <w:rPr>
          <w:rFonts w:eastAsia="標楷體"/>
          <w:sz w:val="26"/>
          <w:szCs w:val="26"/>
        </w:rPr>
        <w:t>為廣。</w:t>
      </w:r>
      <w:r w:rsidRPr="00EA272E">
        <w:rPr>
          <w:rFonts w:eastAsia="標楷體" w:hint="eastAsia"/>
          <w:sz w:val="26"/>
          <w:szCs w:val="26"/>
        </w:rPr>
        <w:t>其中</w:t>
      </w:r>
      <w:r w:rsidRPr="00EA272E">
        <w:rPr>
          <w:rFonts w:eastAsia="標楷體"/>
          <w:sz w:val="26"/>
          <w:szCs w:val="26"/>
        </w:rPr>
        <w:t>利潤法以受控交易參與人之功能分析最為重要，如經分析發現受</w:t>
      </w:r>
      <w:r w:rsidRPr="00EA272E">
        <w:rPr>
          <w:rFonts w:eastAsia="標楷體"/>
          <w:sz w:val="26"/>
          <w:szCs w:val="26"/>
        </w:rPr>
        <w:lastRenderedPageBreak/>
        <w:t>控交易各參與人均執行例行性功能及對無形資產具有貢獻之功能（如研究發展、行銷無形資產），則</w:t>
      </w:r>
      <w:r w:rsidRPr="00EA272E">
        <w:rPr>
          <w:rFonts w:eastAsia="標楷體" w:hint="eastAsia"/>
          <w:sz w:val="26"/>
          <w:szCs w:val="26"/>
        </w:rPr>
        <w:t>採用</w:t>
      </w:r>
      <w:r w:rsidRPr="00EA272E">
        <w:rPr>
          <w:rFonts w:eastAsia="標楷體"/>
          <w:sz w:val="26"/>
          <w:szCs w:val="26"/>
        </w:rPr>
        <w:t>傳統法可能會</w:t>
      </w:r>
      <w:r w:rsidRPr="00EA272E">
        <w:rPr>
          <w:rFonts w:eastAsia="標楷體" w:hint="eastAsia"/>
          <w:sz w:val="26"/>
          <w:szCs w:val="26"/>
        </w:rPr>
        <w:t>因</w:t>
      </w:r>
      <w:r w:rsidRPr="00EA272E">
        <w:rPr>
          <w:rFonts w:eastAsia="標楷體"/>
          <w:sz w:val="26"/>
          <w:szCs w:val="26"/>
        </w:rPr>
        <w:t>無法找到適當之可比較對象以致</w:t>
      </w:r>
      <w:r w:rsidRPr="00EA272E">
        <w:rPr>
          <w:rFonts w:eastAsia="標楷體" w:hint="eastAsia"/>
          <w:sz w:val="26"/>
          <w:szCs w:val="26"/>
        </w:rPr>
        <w:t>於</w:t>
      </w:r>
      <w:r w:rsidRPr="00EA272E">
        <w:rPr>
          <w:rFonts w:eastAsia="標楷體"/>
          <w:sz w:val="26"/>
          <w:szCs w:val="26"/>
        </w:rPr>
        <w:t>無法適用，此時</w:t>
      </w:r>
      <w:r w:rsidRPr="00EA272E">
        <w:rPr>
          <w:rFonts w:eastAsia="標楷體" w:hint="eastAsia"/>
          <w:sz w:val="26"/>
          <w:szCs w:val="26"/>
        </w:rPr>
        <w:t>宜採用</w:t>
      </w:r>
      <w:r w:rsidRPr="00EA272E">
        <w:rPr>
          <w:rFonts w:eastAsia="標楷體"/>
          <w:sz w:val="26"/>
          <w:szCs w:val="26"/>
        </w:rPr>
        <w:t>以營業</w:t>
      </w:r>
      <w:r w:rsidRPr="00EA272E">
        <w:rPr>
          <w:rFonts w:eastAsia="標楷體" w:hint="eastAsia"/>
          <w:sz w:val="26"/>
          <w:szCs w:val="26"/>
        </w:rPr>
        <w:t>利潤</w:t>
      </w:r>
      <w:r w:rsidRPr="00EA272E">
        <w:rPr>
          <w:rFonts w:eastAsia="標楷體"/>
          <w:sz w:val="26"/>
          <w:szCs w:val="26"/>
        </w:rPr>
        <w:t>為基礎之可比較利潤法</w:t>
      </w:r>
      <w:r w:rsidRPr="00EA272E">
        <w:rPr>
          <w:rFonts w:eastAsia="標楷體" w:hint="eastAsia"/>
          <w:sz w:val="26"/>
          <w:szCs w:val="26"/>
        </w:rPr>
        <w:t>或</w:t>
      </w:r>
      <w:r w:rsidRPr="00EA272E">
        <w:rPr>
          <w:rFonts w:eastAsia="標楷體"/>
          <w:sz w:val="26"/>
          <w:szCs w:val="26"/>
        </w:rPr>
        <w:t>利潤分割法</w:t>
      </w:r>
      <w:r w:rsidRPr="00EA272E">
        <w:rPr>
          <w:rFonts w:eastAsia="標楷體" w:hint="eastAsia"/>
          <w:sz w:val="26"/>
          <w:szCs w:val="26"/>
        </w:rPr>
        <w:t>等利潤法</w:t>
      </w:r>
      <w:r w:rsidRPr="00EA272E">
        <w:rPr>
          <w:rFonts w:eastAsia="標楷體"/>
          <w:sz w:val="26"/>
          <w:szCs w:val="26"/>
        </w:rPr>
        <w:t>較為妥當</w:t>
      </w:r>
      <w:r w:rsidRPr="00EA272E">
        <w:rPr>
          <w:rFonts w:eastAsia="標楷體" w:hint="eastAsia"/>
          <w:sz w:val="26"/>
          <w:szCs w:val="26"/>
        </w:rPr>
        <w:t>，</w:t>
      </w:r>
      <w:r w:rsidRPr="00EA272E">
        <w:rPr>
          <w:rFonts w:eastAsia="標楷體"/>
          <w:sz w:val="26"/>
          <w:szCs w:val="26"/>
        </w:rPr>
        <w:t>但</w:t>
      </w:r>
      <w:r w:rsidRPr="00EA272E">
        <w:rPr>
          <w:rFonts w:eastAsia="標楷體" w:hint="eastAsia"/>
          <w:sz w:val="26"/>
          <w:szCs w:val="26"/>
        </w:rPr>
        <w:t>採用利潤法中之可比較利潤法時，</w:t>
      </w:r>
      <w:r w:rsidRPr="00EA272E">
        <w:rPr>
          <w:rFonts w:eastAsia="標楷體"/>
          <w:sz w:val="26"/>
          <w:szCs w:val="26"/>
        </w:rPr>
        <w:t>若無法自受控交易</w:t>
      </w:r>
      <w:r w:rsidRPr="00EA272E">
        <w:rPr>
          <w:rFonts w:eastAsia="標楷體" w:hint="eastAsia"/>
          <w:sz w:val="26"/>
          <w:szCs w:val="26"/>
        </w:rPr>
        <w:t>參與人</w:t>
      </w:r>
      <w:r w:rsidRPr="00EA272E">
        <w:rPr>
          <w:rFonts w:eastAsia="標楷體"/>
          <w:sz w:val="26"/>
          <w:szCs w:val="26"/>
        </w:rPr>
        <w:t>中找到可比較利潤法所需之受測個體，</w:t>
      </w:r>
      <w:r w:rsidRPr="00EA272E">
        <w:rPr>
          <w:rFonts w:eastAsia="標楷體" w:hint="eastAsia"/>
          <w:sz w:val="26"/>
          <w:szCs w:val="26"/>
        </w:rPr>
        <w:t>則</w:t>
      </w:r>
      <w:r w:rsidRPr="00EA272E">
        <w:rPr>
          <w:rFonts w:eastAsia="標楷體"/>
          <w:sz w:val="26"/>
          <w:szCs w:val="26"/>
        </w:rPr>
        <w:t>宜考量</w:t>
      </w:r>
      <w:r w:rsidRPr="00EA272E">
        <w:rPr>
          <w:rFonts w:eastAsia="標楷體" w:hint="eastAsia"/>
          <w:sz w:val="26"/>
          <w:szCs w:val="26"/>
        </w:rPr>
        <w:t>採用</w:t>
      </w:r>
      <w:r w:rsidRPr="00EA272E">
        <w:rPr>
          <w:rFonts w:eastAsia="標楷體"/>
          <w:sz w:val="26"/>
          <w:szCs w:val="26"/>
        </w:rPr>
        <w:t>利潤分割法</w:t>
      </w:r>
      <w:r w:rsidRPr="00EA272E">
        <w:rPr>
          <w:rFonts w:eastAsia="標楷體" w:hint="eastAsia"/>
          <w:sz w:val="26"/>
          <w:szCs w:val="26"/>
        </w:rPr>
        <w:t>，</w:t>
      </w:r>
      <w:r w:rsidRPr="00EA272E">
        <w:rPr>
          <w:rFonts w:eastAsia="標楷體"/>
          <w:sz w:val="26"/>
          <w:szCs w:val="26"/>
        </w:rPr>
        <w:t>但若受控交易之參與人業務過於複雜、從事之活動過於多樣化，以致</w:t>
      </w:r>
      <w:proofErr w:type="gramStart"/>
      <w:r w:rsidRPr="00EA272E">
        <w:rPr>
          <w:rFonts w:eastAsia="標楷體"/>
          <w:sz w:val="26"/>
          <w:szCs w:val="26"/>
        </w:rPr>
        <w:t>釐</w:t>
      </w:r>
      <w:proofErr w:type="gramEnd"/>
      <w:r w:rsidRPr="00EA272E">
        <w:rPr>
          <w:rFonts w:eastAsia="標楷體"/>
          <w:sz w:val="26"/>
          <w:szCs w:val="26"/>
        </w:rPr>
        <w:t>清例行性功能與對無形資產具有貢獻之功能有所困難時，則利潤分割法之適用性將大為降低。</w:t>
      </w:r>
    </w:p>
    <w:p w:rsidR="00DE7202" w:rsidRDefault="00F70BB6" w:rsidP="001719B7">
      <w:pPr>
        <w:pStyle w:val="2"/>
        <w:numPr>
          <w:ilvl w:val="1"/>
          <w:numId w:val="1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決定</w:t>
      </w:r>
      <w:proofErr w:type="gramStart"/>
      <w:r w:rsidRPr="00EA272E">
        <w:rPr>
          <w:rFonts w:ascii="Times New Roman" w:eastAsia="標楷體" w:hAnsi="Times New Roman" w:hint="eastAsia"/>
          <w:sz w:val="36"/>
          <w:szCs w:val="40"/>
        </w:rPr>
        <w:t>最</w:t>
      </w:r>
      <w:proofErr w:type="gramEnd"/>
      <w:r w:rsidRPr="00EA272E">
        <w:rPr>
          <w:rFonts w:ascii="Times New Roman" w:eastAsia="標楷體" w:hAnsi="Times New Roman" w:hint="eastAsia"/>
          <w:sz w:val="36"/>
          <w:szCs w:val="40"/>
        </w:rPr>
        <w:t>適</w:t>
      </w:r>
      <w:r w:rsidRPr="00EA272E">
        <w:rPr>
          <w:rFonts w:ascii="Times New Roman" w:eastAsia="標楷體" w:hAnsi="Times New Roman"/>
          <w:sz w:val="36"/>
          <w:szCs w:val="40"/>
        </w:rPr>
        <w:t>常規交易方法</w:t>
      </w:r>
    </w:p>
    <w:p w:rsidR="00DE7202" w:rsidRDefault="00F70BB6" w:rsidP="001719B7">
      <w:pPr>
        <w:pStyle w:val="3"/>
        <w:numPr>
          <w:ilvl w:val="0"/>
          <w:numId w:val="16"/>
        </w:numPr>
        <w:spacing w:beforeLines="50" w:before="120" w:afterLines="50" w:after="120" w:line="360" w:lineRule="auto"/>
        <w:ind w:leftChars="100" w:left="720"/>
        <w:jc w:val="both"/>
        <w:rPr>
          <w:rFonts w:ascii="Times New Roman" w:eastAsia="標楷體" w:hAnsi="Times New Roman"/>
          <w:sz w:val="32"/>
        </w:rPr>
      </w:pPr>
      <w:r w:rsidRPr="00781EAA">
        <w:rPr>
          <w:rFonts w:ascii="Times New Roman" w:eastAsia="標楷體" w:hAnsi="Times New Roman"/>
          <w:sz w:val="32"/>
        </w:rPr>
        <w:t>常規交易方法之</w:t>
      </w:r>
      <w:r w:rsidRPr="00781EAA">
        <w:rPr>
          <w:rFonts w:ascii="Times New Roman" w:eastAsia="標楷體" w:hAnsi="Times New Roman" w:hint="eastAsia"/>
          <w:sz w:val="32"/>
        </w:rPr>
        <w:t>適用</w:t>
      </w:r>
    </w:p>
    <w:p w:rsidR="00F70BB6" w:rsidRPr="00781EAA" w:rsidRDefault="00F70BB6" w:rsidP="00F70BB6">
      <w:pPr>
        <w:pStyle w:val="30"/>
        <w:kinsoku w:val="0"/>
        <w:overflowPunct w:val="0"/>
        <w:autoSpaceDE w:val="0"/>
        <w:autoSpaceDN w:val="0"/>
        <w:adjustRightInd w:val="0"/>
        <w:snapToGrid w:val="0"/>
        <w:spacing w:before="120" w:after="120"/>
        <w:ind w:leftChars="200" w:left="480"/>
      </w:pPr>
      <w:r w:rsidRPr="00781EAA">
        <w:t>於本</w:t>
      </w:r>
      <w:r w:rsidR="00A82581" w:rsidRPr="00781EAA">
        <w:rPr>
          <w:rFonts w:hint="eastAsia"/>
        </w:rPr>
        <w:t>文據</w:t>
      </w:r>
      <w:r w:rsidRPr="00781EAA">
        <w:t>中分析之受控交易</w:t>
      </w:r>
      <w:r w:rsidRPr="00781EAA">
        <w:rPr>
          <w:rFonts w:hint="eastAsia"/>
        </w:rPr>
        <w:t>包含</w:t>
      </w:r>
      <w:r w:rsidRPr="00781EAA">
        <w:t>『</w:t>
      </w:r>
      <w:r w:rsidR="00C12A9E" w:rsidRPr="00781EAA">
        <w:rPr>
          <w:rFonts w:hint="eastAsia"/>
        </w:rPr>
        <w:t>服務之提供</w:t>
      </w:r>
      <w:r w:rsidRPr="00781EAA">
        <w:t>』</w:t>
      </w:r>
      <w:r w:rsidRPr="00781EAA">
        <w:rPr>
          <w:rFonts w:hint="eastAsia"/>
        </w:rPr>
        <w:t>受控交易類型</w:t>
      </w:r>
      <w:r w:rsidRPr="00781EAA">
        <w:t>，依據移轉訂價查核準</w:t>
      </w:r>
      <w:r w:rsidRPr="00781EAA">
        <w:rPr>
          <w:rFonts w:hint="eastAsia"/>
        </w:rPr>
        <w:t>則</w:t>
      </w:r>
      <w:r w:rsidRPr="00781EAA">
        <w:t>第</w:t>
      </w:r>
      <w:r w:rsidR="003639C8" w:rsidRPr="00781EAA">
        <w:rPr>
          <w:rFonts w:hint="eastAsia"/>
        </w:rPr>
        <w:t>12</w:t>
      </w:r>
      <w:r w:rsidRPr="00781EAA">
        <w:rPr>
          <w:rFonts w:hint="eastAsia"/>
        </w:rPr>
        <w:t>條</w:t>
      </w:r>
      <w:r w:rsidRPr="00781EAA">
        <w:t>規定，適用</w:t>
      </w:r>
      <w:r w:rsidRPr="00781EAA">
        <w:rPr>
          <w:rFonts w:hint="eastAsia"/>
        </w:rPr>
        <w:t>於評估之常規交易</w:t>
      </w:r>
      <w:r w:rsidRPr="00781EAA">
        <w:t>方法有下列各法：</w:t>
      </w:r>
    </w:p>
    <w:p w:rsidR="00F70BB6" w:rsidRPr="00364620" w:rsidRDefault="00F70BB6" w:rsidP="001719B7">
      <w:pPr>
        <w:numPr>
          <w:ilvl w:val="0"/>
          <w:numId w:val="36"/>
        </w:numPr>
        <w:tabs>
          <w:tab w:val="left" w:pos="1134"/>
        </w:tabs>
        <w:spacing w:beforeLines="50" w:before="120" w:afterLines="50" w:after="120" w:line="360" w:lineRule="auto"/>
        <w:jc w:val="both"/>
        <w:rPr>
          <w:rFonts w:eastAsia="標楷體"/>
          <w:b/>
          <w:sz w:val="28"/>
          <w:szCs w:val="26"/>
        </w:rPr>
      </w:pPr>
      <w:r w:rsidRPr="00364620">
        <w:rPr>
          <w:rFonts w:eastAsia="標楷體" w:hint="eastAsia"/>
          <w:b/>
          <w:sz w:val="28"/>
          <w:szCs w:val="26"/>
        </w:rPr>
        <w:t>服務提供</w:t>
      </w:r>
    </w:p>
    <w:p w:rsidR="00F70BB6" w:rsidRPr="00364620" w:rsidRDefault="00F70BB6" w:rsidP="00F70BB6">
      <w:pPr>
        <w:pStyle w:val="30"/>
        <w:kinsoku w:val="0"/>
        <w:overflowPunct w:val="0"/>
        <w:autoSpaceDE w:val="0"/>
        <w:autoSpaceDN w:val="0"/>
        <w:adjustRightInd w:val="0"/>
        <w:snapToGrid w:val="0"/>
        <w:spacing w:before="120" w:after="120"/>
        <w:ind w:leftChars="215" w:left="516" w:firstLineChars="0" w:firstLine="384"/>
      </w:pPr>
      <w:r w:rsidRPr="00364620">
        <w:rPr>
          <w:rFonts w:hint="eastAsia"/>
        </w:rPr>
        <w:t>（</w:t>
      </w:r>
      <w:r w:rsidRPr="00364620">
        <w:rPr>
          <w:rFonts w:hint="eastAsia"/>
        </w:rPr>
        <w:t>1</w:t>
      </w:r>
      <w:r w:rsidRPr="00364620">
        <w:rPr>
          <w:rFonts w:hint="eastAsia"/>
        </w:rPr>
        <w:t>）</w:t>
      </w:r>
      <w:r w:rsidRPr="00364620">
        <w:t>可比較未受控價格法</w:t>
      </w:r>
      <w:r w:rsidRPr="00364620">
        <w:rPr>
          <w:rFonts w:hint="eastAsia"/>
        </w:rPr>
        <w:t>；</w:t>
      </w:r>
    </w:p>
    <w:p w:rsidR="00F70BB6" w:rsidRPr="00364620" w:rsidRDefault="00F70BB6" w:rsidP="00F70BB6">
      <w:pPr>
        <w:pStyle w:val="30"/>
        <w:kinsoku w:val="0"/>
        <w:overflowPunct w:val="0"/>
        <w:autoSpaceDE w:val="0"/>
        <w:autoSpaceDN w:val="0"/>
        <w:adjustRightInd w:val="0"/>
        <w:snapToGrid w:val="0"/>
        <w:spacing w:before="120" w:after="120"/>
        <w:ind w:leftChars="215" w:left="516" w:firstLineChars="0" w:firstLine="384"/>
      </w:pPr>
      <w:r w:rsidRPr="00364620">
        <w:rPr>
          <w:rFonts w:hint="eastAsia"/>
        </w:rPr>
        <w:t>（</w:t>
      </w:r>
      <w:r w:rsidRPr="00364620">
        <w:rPr>
          <w:rFonts w:hint="eastAsia"/>
        </w:rPr>
        <w:t>2</w:t>
      </w:r>
      <w:r w:rsidRPr="00364620">
        <w:rPr>
          <w:rFonts w:hint="eastAsia"/>
        </w:rPr>
        <w:t>）</w:t>
      </w:r>
      <w:r w:rsidRPr="00364620">
        <w:t>成本加價法</w:t>
      </w:r>
      <w:r w:rsidRPr="00364620">
        <w:rPr>
          <w:rFonts w:hint="eastAsia"/>
        </w:rPr>
        <w:t>；</w:t>
      </w:r>
    </w:p>
    <w:p w:rsidR="00F70BB6" w:rsidRPr="00364620" w:rsidRDefault="00F70BB6" w:rsidP="00F70BB6">
      <w:pPr>
        <w:pStyle w:val="30"/>
        <w:kinsoku w:val="0"/>
        <w:overflowPunct w:val="0"/>
        <w:autoSpaceDE w:val="0"/>
        <w:autoSpaceDN w:val="0"/>
        <w:adjustRightInd w:val="0"/>
        <w:snapToGrid w:val="0"/>
        <w:spacing w:before="120" w:after="120"/>
        <w:ind w:leftChars="375" w:left="900" w:firstLineChars="0" w:firstLine="0"/>
      </w:pPr>
      <w:r w:rsidRPr="00364620">
        <w:rPr>
          <w:rFonts w:hint="eastAsia"/>
        </w:rPr>
        <w:t>（</w:t>
      </w:r>
      <w:r w:rsidRPr="00364620">
        <w:rPr>
          <w:rFonts w:hint="eastAsia"/>
        </w:rPr>
        <w:t>3</w:t>
      </w:r>
      <w:r w:rsidRPr="00364620">
        <w:rPr>
          <w:rFonts w:hint="eastAsia"/>
        </w:rPr>
        <w:t>）</w:t>
      </w:r>
      <w:r w:rsidRPr="00364620">
        <w:t>可比較利潤法</w:t>
      </w:r>
      <w:r w:rsidRPr="00364620">
        <w:rPr>
          <w:rFonts w:hint="eastAsia"/>
        </w:rPr>
        <w:t>；</w:t>
      </w:r>
    </w:p>
    <w:p w:rsidR="00F70BB6" w:rsidRPr="00364620" w:rsidRDefault="00F70BB6" w:rsidP="00F70BB6">
      <w:pPr>
        <w:pStyle w:val="30"/>
        <w:kinsoku w:val="0"/>
        <w:overflowPunct w:val="0"/>
        <w:autoSpaceDE w:val="0"/>
        <w:autoSpaceDN w:val="0"/>
        <w:adjustRightInd w:val="0"/>
        <w:snapToGrid w:val="0"/>
        <w:spacing w:before="120" w:after="120"/>
        <w:ind w:leftChars="375" w:left="900" w:firstLineChars="0" w:firstLine="0"/>
      </w:pPr>
      <w:r w:rsidRPr="00364620">
        <w:rPr>
          <w:rFonts w:hint="eastAsia"/>
        </w:rPr>
        <w:t>（</w:t>
      </w:r>
      <w:r w:rsidRPr="00364620">
        <w:rPr>
          <w:rFonts w:hint="eastAsia"/>
        </w:rPr>
        <w:t>4</w:t>
      </w:r>
      <w:r w:rsidRPr="00364620">
        <w:rPr>
          <w:rFonts w:hint="eastAsia"/>
        </w:rPr>
        <w:t>）</w:t>
      </w:r>
      <w:r w:rsidRPr="00364620">
        <w:t>利潤分割法</w:t>
      </w:r>
      <w:r w:rsidRPr="00364620">
        <w:rPr>
          <w:rFonts w:hint="eastAsia"/>
        </w:rPr>
        <w:t>。</w:t>
      </w:r>
    </w:p>
    <w:p w:rsidR="00F70BB6" w:rsidRPr="00364620" w:rsidRDefault="00F70BB6" w:rsidP="00F70BB6">
      <w:pPr>
        <w:pStyle w:val="30"/>
        <w:tabs>
          <w:tab w:val="left" w:pos="900"/>
        </w:tabs>
        <w:kinsoku w:val="0"/>
        <w:overflowPunct w:val="0"/>
        <w:autoSpaceDE w:val="0"/>
        <w:autoSpaceDN w:val="0"/>
        <w:adjustRightInd w:val="0"/>
        <w:snapToGrid w:val="0"/>
        <w:spacing w:before="120" w:after="120"/>
        <w:ind w:leftChars="375" w:left="900" w:firstLineChars="0" w:firstLine="0"/>
      </w:pPr>
      <w:r w:rsidRPr="00364620">
        <w:rPr>
          <w:rFonts w:hint="eastAsia"/>
        </w:rPr>
        <w:t>（</w:t>
      </w:r>
      <w:r w:rsidRPr="00364620">
        <w:rPr>
          <w:rFonts w:hint="eastAsia"/>
        </w:rPr>
        <w:t>5</w:t>
      </w:r>
      <w:r w:rsidRPr="00364620">
        <w:rPr>
          <w:rFonts w:hint="eastAsia"/>
        </w:rPr>
        <w:t>）</w:t>
      </w:r>
      <w:r w:rsidRPr="00364620">
        <w:t>其他經財政部核定之常規交易方法。</w:t>
      </w:r>
    </w:p>
    <w:p w:rsidR="00DE7202" w:rsidRDefault="00F70BB6" w:rsidP="001719B7">
      <w:pPr>
        <w:pStyle w:val="3"/>
        <w:numPr>
          <w:ilvl w:val="0"/>
          <w:numId w:val="1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最適</w:t>
      </w:r>
      <w:r w:rsidRPr="00EA272E">
        <w:rPr>
          <w:rFonts w:ascii="Times New Roman" w:eastAsia="標楷體" w:hAnsi="Times New Roman"/>
          <w:sz w:val="32"/>
        </w:rPr>
        <w:t>常規交易方法之</w:t>
      </w:r>
      <w:r w:rsidRPr="00EA272E">
        <w:rPr>
          <w:rFonts w:ascii="Times New Roman" w:eastAsia="標楷體" w:hAnsi="Times New Roman" w:hint="eastAsia"/>
          <w:sz w:val="32"/>
        </w:rPr>
        <w:t>決定</w:t>
      </w:r>
    </w:p>
    <w:p w:rsidR="00DE7202" w:rsidRDefault="00F70BB6" w:rsidP="001719B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綜合考量各方面因素，本所依移轉訂價查核準則規定之</w:t>
      </w:r>
      <w:proofErr w:type="gramStart"/>
      <w:r w:rsidRPr="00EA272E">
        <w:rPr>
          <w:rFonts w:eastAsia="標楷體" w:hint="eastAsia"/>
          <w:sz w:val="26"/>
          <w:szCs w:val="26"/>
        </w:rPr>
        <w:t>最</w:t>
      </w:r>
      <w:proofErr w:type="gramEnd"/>
      <w:r w:rsidRPr="00EA272E">
        <w:rPr>
          <w:rFonts w:eastAsia="標楷體" w:hint="eastAsia"/>
          <w:sz w:val="26"/>
          <w:szCs w:val="26"/>
        </w:rPr>
        <w:t>適常規交</w:t>
      </w:r>
      <w:r w:rsidRPr="0061209C">
        <w:rPr>
          <w:rFonts w:eastAsia="標楷體" w:hint="eastAsia"/>
          <w:sz w:val="26"/>
          <w:szCs w:val="26"/>
        </w:rPr>
        <w:lastRenderedPageBreak/>
        <w:t>易方法原則，決定</w:t>
      </w:r>
      <w:r w:rsidR="00C45712" w:rsidRPr="0061209C">
        <w:rPr>
          <w:rFonts w:eastAsia="標楷體" w:hint="eastAsia"/>
          <w:sz w:val="26"/>
          <w:szCs w:val="26"/>
        </w:rPr>
        <w:t>可比較利潤法</w:t>
      </w:r>
      <w:r w:rsidRPr="0061209C">
        <w:rPr>
          <w:rFonts w:eastAsia="標楷體" w:hint="eastAsia"/>
          <w:sz w:val="26"/>
          <w:szCs w:val="26"/>
        </w:rPr>
        <w:t>作為</w:t>
      </w:r>
      <w:r w:rsidR="003A761B" w:rsidRPr="0061209C">
        <w:rPr>
          <w:rFonts w:eastAsia="標楷體" w:hint="eastAsia"/>
          <w:sz w:val="26"/>
          <w:szCs w:val="26"/>
        </w:rPr>
        <w:t>萊迪思台灣分公司</w:t>
      </w:r>
      <w:r w:rsidRPr="0061209C">
        <w:rPr>
          <w:rFonts w:eastAsia="標楷體" w:hint="eastAsia"/>
          <w:sz w:val="26"/>
          <w:szCs w:val="26"/>
        </w:rPr>
        <w:t>之各</w:t>
      </w:r>
      <w:r w:rsidRPr="0061209C">
        <w:rPr>
          <w:rFonts w:eastAsia="標楷體"/>
          <w:sz w:val="26"/>
          <w:szCs w:val="26"/>
        </w:rPr>
        <w:t>受控交易</w:t>
      </w:r>
      <w:proofErr w:type="gramStart"/>
      <w:r w:rsidRPr="0061209C">
        <w:rPr>
          <w:rFonts w:eastAsia="標楷體" w:hint="eastAsia"/>
          <w:sz w:val="26"/>
          <w:szCs w:val="26"/>
        </w:rPr>
        <w:t>最</w:t>
      </w:r>
      <w:proofErr w:type="gramEnd"/>
      <w:r w:rsidRPr="00EA272E">
        <w:rPr>
          <w:rFonts w:eastAsia="標楷體" w:hint="eastAsia"/>
          <w:sz w:val="26"/>
          <w:szCs w:val="26"/>
        </w:rPr>
        <w:t>適常規交易方法。決定原因說明如下，另其他常規交易</w:t>
      </w:r>
      <w:r w:rsidRPr="00EA272E">
        <w:rPr>
          <w:rFonts w:eastAsia="標楷體"/>
          <w:sz w:val="26"/>
          <w:szCs w:val="26"/>
        </w:rPr>
        <w:t>方法不適用</w:t>
      </w:r>
      <w:r w:rsidRPr="00EA272E">
        <w:rPr>
          <w:rFonts w:eastAsia="標楷體" w:hint="eastAsia"/>
          <w:sz w:val="26"/>
          <w:szCs w:val="26"/>
        </w:rPr>
        <w:t>之原因，</w:t>
      </w:r>
      <w:r w:rsidRPr="00EA272E">
        <w:rPr>
          <w:rFonts w:eastAsia="標楷體"/>
          <w:sz w:val="26"/>
          <w:szCs w:val="26"/>
        </w:rPr>
        <w:t>請</w:t>
      </w:r>
      <w:proofErr w:type="gramStart"/>
      <w:r w:rsidRPr="00EA272E">
        <w:rPr>
          <w:rFonts w:eastAsia="標楷體"/>
          <w:sz w:val="26"/>
          <w:szCs w:val="26"/>
        </w:rPr>
        <w:t>見下節說明</w:t>
      </w:r>
      <w:proofErr w:type="gramEnd"/>
      <w:r w:rsidRPr="00EA272E">
        <w:rPr>
          <w:rFonts w:eastAsia="標楷體" w:hint="eastAsia"/>
          <w:sz w:val="26"/>
          <w:szCs w:val="26"/>
        </w:rPr>
        <w:t>。</w:t>
      </w:r>
    </w:p>
    <w:p w:rsidR="00DE7202" w:rsidRDefault="00F70BB6" w:rsidP="001719B7">
      <w:pPr>
        <w:numPr>
          <w:ilvl w:val="0"/>
          <w:numId w:val="15"/>
        </w:numPr>
        <w:spacing w:beforeLines="50" w:before="120" w:afterLines="50" w:after="120" w:line="360" w:lineRule="auto"/>
        <w:ind w:left="993"/>
        <w:jc w:val="both"/>
        <w:rPr>
          <w:rFonts w:eastAsia="標楷體"/>
          <w:sz w:val="26"/>
          <w:szCs w:val="26"/>
        </w:rPr>
      </w:pPr>
      <w:r w:rsidRPr="00364620">
        <w:rPr>
          <w:rFonts w:eastAsia="標楷體" w:hint="eastAsia"/>
          <w:sz w:val="26"/>
          <w:szCs w:val="26"/>
        </w:rPr>
        <w:t>適用可比較利潤法之理由：</w:t>
      </w:r>
    </w:p>
    <w:p w:rsidR="00F70BB6" w:rsidRPr="00364620" w:rsidRDefault="00F70BB6" w:rsidP="000A517A">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364620">
        <w:rPr>
          <w:rFonts w:ascii="Times New Roman" w:eastAsia="標楷體" w:hAnsi="Times New Roman" w:hint="eastAsia"/>
          <w:sz w:val="26"/>
          <w:szCs w:val="26"/>
        </w:rPr>
        <w:t>淨利潤較不似可比較未受控價格</w:t>
      </w:r>
      <w:r w:rsidRPr="00364620">
        <w:rPr>
          <w:rFonts w:ascii="Times New Roman" w:eastAsia="標楷體" w:hAnsi="Times New Roman" w:hint="eastAsia"/>
          <w:sz w:val="26"/>
          <w:szCs w:val="26"/>
        </w:rPr>
        <w:t>/</w:t>
      </w:r>
      <w:r w:rsidRPr="00364620">
        <w:rPr>
          <w:rFonts w:ascii="Times New Roman" w:eastAsia="標楷體" w:hAnsi="Times New Roman" w:hint="eastAsia"/>
          <w:sz w:val="26"/>
          <w:szCs w:val="26"/>
        </w:rPr>
        <w:t>交易法所用為評價標準之價格般，易受交易產品差異之影響；</w:t>
      </w:r>
    </w:p>
    <w:p w:rsidR="00F70BB6" w:rsidRPr="00364620" w:rsidRDefault="00F70BB6" w:rsidP="000A517A">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364620">
        <w:rPr>
          <w:rFonts w:ascii="Times New Roman" w:eastAsia="標楷體" w:hAnsi="Times New Roman" w:hint="eastAsia"/>
          <w:sz w:val="26"/>
          <w:szCs w:val="26"/>
        </w:rPr>
        <w:t>淨利潤比起成本加價法</w:t>
      </w:r>
      <w:r w:rsidRPr="00364620">
        <w:rPr>
          <w:rFonts w:ascii="Times New Roman" w:eastAsia="標楷體" w:hAnsi="Times New Roman" w:hint="eastAsia"/>
          <w:sz w:val="26"/>
          <w:szCs w:val="26"/>
        </w:rPr>
        <w:t>/</w:t>
      </w:r>
      <w:r w:rsidRPr="00364620">
        <w:rPr>
          <w:rFonts w:ascii="Times New Roman" w:eastAsia="標楷體" w:hAnsi="Times New Roman" w:hint="eastAsia"/>
          <w:sz w:val="26"/>
          <w:szCs w:val="26"/>
        </w:rPr>
        <w:t>再</w:t>
      </w:r>
      <w:proofErr w:type="gramStart"/>
      <w:r w:rsidRPr="00364620">
        <w:rPr>
          <w:rFonts w:ascii="Times New Roman" w:eastAsia="標楷體" w:hAnsi="Times New Roman" w:hint="eastAsia"/>
          <w:sz w:val="26"/>
          <w:szCs w:val="26"/>
        </w:rPr>
        <w:t>售價格法所</w:t>
      </w:r>
      <w:proofErr w:type="gramEnd"/>
      <w:r w:rsidRPr="00364620">
        <w:rPr>
          <w:rFonts w:ascii="Times New Roman" w:eastAsia="標楷體" w:hAnsi="Times New Roman" w:hint="eastAsia"/>
          <w:sz w:val="26"/>
          <w:szCs w:val="26"/>
        </w:rPr>
        <w:t>用為評價之成本加價率</w:t>
      </w:r>
      <w:r w:rsidRPr="00364620">
        <w:rPr>
          <w:rFonts w:ascii="Times New Roman" w:eastAsia="標楷體" w:hAnsi="Times New Roman" w:hint="eastAsia"/>
          <w:sz w:val="26"/>
          <w:szCs w:val="26"/>
        </w:rPr>
        <w:t>/</w:t>
      </w:r>
      <w:r w:rsidRPr="00364620">
        <w:rPr>
          <w:rFonts w:ascii="Times New Roman" w:eastAsia="標楷體" w:hAnsi="Times New Roman" w:hint="eastAsia"/>
          <w:sz w:val="26"/>
          <w:szCs w:val="26"/>
        </w:rPr>
        <w:t>毛利率，對受控及未受控交易間功能性差異之忍受度更高。數個企業即便在成本加價率</w:t>
      </w:r>
      <w:r w:rsidRPr="00364620">
        <w:rPr>
          <w:rFonts w:ascii="Times New Roman" w:eastAsia="標楷體" w:hAnsi="Times New Roman" w:hint="eastAsia"/>
          <w:sz w:val="26"/>
          <w:szCs w:val="26"/>
        </w:rPr>
        <w:t>/</w:t>
      </w:r>
      <w:r w:rsidRPr="00364620">
        <w:rPr>
          <w:rFonts w:ascii="Times New Roman" w:eastAsia="標楷體" w:hAnsi="Times New Roman" w:hint="eastAsia"/>
          <w:sz w:val="26"/>
          <w:szCs w:val="26"/>
        </w:rPr>
        <w:t>毛利率上之差易極大，還是有可能賺得大致相似之淨利潤；</w:t>
      </w:r>
    </w:p>
    <w:p w:rsidR="00F70BB6" w:rsidRPr="00364620" w:rsidRDefault="00F70BB6" w:rsidP="000A517A">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364620">
        <w:rPr>
          <w:rFonts w:ascii="Times New Roman" w:eastAsia="標楷體" w:hAnsi="Times New Roman" w:hint="eastAsia"/>
          <w:sz w:val="26"/>
          <w:szCs w:val="26"/>
        </w:rPr>
        <w:t>不必如使用利潤分割法時，需依關係企業</w:t>
      </w:r>
      <w:proofErr w:type="gramStart"/>
      <w:r w:rsidRPr="00364620">
        <w:rPr>
          <w:rFonts w:ascii="Times New Roman" w:eastAsia="標楷體" w:hAnsi="Times New Roman" w:hint="eastAsia"/>
          <w:sz w:val="26"/>
          <w:szCs w:val="26"/>
        </w:rPr>
        <w:t>體間各企業</w:t>
      </w:r>
      <w:proofErr w:type="gramEnd"/>
      <w:r w:rsidRPr="00364620">
        <w:rPr>
          <w:rFonts w:ascii="Times New Roman" w:eastAsia="標楷體" w:hAnsi="Times New Roman" w:hint="eastAsia"/>
          <w:sz w:val="26"/>
          <w:szCs w:val="26"/>
        </w:rPr>
        <w:t>之功能及責任，對合併營業利潤之貢獻分配營業利潤。</w:t>
      </w:r>
    </w:p>
    <w:p w:rsidR="00F70BB6" w:rsidRPr="00364620" w:rsidRDefault="00F70BB6" w:rsidP="000A517A">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364620">
        <w:rPr>
          <w:rFonts w:ascii="Times New Roman" w:eastAsia="標楷體" w:hAnsi="Times New Roman" w:hint="eastAsia"/>
          <w:sz w:val="26"/>
          <w:szCs w:val="26"/>
        </w:rPr>
        <w:t>通常不需將參與受控交易者之帳戶重新調整或作成本分攤。</w:t>
      </w:r>
    </w:p>
    <w:p w:rsidR="00F70BB6" w:rsidRPr="00364620" w:rsidRDefault="00F70BB6" w:rsidP="001719B7">
      <w:pPr>
        <w:spacing w:beforeLines="50" w:before="120" w:afterLines="50" w:after="120" w:line="360" w:lineRule="auto"/>
        <w:ind w:leftChars="400" w:left="960" w:firstLineChars="200" w:firstLine="520"/>
        <w:jc w:val="both"/>
        <w:rPr>
          <w:rFonts w:eastAsia="標楷體"/>
          <w:sz w:val="26"/>
          <w:szCs w:val="26"/>
        </w:rPr>
      </w:pPr>
      <w:r w:rsidRPr="00364620">
        <w:rPr>
          <w:rFonts w:eastAsia="標楷體" w:hint="eastAsia"/>
          <w:sz w:val="26"/>
          <w:szCs w:val="26"/>
        </w:rPr>
        <w:t>可比較利潤法對受測個體及所選取對象之可比較性標準較寬鬆。功能上之差異通常會影響成本加價率</w:t>
      </w:r>
      <w:r w:rsidRPr="00364620">
        <w:rPr>
          <w:rFonts w:eastAsia="標楷體" w:hint="eastAsia"/>
          <w:sz w:val="26"/>
          <w:szCs w:val="26"/>
        </w:rPr>
        <w:t>/</w:t>
      </w:r>
      <w:r w:rsidRPr="00364620">
        <w:rPr>
          <w:rFonts w:eastAsia="標楷體" w:hint="eastAsia"/>
          <w:sz w:val="26"/>
          <w:szCs w:val="26"/>
        </w:rPr>
        <w:t>毛利率，但因較難認定數值化差異，及適切調整該等差異對可比較對象成本加價率</w:t>
      </w:r>
      <w:r w:rsidRPr="00364620">
        <w:rPr>
          <w:rFonts w:eastAsia="標楷體" w:hint="eastAsia"/>
          <w:sz w:val="26"/>
          <w:szCs w:val="26"/>
        </w:rPr>
        <w:t>/</w:t>
      </w:r>
      <w:r w:rsidRPr="00364620">
        <w:rPr>
          <w:rFonts w:eastAsia="標楷體" w:hint="eastAsia"/>
          <w:sz w:val="26"/>
          <w:szCs w:val="26"/>
        </w:rPr>
        <w:t>毛利率之影響，因此使用成本加價率</w:t>
      </w:r>
      <w:r w:rsidRPr="00364620">
        <w:rPr>
          <w:rFonts w:eastAsia="標楷體" w:hint="eastAsia"/>
          <w:sz w:val="26"/>
          <w:szCs w:val="26"/>
        </w:rPr>
        <w:t>/</w:t>
      </w:r>
      <w:r w:rsidRPr="00364620">
        <w:rPr>
          <w:rFonts w:eastAsia="標楷體" w:hint="eastAsia"/>
          <w:sz w:val="26"/>
          <w:szCs w:val="26"/>
        </w:rPr>
        <w:t>毛利率評估受控交易是否合乎常規之限制較多。而由於功能上的差異通常會反映到營業費用，所以於使用可比較利潤法進行營業利潤分析時，對功能上之差異便無如此嚴格之要求。因為可比較利潤法同時考慮到成本加價、毛利及淨利，涵蓋之範圍較廣。所以對常規交易結果之衡量更值得信賴。</w:t>
      </w:r>
    </w:p>
    <w:p w:rsidR="00DE7202" w:rsidRDefault="00F70BB6" w:rsidP="001719B7">
      <w:pPr>
        <w:spacing w:beforeLines="50" w:before="120" w:afterLines="50" w:after="120" w:line="360" w:lineRule="auto"/>
        <w:ind w:leftChars="400" w:left="960" w:firstLineChars="200" w:firstLine="520"/>
        <w:jc w:val="both"/>
        <w:rPr>
          <w:rFonts w:eastAsia="標楷體"/>
          <w:sz w:val="26"/>
          <w:szCs w:val="26"/>
        </w:rPr>
      </w:pPr>
      <w:r w:rsidRPr="00364620">
        <w:rPr>
          <w:rFonts w:eastAsia="標楷體" w:hint="eastAsia"/>
          <w:sz w:val="26"/>
          <w:szCs w:val="26"/>
        </w:rPr>
        <w:t>美國內地稅法及</w:t>
      </w:r>
      <w:r w:rsidRPr="00364620">
        <w:rPr>
          <w:rFonts w:eastAsia="標楷體" w:hint="eastAsia"/>
          <w:sz w:val="26"/>
          <w:szCs w:val="26"/>
        </w:rPr>
        <w:t>OECD</w:t>
      </w:r>
      <w:r w:rsidRPr="00364620">
        <w:rPr>
          <w:rFonts w:eastAsia="標楷體" w:hint="eastAsia"/>
          <w:sz w:val="26"/>
          <w:szCs w:val="26"/>
        </w:rPr>
        <w:t>指導準則亦均指出，使用可比較利潤法時，可比較對象只要大致與受測個體相似即可，即便產品有顯著不同，或在功能上有所差異，對於無法完全確認受控交易及未受控交</w:t>
      </w:r>
      <w:r w:rsidRPr="00364620">
        <w:rPr>
          <w:rFonts w:eastAsia="標楷體" w:hint="eastAsia"/>
          <w:sz w:val="26"/>
          <w:szCs w:val="26"/>
        </w:rPr>
        <w:lastRenderedPageBreak/>
        <w:t>易二者間之營業成本與營業費用是否已正確歸類等情形，都可適用可比較利潤法。</w:t>
      </w:r>
    </w:p>
    <w:p w:rsidR="00DE7202" w:rsidRDefault="00F70BB6" w:rsidP="001719B7">
      <w:pPr>
        <w:pStyle w:val="3"/>
        <w:numPr>
          <w:ilvl w:val="0"/>
          <w:numId w:val="16"/>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其他常規交易方法不予採用原因</w:t>
      </w:r>
    </w:p>
    <w:p w:rsidR="00DE7202" w:rsidRDefault="00F70BB6" w:rsidP="001719B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以下列出其他</w:t>
      </w:r>
      <w:r w:rsidRPr="00EA272E">
        <w:rPr>
          <w:rFonts w:eastAsia="標楷體" w:hint="eastAsia"/>
          <w:sz w:val="26"/>
          <w:szCs w:val="26"/>
        </w:rPr>
        <w:t>常規交易</w:t>
      </w:r>
      <w:r w:rsidRPr="00EA272E">
        <w:rPr>
          <w:rFonts w:eastAsia="標楷體"/>
          <w:sz w:val="26"/>
          <w:szCs w:val="26"/>
        </w:rPr>
        <w:t>方法所以不適</w:t>
      </w:r>
      <w:r w:rsidRPr="00EA272E">
        <w:rPr>
          <w:rFonts w:eastAsia="標楷體" w:hint="eastAsia"/>
          <w:sz w:val="26"/>
          <w:szCs w:val="26"/>
        </w:rPr>
        <w:t>用</w:t>
      </w:r>
      <w:r w:rsidRPr="00EA272E">
        <w:rPr>
          <w:rFonts w:eastAsia="標楷體"/>
          <w:sz w:val="26"/>
          <w:szCs w:val="26"/>
        </w:rPr>
        <w:t>評估</w:t>
      </w:r>
      <w:r w:rsidR="00C45712" w:rsidRPr="00C45712">
        <w:rPr>
          <w:rFonts w:eastAsia="標楷體" w:hint="eastAsia"/>
          <w:sz w:val="26"/>
          <w:szCs w:val="26"/>
        </w:rPr>
        <w:t>『服務之提供』</w:t>
      </w:r>
      <w:r w:rsidRPr="00EA272E">
        <w:rPr>
          <w:rFonts w:eastAsia="標楷體"/>
          <w:sz w:val="26"/>
          <w:szCs w:val="26"/>
        </w:rPr>
        <w:t>受控交易</w:t>
      </w:r>
      <w:r w:rsidRPr="00EA272E">
        <w:rPr>
          <w:rFonts w:eastAsia="標楷體" w:hint="eastAsia"/>
          <w:sz w:val="26"/>
          <w:szCs w:val="26"/>
        </w:rPr>
        <w:t>類型</w:t>
      </w:r>
      <w:r w:rsidRPr="00EA272E">
        <w:rPr>
          <w:rFonts w:eastAsia="標楷體"/>
          <w:sz w:val="26"/>
          <w:szCs w:val="26"/>
        </w:rPr>
        <w:t>之原因供作參考：</w:t>
      </w:r>
    </w:p>
    <w:p w:rsidR="00DE7202" w:rsidRDefault="00F70BB6" w:rsidP="001719B7">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b/>
          <w:sz w:val="28"/>
          <w:szCs w:val="26"/>
        </w:rPr>
        <w:t>可比較未受控價格法</w:t>
      </w:r>
    </w:p>
    <w:p w:rsidR="00DE7202" w:rsidRDefault="003A761B" w:rsidP="001719B7">
      <w:pPr>
        <w:spacing w:beforeLines="50" w:before="120" w:afterLines="50" w:after="120" w:line="360" w:lineRule="auto"/>
        <w:ind w:leftChars="300" w:left="720" w:firstLineChars="200" w:firstLine="520"/>
        <w:jc w:val="both"/>
        <w:rPr>
          <w:rFonts w:eastAsia="標楷體"/>
          <w:sz w:val="26"/>
          <w:szCs w:val="26"/>
        </w:rPr>
      </w:pPr>
      <w:r w:rsidRPr="004B7E86">
        <w:rPr>
          <w:rFonts w:eastAsia="標楷體" w:hint="eastAsia"/>
          <w:sz w:val="26"/>
          <w:szCs w:val="26"/>
        </w:rPr>
        <w:t>萊迪思台灣分公司</w:t>
      </w:r>
      <w:r w:rsidR="00E849C4" w:rsidRPr="004B7E86">
        <w:rPr>
          <w:rFonts w:eastAsia="標楷體" w:hint="eastAsia"/>
          <w:sz w:val="26"/>
          <w:szCs w:val="26"/>
        </w:rPr>
        <w:t>並未提供服務予非關係企業，故無內部可比較未受控價格可用以比較；另外，因外部廠商提供之服務會存有差異，無法找到完全相同之產品，無外部可比較未受</w:t>
      </w:r>
      <w:r w:rsidR="00E849C4" w:rsidRPr="00364620">
        <w:rPr>
          <w:rFonts w:eastAsia="標楷體" w:hint="eastAsia"/>
          <w:sz w:val="26"/>
          <w:szCs w:val="26"/>
        </w:rPr>
        <w:t>控價格可用以比較，故『可比較未受控價格法』非為</w:t>
      </w:r>
      <w:proofErr w:type="gramStart"/>
      <w:r w:rsidR="00E849C4" w:rsidRPr="00364620">
        <w:rPr>
          <w:rFonts w:eastAsia="標楷體" w:hint="eastAsia"/>
          <w:sz w:val="26"/>
          <w:szCs w:val="26"/>
        </w:rPr>
        <w:t>最</w:t>
      </w:r>
      <w:proofErr w:type="gramEnd"/>
      <w:r w:rsidR="00E849C4" w:rsidRPr="00364620">
        <w:rPr>
          <w:rFonts w:eastAsia="標楷體" w:hint="eastAsia"/>
          <w:sz w:val="26"/>
          <w:szCs w:val="26"/>
        </w:rPr>
        <w:t>適常規交易方法。</w:t>
      </w:r>
    </w:p>
    <w:p w:rsidR="00DE7202" w:rsidRDefault="00063D6B" w:rsidP="001719B7">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b/>
          <w:sz w:val="28"/>
          <w:szCs w:val="26"/>
        </w:rPr>
        <w:t>可比較未受控</w:t>
      </w:r>
      <w:r>
        <w:rPr>
          <w:rFonts w:eastAsia="標楷體" w:hint="eastAsia"/>
          <w:b/>
          <w:sz w:val="28"/>
          <w:szCs w:val="26"/>
        </w:rPr>
        <w:t>交易</w:t>
      </w:r>
      <w:r w:rsidRPr="00EA272E">
        <w:rPr>
          <w:rFonts w:eastAsia="標楷體"/>
          <w:b/>
          <w:sz w:val="28"/>
          <w:szCs w:val="26"/>
        </w:rPr>
        <w:t>法</w:t>
      </w:r>
    </w:p>
    <w:p w:rsidR="00DE7202" w:rsidRDefault="00FD519A" w:rsidP="001719B7">
      <w:pPr>
        <w:spacing w:beforeLines="50" w:before="120" w:afterLines="50" w:after="120" w:line="360" w:lineRule="auto"/>
        <w:ind w:leftChars="300" w:left="720" w:firstLineChars="200" w:firstLine="520"/>
        <w:jc w:val="both"/>
        <w:rPr>
          <w:rFonts w:eastAsia="標楷體"/>
          <w:sz w:val="26"/>
          <w:szCs w:val="26"/>
        </w:rPr>
      </w:pPr>
      <w:r w:rsidRPr="004B3DF5">
        <w:rPr>
          <w:rFonts w:eastAsia="標楷體"/>
          <w:sz w:val="26"/>
          <w:szCs w:val="26"/>
        </w:rPr>
        <w:t>依移轉訂價查核準則規定，</w:t>
      </w:r>
      <w:r w:rsidRPr="004B3DF5">
        <w:rPr>
          <w:rFonts w:eastAsia="標楷體" w:hint="eastAsia"/>
          <w:sz w:val="26"/>
          <w:szCs w:val="26"/>
        </w:rPr>
        <w:t>此類型受控交易</w:t>
      </w:r>
      <w:r w:rsidRPr="004B3DF5">
        <w:rPr>
          <w:rFonts w:eastAsia="標楷體"/>
          <w:sz w:val="26"/>
          <w:szCs w:val="26"/>
        </w:rPr>
        <w:t>不可使用</w:t>
      </w:r>
      <w:r w:rsidRPr="004B3DF5">
        <w:rPr>
          <w:rFonts w:eastAsia="標楷體" w:hint="eastAsia"/>
          <w:sz w:val="26"/>
          <w:szCs w:val="26"/>
        </w:rPr>
        <w:t>此</w:t>
      </w:r>
      <w:r w:rsidRPr="004B3DF5">
        <w:rPr>
          <w:rFonts w:eastAsia="標楷體"/>
          <w:sz w:val="26"/>
          <w:szCs w:val="26"/>
        </w:rPr>
        <w:t>法進行評估。</w:t>
      </w:r>
    </w:p>
    <w:p w:rsidR="00DE7202" w:rsidRDefault="00FD519A" w:rsidP="001719B7">
      <w:pPr>
        <w:numPr>
          <w:ilvl w:val="0"/>
          <w:numId w:val="13"/>
        </w:numPr>
        <w:tabs>
          <w:tab w:val="left" w:pos="1134"/>
        </w:tabs>
        <w:spacing w:beforeLines="50" w:before="120" w:afterLines="50" w:after="120" w:line="360" w:lineRule="auto"/>
        <w:ind w:leftChars="250" w:left="1080"/>
        <w:jc w:val="both"/>
        <w:rPr>
          <w:rFonts w:eastAsia="標楷體"/>
          <w:b/>
          <w:sz w:val="28"/>
          <w:szCs w:val="26"/>
        </w:rPr>
      </w:pPr>
      <w:r>
        <w:rPr>
          <w:rFonts w:eastAsia="標楷體" w:hint="eastAsia"/>
          <w:b/>
          <w:sz w:val="28"/>
          <w:szCs w:val="26"/>
        </w:rPr>
        <w:t>再售價格</w:t>
      </w:r>
      <w:r w:rsidRPr="00EA272E">
        <w:rPr>
          <w:rFonts w:eastAsia="標楷體"/>
          <w:b/>
          <w:sz w:val="28"/>
          <w:szCs w:val="26"/>
        </w:rPr>
        <w:t>法</w:t>
      </w:r>
    </w:p>
    <w:p w:rsidR="00DE7202" w:rsidRDefault="00FD519A" w:rsidP="00917612">
      <w:pPr>
        <w:spacing w:beforeLines="50" w:before="120" w:afterLines="50" w:after="120" w:line="360" w:lineRule="auto"/>
        <w:ind w:leftChars="300" w:left="720" w:firstLineChars="200" w:firstLine="520"/>
        <w:jc w:val="both"/>
        <w:rPr>
          <w:rFonts w:eastAsia="標楷體"/>
          <w:sz w:val="26"/>
          <w:szCs w:val="26"/>
        </w:rPr>
      </w:pPr>
      <w:r w:rsidRPr="004B3DF5">
        <w:rPr>
          <w:rFonts w:eastAsia="標楷體"/>
          <w:sz w:val="26"/>
          <w:szCs w:val="26"/>
        </w:rPr>
        <w:t>依移轉訂價查核準則規定，</w:t>
      </w:r>
      <w:r w:rsidRPr="004B3DF5">
        <w:rPr>
          <w:rFonts w:eastAsia="標楷體" w:hint="eastAsia"/>
          <w:sz w:val="26"/>
          <w:szCs w:val="26"/>
        </w:rPr>
        <w:t>此類型受控交易</w:t>
      </w:r>
      <w:r w:rsidRPr="004B3DF5">
        <w:rPr>
          <w:rFonts w:eastAsia="標楷體"/>
          <w:sz w:val="26"/>
          <w:szCs w:val="26"/>
        </w:rPr>
        <w:t>不可使用</w:t>
      </w:r>
      <w:r w:rsidRPr="004B3DF5">
        <w:rPr>
          <w:rFonts w:eastAsia="標楷體" w:hint="eastAsia"/>
          <w:sz w:val="26"/>
          <w:szCs w:val="26"/>
        </w:rPr>
        <w:t>此</w:t>
      </w:r>
      <w:r w:rsidRPr="004B3DF5">
        <w:rPr>
          <w:rFonts w:eastAsia="標楷體"/>
          <w:sz w:val="26"/>
          <w:szCs w:val="26"/>
        </w:rPr>
        <w:t>法進行評估。</w:t>
      </w:r>
    </w:p>
    <w:p w:rsidR="00DE7202" w:rsidRDefault="00F70BB6" w:rsidP="001719B7">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b/>
          <w:sz w:val="28"/>
          <w:szCs w:val="26"/>
        </w:rPr>
        <w:t>成本加價法</w:t>
      </w:r>
    </w:p>
    <w:p w:rsidR="00DE7202" w:rsidRDefault="00F70BB6" w:rsidP="001719B7">
      <w:pPr>
        <w:spacing w:beforeLines="50" w:before="120" w:afterLines="50" w:after="120" w:line="360" w:lineRule="auto"/>
        <w:ind w:leftChars="300" w:left="720" w:firstLineChars="200" w:firstLine="520"/>
        <w:jc w:val="both"/>
        <w:rPr>
          <w:rFonts w:eastAsia="標楷體"/>
          <w:sz w:val="26"/>
          <w:szCs w:val="26"/>
        </w:rPr>
      </w:pPr>
      <w:r w:rsidRPr="00364620">
        <w:rPr>
          <w:rFonts w:eastAsia="標楷體" w:hint="eastAsia"/>
          <w:sz w:val="26"/>
          <w:szCs w:val="26"/>
        </w:rPr>
        <w:t>成本加價法之可比較性要求，除強調可比較對象執行功能及承擔風險之相似性外，亦應考量成本結構及會計處理之一致性等特別影響因素，故在無法尋得適用之未受控交易用以比較下，不適以『</w:t>
      </w:r>
      <w:r w:rsidR="00FD519A">
        <w:rPr>
          <w:rFonts w:eastAsia="標楷體" w:hint="eastAsia"/>
          <w:sz w:val="26"/>
          <w:szCs w:val="26"/>
        </w:rPr>
        <w:t>成本加價法</w:t>
      </w:r>
      <w:r w:rsidRPr="00364620">
        <w:rPr>
          <w:rFonts w:eastAsia="標楷體" w:hint="eastAsia"/>
          <w:sz w:val="26"/>
          <w:szCs w:val="26"/>
        </w:rPr>
        <w:t>』為</w:t>
      </w:r>
      <w:proofErr w:type="gramStart"/>
      <w:r w:rsidRPr="00364620">
        <w:rPr>
          <w:rFonts w:eastAsia="標楷體" w:hint="eastAsia"/>
          <w:sz w:val="26"/>
          <w:szCs w:val="26"/>
        </w:rPr>
        <w:t>最</w:t>
      </w:r>
      <w:proofErr w:type="gramEnd"/>
      <w:r w:rsidRPr="00364620">
        <w:rPr>
          <w:rFonts w:eastAsia="標楷體" w:hint="eastAsia"/>
          <w:sz w:val="26"/>
          <w:szCs w:val="26"/>
        </w:rPr>
        <w:t>適常規交易方法</w:t>
      </w:r>
      <w:r w:rsidR="0081108D" w:rsidRPr="00364620">
        <w:rPr>
          <w:rFonts w:eastAsia="標楷體" w:hint="eastAsia"/>
          <w:sz w:val="26"/>
          <w:szCs w:val="26"/>
        </w:rPr>
        <w:t>。</w:t>
      </w:r>
    </w:p>
    <w:p w:rsidR="00917612" w:rsidRDefault="00917612" w:rsidP="001719B7">
      <w:pPr>
        <w:spacing w:beforeLines="50" w:before="120" w:afterLines="50" w:after="120" w:line="360" w:lineRule="auto"/>
        <w:ind w:leftChars="300" w:left="720" w:firstLineChars="200" w:firstLine="520"/>
        <w:jc w:val="both"/>
        <w:rPr>
          <w:rFonts w:eastAsia="標楷體"/>
          <w:color w:val="0070C0"/>
          <w:sz w:val="26"/>
          <w:szCs w:val="26"/>
        </w:rPr>
      </w:pPr>
    </w:p>
    <w:p w:rsidR="00DE7202" w:rsidRDefault="00F70BB6" w:rsidP="001719B7">
      <w:pPr>
        <w:numPr>
          <w:ilvl w:val="0"/>
          <w:numId w:val="13"/>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lastRenderedPageBreak/>
        <w:t>利潤分割</w:t>
      </w:r>
      <w:r w:rsidRPr="00EA272E">
        <w:rPr>
          <w:rFonts w:eastAsia="標楷體"/>
          <w:b/>
          <w:sz w:val="28"/>
          <w:szCs w:val="26"/>
        </w:rPr>
        <w:t>法</w:t>
      </w:r>
    </w:p>
    <w:p w:rsidR="00567251" w:rsidRPr="00EA272E" w:rsidRDefault="00F70BB6" w:rsidP="001719B7">
      <w:pPr>
        <w:spacing w:beforeLines="50" w:before="120" w:afterLines="50" w:after="120" w:line="360" w:lineRule="auto"/>
        <w:ind w:leftChars="300" w:left="720" w:firstLineChars="200" w:firstLine="520"/>
        <w:jc w:val="both"/>
        <w:rPr>
          <w:rFonts w:eastAsia="標楷體"/>
          <w:sz w:val="26"/>
          <w:szCs w:val="26"/>
        </w:rPr>
        <w:sectPr w:rsidR="00567251" w:rsidRPr="00EA272E" w:rsidSect="000223C9">
          <w:type w:val="oddPage"/>
          <w:pgSz w:w="11906" w:h="16838" w:code="9"/>
          <w:pgMar w:top="2160" w:right="1440" w:bottom="1814" w:left="1440" w:header="851" w:footer="567" w:gutter="567"/>
          <w:cols w:space="425"/>
          <w:docGrid w:linePitch="360"/>
        </w:sectPr>
      </w:pPr>
      <w:r w:rsidRPr="00F70BB6">
        <w:rPr>
          <w:rFonts w:eastAsia="標楷體"/>
          <w:sz w:val="26"/>
          <w:szCs w:val="26"/>
        </w:rPr>
        <w:t>使用利潤分割法時，必須計算所有受控交易參與人對合併營業利潤之貢獻，通常適用將獨特無形資產於跨國交易間移轉或適用於交易</w:t>
      </w:r>
      <w:r w:rsidRPr="0061209C">
        <w:rPr>
          <w:rFonts w:eastAsia="標楷體"/>
          <w:sz w:val="26"/>
          <w:szCs w:val="26"/>
        </w:rPr>
        <w:t>性質複雜、牽涉跨國交易之情形。因</w:t>
      </w:r>
      <w:r w:rsidR="003A761B" w:rsidRPr="0061209C">
        <w:rPr>
          <w:rFonts w:eastAsia="標楷體" w:hint="eastAsia"/>
          <w:sz w:val="26"/>
          <w:szCs w:val="26"/>
        </w:rPr>
        <w:t>萊迪思台灣分公司</w:t>
      </w:r>
      <w:r w:rsidRPr="0061209C">
        <w:rPr>
          <w:rFonts w:eastAsia="標楷體"/>
          <w:sz w:val="26"/>
          <w:szCs w:val="26"/>
        </w:rPr>
        <w:t>與受控交易參</w:t>
      </w:r>
      <w:r w:rsidRPr="00F70BB6">
        <w:rPr>
          <w:rFonts w:eastAsia="標楷體"/>
          <w:sz w:val="26"/>
          <w:szCs w:val="26"/>
        </w:rPr>
        <w:t>與人之交易非屬高度整合不能單獨衡量交易結果</w:t>
      </w:r>
      <w:r w:rsidRPr="00F70BB6">
        <w:rPr>
          <w:rFonts w:eastAsia="標楷體" w:hint="eastAsia"/>
          <w:sz w:val="26"/>
          <w:szCs w:val="26"/>
        </w:rPr>
        <w:t>或</w:t>
      </w:r>
      <w:r w:rsidRPr="00F70BB6">
        <w:rPr>
          <w:rFonts w:eastAsia="標楷體"/>
          <w:sz w:val="26"/>
          <w:szCs w:val="26"/>
        </w:rPr>
        <w:t>與其他交易不可分割之情形，故本法並不適合作為評估方法</w:t>
      </w:r>
      <w:r w:rsidRPr="00F70BB6">
        <w:rPr>
          <w:rFonts w:eastAsia="標楷體" w:hint="eastAsia"/>
          <w:sz w:val="26"/>
          <w:szCs w:val="26"/>
        </w:rPr>
        <w:t>。</w:t>
      </w:r>
    </w:p>
    <w:bookmarkStart w:id="62" w:name="_Toc253154517"/>
    <w:bookmarkStart w:id="63" w:name="_Toc253154585"/>
    <w:bookmarkStart w:id="64" w:name="_Toc272326016"/>
    <w:bookmarkStart w:id="65" w:name="_Toc272326644"/>
    <w:bookmarkStart w:id="66" w:name="_Toc272326823"/>
    <w:bookmarkStart w:id="67" w:name="_Toc275960656"/>
    <w:p w:rsidR="00AF5158" w:rsidRPr="00EA272E" w:rsidRDefault="00EE4220"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8240" behindDoc="0" locked="0" layoutInCell="1" allowOverlap="1" wp14:anchorId="244A42A5" wp14:editId="4FEB7940">
                <wp:simplePos x="0" y="0"/>
                <wp:positionH relativeFrom="column">
                  <wp:posOffset>4660265</wp:posOffset>
                </wp:positionH>
                <wp:positionV relativeFrom="paragraph">
                  <wp:posOffset>0</wp:posOffset>
                </wp:positionV>
                <wp:extent cx="720090" cy="720090"/>
                <wp:effectExtent l="12065" t="9525" r="10795" b="13335"/>
                <wp:wrapNone/>
                <wp:docPr id="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7B5D" w:rsidRPr="008C6F22" w:rsidRDefault="00697B5D"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5" type="#_x0000_t202" style="position:absolute;left:0;text-align:left;margin-left:366.95pt;margin-top:0;width:56.7pt;height:5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">
                <v:textbox>
                  <w:txbxContent>
                    <w:p w:rsidR="00697B5D" w:rsidRPr="008C6F22" w:rsidRDefault="00697B5D"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62"/>
      <w:bookmarkEnd w:id="63"/>
      <w:bookmarkEnd w:id="64"/>
      <w:bookmarkEnd w:id="65"/>
      <w:bookmarkEnd w:id="66"/>
      <w:bookmarkEnd w:id="67"/>
    </w:p>
    <w:p w:rsidR="00AF5158" w:rsidRPr="00EA272E"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0E26E4" w:rsidRDefault="00F70BB6" w:rsidP="002C3C01">
      <w:pPr>
        <w:pStyle w:val="1"/>
        <w:numPr>
          <w:ilvl w:val="0"/>
          <w:numId w:val="29"/>
        </w:numPr>
        <w:spacing w:before="100" w:beforeAutospacing="1" w:after="100" w:afterAutospacing="1" w:line="360" w:lineRule="auto"/>
        <w:ind w:rightChars="-19" w:right="-46"/>
        <w:jc w:val="center"/>
        <w:rPr>
          <w:rFonts w:ascii="Times New Roman" w:eastAsia="標楷體" w:hAnsi="Times New Roman"/>
          <w:sz w:val="44"/>
          <w:szCs w:val="46"/>
        </w:rPr>
      </w:pPr>
      <w:bookmarkStart w:id="68" w:name="_Toc359935473"/>
      <w:r w:rsidRPr="000E26E4">
        <w:rPr>
          <w:rFonts w:ascii="Times New Roman" w:eastAsia="標楷體" w:hAnsi="Times New Roman" w:hint="eastAsia"/>
          <w:sz w:val="44"/>
          <w:szCs w:val="46"/>
        </w:rPr>
        <w:t>可比較對象之找尋</w:t>
      </w:r>
      <w:bookmarkEnd w:id="68"/>
    </w:p>
    <w:p w:rsidR="00DE7202" w:rsidRDefault="00F70BB6" w:rsidP="001719B7">
      <w:pPr>
        <w:pStyle w:val="32"/>
        <w:spacing w:beforeLines="50" w:before="120" w:afterLines="50" w:after="120" w:line="360" w:lineRule="auto"/>
        <w:ind w:firstLineChars="200" w:firstLine="520"/>
        <w:jc w:val="both"/>
        <w:rPr>
          <w:szCs w:val="26"/>
        </w:rPr>
      </w:pPr>
      <w:r w:rsidRPr="0061209C">
        <w:rPr>
          <w:rFonts w:hint="eastAsia"/>
          <w:szCs w:val="26"/>
        </w:rPr>
        <w:t>本</w:t>
      </w:r>
      <w:r w:rsidR="00A82581" w:rsidRPr="0061209C">
        <w:rPr>
          <w:rFonts w:hint="eastAsia"/>
          <w:szCs w:val="26"/>
        </w:rPr>
        <w:t>文據</w:t>
      </w:r>
      <w:r w:rsidRPr="0061209C">
        <w:rPr>
          <w:rFonts w:hint="eastAsia"/>
          <w:szCs w:val="26"/>
        </w:rPr>
        <w:t>中分析之受控交易為「</w:t>
      </w:r>
      <w:r w:rsidR="008277E2" w:rsidRPr="0061209C">
        <w:rPr>
          <w:rFonts w:hint="eastAsia"/>
        </w:rPr>
        <w:t>服務之提供</w:t>
      </w:r>
      <w:r w:rsidRPr="0061209C">
        <w:rPr>
          <w:rFonts w:hint="eastAsia"/>
          <w:szCs w:val="26"/>
        </w:rPr>
        <w:t>」，評估該受控交易之</w:t>
      </w:r>
      <w:proofErr w:type="gramStart"/>
      <w:r w:rsidRPr="0061209C">
        <w:rPr>
          <w:rFonts w:hint="eastAsia"/>
          <w:szCs w:val="26"/>
        </w:rPr>
        <w:t>最</w:t>
      </w:r>
      <w:proofErr w:type="gramEnd"/>
      <w:r w:rsidRPr="0061209C">
        <w:rPr>
          <w:rFonts w:hint="eastAsia"/>
          <w:szCs w:val="26"/>
        </w:rPr>
        <w:t>適常規交易方法為</w:t>
      </w:r>
      <w:r w:rsidR="006C501A" w:rsidRPr="0061209C">
        <w:rPr>
          <w:rFonts w:hint="eastAsia"/>
        </w:rPr>
        <w:t>可比較利潤法</w:t>
      </w:r>
      <w:r w:rsidRPr="0061209C">
        <w:rPr>
          <w:rFonts w:hint="eastAsia"/>
          <w:szCs w:val="26"/>
        </w:rPr>
        <w:t>。</w:t>
      </w:r>
    </w:p>
    <w:p w:rsidR="00DE7202" w:rsidRDefault="00F70BB6" w:rsidP="001719B7">
      <w:pPr>
        <w:pStyle w:val="32"/>
        <w:spacing w:beforeLines="50" w:before="120" w:afterLines="50" w:after="120" w:line="360" w:lineRule="auto"/>
        <w:ind w:firstLineChars="200" w:firstLine="520"/>
        <w:jc w:val="both"/>
        <w:rPr>
          <w:szCs w:val="26"/>
        </w:rPr>
      </w:pPr>
      <w:r w:rsidRPr="0061209C">
        <w:rPr>
          <w:rFonts w:hint="eastAsia"/>
          <w:szCs w:val="26"/>
        </w:rPr>
        <w:t>由本</w:t>
      </w:r>
      <w:r w:rsidR="00A82581" w:rsidRPr="0061209C">
        <w:rPr>
          <w:rFonts w:hint="eastAsia"/>
          <w:szCs w:val="26"/>
        </w:rPr>
        <w:t>文據</w:t>
      </w:r>
      <w:r w:rsidRPr="0061209C">
        <w:rPr>
          <w:rFonts w:hint="eastAsia"/>
          <w:szCs w:val="26"/>
        </w:rPr>
        <w:t>第</w:t>
      </w:r>
      <w:r w:rsidR="00A82581" w:rsidRPr="0061209C">
        <w:rPr>
          <w:rFonts w:hint="eastAsia"/>
          <w:szCs w:val="26"/>
        </w:rPr>
        <w:t>捌</w:t>
      </w:r>
      <w:r w:rsidRPr="0061209C">
        <w:rPr>
          <w:rFonts w:hint="eastAsia"/>
          <w:szCs w:val="26"/>
        </w:rPr>
        <w:t>章得知「</w:t>
      </w:r>
      <w:r w:rsidR="008277E2" w:rsidRPr="0061209C">
        <w:rPr>
          <w:rFonts w:hint="eastAsia"/>
          <w:szCs w:val="26"/>
        </w:rPr>
        <w:t>服務之提供</w:t>
      </w:r>
      <w:r w:rsidRPr="0061209C">
        <w:rPr>
          <w:rFonts w:hint="eastAsia"/>
          <w:szCs w:val="26"/>
        </w:rPr>
        <w:t>」受控交易之受測個體為</w:t>
      </w:r>
      <w:r w:rsidR="008277E2" w:rsidRPr="0061209C">
        <w:rPr>
          <w:rFonts w:hint="eastAsia"/>
          <w:szCs w:val="26"/>
        </w:rPr>
        <w:t>萊迪思台灣分公司</w:t>
      </w:r>
      <w:r w:rsidRPr="0061209C">
        <w:rPr>
          <w:rFonts w:hint="eastAsia"/>
          <w:szCs w:val="26"/>
        </w:rPr>
        <w:t>，故本所以『</w:t>
      </w:r>
      <w:r w:rsidR="00363ED5">
        <w:rPr>
          <w:rFonts w:hint="eastAsia"/>
          <w:szCs w:val="26"/>
        </w:rPr>
        <w:t>ONESOURCE TRANSFER PRICING</w:t>
      </w:r>
      <w:r w:rsidR="00363ED5" w:rsidRPr="0061209C">
        <w:rPr>
          <w:rFonts w:hint="eastAsia"/>
          <w:szCs w:val="26"/>
        </w:rPr>
        <w:t>資</w:t>
      </w:r>
      <w:r w:rsidR="00363ED5" w:rsidRPr="00EA272E">
        <w:rPr>
          <w:rFonts w:hint="eastAsia"/>
          <w:szCs w:val="26"/>
        </w:rPr>
        <w:t>料庫</w:t>
      </w:r>
      <w:r w:rsidRPr="0061209C">
        <w:rPr>
          <w:rFonts w:hint="eastAsia"/>
          <w:szCs w:val="26"/>
        </w:rPr>
        <w:t>』</w:t>
      </w:r>
      <w:r w:rsidR="00363ED5">
        <w:rPr>
          <w:rFonts w:hint="eastAsia"/>
          <w:szCs w:val="26"/>
        </w:rPr>
        <w:t>(</w:t>
      </w:r>
      <w:r w:rsidR="00363ED5">
        <w:rPr>
          <w:rFonts w:hint="eastAsia"/>
          <w:szCs w:val="26"/>
        </w:rPr>
        <w:t>以下簡稱</w:t>
      </w:r>
      <w:r w:rsidR="00363ED5">
        <w:rPr>
          <w:rFonts w:hint="eastAsia"/>
          <w:szCs w:val="26"/>
        </w:rPr>
        <w:t>ONESOURCE</w:t>
      </w:r>
      <w:r w:rsidR="00363ED5">
        <w:rPr>
          <w:rFonts w:hint="eastAsia"/>
          <w:szCs w:val="26"/>
        </w:rPr>
        <w:t>資料庫</w:t>
      </w:r>
      <w:r w:rsidR="00363ED5">
        <w:rPr>
          <w:rFonts w:hint="eastAsia"/>
          <w:szCs w:val="26"/>
        </w:rPr>
        <w:t>)</w:t>
      </w:r>
      <w:r w:rsidR="00FD519A">
        <w:rPr>
          <w:rFonts w:hint="eastAsia"/>
          <w:szCs w:val="26"/>
        </w:rPr>
        <w:t>作</w:t>
      </w:r>
      <w:r w:rsidRPr="00EA272E">
        <w:rPr>
          <w:rFonts w:hint="eastAsia"/>
          <w:szCs w:val="26"/>
        </w:rPr>
        <w:t>為選樣資料庫，為其找尋可比較對象</w:t>
      </w:r>
      <w:r w:rsidRPr="00D742A9">
        <w:rPr>
          <w:rFonts w:hint="eastAsia"/>
          <w:szCs w:val="26"/>
        </w:rPr>
        <w:t>。</w:t>
      </w:r>
    </w:p>
    <w:p w:rsidR="00DE7202" w:rsidRDefault="00F70BB6" w:rsidP="001719B7">
      <w:pPr>
        <w:pStyle w:val="2"/>
        <w:numPr>
          <w:ilvl w:val="1"/>
          <w:numId w:val="1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資料庫</w:t>
      </w:r>
      <w:r w:rsidRPr="00EA272E">
        <w:rPr>
          <w:rFonts w:ascii="Times New Roman" w:eastAsia="標楷體" w:hAnsi="Times New Roman" w:hint="eastAsia"/>
          <w:sz w:val="36"/>
          <w:szCs w:val="40"/>
        </w:rPr>
        <w:t>簡介</w:t>
      </w:r>
    </w:p>
    <w:p w:rsidR="00DE7202" w:rsidRDefault="00363ED5" w:rsidP="001719B7">
      <w:pPr>
        <w:pStyle w:val="3"/>
        <w:numPr>
          <w:ilvl w:val="0"/>
          <w:numId w:val="39"/>
        </w:numPr>
        <w:spacing w:beforeLines="50" w:before="120" w:afterLines="50" w:after="120" w:line="360" w:lineRule="auto"/>
        <w:jc w:val="both"/>
        <w:rPr>
          <w:rFonts w:ascii="Times New Roman" w:eastAsia="標楷體" w:hAnsi="Times New Roman"/>
          <w:sz w:val="32"/>
        </w:rPr>
      </w:pPr>
      <w:r>
        <w:rPr>
          <w:rFonts w:ascii="Times New Roman" w:eastAsia="標楷體" w:hAnsi="Times New Roman" w:hint="eastAsia"/>
          <w:sz w:val="32"/>
        </w:rPr>
        <w:t xml:space="preserve">ONESOURCE TRANSFER PRICING </w:t>
      </w:r>
      <w:r>
        <w:rPr>
          <w:rFonts w:ascii="Times New Roman" w:eastAsia="標楷體" w:hAnsi="Times New Roman" w:hint="eastAsia"/>
          <w:sz w:val="32"/>
        </w:rPr>
        <w:t>資料庫</w:t>
      </w:r>
    </w:p>
    <w:p w:rsidR="00DE7202" w:rsidRDefault="00363ED5" w:rsidP="001719B7">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本所使用湯森路透公司（</w:t>
      </w:r>
      <w:r w:rsidRPr="00363ED5">
        <w:rPr>
          <w:rFonts w:eastAsia="標楷體" w:hint="eastAsia"/>
          <w:sz w:val="26"/>
          <w:szCs w:val="26"/>
        </w:rPr>
        <w:t>Thomson Reuters</w:t>
      </w:r>
      <w:r w:rsidRPr="00363ED5">
        <w:rPr>
          <w:rFonts w:eastAsia="標楷體" w:hint="eastAsia"/>
          <w:sz w:val="26"/>
          <w:szCs w:val="26"/>
        </w:rPr>
        <w:t>）開發之</w:t>
      </w:r>
      <w:r w:rsidRPr="00363ED5">
        <w:rPr>
          <w:rFonts w:eastAsia="標楷體" w:hint="eastAsia"/>
          <w:sz w:val="26"/>
          <w:szCs w:val="26"/>
        </w:rPr>
        <w:t>ONESOURCE Transfer Pricing</w:t>
      </w:r>
      <w:r w:rsidRPr="00363ED5">
        <w:rPr>
          <w:rFonts w:eastAsia="標楷體" w:hint="eastAsia"/>
          <w:sz w:val="26"/>
          <w:szCs w:val="26"/>
        </w:rPr>
        <w:t>資料庫，使用該資料庫之原因，除其已為我國財政部採用，作為執行移轉訂價查核之取樣依據外，更因其涵蓋公司數量</w:t>
      </w:r>
      <w:proofErr w:type="gramStart"/>
      <w:r w:rsidRPr="00363ED5">
        <w:rPr>
          <w:rFonts w:eastAsia="標楷體" w:hint="eastAsia"/>
          <w:sz w:val="26"/>
          <w:szCs w:val="26"/>
        </w:rPr>
        <w:t>眾多，</w:t>
      </w:r>
      <w:proofErr w:type="gramEnd"/>
      <w:r w:rsidRPr="00363ED5">
        <w:rPr>
          <w:rFonts w:eastAsia="標楷體" w:hint="eastAsia"/>
          <w:sz w:val="26"/>
          <w:szCs w:val="26"/>
        </w:rPr>
        <w:t>可供抽樣之母體夠大，本所認為得自該資料庫之樣本應具代表性。</w:t>
      </w:r>
    </w:p>
    <w:p w:rsidR="00DE7202" w:rsidRDefault="00363ED5" w:rsidP="001719B7">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ONESOURCE Transfer Pricing</w:t>
      </w:r>
      <w:r w:rsidRPr="00363ED5">
        <w:rPr>
          <w:rFonts w:eastAsia="標楷體" w:hint="eastAsia"/>
          <w:sz w:val="26"/>
          <w:szCs w:val="26"/>
        </w:rPr>
        <w:t>資料庫收錄所有規模企業的資訊，資料來自湯森路透公司（</w:t>
      </w:r>
      <w:r w:rsidRPr="00363ED5">
        <w:rPr>
          <w:rFonts w:eastAsia="標楷體" w:hint="eastAsia"/>
          <w:sz w:val="26"/>
          <w:szCs w:val="26"/>
        </w:rPr>
        <w:t>Thomson Reuters</w:t>
      </w:r>
      <w:r w:rsidRPr="00363ED5">
        <w:rPr>
          <w:rFonts w:eastAsia="標楷體" w:hint="eastAsia"/>
          <w:sz w:val="26"/>
          <w:szCs w:val="26"/>
        </w:rPr>
        <w:t>）的</w:t>
      </w:r>
      <w:r w:rsidRPr="00363ED5">
        <w:rPr>
          <w:rFonts w:eastAsia="標楷體" w:hint="eastAsia"/>
          <w:sz w:val="26"/>
          <w:szCs w:val="26"/>
        </w:rPr>
        <w:t xml:space="preserve">Fundamentals Database </w:t>
      </w:r>
      <w:r w:rsidRPr="00363ED5">
        <w:rPr>
          <w:rFonts w:eastAsia="標楷體" w:hint="eastAsia"/>
          <w:sz w:val="26"/>
          <w:szCs w:val="26"/>
        </w:rPr>
        <w:t>和</w:t>
      </w:r>
      <w:r w:rsidRPr="00363ED5">
        <w:rPr>
          <w:rFonts w:eastAsia="標楷體" w:hint="eastAsia"/>
          <w:sz w:val="26"/>
          <w:szCs w:val="26"/>
        </w:rPr>
        <w:t xml:space="preserve">European </w:t>
      </w:r>
      <w:proofErr w:type="spellStart"/>
      <w:r w:rsidRPr="00363ED5">
        <w:rPr>
          <w:rFonts w:eastAsia="標楷體" w:hint="eastAsia"/>
          <w:sz w:val="26"/>
          <w:szCs w:val="26"/>
        </w:rPr>
        <w:t>Comparables</w:t>
      </w:r>
      <w:proofErr w:type="spellEnd"/>
      <w:r w:rsidRPr="00363ED5">
        <w:rPr>
          <w:rFonts w:eastAsia="標楷體" w:hint="eastAsia"/>
          <w:sz w:val="26"/>
          <w:szCs w:val="26"/>
        </w:rPr>
        <w:t xml:space="preserve"> Database</w:t>
      </w:r>
      <w:r w:rsidRPr="00363ED5">
        <w:rPr>
          <w:rFonts w:eastAsia="標楷體" w:hint="eastAsia"/>
          <w:sz w:val="26"/>
          <w:szCs w:val="26"/>
        </w:rPr>
        <w:t>，故能有效協助</w:t>
      </w:r>
      <w:proofErr w:type="gramStart"/>
      <w:r w:rsidRPr="00363ED5">
        <w:rPr>
          <w:rFonts w:eastAsia="標楷體" w:hint="eastAsia"/>
          <w:sz w:val="26"/>
          <w:szCs w:val="26"/>
        </w:rPr>
        <w:t>編製可比較</w:t>
      </w:r>
      <w:proofErr w:type="gramEnd"/>
      <w:r w:rsidRPr="00363ED5">
        <w:rPr>
          <w:rFonts w:eastAsia="標楷體" w:hint="eastAsia"/>
          <w:sz w:val="26"/>
          <w:szCs w:val="26"/>
        </w:rPr>
        <w:t>對象財務資料及執行分析。</w:t>
      </w:r>
    </w:p>
    <w:p w:rsidR="00DE7202" w:rsidRDefault="00363ED5" w:rsidP="001719B7">
      <w:pPr>
        <w:widowControl/>
        <w:spacing w:beforeLines="50" w:before="120" w:afterLines="50" w:after="120" w:line="360" w:lineRule="auto"/>
        <w:ind w:firstLine="480"/>
        <w:jc w:val="both"/>
        <w:rPr>
          <w:rFonts w:eastAsia="標楷體"/>
          <w:b/>
          <w:kern w:val="0"/>
          <w:sz w:val="32"/>
          <w:szCs w:val="32"/>
        </w:rPr>
      </w:pPr>
      <w:r w:rsidRPr="00363ED5">
        <w:rPr>
          <w:rFonts w:eastAsia="標楷體" w:hint="eastAsia"/>
          <w:b/>
          <w:kern w:val="0"/>
          <w:sz w:val="32"/>
          <w:szCs w:val="32"/>
        </w:rPr>
        <w:t>(</w:t>
      </w:r>
      <w:proofErr w:type="gramStart"/>
      <w:r w:rsidRPr="00363ED5">
        <w:rPr>
          <w:rFonts w:eastAsia="標楷體" w:hint="eastAsia"/>
          <w:b/>
          <w:kern w:val="0"/>
          <w:sz w:val="32"/>
          <w:szCs w:val="32"/>
        </w:rPr>
        <w:t>一</w:t>
      </w:r>
      <w:proofErr w:type="gramEnd"/>
      <w:r w:rsidRPr="00363ED5">
        <w:rPr>
          <w:rFonts w:eastAsia="標楷體" w:hint="eastAsia"/>
          <w:b/>
          <w:kern w:val="0"/>
          <w:sz w:val="32"/>
          <w:szCs w:val="32"/>
        </w:rPr>
        <w:t>) Fundamentals Database</w:t>
      </w:r>
    </w:p>
    <w:p w:rsidR="00DE7202" w:rsidRDefault="00363ED5" w:rsidP="001719B7">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Fundamentals</w:t>
      </w:r>
      <w:r w:rsidRPr="00363ED5">
        <w:rPr>
          <w:rFonts w:eastAsia="標楷體" w:hint="eastAsia"/>
          <w:sz w:val="26"/>
          <w:szCs w:val="26"/>
        </w:rPr>
        <w:t>資料庫收錄超過</w:t>
      </w:r>
      <w:r w:rsidRPr="00363ED5">
        <w:rPr>
          <w:rFonts w:eastAsia="標楷體" w:hint="eastAsia"/>
          <w:sz w:val="26"/>
          <w:szCs w:val="26"/>
        </w:rPr>
        <w:t>110</w:t>
      </w:r>
      <w:r w:rsidRPr="00363ED5">
        <w:rPr>
          <w:rFonts w:eastAsia="標楷體" w:hint="eastAsia"/>
          <w:sz w:val="26"/>
          <w:szCs w:val="26"/>
        </w:rPr>
        <w:t>個國家</w:t>
      </w:r>
      <w:r w:rsidRPr="00363ED5">
        <w:rPr>
          <w:rFonts w:eastAsia="標楷體" w:hint="eastAsia"/>
          <w:sz w:val="26"/>
          <w:szCs w:val="26"/>
        </w:rPr>
        <w:t>7</w:t>
      </w:r>
      <w:r w:rsidRPr="00363ED5">
        <w:rPr>
          <w:rFonts w:eastAsia="標楷體" w:hint="eastAsia"/>
          <w:sz w:val="26"/>
          <w:szCs w:val="26"/>
        </w:rPr>
        <w:t>萬家以上企業資料。資</w:t>
      </w:r>
      <w:r w:rsidRPr="00363ED5">
        <w:rPr>
          <w:rFonts w:eastAsia="標楷體" w:hint="eastAsia"/>
          <w:sz w:val="26"/>
          <w:szCs w:val="26"/>
        </w:rPr>
        <w:lastRenderedPageBreak/>
        <w:t>料庫內容包含直接從企業公告申報資訊和其他公開領域取得的財務資訊。在這涵蓋廣泛的財務資料庫中，每家企業有超過</w:t>
      </w:r>
      <w:r w:rsidRPr="00363ED5">
        <w:rPr>
          <w:rFonts w:eastAsia="標楷體" w:hint="eastAsia"/>
          <w:sz w:val="26"/>
          <w:szCs w:val="26"/>
        </w:rPr>
        <w:t>100</w:t>
      </w:r>
      <w:r w:rsidRPr="00363ED5">
        <w:rPr>
          <w:rFonts w:eastAsia="標楷體" w:hint="eastAsia"/>
          <w:sz w:val="26"/>
          <w:szCs w:val="26"/>
        </w:rPr>
        <w:t>筆的資訊，並可直接連結至原始資料來源。</w:t>
      </w:r>
      <w:proofErr w:type="gramStart"/>
      <w:r w:rsidRPr="00363ED5">
        <w:rPr>
          <w:rFonts w:eastAsia="標楷體" w:hint="eastAsia"/>
          <w:sz w:val="26"/>
          <w:szCs w:val="26"/>
        </w:rPr>
        <w:t>此外，</w:t>
      </w:r>
      <w:proofErr w:type="gramEnd"/>
      <w:r w:rsidRPr="00363ED5">
        <w:rPr>
          <w:rFonts w:eastAsia="標楷體" w:hint="eastAsia"/>
          <w:sz w:val="26"/>
          <w:szCs w:val="26"/>
        </w:rPr>
        <w:t>使用者可取得每天更新的資訊，例如企業最新財務數據，以及詳細的業務活動和部門別資料。</w:t>
      </w:r>
    </w:p>
    <w:p w:rsidR="00DE7202" w:rsidRDefault="00363ED5" w:rsidP="001719B7">
      <w:pPr>
        <w:widowControl/>
        <w:spacing w:beforeLines="50" w:before="120" w:afterLines="50" w:after="120" w:line="360" w:lineRule="auto"/>
        <w:ind w:firstLine="480"/>
        <w:jc w:val="both"/>
        <w:rPr>
          <w:rFonts w:eastAsia="標楷體"/>
          <w:b/>
          <w:kern w:val="0"/>
          <w:sz w:val="32"/>
          <w:szCs w:val="32"/>
        </w:rPr>
      </w:pPr>
      <w:r w:rsidRPr="00363ED5">
        <w:rPr>
          <w:rFonts w:eastAsia="標楷體" w:hint="eastAsia"/>
          <w:b/>
          <w:kern w:val="0"/>
          <w:sz w:val="32"/>
          <w:szCs w:val="32"/>
        </w:rPr>
        <w:t>(</w:t>
      </w:r>
      <w:r w:rsidRPr="00363ED5">
        <w:rPr>
          <w:rFonts w:eastAsia="標楷體" w:hint="eastAsia"/>
          <w:b/>
          <w:kern w:val="0"/>
          <w:sz w:val="32"/>
          <w:szCs w:val="32"/>
        </w:rPr>
        <w:t>二</w:t>
      </w:r>
      <w:r w:rsidRPr="00363ED5">
        <w:rPr>
          <w:rFonts w:eastAsia="標楷體" w:hint="eastAsia"/>
          <w:b/>
          <w:kern w:val="0"/>
          <w:sz w:val="32"/>
          <w:szCs w:val="32"/>
        </w:rPr>
        <w:t xml:space="preserve">) European </w:t>
      </w:r>
      <w:proofErr w:type="spellStart"/>
      <w:r w:rsidRPr="00363ED5">
        <w:rPr>
          <w:rFonts w:eastAsia="標楷體" w:hint="eastAsia"/>
          <w:b/>
          <w:kern w:val="0"/>
          <w:sz w:val="32"/>
          <w:szCs w:val="32"/>
        </w:rPr>
        <w:t>Comparables</w:t>
      </w:r>
      <w:proofErr w:type="spellEnd"/>
      <w:r w:rsidRPr="00363ED5">
        <w:rPr>
          <w:rFonts w:eastAsia="標楷體" w:hint="eastAsia"/>
          <w:b/>
          <w:kern w:val="0"/>
          <w:sz w:val="32"/>
          <w:szCs w:val="32"/>
        </w:rPr>
        <w:t xml:space="preserve"> Database</w:t>
      </w:r>
    </w:p>
    <w:p w:rsidR="00DE7202" w:rsidRDefault="00363ED5" w:rsidP="001719B7">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 xml:space="preserve">European </w:t>
      </w:r>
      <w:proofErr w:type="spellStart"/>
      <w:r w:rsidRPr="00363ED5">
        <w:rPr>
          <w:rFonts w:eastAsia="標楷體" w:hint="eastAsia"/>
          <w:sz w:val="26"/>
          <w:szCs w:val="26"/>
        </w:rPr>
        <w:t>Comparables</w:t>
      </w:r>
      <w:proofErr w:type="spellEnd"/>
      <w:r w:rsidRPr="00363ED5">
        <w:rPr>
          <w:rFonts w:eastAsia="標楷體" w:hint="eastAsia"/>
          <w:sz w:val="26"/>
          <w:szCs w:val="26"/>
        </w:rPr>
        <w:t>資料庫收錄超過</w:t>
      </w:r>
      <w:r w:rsidRPr="00363ED5">
        <w:rPr>
          <w:rFonts w:eastAsia="標楷體" w:hint="eastAsia"/>
          <w:sz w:val="26"/>
          <w:szCs w:val="26"/>
        </w:rPr>
        <w:t>120</w:t>
      </w:r>
      <w:r w:rsidRPr="00363ED5">
        <w:rPr>
          <w:rFonts w:eastAsia="標楷體" w:hint="eastAsia"/>
          <w:sz w:val="26"/>
          <w:szCs w:val="26"/>
        </w:rPr>
        <w:t>萬家歐洲非公開及公開發行公司的資訊。</w:t>
      </w:r>
    </w:p>
    <w:p w:rsidR="00DE7202" w:rsidRDefault="00363ED5" w:rsidP="001719B7">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該資料庫收錄完整的公司財務資料及各公司營運部門、經濟產業面、行業等之『企業敘述』（</w:t>
      </w:r>
      <w:r w:rsidRPr="00363ED5">
        <w:rPr>
          <w:rFonts w:eastAsia="標楷體" w:hint="eastAsia"/>
          <w:sz w:val="26"/>
          <w:szCs w:val="26"/>
        </w:rPr>
        <w:t>Business Descriptions</w:t>
      </w:r>
      <w:r w:rsidRPr="00363ED5">
        <w:rPr>
          <w:rFonts w:eastAsia="標楷體" w:hint="eastAsia"/>
          <w:sz w:val="26"/>
          <w:szCs w:val="26"/>
        </w:rPr>
        <w:t>）等資訊，透過完整的相關比較資料，本所認為唯有能夠提供質量並重資料之資料庫，才能有助於尋得與各受控交易之可茲比較對象。</w:t>
      </w:r>
    </w:p>
    <w:p w:rsidR="00DE7202" w:rsidRDefault="00F70BB6" w:rsidP="001719B7">
      <w:pPr>
        <w:pStyle w:val="2"/>
        <w:numPr>
          <w:ilvl w:val="1"/>
          <w:numId w:val="1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可比較對象</w:t>
      </w:r>
      <w:r>
        <w:rPr>
          <w:rFonts w:ascii="Times New Roman" w:eastAsia="標楷體" w:hAnsi="Times New Roman" w:hint="eastAsia"/>
          <w:sz w:val="36"/>
          <w:szCs w:val="40"/>
        </w:rPr>
        <w:t>選擇過程</w:t>
      </w:r>
    </w:p>
    <w:p w:rsidR="00DE7202" w:rsidRDefault="00F70BB6" w:rsidP="001719B7">
      <w:pPr>
        <w:pStyle w:val="a6"/>
        <w:spacing w:beforeLines="50" w:before="120" w:afterLines="50" w:after="120" w:line="360" w:lineRule="auto"/>
        <w:ind w:firstLineChars="200" w:firstLine="512"/>
        <w:jc w:val="both"/>
        <w:rPr>
          <w:rFonts w:eastAsia="標楷體"/>
          <w:spacing w:val="-2"/>
          <w:sz w:val="26"/>
          <w:szCs w:val="26"/>
        </w:rPr>
      </w:pPr>
      <w:r w:rsidRPr="00EA272E">
        <w:rPr>
          <w:rFonts w:eastAsia="標楷體"/>
          <w:spacing w:val="-2"/>
          <w:sz w:val="26"/>
          <w:szCs w:val="26"/>
        </w:rPr>
        <w:t>根據移轉訂價查核準則第</w:t>
      </w:r>
      <w:r w:rsidRPr="00EA272E">
        <w:rPr>
          <w:rFonts w:eastAsia="標楷體"/>
          <w:spacing w:val="-2"/>
          <w:sz w:val="26"/>
          <w:szCs w:val="26"/>
        </w:rPr>
        <w:t>8</w:t>
      </w:r>
      <w:r w:rsidRPr="00EA272E">
        <w:rPr>
          <w:rFonts w:eastAsia="標楷體"/>
          <w:spacing w:val="-2"/>
          <w:sz w:val="26"/>
          <w:szCs w:val="26"/>
        </w:rPr>
        <w:t>條規定，決定營利事業與非關係人之情況，或其所從事之受控交易與未受控交易是否相同或類似及</w:t>
      </w:r>
      <w:r w:rsidRPr="00EA272E">
        <w:rPr>
          <w:rFonts w:eastAsia="標楷體" w:hint="eastAsia"/>
          <w:spacing w:val="-2"/>
          <w:sz w:val="26"/>
          <w:szCs w:val="26"/>
        </w:rPr>
        <w:t>其</w:t>
      </w:r>
      <w:r w:rsidRPr="00EA272E">
        <w:rPr>
          <w:rFonts w:eastAsia="標楷體"/>
          <w:spacing w:val="-2"/>
          <w:sz w:val="26"/>
          <w:szCs w:val="26"/>
        </w:rPr>
        <w:t>可比較程度時，應考量包括交易標的</w:t>
      </w:r>
      <w:r w:rsidRPr="00EA272E">
        <w:rPr>
          <w:rFonts w:eastAsia="標楷體" w:hint="eastAsia"/>
          <w:spacing w:val="-2"/>
          <w:sz w:val="26"/>
          <w:szCs w:val="26"/>
        </w:rPr>
        <w:t>資產</w:t>
      </w:r>
      <w:r w:rsidRPr="00EA272E">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EA272E">
        <w:rPr>
          <w:rFonts w:eastAsia="標楷體"/>
          <w:spacing w:val="-2"/>
          <w:sz w:val="26"/>
          <w:szCs w:val="26"/>
        </w:rPr>
        <w:t>8</w:t>
      </w:r>
      <w:r w:rsidRPr="00EA272E">
        <w:rPr>
          <w:rFonts w:eastAsia="標楷體"/>
          <w:spacing w:val="-2"/>
          <w:sz w:val="26"/>
          <w:szCs w:val="26"/>
        </w:rPr>
        <w:t>條之規定。</w:t>
      </w:r>
    </w:p>
    <w:p w:rsidR="00DE7202" w:rsidRDefault="00A82581" w:rsidP="001719B7">
      <w:pPr>
        <w:pStyle w:val="a6"/>
        <w:spacing w:beforeLines="50" w:before="120" w:afterLines="50" w:after="120" w:line="360" w:lineRule="auto"/>
        <w:ind w:firstLineChars="200" w:firstLine="512"/>
        <w:jc w:val="both"/>
        <w:rPr>
          <w:rFonts w:eastAsia="標楷體"/>
          <w:spacing w:val="-2"/>
          <w:sz w:val="26"/>
          <w:szCs w:val="26"/>
        </w:rPr>
      </w:pPr>
      <w:r w:rsidRPr="001C3E51">
        <w:rPr>
          <w:rFonts w:eastAsia="標楷體" w:hint="eastAsia"/>
          <w:spacing w:val="-2"/>
          <w:sz w:val="26"/>
          <w:szCs w:val="26"/>
        </w:rPr>
        <w:t>由</w:t>
      </w:r>
      <w:r w:rsidR="00F70BB6" w:rsidRPr="001C3E51">
        <w:rPr>
          <w:rFonts w:eastAsia="標楷體" w:hint="eastAsia"/>
          <w:spacing w:val="-2"/>
          <w:sz w:val="26"/>
          <w:szCs w:val="26"/>
        </w:rPr>
        <w:t>第</w:t>
      </w:r>
      <w:r w:rsidRPr="001C3E51">
        <w:rPr>
          <w:rFonts w:eastAsia="標楷體" w:hint="eastAsia"/>
          <w:spacing w:val="-2"/>
          <w:sz w:val="26"/>
          <w:szCs w:val="26"/>
        </w:rPr>
        <w:t>捌</w:t>
      </w:r>
      <w:r w:rsidR="00F70BB6" w:rsidRPr="001C3E51">
        <w:rPr>
          <w:rFonts w:eastAsia="標楷體" w:hint="eastAsia"/>
          <w:spacing w:val="-2"/>
          <w:sz w:val="26"/>
          <w:szCs w:val="26"/>
        </w:rPr>
        <w:t>章得知，</w:t>
      </w:r>
      <w:r w:rsidR="003A761B" w:rsidRPr="001C3E51">
        <w:rPr>
          <w:rFonts w:eastAsia="標楷體" w:hint="eastAsia"/>
          <w:spacing w:val="-2"/>
          <w:sz w:val="26"/>
          <w:szCs w:val="26"/>
        </w:rPr>
        <w:t>萊迪思台灣分公司</w:t>
      </w:r>
      <w:r w:rsidR="00F70BB6" w:rsidRPr="001C3E51">
        <w:rPr>
          <w:rFonts w:eastAsia="標楷體" w:hint="eastAsia"/>
          <w:spacing w:val="-2"/>
          <w:sz w:val="26"/>
          <w:szCs w:val="26"/>
        </w:rPr>
        <w:t>與關係企業之</w:t>
      </w:r>
      <w:r w:rsidR="00F70BB6" w:rsidRPr="001C3E51">
        <w:rPr>
          <w:rFonts w:eastAsia="標楷體"/>
          <w:spacing w:val="-2"/>
          <w:sz w:val="26"/>
          <w:szCs w:val="26"/>
        </w:rPr>
        <w:t>受控交易，</w:t>
      </w:r>
      <w:r w:rsidR="00F70BB6" w:rsidRPr="001C3E51">
        <w:rPr>
          <w:rFonts w:eastAsia="標楷體" w:hint="eastAsia"/>
          <w:spacing w:val="-2"/>
          <w:sz w:val="26"/>
          <w:szCs w:val="26"/>
        </w:rPr>
        <w:t>以</w:t>
      </w:r>
      <w:r w:rsidR="00ED0EE9" w:rsidRPr="001C3E51">
        <w:rPr>
          <w:rFonts w:eastAsia="標楷體" w:hint="eastAsia"/>
          <w:spacing w:val="-2"/>
          <w:sz w:val="26"/>
          <w:szCs w:val="26"/>
        </w:rPr>
        <w:t>萊迪思台灣分公司</w:t>
      </w:r>
      <w:r w:rsidR="00F70BB6" w:rsidRPr="001C3E51">
        <w:rPr>
          <w:rFonts w:eastAsia="標楷體" w:hint="eastAsia"/>
          <w:spacing w:val="-2"/>
          <w:sz w:val="26"/>
          <w:szCs w:val="26"/>
        </w:rPr>
        <w:t>作</w:t>
      </w:r>
      <w:r w:rsidR="00F70BB6" w:rsidRPr="001C3E51">
        <w:rPr>
          <w:rFonts w:eastAsia="標楷體"/>
          <w:spacing w:val="-2"/>
          <w:sz w:val="26"/>
          <w:szCs w:val="26"/>
        </w:rPr>
        <w:t>為受測個體。</w:t>
      </w:r>
    </w:p>
    <w:p w:rsidR="00DE7202" w:rsidRDefault="00F70BB6" w:rsidP="001719B7">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本所根據下列條件進行篩選，選出與</w:t>
      </w:r>
      <w:r>
        <w:rPr>
          <w:rFonts w:eastAsia="標楷體" w:hint="eastAsia"/>
          <w:sz w:val="26"/>
          <w:szCs w:val="26"/>
        </w:rPr>
        <w:t>受測個體</w:t>
      </w:r>
      <w:r w:rsidRPr="006B74CC">
        <w:rPr>
          <w:rFonts w:eastAsia="標楷體" w:hint="eastAsia"/>
          <w:sz w:val="26"/>
          <w:szCs w:val="26"/>
        </w:rPr>
        <w:t>可資比較對象：</w:t>
      </w:r>
    </w:p>
    <w:p w:rsidR="00DE7202" w:rsidRDefault="00F70BB6" w:rsidP="001719B7">
      <w:pPr>
        <w:pStyle w:val="3"/>
        <w:numPr>
          <w:ilvl w:val="0"/>
          <w:numId w:val="22"/>
        </w:numPr>
        <w:spacing w:beforeLines="50" w:before="120" w:afterLines="50" w:after="120" w:line="360" w:lineRule="auto"/>
        <w:ind w:leftChars="100" w:left="720"/>
        <w:jc w:val="both"/>
        <w:rPr>
          <w:rFonts w:ascii="Times New Roman" w:eastAsia="標楷體" w:hAnsi="Times New Roman"/>
          <w:sz w:val="32"/>
        </w:rPr>
      </w:pPr>
      <w:r w:rsidRPr="00397F28">
        <w:rPr>
          <w:rFonts w:ascii="Times New Roman" w:eastAsia="標楷體" w:hAnsi="Times New Roman" w:hint="eastAsia"/>
          <w:sz w:val="32"/>
        </w:rPr>
        <w:t>執行之功能及產品種類</w:t>
      </w:r>
    </w:p>
    <w:p w:rsidR="00DE7202" w:rsidRDefault="00F70BB6" w:rsidP="001719B7">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依據移轉訂價查核準則第</w:t>
      </w:r>
      <w:r w:rsidRPr="00137E06">
        <w:rPr>
          <w:rFonts w:eastAsia="標楷體" w:hint="eastAsia"/>
          <w:sz w:val="26"/>
          <w:szCs w:val="26"/>
        </w:rPr>
        <w:t>8</w:t>
      </w:r>
      <w:r w:rsidRPr="00137E06">
        <w:rPr>
          <w:rFonts w:eastAsia="標楷體" w:hint="eastAsia"/>
          <w:sz w:val="26"/>
          <w:szCs w:val="26"/>
        </w:rPr>
        <w:t>條規定之可比較程度分析決定營利事</w:t>
      </w:r>
      <w:r w:rsidRPr="00137E06">
        <w:rPr>
          <w:rFonts w:eastAsia="標楷體" w:hint="eastAsia"/>
          <w:sz w:val="26"/>
          <w:szCs w:val="26"/>
        </w:rPr>
        <w:lastRenderedPageBreak/>
        <w:t>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137E06">
        <w:rPr>
          <w:rFonts w:eastAsia="標楷體"/>
          <w:sz w:val="26"/>
          <w:szCs w:val="26"/>
        </w:rPr>
        <w:t>選出樣本所執行之功能若與</w:t>
      </w:r>
      <w:r w:rsidRPr="00137E06">
        <w:rPr>
          <w:rFonts w:eastAsia="標楷體" w:hint="eastAsia"/>
          <w:sz w:val="26"/>
          <w:szCs w:val="26"/>
        </w:rPr>
        <w:t>受測個體</w:t>
      </w:r>
      <w:r w:rsidRPr="00137E06">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4"/>
        <w:gridCol w:w="1680"/>
        <w:gridCol w:w="3000"/>
        <w:gridCol w:w="1327"/>
      </w:tblGrid>
      <w:tr w:rsidR="00F70BB6" w:rsidRPr="00667515" w:rsidTr="00917612">
        <w:trPr>
          <w:trHeight w:val="454"/>
        </w:trPr>
        <w:tc>
          <w:tcPr>
            <w:tcW w:w="1974" w:type="dxa"/>
            <w:vMerge w:val="restart"/>
            <w:shd w:val="clear" w:color="auto" w:fill="4F81BD"/>
            <w:vAlign w:val="center"/>
          </w:tcPr>
          <w:p w:rsidR="00F70BB6" w:rsidRPr="00BB4352" w:rsidRDefault="00F70BB6" w:rsidP="000A517A">
            <w:pPr>
              <w:pStyle w:val="a6"/>
              <w:spacing w:line="360" w:lineRule="auto"/>
              <w:jc w:val="center"/>
              <w:rPr>
                <w:rFonts w:eastAsia="標楷體"/>
                <w:bCs/>
                <w:color w:val="FFFFFF"/>
                <w:spacing w:val="-2"/>
                <w:sz w:val="26"/>
                <w:szCs w:val="26"/>
              </w:rPr>
            </w:pPr>
            <w:r w:rsidRPr="00BB4352">
              <w:rPr>
                <w:rFonts w:eastAsia="標楷體" w:hint="eastAsia"/>
                <w:bCs/>
                <w:color w:val="FFFFFF"/>
                <w:spacing w:val="-2"/>
                <w:sz w:val="26"/>
                <w:szCs w:val="26"/>
              </w:rPr>
              <w:t>受控交易說明</w:t>
            </w:r>
          </w:p>
        </w:tc>
        <w:tc>
          <w:tcPr>
            <w:tcW w:w="1680" w:type="dxa"/>
            <w:vMerge w:val="restart"/>
            <w:shd w:val="clear" w:color="auto" w:fill="4F81BD"/>
            <w:vAlign w:val="center"/>
          </w:tcPr>
          <w:p w:rsidR="00F70BB6" w:rsidRPr="00BB4352" w:rsidRDefault="00F70BB6" w:rsidP="000A517A">
            <w:pPr>
              <w:pStyle w:val="a6"/>
              <w:spacing w:line="360" w:lineRule="auto"/>
              <w:jc w:val="center"/>
              <w:rPr>
                <w:rFonts w:eastAsia="標楷體"/>
                <w:bCs/>
                <w:color w:val="FFFFFF"/>
                <w:spacing w:val="-2"/>
                <w:sz w:val="26"/>
                <w:szCs w:val="26"/>
              </w:rPr>
            </w:pPr>
            <w:r w:rsidRPr="00BB4352">
              <w:rPr>
                <w:rFonts w:eastAsia="標楷體" w:hint="eastAsia"/>
                <w:bCs/>
                <w:color w:val="FFFFFF"/>
                <w:spacing w:val="-2"/>
                <w:sz w:val="26"/>
                <w:szCs w:val="26"/>
              </w:rPr>
              <w:t>受測個體</w:t>
            </w:r>
          </w:p>
        </w:tc>
        <w:tc>
          <w:tcPr>
            <w:tcW w:w="4327" w:type="dxa"/>
            <w:gridSpan w:val="2"/>
            <w:shd w:val="clear" w:color="auto" w:fill="4F81BD"/>
            <w:vAlign w:val="center"/>
          </w:tcPr>
          <w:p w:rsidR="00F70BB6" w:rsidRPr="00BB4352" w:rsidRDefault="00F70BB6" w:rsidP="00917612">
            <w:pPr>
              <w:pStyle w:val="a6"/>
              <w:jc w:val="center"/>
              <w:rPr>
                <w:rFonts w:eastAsia="標楷體"/>
                <w:bCs/>
                <w:color w:val="FFFFFF"/>
                <w:spacing w:val="-2"/>
                <w:sz w:val="26"/>
                <w:szCs w:val="26"/>
              </w:rPr>
            </w:pPr>
            <w:r w:rsidRPr="00BB4352">
              <w:rPr>
                <w:rFonts w:eastAsia="標楷體" w:hint="eastAsia"/>
                <w:bCs/>
                <w:color w:val="FFFFFF"/>
                <w:spacing w:val="-2"/>
                <w:sz w:val="26"/>
                <w:szCs w:val="26"/>
              </w:rPr>
              <w:t>受測個體</w:t>
            </w:r>
          </w:p>
        </w:tc>
      </w:tr>
      <w:tr w:rsidR="00F70BB6" w:rsidRPr="00667515" w:rsidTr="00917612">
        <w:trPr>
          <w:trHeight w:val="454"/>
        </w:trPr>
        <w:tc>
          <w:tcPr>
            <w:tcW w:w="1974" w:type="dxa"/>
            <w:vMerge/>
            <w:vAlign w:val="center"/>
          </w:tcPr>
          <w:p w:rsidR="00F70BB6" w:rsidRPr="00BB4352" w:rsidRDefault="00F70BB6" w:rsidP="000A517A">
            <w:pPr>
              <w:pStyle w:val="a6"/>
              <w:spacing w:line="360" w:lineRule="auto"/>
              <w:jc w:val="center"/>
              <w:rPr>
                <w:rFonts w:eastAsia="標楷體"/>
                <w:bCs/>
                <w:color w:val="FFFFFF"/>
                <w:spacing w:val="-2"/>
                <w:sz w:val="26"/>
                <w:szCs w:val="26"/>
              </w:rPr>
            </w:pPr>
          </w:p>
        </w:tc>
        <w:tc>
          <w:tcPr>
            <w:tcW w:w="1680" w:type="dxa"/>
            <w:vMerge/>
            <w:vAlign w:val="center"/>
          </w:tcPr>
          <w:p w:rsidR="00F70BB6" w:rsidRPr="00BB4352" w:rsidRDefault="00F70BB6" w:rsidP="000A517A">
            <w:pPr>
              <w:pStyle w:val="a6"/>
              <w:spacing w:line="360" w:lineRule="auto"/>
              <w:jc w:val="center"/>
              <w:rPr>
                <w:rFonts w:eastAsia="標楷體"/>
                <w:color w:val="FFFFFF"/>
                <w:spacing w:val="-2"/>
                <w:sz w:val="26"/>
                <w:szCs w:val="26"/>
              </w:rPr>
            </w:pPr>
          </w:p>
        </w:tc>
        <w:tc>
          <w:tcPr>
            <w:tcW w:w="3000" w:type="dxa"/>
            <w:shd w:val="clear" w:color="auto" w:fill="4F81BD"/>
            <w:vAlign w:val="center"/>
          </w:tcPr>
          <w:p w:rsidR="00F70BB6" w:rsidRPr="00BB4352" w:rsidRDefault="00F70BB6" w:rsidP="00917612">
            <w:pPr>
              <w:pStyle w:val="a6"/>
              <w:jc w:val="center"/>
              <w:rPr>
                <w:rFonts w:eastAsia="標楷體"/>
                <w:color w:val="FFFFFF"/>
                <w:spacing w:val="-2"/>
                <w:sz w:val="26"/>
                <w:szCs w:val="26"/>
              </w:rPr>
            </w:pPr>
            <w:r w:rsidRPr="00BB4352">
              <w:rPr>
                <w:rFonts w:eastAsia="標楷體" w:hint="eastAsia"/>
                <w:color w:val="FFFFFF"/>
                <w:spacing w:val="-2"/>
                <w:sz w:val="26"/>
                <w:szCs w:val="26"/>
              </w:rPr>
              <w:t>主要產品／服務</w:t>
            </w:r>
          </w:p>
        </w:tc>
        <w:tc>
          <w:tcPr>
            <w:tcW w:w="1327" w:type="dxa"/>
            <w:shd w:val="clear" w:color="auto" w:fill="4F81BD"/>
            <w:vAlign w:val="center"/>
          </w:tcPr>
          <w:p w:rsidR="00F70BB6" w:rsidRPr="00BB4352" w:rsidRDefault="00F70BB6" w:rsidP="00917612">
            <w:pPr>
              <w:pStyle w:val="a6"/>
              <w:jc w:val="center"/>
              <w:rPr>
                <w:rFonts w:eastAsia="標楷體"/>
                <w:color w:val="FFFFFF"/>
                <w:spacing w:val="-2"/>
                <w:sz w:val="26"/>
                <w:szCs w:val="26"/>
              </w:rPr>
            </w:pPr>
            <w:r w:rsidRPr="00BB4352">
              <w:rPr>
                <w:rFonts w:eastAsia="標楷體" w:hint="eastAsia"/>
                <w:color w:val="FFFFFF"/>
                <w:spacing w:val="-2"/>
                <w:sz w:val="26"/>
                <w:szCs w:val="26"/>
              </w:rPr>
              <w:t>企業定位</w:t>
            </w:r>
          </w:p>
        </w:tc>
      </w:tr>
      <w:tr w:rsidR="00F70BB6" w:rsidRPr="00667515">
        <w:tc>
          <w:tcPr>
            <w:tcW w:w="1974" w:type="dxa"/>
            <w:vAlign w:val="center"/>
          </w:tcPr>
          <w:p w:rsidR="00A741FD" w:rsidRDefault="00DD4896" w:rsidP="001F34AE">
            <w:pPr>
              <w:pStyle w:val="a6"/>
              <w:spacing w:before="120" w:after="120"/>
              <w:jc w:val="center"/>
              <w:rPr>
                <w:rFonts w:eastAsia="標楷體"/>
                <w:bCs/>
                <w:spacing w:val="-2"/>
                <w:sz w:val="26"/>
                <w:szCs w:val="26"/>
              </w:rPr>
            </w:pPr>
            <w:r w:rsidRPr="00DD4896">
              <w:rPr>
                <w:rFonts w:eastAsia="標楷體" w:hint="eastAsia"/>
                <w:bCs/>
                <w:spacing w:val="-2"/>
                <w:sz w:val="26"/>
                <w:szCs w:val="26"/>
              </w:rPr>
              <w:t>服務之提供</w:t>
            </w:r>
          </w:p>
        </w:tc>
        <w:tc>
          <w:tcPr>
            <w:tcW w:w="1680" w:type="dxa"/>
            <w:vAlign w:val="center"/>
          </w:tcPr>
          <w:p w:rsidR="00A741FD" w:rsidRDefault="00DD4896">
            <w:pPr>
              <w:pStyle w:val="a6"/>
              <w:jc w:val="center"/>
              <w:rPr>
                <w:rFonts w:eastAsia="標楷體"/>
                <w:bCs/>
                <w:spacing w:val="-2"/>
                <w:sz w:val="26"/>
                <w:szCs w:val="26"/>
              </w:rPr>
            </w:pPr>
            <w:r w:rsidRPr="00191CCB">
              <w:rPr>
                <w:rFonts w:eastAsia="標楷體" w:hint="eastAsia"/>
                <w:bCs/>
                <w:spacing w:val="-2"/>
                <w:sz w:val="26"/>
                <w:szCs w:val="26"/>
              </w:rPr>
              <w:t>萊迪思</w:t>
            </w:r>
          </w:p>
          <w:p w:rsidR="00A741FD" w:rsidRDefault="00DD4896">
            <w:pPr>
              <w:pStyle w:val="a6"/>
              <w:jc w:val="center"/>
              <w:rPr>
                <w:rFonts w:eastAsia="標楷體"/>
                <w:spacing w:val="-2"/>
                <w:sz w:val="26"/>
                <w:szCs w:val="26"/>
              </w:rPr>
            </w:pPr>
            <w:r w:rsidRPr="00191CCB">
              <w:rPr>
                <w:rFonts w:eastAsia="標楷體" w:hint="eastAsia"/>
                <w:bCs/>
                <w:spacing w:val="-2"/>
                <w:sz w:val="26"/>
                <w:szCs w:val="26"/>
              </w:rPr>
              <w:t>台灣分公</w:t>
            </w:r>
            <w:r w:rsidRPr="00DD4896">
              <w:rPr>
                <w:rFonts w:eastAsia="標楷體" w:hint="eastAsia"/>
                <w:spacing w:val="-2"/>
                <w:sz w:val="26"/>
                <w:szCs w:val="26"/>
              </w:rPr>
              <w:t>司</w:t>
            </w:r>
          </w:p>
        </w:tc>
        <w:tc>
          <w:tcPr>
            <w:tcW w:w="3000" w:type="dxa"/>
            <w:vAlign w:val="center"/>
          </w:tcPr>
          <w:p w:rsidR="00F70BB6" w:rsidRPr="00DD4896" w:rsidRDefault="00E02A3C" w:rsidP="00FD519A">
            <w:pPr>
              <w:jc w:val="both"/>
              <w:rPr>
                <w:rFonts w:eastAsia="標楷體"/>
                <w:spacing w:val="-2"/>
                <w:sz w:val="26"/>
                <w:szCs w:val="26"/>
              </w:rPr>
            </w:pPr>
            <w:r>
              <w:rPr>
                <w:rFonts w:eastAsia="標楷體" w:hint="eastAsia"/>
                <w:sz w:val="26"/>
                <w:szCs w:val="26"/>
              </w:rPr>
              <w:t>提供</w:t>
            </w:r>
            <w:r w:rsidR="000A56EA">
              <w:rPr>
                <w:rFonts w:eastAsia="標楷體" w:hint="eastAsia"/>
                <w:sz w:val="26"/>
                <w:szCs w:val="26"/>
              </w:rPr>
              <w:t>關係企業</w:t>
            </w:r>
            <w:r w:rsidRPr="00754B06">
              <w:rPr>
                <w:rFonts w:eastAsia="標楷體"/>
                <w:sz w:val="26"/>
                <w:szCs w:val="26"/>
              </w:rPr>
              <w:t>產品相關之行銷、客戶聯繫、產品技術支援及產品諮詢等服務</w:t>
            </w:r>
            <w:r>
              <w:rPr>
                <w:rFonts w:eastAsia="標楷體" w:hint="eastAsia"/>
                <w:sz w:val="26"/>
                <w:szCs w:val="26"/>
              </w:rPr>
              <w:t>。</w:t>
            </w:r>
          </w:p>
        </w:tc>
        <w:tc>
          <w:tcPr>
            <w:tcW w:w="1327" w:type="dxa"/>
            <w:vAlign w:val="center"/>
          </w:tcPr>
          <w:p w:rsidR="00DD4896" w:rsidRPr="00E73744" w:rsidRDefault="00DD4896" w:rsidP="00FD519A">
            <w:pPr>
              <w:pStyle w:val="a6"/>
              <w:jc w:val="center"/>
              <w:rPr>
                <w:rFonts w:eastAsia="標楷體"/>
                <w:bCs/>
                <w:spacing w:val="-2"/>
                <w:sz w:val="26"/>
                <w:szCs w:val="26"/>
              </w:rPr>
            </w:pPr>
            <w:r w:rsidRPr="00E73744">
              <w:rPr>
                <w:rFonts w:eastAsia="標楷體" w:hint="eastAsia"/>
                <w:bCs/>
                <w:spacing w:val="-2"/>
                <w:sz w:val="26"/>
                <w:szCs w:val="26"/>
              </w:rPr>
              <w:t>服務</w:t>
            </w:r>
          </w:p>
          <w:p w:rsidR="00F70BB6" w:rsidRPr="00DD4896" w:rsidRDefault="00DD4896" w:rsidP="00FD519A">
            <w:pPr>
              <w:pStyle w:val="a6"/>
              <w:jc w:val="center"/>
              <w:rPr>
                <w:rFonts w:eastAsia="標楷體"/>
                <w:spacing w:val="-2"/>
                <w:sz w:val="26"/>
                <w:szCs w:val="26"/>
              </w:rPr>
            </w:pPr>
            <w:r w:rsidRPr="00E73744">
              <w:rPr>
                <w:rFonts w:eastAsia="標楷體" w:hint="eastAsia"/>
                <w:bCs/>
                <w:spacing w:val="-2"/>
                <w:sz w:val="26"/>
                <w:szCs w:val="26"/>
              </w:rPr>
              <w:t>提供者</w:t>
            </w:r>
          </w:p>
        </w:tc>
      </w:tr>
    </w:tbl>
    <w:p w:rsidR="00DE7202" w:rsidRDefault="00F70BB6" w:rsidP="001719B7">
      <w:pPr>
        <w:pStyle w:val="3"/>
        <w:numPr>
          <w:ilvl w:val="0"/>
          <w:numId w:val="22"/>
        </w:numPr>
        <w:spacing w:beforeLines="50" w:before="120" w:afterLines="50" w:after="120" w:line="360" w:lineRule="auto"/>
        <w:ind w:leftChars="100" w:left="720"/>
        <w:jc w:val="both"/>
        <w:rPr>
          <w:rFonts w:ascii="Times New Roman" w:eastAsia="標楷體" w:hAnsi="Times New Roman"/>
          <w:sz w:val="32"/>
        </w:rPr>
      </w:pPr>
      <w:r w:rsidRPr="00397F28">
        <w:rPr>
          <w:rFonts w:ascii="Times New Roman" w:eastAsia="標楷體" w:hAnsi="Times New Roman" w:hint="eastAsia"/>
          <w:sz w:val="32"/>
        </w:rPr>
        <w:t>檢視財務資料充分性及可用性</w:t>
      </w:r>
    </w:p>
    <w:p w:rsidR="00DE7202" w:rsidRDefault="00F70BB6" w:rsidP="001719B7">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選出之樣本若無法提供充分之財務資</w:t>
      </w:r>
      <w:r w:rsidR="00CB63D1">
        <w:rPr>
          <w:rFonts w:eastAsia="標楷體" w:hint="eastAsia"/>
          <w:sz w:val="26"/>
          <w:szCs w:val="26"/>
        </w:rPr>
        <w:t>料，便無法被運用為求出常規</w:t>
      </w:r>
      <w:r w:rsidR="00CB63D1" w:rsidRPr="0061209C">
        <w:rPr>
          <w:rFonts w:eastAsia="標楷體" w:hint="eastAsia"/>
          <w:sz w:val="26"/>
          <w:szCs w:val="26"/>
        </w:rPr>
        <w:t>交易結果範圍，是故不列入考量。由本文據</w:t>
      </w:r>
      <w:r w:rsidRPr="0061209C">
        <w:rPr>
          <w:rFonts w:eastAsia="標楷體" w:hint="eastAsia"/>
          <w:sz w:val="26"/>
          <w:szCs w:val="26"/>
        </w:rPr>
        <w:t>第</w:t>
      </w:r>
      <w:r w:rsidR="00CB63D1" w:rsidRPr="0061209C">
        <w:rPr>
          <w:rFonts w:eastAsia="標楷體" w:hint="eastAsia"/>
          <w:sz w:val="26"/>
          <w:szCs w:val="26"/>
        </w:rPr>
        <w:t>陸</w:t>
      </w:r>
      <w:r w:rsidRPr="0061209C">
        <w:rPr>
          <w:rFonts w:eastAsia="標楷體" w:hint="eastAsia"/>
          <w:sz w:val="26"/>
          <w:szCs w:val="26"/>
        </w:rPr>
        <w:t>章得知，用於評估『</w:t>
      </w:r>
      <w:r w:rsidR="00C21E79" w:rsidRPr="0061209C">
        <w:rPr>
          <w:rFonts w:eastAsia="標楷體" w:hint="eastAsia"/>
          <w:spacing w:val="-2"/>
          <w:sz w:val="26"/>
          <w:szCs w:val="26"/>
        </w:rPr>
        <w:t>服務之提供</w:t>
      </w:r>
      <w:r w:rsidRPr="0061209C">
        <w:rPr>
          <w:rFonts w:eastAsia="標楷體" w:hint="eastAsia"/>
          <w:sz w:val="26"/>
          <w:szCs w:val="26"/>
        </w:rPr>
        <w:t>』受控交易之</w:t>
      </w:r>
      <w:proofErr w:type="gramStart"/>
      <w:r w:rsidRPr="0061209C">
        <w:rPr>
          <w:rFonts w:eastAsia="標楷體" w:hint="eastAsia"/>
          <w:sz w:val="26"/>
          <w:szCs w:val="26"/>
        </w:rPr>
        <w:t>最</w:t>
      </w:r>
      <w:proofErr w:type="gramEnd"/>
      <w:r w:rsidRPr="0061209C">
        <w:rPr>
          <w:rFonts w:eastAsia="標楷體" w:hint="eastAsia"/>
          <w:sz w:val="26"/>
          <w:szCs w:val="26"/>
        </w:rPr>
        <w:t>適常規交易方法為『</w:t>
      </w:r>
      <w:r w:rsidR="00A16793" w:rsidRPr="0061209C">
        <w:rPr>
          <w:rFonts w:eastAsia="標楷體" w:hint="eastAsia"/>
          <w:sz w:val="26"/>
          <w:szCs w:val="26"/>
        </w:rPr>
        <w:t>可比較利潤法</w:t>
      </w:r>
      <w:r w:rsidRPr="0061209C">
        <w:rPr>
          <w:rFonts w:eastAsia="標楷體" w:hint="eastAsia"/>
          <w:sz w:val="26"/>
          <w:szCs w:val="26"/>
        </w:rPr>
        <w:t>』，由本</w:t>
      </w:r>
      <w:r w:rsidR="00A82581" w:rsidRPr="0061209C">
        <w:rPr>
          <w:rFonts w:eastAsia="標楷體" w:hint="eastAsia"/>
          <w:sz w:val="26"/>
          <w:szCs w:val="26"/>
        </w:rPr>
        <w:t>文據</w:t>
      </w:r>
      <w:r w:rsidRPr="0061209C">
        <w:rPr>
          <w:rFonts w:eastAsia="標楷體" w:hint="eastAsia"/>
          <w:sz w:val="26"/>
          <w:szCs w:val="26"/>
        </w:rPr>
        <w:t>第</w:t>
      </w:r>
      <w:r w:rsidR="00A82581" w:rsidRPr="0061209C">
        <w:rPr>
          <w:rFonts w:eastAsia="標楷體" w:hint="eastAsia"/>
          <w:sz w:val="26"/>
          <w:szCs w:val="26"/>
        </w:rPr>
        <w:t>捌</w:t>
      </w:r>
      <w:r w:rsidRPr="0061209C">
        <w:rPr>
          <w:rFonts w:eastAsia="標楷體" w:hint="eastAsia"/>
          <w:sz w:val="26"/>
          <w:szCs w:val="26"/>
        </w:rPr>
        <w:t>章得知，利潤指標為『</w:t>
      </w:r>
      <w:r w:rsidR="00A16793" w:rsidRPr="0061209C">
        <w:rPr>
          <w:rFonts w:eastAsia="標楷體" w:hint="eastAsia"/>
          <w:sz w:val="26"/>
          <w:szCs w:val="26"/>
        </w:rPr>
        <w:t>成本及營業費用淨利率</w:t>
      </w:r>
      <w:r w:rsidRPr="0061209C">
        <w:rPr>
          <w:rFonts w:eastAsia="標楷體" w:hint="eastAsia"/>
          <w:sz w:val="26"/>
          <w:szCs w:val="26"/>
        </w:rPr>
        <w:t>』。</w:t>
      </w:r>
    </w:p>
    <w:p w:rsidR="00DE7202" w:rsidRDefault="00F70BB6" w:rsidP="001719B7">
      <w:pPr>
        <w:spacing w:beforeLines="50" w:before="120" w:afterLines="50" w:after="120" w:line="360" w:lineRule="auto"/>
        <w:ind w:leftChars="200" w:left="480" w:firstLineChars="200" w:firstLine="520"/>
        <w:jc w:val="both"/>
        <w:rPr>
          <w:rFonts w:eastAsia="標楷體"/>
          <w:sz w:val="26"/>
          <w:szCs w:val="26"/>
        </w:rPr>
      </w:pPr>
      <w:r w:rsidRPr="0061209C">
        <w:rPr>
          <w:rFonts w:eastAsia="標楷體" w:hint="eastAsia"/>
          <w:sz w:val="26"/>
          <w:szCs w:val="26"/>
        </w:rPr>
        <w:t>由於移轉訂價查核準則規定使用可比較利潤法進行評估時必須有三年之財務數據進行比較，故設定可比較對象必須具備三年</w:t>
      </w:r>
      <w:r w:rsidR="00A16793" w:rsidRPr="0061209C">
        <w:rPr>
          <w:rFonts w:eastAsia="標楷體" w:hint="eastAsia"/>
          <w:sz w:val="26"/>
          <w:szCs w:val="26"/>
        </w:rPr>
        <w:t>財務資料</w:t>
      </w:r>
      <w:r w:rsidRPr="0061209C">
        <w:rPr>
          <w:rFonts w:eastAsia="標楷體" w:hint="eastAsia"/>
          <w:sz w:val="26"/>
          <w:szCs w:val="26"/>
        </w:rPr>
        <w:t>為</w:t>
      </w:r>
      <w:r w:rsidRPr="00137E06">
        <w:rPr>
          <w:rFonts w:eastAsia="標楷體" w:hint="eastAsia"/>
          <w:sz w:val="26"/>
          <w:szCs w:val="26"/>
        </w:rPr>
        <w:t>篩選條件之</w:t>
      </w:r>
      <w:proofErr w:type="gramStart"/>
      <w:r w:rsidRPr="00137E06">
        <w:rPr>
          <w:rFonts w:eastAsia="標楷體" w:hint="eastAsia"/>
          <w:sz w:val="26"/>
          <w:szCs w:val="26"/>
        </w:rPr>
        <w:t>一</w:t>
      </w:r>
      <w:proofErr w:type="gramEnd"/>
      <w:r w:rsidRPr="00137E06">
        <w:rPr>
          <w:rFonts w:eastAsia="標楷體" w:hint="eastAsia"/>
          <w:sz w:val="26"/>
          <w:szCs w:val="26"/>
        </w:rPr>
        <w:t>。</w:t>
      </w:r>
    </w:p>
    <w:p w:rsidR="00DE7202" w:rsidRDefault="00F70BB6" w:rsidP="001719B7">
      <w:pPr>
        <w:pStyle w:val="2"/>
        <w:numPr>
          <w:ilvl w:val="1"/>
          <w:numId w:val="1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篩選過程</w:t>
      </w:r>
    </w:p>
    <w:p w:rsidR="00DE7202" w:rsidRDefault="00F70BB6" w:rsidP="001719B7">
      <w:pPr>
        <w:pStyle w:val="a6"/>
        <w:spacing w:beforeLines="50" w:before="120" w:afterLines="50" w:after="120" w:line="360" w:lineRule="auto"/>
        <w:ind w:firstLineChars="200" w:firstLine="512"/>
        <w:jc w:val="both"/>
        <w:rPr>
          <w:rFonts w:eastAsia="標楷體"/>
          <w:spacing w:val="-2"/>
          <w:sz w:val="26"/>
          <w:szCs w:val="26"/>
        </w:rPr>
      </w:pPr>
      <w:r w:rsidRPr="00CA51EF">
        <w:rPr>
          <w:rFonts w:eastAsia="標楷體"/>
          <w:spacing w:val="-2"/>
          <w:sz w:val="26"/>
          <w:szCs w:val="26"/>
        </w:rPr>
        <w:t>本所使用</w:t>
      </w:r>
      <w:r w:rsidR="00A34AB3">
        <w:rPr>
          <w:rFonts w:eastAsia="標楷體" w:hint="eastAsia"/>
          <w:spacing w:val="-2"/>
          <w:sz w:val="26"/>
          <w:szCs w:val="26"/>
        </w:rPr>
        <w:t>ONESOURCE</w:t>
      </w:r>
      <w:r w:rsidRPr="00CA51EF">
        <w:rPr>
          <w:rFonts w:eastAsia="標楷體"/>
          <w:spacing w:val="-2"/>
          <w:sz w:val="26"/>
          <w:szCs w:val="26"/>
        </w:rPr>
        <w:t>資料庫</w:t>
      </w:r>
      <w:r w:rsidR="001D3E29">
        <w:rPr>
          <w:rFonts w:eastAsia="標楷體" w:hint="eastAsia"/>
          <w:spacing w:val="-2"/>
          <w:sz w:val="26"/>
          <w:szCs w:val="26"/>
        </w:rPr>
        <w:t>201</w:t>
      </w:r>
      <w:r w:rsidR="005900FF">
        <w:rPr>
          <w:rFonts w:eastAsia="標楷體" w:hint="eastAsia"/>
          <w:spacing w:val="-2"/>
          <w:sz w:val="26"/>
          <w:szCs w:val="26"/>
        </w:rPr>
        <w:t>6</w:t>
      </w:r>
      <w:r w:rsidRPr="00CA51EF">
        <w:rPr>
          <w:rFonts w:eastAsia="標楷體"/>
          <w:spacing w:val="-2"/>
          <w:sz w:val="26"/>
          <w:szCs w:val="26"/>
        </w:rPr>
        <w:t>年</w:t>
      </w:r>
      <w:r w:rsidR="00A34AB3">
        <w:rPr>
          <w:rFonts w:eastAsia="標楷體" w:hint="eastAsia"/>
          <w:spacing w:val="-2"/>
          <w:sz w:val="26"/>
          <w:szCs w:val="26"/>
        </w:rPr>
        <w:t>1</w:t>
      </w:r>
      <w:r w:rsidR="00841F61">
        <w:rPr>
          <w:rFonts w:eastAsia="標楷體" w:hint="eastAsia"/>
          <w:spacing w:val="-2"/>
          <w:sz w:val="26"/>
          <w:szCs w:val="26"/>
        </w:rPr>
        <w:t>2</w:t>
      </w:r>
      <w:r w:rsidRPr="00CA51EF">
        <w:rPr>
          <w:rFonts w:eastAsia="標楷體"/>
          <w:spacing w:val="-2"/>
          <w:sz w:val="26"/>
          <w:szCs w:val="26"/>
        </w:rPr>
        <w:t>月</w:t>
      </w:r>
      <w:r w:rsidR="00A34AB3">
        <w:rPr>
          <w:rFonts w:eastAsia="標楷體" w:hint="eastAsia"/>
          <w:spacing w:val="-2"/>
          <w:sz w:val="26"/>
          <w:szCs w:val="26"/>
        </w:rPr>
        <w:t>版本</w:t>
      </w:r>
      <w:r w:rsidRPr="00CA51EF">
        <w:rPr>
          <w:rFonts w:eastAsia="標楷體"/>
          <w:spacing w:val="-2"/>
          <w:sz w:val="26"/>
          <w:szCs w:val="26"/>
        </w:rPr>
        <w:t>為</w:t>
      </w:r>
      <w:r w:rsidRPr="00CA51EF">
        <w:rPr>
          <w:rFonts w:eastAsia="標楷體" w:hint="eastAsia"/>
          <w:spacing w:val="-2"/>
          <w:sz w:val="26"/>
          <w:szCs w:val="26"/>
        </w:rPr>
        <w:t>各</w:t>
      </w:r>
      <w:r w:rsidRPr="00CA51EF">
        <w:rPr>
          <w:rFonts w:eastAsia="標楷體"/>
          <w:spacing w:val="-2"/>
          <w:sz w:val="26"/>
          <w:szCs w:val="26"/>
        </w:rPr>
        <w:t>受測個體</w:t>
      </w:r>
      <w:proofErr w:type="gramStart"/>
      <w:r w:rsidRPr="00CA51EF">
        <w:rPr>
          <w:rFonts w:eastAsia="標楷體"/>
          <w:spacing w:val="-2"/>
          <w:sz w:val="26"/>
          <w:szCs w:val="26"/>
        </w:rPr>
        <w:t>蒐尋可</w:t>
      </w:r>
      <w:proofErr w:type="gramEnd"/>
      <w:r w:rsidRPr="00CA51EF">
        <w:rPr>
          <w:rFonts w:eastAsia="標楷體"/>
          <w:spacing w:val="-2"/>
          <w:sz w:val="26"/>
          <w:szCs w:val="26"/>
        </w:rPr>
        <w:t>比</w:t>
      </w:r>
      <w:r w:rsidRPr="00EA272E">
        <w:rPr>
          <w:rFonts w:eastAsia="標楷體"/>
          <w:spacing w:val="-2"/>
          <w:sz w:val="26"/>
          <w:szCs w:val="26"/>
        </w:rPr>
        <w:t>較對象。</w:t>
      </w:r>
    </w:p>
    <w:p w:rsidR="00DE7202" w:rsidRDefault="00DE7202" w:rsidP="001719B7">
      <w:pPr>
        <w:pStyle w:val="a6"/>
        <w:spacing w:beforeLines="50" w:before="120" w:afterLines="50" w:after="120" w:line="360" w:lineRule="auto"/>
        <w:ind w:firstLineChars="200" w:firstLine="512"/>
        <w:jc w:val="both"/>
        <w:rPr>
          <w:rFonts w:eastAsia="標楷體"/>
          <w:spacing w:val="-2"/>
          <w:sz w:val="26"/>
          <w:szCs w:val="26"/>
        </w:rPr>
      </w:pPr>
    </w:p>
    <w:p w:rsidR="00DE7202" w:rsidRDefault="005E65EA" w:rsidP="001719B7">
      <w:pPr>
        <w:numPr>
          <w:ilvl w:val="0"/>
          <w:numId w:val="30"/>
        </w:numPr>
        <w:tabs>
          <w:tab w:val="clear" w:pos="1720"/>
          <w:tab w:val="num" w:pos="744"/>
          <w:tab w:val="left" w:pos="840"/>
        </w:tabs>
        <w:spacing w:beforeLines="50" w:before="120" w:afterLines="50" w:after="120" w:line="360" w:lineRule="auto"/>
        <w:ind w:left="600" w:hanging="240"/>
        <w:jc w:val="both"/>
        <w:rPr>
          <w:rFonts w:eastAsia="標楷體"/>
          <w:b/>
          <w:sz w:val="28"/>
          <w:szCs w:val="28"/>
        </w:rPr>
      </w:pPr>
      <w:r w:rsidRPr="00103E03">
        <w:rPr>
          <w:rFonts w:eastAsia="標楷體" w:hint="eastAsia"/>
          <w:b/>
          <w:sz w:val="28"/>
          <w:szCs w:val="28"/>
        </w:rPr>
        <w:lastRenderedPageBreak/>
        <w:t>服務之提供</w:t>
      </w:r>
    </w:p>
    <w:p w:rsidR="00DE7202" w:rsidRDefault="001475AA" w:rsidP="001719B7">
      <w:pPr>
        <w:widowControl/>
        <w:numPr>
          <w:ilvl w:val="0"/>
          <w:numId w:val="41"/>
        </w:numPr>
        <w:tabs>
          <w:tab w:val="left" w:pos="851"/>
        </w:tabs>
        <w:spacing w:beforeLines="50" w:before="120" w:afterLines="50" w:after="120" w:line="360" w:lineRule="auto"/>
        <w:jc w:val="both"/>
        <w:outlineLvl w:val="2"/>
        <w:rPr>
          <w:rFonts w:eastAsia="標楷體"/>
          <w:b/>
          <w:sz w:val="26"/>
          <w:szCs w:val="26"/>
        </w:rPr>
      </w:pPr>
      <w:r>
        <w:rPr>
          <w:rFonts w:eastAsia="標楷體" w:hint="eastAsia"/>
          <w:b/>
          <w:sz w:val="26"/>
          <w:szCs w:val="26"/>
        </w:rPr>
        <w:t>設定篩選條件</w:t>
      </w:r>
    </w:p>
    <w:p w:rsidR="00DE7202" w:rsidRDefault="001475AA" w:rsidP="001719B7">
      <w:pPr>
        <w:widowControl/>
        <w:numPr>
          <w:ilvl w:val="0"/>
          <w:numId w:val="40"/>
        </w:numPr>
        <w:tabs>
          <w:tab w:val="left" w:pos="1418"/>
          <w:tab w:val="left" w:pos="1560"/>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受測個體執行之功能及產品種類</w:t>
      </w:r>
    </w:p>
    <w:p w:rsidR="00DE7202" w:rsidRDefault="001475AA" w:rsidP="001719B7">
      <w:pPr>
        <w:tabs>
          <w:tab w:val="left" w:pos="1134"/>
        </w:tabs>
        <w:spacing w:beforeLines="50" w:before="120" w:afterLines="50" w:after="120" w:line="360" w:lineRule="auto"/>
        <w:ind w:leftChars="400" w:left="960" w:firstLineChars="200" w:firstLine="512"/>
        <w:jc w:val="both"/>
        <w:rPr>
          <w:rFonts w:eastAsia="標楷體"/>
          <w:sz w:val="26"/>
          <w:szCs w:val="26"/>
        </w:rPr>
      </w:pPr>
      <w:r w:rsidRPr="007A5881">
        <w:rPr>
          <w:rFonts w:eastAsia="標楷體" w:hint="eastAsia"/>
          <w:spacing w:val="-2"/>
          <w:sz w:val="26"/>
          <w:szCs w:val="26"/>
        </w:rPr>
        <w:t>萊迪思台灣分公司</w:t>
      </w:r>
      <w:r w:rsidRPr="007A5881">
        <w:rPr>
          <w:rFonts w:eastAsia="標楷體" w:hint="eastAsia"/>
          <w:sz w:val="26"/>
          <w:szCs w:val="26"/>
        </w:rPr>
        <w:t>為服務提供者</w:t>
      </w:r>
      <w:r>
        <w:rPr>
          <w:rFonts w:eastAsia="標楷體" w:hint="eastAsia"/>
          <w:spacing w:val="-2"/>
          <w:sz w:val="26"/>
          <w:szCs w:val="26"/>
        </w:rPr>
        <w:t>，</w:t>
      </w:r>
      <w:r w:rsidRPr="005679C9">
        <w:rPr>
          <w:rFonts w:eastAsia="標楷體" w:hint="eastAsia"/>
          <w:sz w:val="26"/>
          <w:szCs w:val="26"/>
        </w:rPr>
        <w:t>故本所認為</w:t>
      </w:r>
      <w:r>
        <w:rPr>
          <w:rFonts w:eastAsia="標楷體" w:hint="eastAsia"/>
          <w:sz w:val="26"/>
          <w:szCs w:val="26"/>
        </w:rPr>
        <w:t>自</w:t>
      </w:r>
      <w:r w:rsidRPr="005679C9">
        <w:rPr>
          <w:rFonts w:eastAsia="標楷體" w:hint="eastAsia"/>
          <w:sz w:val="26"/>
          <w:szCs w:val="26"/>
        </w:rPr>
        <w:t>下列</w:t>
      </w:r>
      <w:r w:rsidRPr="005679C9">
        <w:rPr>
          <w:rFonts w:eastAsia="標楷體" w:hint="eastAsia"/>
          <w:sz w:val="26"/>
          <w:szCs w:val="26"/>
        </w:rPr>
        <w:t>SIC Codes</w:t>
      </w:r>
      <w:r>
        <w:rPr>
          <w:rFonts w:eastAsia="標楷體" w:hint="eastAsia"/>
          <w:sz w:val="26"/>
          <w:szCs w:val="26"/>
        </w:rPr>
        <w:t>之</w:t>
      </w:r>
      <w:r w:rsidRPr="005679C9">
        <w:rPr>
          <w:rFonts w:eastAsia="標楷體" w:hint="eastAsia"/>
          <w:sz w:val="26"/>
          <w:szCs w:val="26"/>
        </w:rPr>
        <w:t>細項分類</w:t>
      </w:r>
      <w:r>
        <w:rPr>
          <w:rFonts w:eastAsia="標楷體" w:hint="eastAsia"/>
          <w:sz w:val="26"/>
          <w:szCs w:val="26"/>
        </w:rPr>
        <w:t>中</w:t>
      </w:r>
      <w:r w:rsidRPr="005679C9">
        <w:rPr>
          <w:rFonts w:eastAsia="標楷體" w:hint="eastAsia"/>
          <w:sz w:val="26"/>
          <w:szCs w:val="26"/>
        </w:rPr>
        <w:t>最可能找出與</w:t>
      </w:r>
      <w:r w:rsidRPr="007A5881">
        <w:rPr>
          <w:rFonts w:eastAsia="標楷體" w:hint="eastAsia"/>
          <w:spacing w:val="-2"/>
          <w:sz w:val="26"/>
          <w:szCs w:val="26"/>
        </w:rPr>
        <w:t>萊迪思台灣分公司</w:t>
      </w:r>
      <w:r w:rsidRPr="005679C9">
        <w:rPr>
          <w:rFonts w:eastAsia="標楷體" w:hint="eastAsia"/>
          <w:sz w:val="26"/>
          <w:szCs w:val="26"/>
        </w:rPr>
        <w:t>執行之功能及產品種類相似之樣本。</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1475AA" w:rsidRPr="00667515" w:rsidTr="00EA1F64">
        <w:trPr>
          <w:trHeight w:val="334"/>
        </w:trPr>
        <w:tc>
          <w:tcPr>
            <w:tcW w:w="1558" w:type="dxa"/>
            <w:shd w:val="clear" w:color="auto" w:fill="4F81BD"/>
            <w:vAlign w:val="center"/>
          </w:tcPr>
          <w:p w:rsidR="00DE7202" w:rsidRDefault="001475AA" w:rsidP="001719B7">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SIC Codes</w:t>
            </w:r>
          </w:p>
        </w:tc>
        <w:tc>
          <w:tcPr>
            <w:tcW w:w="6157" w:type="dxa"/>
            <w:shd w:val="clear" w:color="auto" w:fill="4F81BD"/>
            <w:vAlign w:val="center"/>
          </w:tcPr>
          <w:p w:rsidR="00DE7202" w:rsidRDefault="001475AA" w:rsidP="001719B7">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說明</w:t>
            </w:r>
          </w:p>
        </w:tc>
      </w:tr>
      <w:tr w:rsidR="001475AA" w:rsidRPr="00667515" w:rsidTr="00917612">
        <w:trPr>
          <w:trHeight w:val="680"/>
        </w:trPr>
        <w:tc>
          <w:tcPr>
            <w:tcW w:w="1558" w:type="dxa"/>
            <w:vAlign w:val="center"/>
          </w:tcPr>
          <w:p w:rsidR="00DE7202" w:rsidRDefault="001475AA" w:rsidP="001719B7">
            <w:pPr>
              <w:tabs>
                <w:tab w:val="left" w:pos="1134"/>
              </w:tabs>
              <w:spacing w:beforeLines="25" w:before="60" w:afterLines="25" w:after="60"/>
              <w:jc w:val="center"/>
              <w:rPr>
                <w:rFonts w:eastAsia="標楷體"/>
                <w:sz w:val="26"/>
                <w:szCs w:val="26"/>
              </w:rPr>
            </w:pPr>
            <w:r>
              <w:rPr>
                <w:rFonts w:eastAsia="標楷體" w:hint="eastAsia"/>
                <w:sz w:val="26"/>
                <w:szCs w:val="26"/>
              </w:rPr>
              <w:t>7311</w:t>
            </w:r>
          </w:p>
        </w:tc>
        <w:tc>
          <w:tcPr>
            <w:tcW w:w="6157" w:type="dxa"/>
            <w:vAlign w:val="center"/>
          </w:tcPr>
          <w:p w:rsidR="00DE7202" w:rsidRDefault="001475AA" w:rsidP="00917612">
            <w:pPr>
              <w:tabs>
                <w:tab w:val="left" w:pos="1134"/>
              </w:tabs>
              <w:spacing w:beforeLines="25" w:before="60" w:afterLines="25" w:after="60"/>
              <w:jc w:val="both"/>
              <w:rPr>
                <w:rFonts w:eastAsia="標楷體"/>
                <w:sz w:val="26"/>
                <w:szCs w:val="26"/>
              </w:rPr>
            </w:pPr>
            <w:proofErr w:type="spellStart"/>
            <w:r>
              <w:rPr>
                <w:rFonts w:eastAsia="標楷體" w:hint="eastAsia"/>
                <w:sz w:val="26"/>
                <w:szCs w:val="26"/>
              </w:rPr>
              <w:t>Adversiting</w:t>
            </w:r>
            <w:proofErr w:type="spellEnd"/>
            <w:r>
              <w:rPr>
                <w:rFonts w:eastAsia="標楷體" w:hint="eastAsia"/>
                <w:sz w:val="26"/>
                <w:szCs w:val="26"/>
              </w:rPr>
              <w:t xml:space="preserve"> Agencies(</w:t>
            </w:r>
            <w:r>
              <w:rPr>
                <w:rFonts w:eastAsia="標楷體" w:hint="eastAsia"/>
                <w:sz w:val="26"/>
                <w:szCs w:val="26"/>
              </w:rPr>
              <w:t>行銷代理服務</w:t>
            </w:r>
            <w:r>
              <w:rPr>
                <w:rFonts w:eastAsia="標楷體" w:hint="eastAsia"/>
                <w:sz w:val="26"/>
                <w:szCs w:val="26"/>
              </w:rPr>
              <w:t>)</w:t>
            </w:r>
          </w:p>
        </w:tc>
      </w:tr>
      <w:tr w:rsidR="001475AA" w:rsidRPr="00667515" w:rsidTr="00917612">
        <w:trPr>
          <w:trHeight w:val="680"/>
        </w:trPr>
        <w:tc>
          <w:tcPr>
            <w:tcW w:w="1558" w:type="dxa"/>
            <w:vAlign w:val="center"/>
          </w:tcPr>
          <w:p w:rsidR="00DE7202" w:rsidRDefault="001475AA" w:rsidP="001719B7">
            <w:pPr>
              <w:tabs>
                <w:tab w:val="left" w:pos="1134"/>
              </w:tabs>
              <w:spacing w:beforeLines="25" w:before="60" w:afterLines="25" w:after="60"/>
              <w:jc w:val="center"/>
              <w:rPr>
                <w:rFonts w:eastAsia="標楷體"/>
                <w:sz w:val="26"/>
                <w:szCs w:val="26"/>
              </w:rPr>
            </w:pPr>
            <w:r>
              <w:rPr>
                <w:rFonts w:eastAsia="標楷體" w:hint="eastAsia"/>
                <w:sz w:val="26"/>
                <w:szCs w:val="26"/>
              </w:rPr>
              <w:t>7389</w:t>
            </w:r>
          </w:p>
        </w:tc>
        <w:tc>
          <w:tcPr>
            <w:tcW w:w="6157" w:type="dxa"/>
            <w:vAlign w:val="center"/>
          </w:tcPr>
          <w:p w:rsidR="00DE7202" w:rsidRDefault="001475AA" w:rsidP="00917612">
            <w:pPr>
              <w:tabs>
                <w:tab w:val="left" w:pos="1134"/>
              </w:tabs>
              <w:spacing w:beforeLines="25" w:before="60" w:afterLines="25" w:after="60"/>
              <w:jc w:val="both"/>
              <w:rPr>
                <w:rFonts w:eastAsia="標楷體"/>
                <w:sz w:val="26"/>
                <w:szCs w:val="26"/>
              </w:rPr>
            </w:pPr>
            <w:r w:rsidRPr="00FC682F">
              <w:rPr>
                <w:rFonts w:eastAsia="標楷體"/>
                <w:sz w:val="26"/>
                <w:szCs w:val="26"/>
              </w:rPr>
              <w:t>Business Services, Not Elsewhere Classified</w:t>
            </w:r>
            <w:r>
              <w:rPr>
                <w:rFonts w:eastAsia="標楷體" w:hint="eastAsia"/>
                <w:sz w:val="26"/>
                <w:szCs w:val="26"/>
              </w:rPr>
              <w:t>(</w:t>
            </w:r>
            <w:r>
              <w:rPr>
                <w:rFonts w:eastAsia="標楷體" w:hint="eastAsia"/>
                <w:sz w:val="26"/>
                <w:szCs w:val="26"/>
              </w:rPr>
              <w:t>其他未分類之商業服務</w:t>
            </w:r>
            <w:r>
              <w:rPr>
                <w:rFonts w:eastAsia="標楷體" w:hint="eastAsia"/>
                <w:sz w:val="26"/>
                <w:szCs w:val="26"/>
              </w:rPr>
              <w:t>)</w:t>
            </w:r>
          </w:p>
        </w:tc>
      </w:tr>
      <w:tr w:rsidR="001475AA" w:rsidRPr="00667515" w:rsidTr="00917612">
        <w:trPr>
          <w:trHeight w:val="680"/>
        </w:trPr>
        <w:tc>
          <w:tcPr>
            <w:tcW w:w="1558" w:type="dxa"/>
            <w:vAlign w:val="center"/>
          </w:tcPr>
          <w:p w:rsidR="00DE7202" w:rsidRDefault="001475AA" w:rsidP="001719B7">
            <w:pPr>
              <w:tabs>
                <w:tab w:val="left" w:pos="1134"/>
              </w:tabs>
              <w:spacing w:beforeLines="25" w:before="60" w:afterLines="25" w:after="60"/>
              <w:jc w:val="center"/>
              <w:rPr>
                <w:rFonts w:eastAsia="標楷體"/>
                <w:sz w:val="26"/>
                <w:szCs w:val="26"/>
              </w:rPr>
            </w:pPr>
            <w:r>
              <w:rPr>
                <w:rFonts w:eastAsia="標楷體" w:hint="eastAsia"/>
                <w:sz w:val="26"/>
                <w:szCs w:val="26"/>
              </w:rPr>
              <w:t>8711</w:t>
            </w:r>
          </w:p>
        </w:tc>
        <w:tc>
          <w:tcPr>
            <w:tcW w:w="6157" w:type="dxa"/>
            <w:vAlign w:val="center"/>
          </w:tcPr>
          <w:p w:rsidR="00DE7202" w:rsidRDefault="001475AA" w:rsidP="00917612">
            <w:pPr>
              <w:tabs>
                <w:tab w:val="left" w:pos="1134"/>
              </w:tabs>
              <w:spacing w:beforeLines="25" w:before="60" w:afterLines="25" w:after="60"/>
              <w:jc w:val="both"/>
              <w:rPr>
                <w:rFonts w:eastAsia="標楷體"/>
                <w:sz w:val="26"/>
                <w:szCs w:val="26"/>
              </w:rPr>
            </w:pPr>
            <w:r>
              <w:rPr>
                <w:rFonts w:eastAsia="標楷體" w:hint="eastAsia"/>
                <w:sz w:val="26"/>
                <w:szCs w:val="26"/>
              </w:rPr>
              <w:t>Engineering Services(</w:t>
            </w:r>
            <w:r>
              <w:rPr>
                <w:rFonts w:eastAsia="標楷體" w:hint="eastAsia"/>
                <w:sz w:val="26"/>
                <w:szCs w:val="26"/>
              </w:rPr>
              <w:t>工程服務</w:t>
            </w:r>
            <w:r>
              <w:rPr>
                <w:rFonts w:eastAsia="標楷體" w:hint="eastAsia"/>
                <w:sz w:val="26"/>
                <w:szCs w:val="26"/>
              </w:rPr>
              <w:t>)</w:t>
            </w:r>
          </w:p>
        </w:tc>
      </w:tr>
      <w:tr w:rsidR="001475AA" w:rsidRPr="00667515" w:rsidTr="00917612">
        <w:trPr>
          <w:trHeight w:val="680"/>
        </w:trPr>
        <w:tc>
          <w:tcPr>
            <w:tcW w:w="1558" w:type="dxa"/>
            <w:vAlign w:val="center"/>
          </w:tcPr>
          <w:p w:rsidR="00DE7202" w:rsidRDefault="001475AA" w:rsidP="001719B7">
            <w:pPr>
              <w:tabs>
                <w:tab w:val="left" w:pos="1134"/>
              </w:tabs>
              <w:spacing w:beforeLines="25" w:before="60" w:afterLines="25" w:after="60"/>
              <w:jc w:val="center"/>
              <w:rPr>
                <w:rFonts w:eastAsia="標楷體"/>
                <w:sz w:val="26"/>
                <w:szCs w:val="26"/>
              </w:rPr>
            </w:pPr>
            <w:r>
              <w:rPr>
                <w:rFonts w:eastAsia="標楷體" w:hint="eastAsia"/>
                <w:sz w:val="26"/>
                <w:szCs w:val="26"/>
              </w:rPr>
              <w:t>8742</w:t>
            </w:r>
          </w:p>
        </w:tc>
        <w:tc>
          <w:tcPr>
            <w:tcW w:w="6157" w:type="dxa"/>
            <w:vAlign w:val="center"/>
          </w:tcPr>
          <w:p w:rsidR="00DE7202" w:rsidRDefault="001475AA" w:rsidP="00917612">
            <w:pPr>
              <w:tabs>
                <w:tab w:val="left" w:pos="1134"/>
              </w:tabs>
              <w:spacing w:beforeLines="25" w:before="60" w:afterLines="25" w:after="60"/>
              <w:jc w:val="both"/>
              <w:rPr>
                <w:rFonts w:eastAsia="標楷體"/>
                <w:sz w:val="26"/>
                <w:szCs w:val="26"/>
              </w:rPr>
            </w:pPr>
            <w:r w:rsidRPr="00FC682F">
              <w:rPr>
                <w:rFonts w:eastAsia="標楷體"/>
                <w:sz w:val="26"/>
                <w:szCs w:val="26"/>
              </w:rPr>
              <w:t>Management Consulting Services</w:t>
            </w:r>
            <w:r>
              <w:rPr>
                <w:rFonts w:eastAsia="標楷體" w:hint="eastAsia"/>
                <w:sz w:val="26"/>
                <w:szCs w:val="26"/>
              </w:rPr>
              <w:t xml:space="preserve"> (</w:t>
            </w:r>
            <w:r>
              <w:rPr>
                <w:rFonts w:eastAsia="標楷體" w:hint="eastAsia"/>
                <w:sz w:val="26"/>
                <w:szCs w:val="26"/>
              </w:rPr>
              <w:t>管理諮詢服務</w:t>
            </w:r>
            <w:r>
              <w:rPr>
                <w:rFonts w:eastAsia="標楷體" w:hint="eastAsia"/>
                <w:sz w:val="26"/>
                <w:szCs w:val="26"/>
              </w:rPr>
              <w:t>)</w:t>
            </w:r>
          </w:p>
        </w:tc>
      </w:tr>
      <w:tr w:rsidR="001475AA" w:rsidRPr="00667515" w:rsidTr="00917612">
        <w:trPr>
          <w:trHeight w:val="680"/>
        </w:trPr>
        <w:tc>
          <w:tcPr>
            <w:tcW w:w="1558" w:type="dxa"/>
            <w:vAlign w:val="center"/>
          </w:tcPr>
          <w:p w:rsidR="00DE7202" w:rsidRDefault="001475AA" w:rsidP="001719B7">
            <w:pPr>
              <w:tabs>
                <w:tab w:val="left" w:pos="1134"/>
              </w:tabs>
              <w:spacing w:beforeLines="25" w:before="60" w:afterLines="25" w:after="60"/>
              <w:jc w:val="center"/>
              <w:rPr>
                <w:rFonts w:eastAsia="標楷體"/>
                <w:sz w:val="26"/>
                <w:szCs w:val="26"/>
              </w:rPr>
            </w:pPr>
            <w:r>
              <w:rPr>
                <w:rFonts w:eastAsia="標楷體" w:hint="eastAsia"/>
                <w:sz w:val="26"/>
                <w:szCs w:val="26"/>
              </w:rPr>
              <w:t>8743</w:t>
            </w:r>
          </w:p>
        </w:tc>
        <w:tc>
          <w:tcPr>
            <w:tcW w:w="6157" w:type="dxa"/>
            <w:vAlign w:val="center"/>
          </w:tcPr>
          <w:p w:rsidR="00DE7202" w:rsidRDefault="001475AA" w:rsidP="00917612">
            <w:pPr>
              <w:tabs>
                <w:tab w:val="left" w:pos="1134"/>
              </w:tabs>
              <w:spacing w:beforeLines="25" w:before="60" w:afterLines="25" w:after="60"/>
              <w:jc w:val="both"/>
              <w:rPr>
                <w:rFonts w:eastAsia="標楷體"/>
                <w:sz w:val="26"/>
                <w:szCs w:val="26"/>
              </w:rPr>
            </w:pPr>
            <w:r>
              <w:rPr>
                <w:rFonts w:eastAsia="標楷體" w:hint="eastAsia"/>
                <w:sz w:val="26"/>
                <w:szCs w:val="26"/>
              </w:rPr>
              <w:t>Public Relations Services(</w:t>
            </w:r>
            <w:r>
              <w:rPr>
                <w:rFonts w:eastAsia="標楷體" w:hint="eastAsia"/>
                <w:sz w:val="26"/>
                <w:szCs w:val="26"/>
              </w:rPr>
              <w:t>公關服務</w:t>
            </w:r>
            <w:r>
              <w:rPr>
                <w:rFonts w:eastAsia="標楷體" w:hint="eastAsia"/>
                <w:sz w:val="26"/>
                <w:szCs w:val="26"/>
              </w:rPr>
              <w:t>)</w:t>
            </w:r>
          </w:p>
        </w:tc>
      </w:tr>
      <w:tr w:rsidR="001475AA" w:rsidRPr="00667515" w:rsidTr="00917612">
        <w:trPr>
          <w:trHeight w:val="680"/>
        </w:trPr>
        <w:tc>
          <w:tcPr>
            <w:tcW w:w="1558" w:type="dxa"/>
            <w:vAlign w:val="center"/>
          </w:tcPr>
          <w:p w:rsidR="00DE7202" w:rsidRDefault="001475AA" w:rsidP="001719B7">
            <w:pPr>
              <w:tabs>
                <w:tab w:val="left" w:pos="1134"/>
              </w:tabs>
              <w:spacing w:beforeLines="25" w:before="60" w:afterLines="25" w:after="60"/>
              <w:jc w:val="center"/>
              <w:rPr>
                <w:rFonts w:eastAsia="標楷體"/>
                <w:sz w:val="26"/>
                <w:szCs w:val="26"/>
              </w:rPr>
            </w:pPr>
            <w:r>
              <w:rPr>
                <w:rFonts w:eastAsia="標楷體" w:hint="eastAsia"/>
                <w:sz w:val="26"/>
                <w:szCs w:val="26"/>
              </w:rPr>
              <w:t>8748</w:t>
            </w:r>
          </w:p>
        </w:tc>
        <w:tc>
          <w:tcPr>
            <w:tcW w:w="6157" w:type="dxa"/>
            <w:vAlign w:val="center"/>
          </w:tcPr>
          <w:p w:rsidR="00DE7202" w:rsidRDefault="001475AA" w:rsidP="00917612">
            <w:pPr>
              <w:tabs>
                <w:tab w:val="left" w:pos="1134"/>
              </w:tabs>
              <w:spacing w:beforeLines="25" w:before="60" w:afterLines="25" w:after="60"/>
              <w:jc w:val="both"/>
              <w:rPr>
                <w:rFonts w:eastAsia="標楷體"/>
                <w:sz w:val="26"/>
                <w:szCs w:val="26"/>
              </w:rPr>
            </w:pPr>
            <w:r w:rsidRPr="00FC682F">
              <w:rPr>
                <w:rFonts w:eastAsia="標楷體"/>
                <w:sz w:val="26"/>
                <w:szCs w:val="26"/>
              </w:rPr>
              <w:t>Business Consulting Services, Not Elsewhere Classified</w:t>
            </w:r>
          </w:p>
          <w:p w:rsidR="00DE7202" w:rsidRDefault="001475AA" w:rsidP="00917612">
            <w:pPr>
              <w:tabs>
                <w:tab w:val="left" w:pos="1134"/>
              </w:tabs>
              <w:spacing w:beforeLines="25" w:before="60" w:afterLines="25" w:after="60"/>
              <w:jc w:val="both"/>
              <w:rPr>
                <w:rFonts w:eastAsia="標楷體"/>
                <w:sz w:val="26"/>
                <w:szCs w:val="26"/>
              </w:rPr>
            </w:pPr>
            <w:r>
              <w:rPr>
                <w:rFonts w:eastAsia="標楷體" w:hint="eastAsia"/>
                <w:sz w:val="26"/>
                <w:szCs w:val="26"/>
              </w:rPr>
              <w:t>(</w:t>
            </w:r>
            <w:r>
              <w:rPr>
                <w:rFonts w:eastAsia="標楷體" w:hint="eastAsia"/>
                <w:sz w:val="26"/>
                <w:szCs w:val="26"/>
              </w:rPr>
              <w:t>其他未分類之商業諮詢服務</w:t>
            </w:r>
            <w:r>
              <w:rPr>
                <w:rFonts w:eastAsia="標楷體" w:hint="eastAsia"/>
                <w:sz w:val="26"/>
                <w:szCs w:val="26"/>
              </w:rPr>
              <w:t>)</w:t>
            </w:r>
          </w:p>
        </w:tc>
      </w:tr>
    </w:tbl>
    <w:p w:rsidR="00DE7202" w:rsidRDefault="001475AA" w:rsidP="001719B7">
      <w:pPr>
        <w:widowControl/>
        <w:numPr>
          <w:ilvl w:val="0"/>
          <w:numId w:val="40"/>
        </w:numPr>
        <w:tabs>
          <w:tab w:val="left" w:pos="1418"/>
          <w:tab w:val="left" w:pos="1560"/>
        </w:tabs>
        <w:spacing w:beforeLines="50" w:before="120" w:afterLines="50" w:after="120" w:line="360" w:lineRule="auto"/>
        <w:ind w:leftChars="300" w:left="1202" w:hanging="482"/>
        <w:jc w:val="both"/>
        <w:rPr>
          <w:rFonts w:eastAsia="標楷體"/>
          <w:sz w:val="26"/>
          <w:szCs w:val="26"/>
        </w:rPr>
      </w:pPr>
      <w:r w:rsidRPr="00617B36">
        <w:rPr>
          <w:rFonts w:eastAsia="標楷體" w:hint="eastAsia"/>
          <w:sz w:val="26"/>
          <w:szCs w:val="26"/>
        </w:rPr>
        <w:t>關鍵字篩選</w:t>
      </w:r>
    </w:p>
    <w:p w:rsidR="00DE7202" w:rsidRDefault="001475AA" w:rsidP="001719B7">
      <w:pPr>
        <w:tabs>
          <w:tab w:val="left" w:pos="1134"/>
        </w:tabs>
        <w:spacing w:beforeLines="50" w:before="120" w:afterLines="50" w:after="120" w:line="360" w:lineRule="auto"/>
        <w:ind w:leftChars="400" w:left="960" w:firstLineChars="200" w:firstLine="520"/>
        <w:jc w:val="both"/>
        <w:rPr>
          <w:rFonts w:eastAsia="標楷體"/>
          <w:sz w:val="26"/>
          <w:szCs w:val="26"/>
        </w:rPr>
      </w:pPr>
      <w:r w:rsidRPr="00617B36">
        <w:rPr>
          <w:rFonts w:eastAsia="標楷體" w:hint="eastAsia"/>
          <w:bCs/>
          <w:sz w:val="26"/>
          <w:szCs w:val="26"/>
        </w:rPr>
        <w:t>為確定選出樣本之可比較性，本所對前一步驟得出樣本之企業敍述進行篩選，</w:t>
      </w:r>
      <w:r w:rsidRPr="00085487">
        <w:rPr>
          <w:rFonts w:eastAsia="標楷體" w:hint="eastAsia"/>
          <w:bCs/>
          <w:sz w:val="26"/>
          <w:szCs w:val="26"/>
        </w:rPr>
        <w:t>因</w:t>
      </w:r>
      <w:r w:rsidR="00085487" w:rsidRPr="00085487">
        <w:rPr>
          <w:rFonts w:eastAsia="標楷體" w:hint="eastAsia"/>
          <w:bCs/>
          <w:sz w:val="26"/>
          <w:szCs w:val="26"/>
        </w:rPr>
        <w:t>萊迪思台灣分公司提供產品之行銷</w:t>
      </w:r>
      <w:r w:rsidRPr="00085487">
        <w:rPr>
          <w:rFonts w:eastAsia="標楷體" w:hint="eastAsia"/>
          <w:sz w:val="26"/>
          <w:szCs w:val="26"/>
        </w:rPr>
        <w:t>服務</w:t>
      </w:r>
      <w:r w:rsidRPr="00085487">
        <w:rPr>
          <w:rFonts w:eastAsia="標楷體" w:hint="eastAsia"/>
          <w:bCs/>
          <w:sz w:val="26"/>
          <w:szCs w:val="26"/>
        </w:rPr>
        <w:t>，</w:t>
      </w:r>
      <w:r w:rsidRPr="00617B36">
        <w:rPr>
          <w:rFonts w:eastAsia="標楷體" w:hint="eastAsia"/>
          <w:bCs/>
          <w:sz w:val="26"/>
          <w:szCs w:val="26"/>
        </w:rPr>
        <w:t>故本所使用下列關鍵字篩選：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6"/>
        <w:gridCol w:w="3756"/>
      </w:tblGrid>
      <w:tr w:rsidR="001475AA" w:rsidRPr="00BB4352" w:rsidTr="00EA1F64">
        <w:trPr>
          <w:tblHeader/>
        </w:trPr>
        <w:tc>
          <w:tcPr>
            <w:tcW w:w="3756" w:type="dxa"/>
            <w:shd w:val="clear" w:color="auto" w:fill="4F81BD"/>
          </w:tcPr>
          <w:p w:rsidR="00DE7202" w:rsidRDefault="001475AA" w:rsidP="001719B7">
            <w:pPr>
              <w:spacing w:beforeLines="25" w:before="60" w:afterLines="25" w:after="60"/>
              <w:jc w:val="center"/>
              <w:rPr>
                <w:rFonts w:eastAsia="標楷體"/>
                <w:bCs/>
                <w:color w:val="FFFFFF"/>
                <w:sz w:val="26"/>
                <w:szCs w:val="26"/>
              </w:rPr>
            </w:pPr>
            <w:r w:rsidRPr="00BB4352">
              <w:rPr>
                <w:rFonts w:eastAsia="標楷體" w:hint="eastAsia"/>
                <w:bCs/>
                <w:color w:val="FFFFFF"/>
                <w:sz w:val="26"/>
                <w:szCs w:val="26"/>
              </w:rPr>
              <w:t>關鍵字</w:t>
            </w:r>
          </w:p>
        </w:tc>
        <w:tc>
          <w:tcPr>
            <w:tcW w:w="3756" w:type="dxa"/>
            <w:shd w:val="clear" w:color="auto" w:fill="4F81BD"/>
          </w:tcPr>
          <w:p w:rsidR="00DE7202" w:rsidRDefault="001475AA" w:rsidP="001719B7">
            <w:pPr>
              <w:spacing w:beforeLines="25" w:before="60" w:afterLines="25" w:after="60"/>
              <w:jc w:val="center"/>
              <w:rPr>
                <w:rFonts w:eastAsia="標楷體"/>
                <w:bCs/>
                <w:color w:val="FFFFFF"/>
                <w:sz w:val="26"/>
                <w:szCs w:val="26"/>
              </w:rPr>
            </w:pPr>
            <w:r w:rsidRPr="00BB4352">
              <w:rPr>
                <w:rFonts w:eastAsia="標楷體" w:hint="eastAsia"/>
                <w:bCs/>
                <w:color w:val="FFFFFF"/>
                <w:sz w:val="26"/>
                <w:szCs w:val="26"/>
              </w:rPr>
              <w:t>選擇原因</w:t>
            </w:r>
          </w:p>
        </w:tc>
      </w:tr>
      <w:tr w:rsidR="001475AA" w:rsidRPr="00667515" w:rsidTr="00917612">
        <w:trPr>
          <w:trHeight w:val="850"/>
        </w:trPr>
        <w:tc>
          <w:tcPr>
            <w:tcW w:w="3756" w:type="dxa"/>
            <w:vAlign w:val="center"/>
          </w:tcPr>
          <w:p w:rsidR="00917612" w:rsidRDefault="001475AA" w:rsidP="00EA1F64">
            <w:pPr>
              <w:jc w:val="center"/>
              <w:rPr>
                <w:rFonts w:eastAsia="標楷體"/>
                <w:bCs/>
                <w:sz w:val="26"/>
                <w:szCs w:val="26"/>
              </w:rPr>
            </w:pPr>
            <w:r w:rsidRPr="007A5881">
              <w:rPr>
                <w:rFonts w:eastAsia="標楷體" w:hint="eastAsia"/>
                <w:bCs/>
                <w:sz w:val="26"/>
                <w:szCs w:val="26"/>
              </w:rPr>
              <w:t>行銷服務</w:t>
            </w:r>
          </w:p>
          <w:p w:rsidR="001475AA" w:rsidRPr="007A5881" w:rsidRDefault="001475AA" w:rsidP="00EA1F64">
            <w:pPr>
              <w:jc w:val="center"/>
              <w:rPr>
                <w:rFonts w:eastAsia="標楷體"/>
                <w:bCs/>
                <w:sz w:val="26"/>
                <w:szCs w:val="26"/>
              </w:rPr>
            </w:pPr>
            <w:r w:rsidRPr="007A5881">
              <w:rPr>
                <w:rFonts w:eastAsia="標楷體" w:hint="eastAsia"/>
                <w:bCs/>
                <w:sz w:val="26"/>
                <w:szCs w:val="26"/>
              </w:rPr>
              <w:t>(Marketing Service)</w:t>
            </w:r>
          </w:p>
        </w:tc>
        <w:tc>
          <w:tcPr>
            <w:tcW w:w="3756" w:type="dxa"/>
            <w:vAlign w:val="center"/>
          </w:tcPr>
          <w:p w:rsidR="001475AA" w:rsidRPr="007A5881" w:rsidRDefault="001475AA" w:rsidP="00917612">
            <w:pPr>
              <w:jc w:val="center"/>
              <w:rPr>
                <w:rFonts w:eastAsia="標楷體"/>
                <w:spacing w:val="-2"/>
                <w:sz w:val="26"/>
                <w:szCs w:val="26"/>
              </w:rPr>
            </w:pPr>
            <w:r w:rsidRPr="007A5881">
              <w:rPr>
                <w:rFonts w:eastAsia="標楷體" w:hint="eastAsia"/>
                <w:spacing w:val="-2"/>
                <w:sz w:val="26"/>
                <w:szCs w:val="26"/>
              </w:rPr>
              <w:t>萊迪思台灣分公司</w:t>
            </w:r>
          </w:p>
          <w:p w:rsidR="001475AA" w:rsidRPr="007A5881" w:rsidRDefault="001475AA" w:rsidP="00917612">
            <w:pPr>
              <w:jc w:val="center"/>
              <w:rPr>
                <w:rFonts w:eastAsia="標楷體"/>
                <w:bCs/>
                <w:sz w:val="26"/>
                <w:szCs w:val="26"/>
              </w:rPr>
            </w:pPr>
            <w:r w:rsidRPr="007A5881">
              <w:rPr>
                <w:rFonts w:eastAsia="標楷體" w:hint="eastAsia"/>
                <w:bCs/>
                <w:sz w:val="26"/>
                <w:szCs w:val="26"/>
              </w:rPr>
              <w:t>有執行產品之行銷</w:t>
            </w:r>
          </w:p>
        </w:tc>
      </w:tr>
      <w:tr w:rsidR="001475AA" w:rsidRPr="00667515" w:rsidTr="00917612">
        <w:trPr>
          <w:trHeight w:val="850"/>
        </w:trPr>
        <w:tc>
          <w:tcPr>
            <w:tcW w:w="3756" w:type="dxa"/>
            <w:vAlign w:val="center"/>
          </w:tcPr>
          <w:p w:rsidR="00917612" w:rsidRDefault="001475AA" w:rsidP="00EA1F64">
            <w:pPr>
              <w:jc w:val="center"/>
              <w:rPr>
                <w:rFonts w:eastAsia="標楷體"/>
                <w:bCs/>
                <w:sz w:val="26"/>
                <w:szCs w:val="26"/>
              </w:rPr>
            </w:pPr>
            <w:r w:rsidRPr="007A5881">
              <w:rPr>
                <w:rFonts w:eastAsia="標楷體" w:hint="eastAsia"/>
                <w:bCs/>
                <w:sz w:val="26"/>
                <w:szCs w:val="26"/>
              </w:rPr>
              <w:lastRenderedPageBreak/>
              <w:t>諮詢</w:t>
            </w:r>
          </w:p>
          <w:p w:rsidR="001475AA" w:rsidRPr="007A5881" w:rsidRDefault="001475AA" w:rsidP="00EA1F64">
            <w:pPr>
              <w:jc w:val="center"/>
              <w:rPr>
                <w:rFonts w:eastAsia="標楷體"/>
                <w:bCs/>
                <w:sz w:val="26"/>
                <w:szCs w:val="26"/>
              </w:rPr>
            </w:pPr>
            <w:r w:rsidRPr="007A5881">
              <w:rPr>
                <w:rFonts w:eastAsia="標楷體" w:hint="eastAsia"/>
                <w:bCs/>
                <w:sz w:val="26"/>
                <w:szCs w:val="26"/>
              </w:rPr>
              <w:t>(Consult)</w:t>
            </w:r>
          </w:p>
        </w:tc>
        <w:tc>
          <w:tcPr>
            <w:tcW w:w="3756" w:type="dxa"/>
            <w:vAlign w:val="center"/>
          </w:tcPr>
          <w:p w:rsidR="001475AA" w:rsidRPr="007A5881" w:rsidRDefault="001475AA" w:rsidP="00917612">
            <w:pPr>
              <w:jc w:val="center"/>
              <w:rPr>
                <w:rFonts w:eastAsia="標楷體"/>
                <w:spacing w:val="-2"/>
                <w:sz w:val="26"/>
                <w:szCs w:val="26"/>
              </w:rPr>
            </w:pPr>
            <w:r w:rsidRPr="007A5881">
              <w:rPr>
                <w:rFonts w:eastAsia="標楷體" w:hint="eastAsia"/>
                <w:spacing w:val="-2"/>
                <w:sz w:val="26"/>
                <w:szCs w:val="26"/>
              </w:rPr>
              <w:t>萊迪思台灣分公司</w:t>
            </w:r>
          </w:p>
          <w:p w:rsidR="001475AA" w:rsidRPr="007A5881" w:rsidRDefault="001475AA" w:rsidP="00917612">
            <w:pPr>
              <w:jc w:val="center"/>
              <w:rPr>
                <w:rFonts w:eastAsia="標楷體"/>
                <w:bCs/>
                <w:sz w:val="26"/>
                <w:szCs w:val="26"/>
              </w:rPr>
            </w:pPr>
            <w:r w:rsidRPr="007A5881">
              <w:rPr>
                <w:rFonts w:eastAsia="標楷體" w:hint="eastAsia"/>
                <w:bCs/>
                <w:sz w:val="26"/>
                <w:szCs w:val="26"/>
              </w:rPr>
              <w:t>提供客戶產品諮詢</w:t>
            </w:r>
          </w:p>
        </w:tc>
      </w:tr>
      <w:tr w:rsidR="001475AA" w:rsidRPr="00667515" w:rsidTr="00917612">
        <w:trPr>
          <w:trHeight w:val="850"/>
        </w:trPr>
        <w:tc>
          <w:tcPr>
            <w:tcW w:w="3756" w:type="dxa"/>
            <w:vAlign w:val="center"/>
          </w:tcPr>
          <w:p w:rsidR="00917612" w:rsidRDefault="001475AA" w:rsidP="00917612">
            <w:pPr>
              <w:jc w:val="center"/>
              <w:rPr>
                <w:rFonts w:eastAsia="標楷體"/>
                <w:bCs/>
                <w:sz w:val="26"/>
                <w:szCs w:val="26"/>
              </w:rPr>
            </w:pPr>
            <w:r w:rsidRPr="007A5881">
              <w:rPr>
                <w:rFonts w:eastAsia="標楷體" w:hint="eastAsia"/>
                <w:bCs/>
                <w:sz w:val="26"/>
                <w:szCs w:val="26"/>
              </w:rPr>
              <w:t>客戶服務</w:t>
            </w:r>
          </w:p>
          <w:p w:rsidR="001475AA" w:rsidRPr="007A5881" w:rsidRDefault="001475AA" w:rsidP="00917612">
            <w:pPr>
              <w:jc w:val="center"/>
              <w:rPr>
                <w:rFonts w:eastAsia="標楷體"/>
                <w:bCs/>
                <w:sz w:val="26"/>
                <w:szCs w:val="26"/>
              </w:rPr>
            </w:pPr>
            <w:r w:rsidRPr="007A5881">
              <w:rPr>
                <w:rFonts w:eastAsia="標楷體" w:hint="eastAsia"/>
                <w:bCs/>
                <w:sz w:val="26"/>
                <w:szCs w:val="26"/>
              </w:rPr>
              <w:t>(Customer Service)</w:t>
            </w:r>
          </w:p>
        </w:tc>
        <w:tc>
          <w:tcPr>
            <w:tcW w:w="3756" w:type="dxa"/>
            <w:vAlign w:val="center"/>
          </w:tcPr>
          <w:p w:rsidR="001475AA" w:rsidRPr="007A5881" w:rsidRDefault="001475AA" w:rsidP="00917612">
            <w:pPr>
              <w:jc w:val="center"/>
              <w:rPr>
                <w:rFonts w:eastAsia="標楷體"/>
                <w:spacing w:val="-2"/>
                <w:sz w:val="26"/>
                <w:szCs w:val="26"/>
              </w:rPr>
            </w:pPr>
            <w:r w:rsidRPr="007A5881">
              <w:rPr>
                <w:rFonts w:eastAsia="標楷體" w:hint="eastAsia"/>
                <w:spacing w:val="-2"/>
                <w:sz w:val="26"/>
                <w:szCs w:val="26"/>
              </w:rPr>
              <w:t>萊迪思台灣分公司</w:t>
            </w:r>
          </w:p>
          <w:p w:rsidR="001475AA" w:rsidRPr="007A5881" w:rsidRDefault="001475AA" w:rsidP="00917612">
            <w:pPr>
              <w:jc w:val="center"/>
              <w:rPr>
                <w:rFonts w:eastAsia="標楷體"/>
                <w:bCs/>
                <w:sz w:val="26"/>
                <w:szCs w:val="26"/>
              </w:rPr>
            </w:pPr>
            <w:r w:rsidRPr="007A5881">
              <w:rPr>
                <w:rFonts w:eastAsia="標楷體" w:hint="eastAsia"/>
                <w:bCs/>
                <w:sz w:val="26"/>
                <w:szCs w:val="26"/>
              </w:rPr>
              <w:t>提供客戶售後服務</w:t>
            </w:r>
          </w:p>
        </w:tc>
      </w:tr>
    </w:tbl>
    <w:p w:rsidR="00DE7202" w:rsidRDefault="001475AA" w:rsidP="001719B7">
      <w:pPr>
        <w:widowControl/>
        <w:numPr>
          <w:ilvl w:val="0"/>
          <w:numId w:val="40"/>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檢視財務資料充分性（</w:t>
      </w:r>
      <w:r w:rsidRPr="00397F28">
        <w:rPr>
          <w:rFonts w:eastAsia="標楷體"/>
          <w:sz w:val="26"/>
          <w:szCs w:val="26"/>
        </w:rPr>
        <w:t>Sufficient</w:t>
      </w:r>
      <w:r w:rsidRPr="00397F28">
        <w:rPr>
          <w:rFonts w:eastAsia="標楷體"/>
          <w:sz w:val="26"/>
          <w:szCs w:val="26"/>
        </w:rPr>
        <w:t>）及可用性（</w:t>
      </w:r>
      <w:r w:rsidRPr="00397F28">
        <w:rPr>
          <w:rFonts w:eastAsia="標楷體"/>
          <w:sz w:val="26"/>
          <w:szCs w:val="26"/>
        </w:rPr>
        <w:t>Viability</w:t>
      </w:r>
      <w:r w:rsidRPr="00397F28">
        <w:rPr>
          <w:rFonts w:eastAsia="標楷體"/>
          <w:sz w:val="26"/>
          <w:szCs w:val="26"/>
        </w:rPr>
        <w:t>）</w:t>
      </w:r>
    </w:p>
    <w:p w:rsidR="00DE7202" w:rsidRPr="00E40EE9" w:rsidRDefault="001475AA" w:rsidP="001719B7">
      <w:pPr>
        <w:spacing w:beforeLines="50" w:before="120" w:afterLines="50" w:after="120" w:line="360" w:lineRule="auto"/>
        <w:ind w:leftChars="400" w:left="960" w:firstLineChars="200" w:firstLine="520"/>
        <w:jc w:val="both"/>
        <w:rPr>
          <w:rFonts w:eastAsia="標楷體"/>
          <w:bCs/>
          <w:color w:val="000000" w:themeColor="text1"/>
          <w:sz w:val="26"/>
          <w:szCs w:val="26"/>
        </w:rPr>
      </w:pPr>
      <w:r w:rsidRPr="005577C2">
        <w:rPr>
          <w:rFonts w:eastAsia="標楷體" w:hint="eastAsia"/>
          <w:sz w:val="26"/>
          <w:szCs w:val="26"/>
        </w:rPr>
        <w:t>可比</w:t>
      </w:r>
      <w:r w:rsidRPr="00E40EE9">
        <w:rPr>
          <w:rFonts w:eastAsia="標楷體" w:hint="eastAsia"/>
          <w:color w:val="000000" w:themeColor="text1"/>
          <w:sz w:val="26"/>
          <w:szCs w:val="26"/>
        </w:rPr>
        <w:t>較利潤法要求可比較對象需具備最近三年財務資料，</w:t>
      </w:r>
      <w:r w:rsidR="008B68A9" w:rsidRPr="00E40EE9">
        <w:rPr>
          <w:rFonts w:eastAsia="標楷體" w:hint="eastAsia"/>
          <w:color w:val="000000" w:themeColor="text1"/>
          <w:sz w:val="26"/>
          <w:szCs w:val="26"/>
        </w:rPr>
        <w:t>截至本文</w:t>
      </w:r>
      <w:proofErr w:type="gramStart"/>
      <w:r w:rsidR="008B68A9" w:rsidRPr="00E40EE9">
        <w:rPr>
          <w:rFonts w:eastAsia="標楷體" w:hint="eastAsia"/>
          <w:color w:val="000000" w:themeColor="text1"/>
          <w:sz w:val="26"/>
          <w:szCs w:val="26"/>
        </w:rPr>
        <w:t>據出具日</w:t>
      </w:r>
      <w:proofErr w:type="gramEnd"/>
      <w:r w:rsidR="008B68A9" w:rsidRPr="00E40EE9">
        <w:rPr>
          <w:rFonts w:eastAsia="標楷體" w:hint="eastAsia"/>
          <w:color w:val="000000" w:themeColor="text1"/>
          <w:sz w:val="26"/>
          <w:szCs w:val="26"/>
        </w:rPr>
        <w:t>，仍有部份樣本未將</w:t>
      </w:r>
      <w:proofErr w:type="gramStart"/>
      <w:r w:rsidR="00751857" w:rsidRPr="00E40EE9">
        <w:rPr>
          <w:rFonts w:eastAsia="標楷體" w:hint="eastAsia"/>
          <w:color w:val="000000" w:themeColor="text1"/>
          <w:sz w:val="26"/>
          <w:szCs w:val="26"/>
        </w:rPr>
        <w:t>10</w:t>
      </w:r>
      <w:r w:rsidR="005900FF">
        <w:rPr>
          <w:rFonts w:eastAsia="標楷體" w:hint="eastAsia"/>
          <w:color w:val="000000" w:themeColor="text1"/>
          <w:sz w:val="26"/>
          <w:szCs w:val="26"/>
        </w:rPr>
        <w:t>5</w:t>
      </w:r>
      <w:proofErr w:type="gramEnd"/>
      <w:r w:rsidR="008B68A9" w:rsidRPr="00E40EE9">
        <w:rPr>
          <w:rFonts w:eastAsia="標楷體" w:hint="eastAsia"/>
          <w:color w:val="000000" w:themeColor="text1"/>
          <w:sz w:val="26"/>
          <w:szCs w:val="26"/>
        </w:rPr>
        <w:t>年度財務資料上傳至</w:t>
      </w:r>
      <w:r w:rsidR="008B68A9" w:rsidRPr="00E40EE9">
        <w:rPr>
          <w:rFonts w:eastAsia="標楷體"/>
          <w:color w:val="000000" w:themeColor="text1"/>
          <w:sz w:val="26"/>
          <w:szCs w:val="26"/>
        </w:rPr>
        <w:t>ONESOURCE</w:t>
      </w:r>
      <w:r w:rsidR="008B68A9" w:rsidRPr="00E40EE9">
        <w:rPr>
          <w:rFonts w:eastAsia="標楷體"/>
          <w:color w:val="000000" w:themeColor="text1"/>
          <w:sz w:val="26"/>
          <w:szCs w:val="26"/>
        </w:rPr>
        <w:t>資料庫</w:t>
      </w:r>
      <w:r w:rsidR="008B68A9" w:rsidRPr="00E40EE9">
        <w:rPr>
          <w:rFonts w:eastAsia="標楷體" w:hint="eastAsia"/>
          <w:color w:val="000000" w:themeColor="text1"/>
          <w:sz w:val="26"/>
          <w:szCs w:val="26"/>
        </w:rPr>
        <w:t>，為避免樣本不足</w:t>
      </w:r>
      <w:r w:rsidRPr="00E40EE9">
        <w:rPr>
          <w:rFonts w:eastAsia="標楷體" w:hint="eastAsia"/>
          <w:color w:val="000000" w:themeColor="text1"/>
          <w:sz w:val="26"/>
          <w:szCs w:val="26"/>
        </w:rPr>
        <w:t>。</w:t>
      </w:r>
      <w:r w:rsidRPr="00E40EE9">
        <w:rPr>
          <w:rFonts w:eastAsia="標楷體"/>
          <w:bCs/>
          <w:color w:val="000000" w:themeColor="text1"/>
          <w:sz w:val="26"/>
          <w:szCs w:val="26"/>
        </w:rPr>
        <w:t>本所要求樣本需具</w:t>
      </w:r>
      <w:r w:rsidR="00751857" w:rsidRPr="00E40EE9">
        <w:rPr>
          <w:rFonts w:eastAsia="標楷體"/>
          <w:bCs/>
          <w:color w:val="000000" w:themeColor="text1"/>
          <w:sz w:val="26"/>
          <w:szCs w:val="26"/>
        </w:rPr>
        <w:t>10</w:t>
      </w:r>
      <w:r w:rsidR="005900FF">
        <w:rPr>
          <w:rFonts w:eastAsia="標楷體" w:hint="eastAsia"/>
          <w:bCs/>
          <w:color w:val="000000" w:themeColor="text1"/>
          <w:sz w:val="26"/>
          <w:szCs w:val="26"/>
        </w:rPr>
        <w:t>2</w:t>
      </w:r>
      <w:r w:rsidRPr="00E40EE9">
        <w:rPr>
          <w:rFonts w:eastAsia="標楷體"/>
          <w:bCs/>
          <w:color w:val="000000" w:themeColor="text1"/>
          <w:sz w:val="26"/>
          <w:szCs w:val="26"/>
        </w:rPr>
        <w:t>至</w:t>
      </w:r>
      <w:r w:rsidRPr="00E40EE9">
        <w:rPr>
          <w:rFonts w:eastAsia="標楷體"/>
          <w:bCs/>
          <w:color w:val="000000" w:themeColor="text1"/>
          <w:sz w:val="26"/>
          <w:szCs w:val="26"/>
        </w:rPr>
        <w:t>10</w:t>
      </w:r>
      <w:r w:rsidR="005900FF">
        <w:rPr>
          <w:rFonts w:eastAsia="標楷體" w:hint="eastAsia"/>
          <w:bCs/>
          <w:color w:val="000000" w:themeColor="text1"/>
          <w:sz w:val="26"/>
          <w:szCs w:val="26"/>
        </w:rPr>
        <w:t>4</w:t>
      </w:r>
      <w:r w:rsidRPr="00E40EE9">
        <w:rPr>
          <w:rFonts w:eastAsia="標楷體"/>
          <w:bCs/>
          <w:color w:val="000000" w:themeColor="text1"/>
          <w:sz w:val="26"/>
          <w:szCs w:val="26"/>
        </w:rPr>
        <w:t>年財務資訊。且樣本財務資料之年度認定係以會計年度結束日為</w:t>
      </w:r>
      <w:r w:rsidR="00751857" w:rsidRPr="00E40EE9">
        <w:rPr>
          <w:rFonts w:eastAsia="標楷體"/>
          <w:bCs/>
          <w:color w:val="000000" w:themeColor="text1"/>
          <w:sz w:val="26"/>
          <w:szCs w:val="26"/>
        </w:rPr>
        <w:t>10</w:t>
      </w:r>
      <w:r w:rsidR="005900FF">
        <w:rPr>
          <w:rFonts w:eastAsia="標楷體" w:hint="eastAsia"/>
          <w:bCs/>
          <w:color w:val="000000" w:themeColor="text1"/>
          <w:sz w:val="26"/>
          <w:szCs w:val="26"/>
        </w:rPr>
        <w:t>4</w:t>
      </w:r>
      <w:r w:rsidRPr="00E40EE9">
        <w:rPr>
          <w:rFonts w:eastAsia="標楷體"/>
          <w:bCs/>
          <w:color w:val="000000" w:themeColor="text1"/>
          <w:sz w:val="26"/>
          <w:szCs w:val="26"/>
        </w:rPr>
        <w:t>年</w:t>
      </w:r>
      <w:r w:rsidRPr="00E40EE9">
        <w:rPr>
          <w:rFonts w:eastAsia="標楷體"/>
          <w:bCs/>
          <w:color w:val="000000" w:themeColor="text1"/>
          <w:sz w:val="26"/>
          <w:szCs w:val="26"/>
        </w:rPr>
        <w:t>12</w:t>
      </w:r>
      <w:r w:rsidRPr="00E40EE9">
        <w:rPr>
          <w:rFonts w:eastAsia="標楷體"/>
          <w:bCs/>
          <w:color w:val="000000" w:themeColor="text1"/>
          <w:sz w:val="26"/>
          <w:szCs w:val="26"/>
        </w:rPr>
        <w:t>月之前後半年為基準。</w:t>
      </w:r>
    </w:p>
    <w:p w:rsidR="00DE7202" w:rsidRDefault="001475AA" w:rsidP="001719B7">
      <w:pPr>
        <w:spacing w:beforeLines="50" w:before="120" w:afterLines="50" w:after="120" w:line="360" w:lineRule="auto"/>
        <w:ind w:leftChars="400" w:left="960" w:firstLineChars="200" w:firstLine="520"/>
        <w:jc w:val="both"/>
        <w:rPr>
          <w:rFonts w:eastAsia="標楷體"/>
          <w:bCs/>
          <w:sz w:val="26"/>
          <w:szCs w:val="26"/>
        </w:rPr>
      </w:pPr>
      <w:r w:rsidRPr="00E40EE9">
        <w:rPr>
          <w:rFonts w:eastAsia="標楷體"/>
          <w:bCs/>
          <w:color w:val="000000" w:themeColor="text1"/>
          <w:sz w:val="26"/>
          <w:szCs w:val="26"/>
        </w:rPr>
        <w:t>自</w:t>
      </w:r>
      <w:r w:rsidRPr="00E40EE9">
        <w:rPr>
          <w:rFonts w:eastAsia="標楷體"/>
          <w:color w:val="000000" w:themeColor="text1"/>
          <w:sz w:val="26"/>
          <w:szCs w:val="26"/>
        </w:rPr>
        <w:t>SIC Codes</w:t>
      </w:r>
      <w:r w:rsidRPr="00E40EE9">
        <w:rPr>
          <w:rFonts w:eastAsia="標楷體"/>
          <w:bCs/>
          <w:color w:val="000000" w:themeColor="text1"/>
          <w:sz w:val="26"/>
          <w:szCs w:val="26"/>
        </w:rPr>
        <w:t>篩選出之樣本中，本所將上述關鍵字聯集作為條件，剔除企業敍述中不含上述關鍵字之樣本並排除不具備</w:t>
      </w:r>
      <w:r w:rsidR="00751857" w:rsidRPr="00E40EE9">
        <w:rPr>
          <w:rFonts w:eastAsia="標楷體"/>
          <w:color w:val="000000" w:themeColor="text1"/>
          <w:spacing w:val="-2"/>
          <w:sz w:val="26"/>
          <w:szCs w:val="26"/>
        </w:rPr>
        <w:t>10</w:t>
      </w:r>
      <w:r w:rsidR="005900FF">
        <w:rPr>
          <w:rFonts w:eastAsia="標楷體" w:hint="eastAsia"/>
          <w:color w:val="000000" w:themeColor="text1"/>
          <w:spacing w:val="-2"/>
          <w:sz w:val="26"/>
          <w:szCs w:val="26"/>
        </w:rPr>
        <w:t>2</w:t>
      </w:r>
      <w:r w:rsidRPr="00E40EE9">
        <w:rPr>
          <w:rFonts w:eastAsia="標楷體" w:hint="eastAsia"/>
          <w:color w:val="000000" w:themeColor="text1"/>
          <w:spacing w:val="-2"/>
          <w:sz w:val="26"/>
          <w:szCs w:val="26"/>
        </w:rPr>
        <w:t>至</w:t>
      </w:r>
      <w:r w:rsidR="00751857" w:rsidRPr="00E40EE9">
        <w:rPr>
          <w:rFonts w:eastAsia="標楷體"/>
          <w:color w:val="000000" w:themeColor="text1"/>
          <w:spacing w:val="-2"/>
          <w:sz w:val="26"/>
          <w:szCs w:val="26"/>
        </w:rPr>
        <w:t>10</w:t>
      </w:r>
      <w:r w:rsidR="005900FF">
        <w:rPr>
          <w:rFonts w:eastAsia="標楷體" w:hint="eastAsia"/>
          <w:color w:val="000000" w:themeColor="text1"/>
          <w:spacing w:val="-2"/>
          <w:sz w:val="26"/>
          <w:szCs w:val="26"/>
        </w:rPr>
        <w:t>4</w:t>
      </w:r>
      <w:r w:rsidRPr="00E40EE9">
        <w:rPr>
          <w:rFonts w:eastAsia="標楷體" w:hint="eastAsia"/>
          <w:color w:val="000000" w:themeColor="text1"/>
          <w:spacing w:val="-2"/>
          <w:sz w:val="26"/>
          <w:szCs w:val="26"/>
        </w:rPr>
        <w:t>年任一年度的</w:t>
      </w:r>
      <w:r w:rsidRPr="00E40EE9">
        <w:rPr>
          <w:rFonts w:eastAsia="標楷體" w:hint="eastAsia"/>
          <w:bCs/>
          <w:color w:val="000000" w:themeColor="text1"/>
          <w:sz w:val="26"/>
          <w:szCs w:val="26"/>
        </w:rPr>
        <w:t>財務資料樣本，經過初步篩選後，共計篩選出</w:t>
      </w:r>
      <w:r w:rsidR="005900FF" w:rsidRPr="006C7FB1">
        <w:rPr>
          <w:rFonts w:eastAsia="標楷體"/>
          <w:bCs/>
          <w:sz w:val="26"/>
          <w:szCs w:val="26"/>
        </w:rPr>
        <w:t>213</w:t>
      </w:r>
      <w:r w:rsidRPr="00E40EE9">
        <w:rPr>
          <w:rFonts w:eastAsia="標楷體"/>
          <w:bCs/>
          <w:color w:val="000000" w:themeColor="text1"/>
          <w:sz w:val="26"/>
          <w:szCs w:val="26"/>
        </w:rPr>
        <w:t>家</w:t>
      </w:r>
      <w:r w:rsidRPr="00684220">
        <w:rPr>
          <w:rFonts w:eastAsia="標楷體"/>
          <w:bCs/>
          <w:sz w:val="26"/>
          <w:szCs w:val="26"/>
        </w:rPr>
        <w:t>樣本。</w:t>
      </w:r>
    </w:p>
    <w:p w:rsidR="00DE7202" w:rsidRDefault="001475AA" w:rsidP="001719B7">
      <w:pPr>
        <w:widowControl/>
        <w:numPr>
          <w:ilvl w:val="0"/>
          <w:numId w:val="41"/>
        </w:numPr>
        <w:tabs>
          <w:tab w:val="left" w:pos="851"/>
        </w:tabs>
        <w:spacing w:beforeLines="50" w:before="120" w:afterLines="50" w:after="120" w:line="360" w:lineRule="auto"/>
        <w:jc w:val="both"/>
        <w:outlineLvl w:val="2"/>
        <w:rPr>
          <w:rFonts w:eastAsia="標楷體"/>
          <w:b/>
          <w:sz w:val="26"/>
          <w:szCs w:val="26"/>
        </w:rPr>
      </w:pPr>
      <w:r w:rsidRPr="00B01883">
        <w:rPr>
          <w:rFonts w:eastAsia="標楷體" w:hint="eastAsia"/>
          <w:b/>
          <w:sz w:val="26"/>
          <w:szCs w:val="26"/>
        </w:rPr>
        <w:t>定量篩選分析</w:t>
      </w:r>
    </w:p>
    <w:p w:rsidR="00DE7202" w:rsidRPr="00E40EE9" w:rsidRDefault="001475AA" w:rsidP="001719B7">
      <w:pPr>
        <w:widowControl/>
        <w:numPr>
          <w:ilvl w:val="0"/>
          <w:numId w:val="42"/>
        </w:numPr>
        <w:tabs>
          <w:tab w:val="left" w:pos="1200"/>
        </w:tabs>
        <w:spacing w:beforeLines="50" w:before="120" w:afterLines="50" w:after="120" w:line="360" w:lineRule="auto"/>
        <w:ind w:left="1440"/>
        <w:jc w:val="both"/>
        <w:rPr>
          <w:rFonts w:eastAsia="標楷體"/>
          <w:color w:val="000000" w:themeColor="text1"/>
          <w:sz w:val="26"/>
          <w:szCs w:val="26"/>
        </w:rPr>
      </w:pPr>
      <w:r w:rsidRPr="00E40EE9">
        <w:rPr>
          <w:rFonts w:eastAsia="標楷體" w:hint="eastAsia"/>
          <w:color w:val="000000" w:themeColor="text1"/>
          <w:sz w:val="26"/>
          <w:szCs w:val="26"/>
        </w:rPr>
        <w:t>排除連續虧損企業</w:t>
      </w:r>
    </w:p>
    <w:p w:rsidR="00DE7202" w:rsidRPr="00E40EE9" w:rsidRDefault="001475AA" w:rsidP="00917612">
      <w:pPr>
        <w:tabs>
          <w:tab w:val="left" w:pos="1134"/>
        </w:tabs>
        <w:spacing w:beforeLines="50" w:before="120" w:afterLines="50" w:after="120" w:line="360" w:lineRule="auto"/>
        <w:ind w:leftChars="400" w:left="960" w:firstLineChars="200" w:firstLine="520"/>
        <w:jc w:val="both"/>
        <w:rPr>
          <w:rFonts w:eastAsia="標楷體"/>
          <w:color w:val="000000" w:themeColor="text1"/>
          <w:sz w:val="26"/>
          <w:szCs w:val="26"/>
        </w:rPr>
      </w:pPr>
      <w:r w:rsidRPr="00E40EE9">
        <w:rPr>
          <w:rFonts w:eastAsia="標楷體" w:hint="eastAsia"/>
          <w:color w:val="000000" w:themeColor="text1"/>
          <w:sz w:val="26"/>
          <w:szCs w:val="26"/>
        </w:rPr>
        <w:t>為排除財務異常之可比較對象，故要求可比較對象之</w:t>
      </w:r>
      <w:r w:rsidR="005900FF" w:rsidRPr="006C7FB1">
        <w:rPr>
          <w:rFonts w:eastAsia="標楷體"/>
          <w:bCs/>
          <w:sz w:val="26"/>
          <w:szCs w:val="26"/>
        </w:rPr>
        <w:t>營業淨利</w:t>
      </w:r>
      <w:r w:rsidRPr="00E40EE9">
        <w:rPr>
          <w:rFonts w:eastAsia="標楷體" w:hint="eastAsia"/>
          <w:color w:val="000000" w:themeColor="text1"/>
          <w:sz w:val="26"/>
          <w:szCs w:val="26"/>
        </w:rPr>
        <w:t>不得連續三年虧損，經此步驟</w:t>
      </w:r>
      <w:r w:rsidRPr="00E40EE9">
        <w:rPr>
          <w:rFonts w:eastAsia="標楷體"/>
          <w:color w:val="000000" w:themeColor="text1"/>
          <w:sz w:val="26"/>
          <w:szCs w:val="26"/>
        </w:rPr>
        <w:t>得出</w:t>
      </w:r>
      <w:r w:rsidR="005900FF" w:rsidRPr="006C7FB1">
        <w:rPr>
          <w:rFonts w:eastAsia="標楷體"/>
          <w:bCs/>
          <w:sz w:val="26"/>
          <w:szCs w:val="26"/>
        </w:rPr>
        <w:t>189</w:t>
      </w:r>
      <w:r w:rsidRPr="00E40EE9">
        <w:rPr>
          <w:rFonts w:eastAsia="標楷體"/>
          <w:color w:val="000000" w:themeColor="text1"/>
          <w:sz w:val="26"/>
          <w:szCs w:val="26"/>
        </w:rPr>
        <w:t>個樣本。</w:t>
      </w:r>
    </w:p>
    <w:p w:rsidR="00DE7202" w:rsidRPr="00E40EE9" w:rsidRDefault="00BF43D0" w:rsidP="001719B7">
      <w:pPr>
        <w:widowControl/>
        <w:numPr>
          <w:ilvl w:val="0"/>
          <w:numId w:val="42"/>
        </w:numPr>
        <w:tabs>
          <w:tab w:val="left" w:pos="1200"/>
        </w:tabs>
        <w:spacing w:beforeLines="50" w:before="120" w:afterLines="50" w:after="120" w:line="360" w:lineRule="auto"/>
        <w:ind w:left="1440"/>
        <w:jc w:val="both"/>
        <w:rPr>
          <w:rFonts w:eastAsia="標楷體"/>
          <w:color w:val="000000" w:themeColor="text1"/>
          <w:sz w:val="26"/>
          <w:szCs w:val="26"/>
        </w:rPr>
      </w:pPr>
      <w:r w:rsidRPr="00E40EE9">
        <w:rPr>
          <w:rFonts w:eastAsia="標楷體" w:hint="eastAsia"/>
          <w:color w:val="000000" w:themeColor="text1"/>
          <w:sz w:val="26"/>
          <w:szCs w:val="26"/>
        </w:rPr>
        <w:t>排除具有研發費用者</w:t>
      </w:r>
    </w:p>
    <w:p w:rsidR="00DE7202" w:rsidRDefault="00BF43D0" w:rsidP="001719B7">
      <w:pPr>
        <w:tabs>
          <w:tab w:val="left" w:pos="1134"/>
        </w:tabs>
        <w:spacing w:beforeLines="50" w:before="120" w:afterLines="50" w:after="120" w:line="360" w:lineRule="auto"/>
        <w:ind w:leftChars="400" w:left="960" w:firstLineChars="200" w:firstLine="520"/>
        <w:jc w:val="both"/>
        <w:rPr>
          <w:rFonts w:eastAsia="標楷體"/>
          <w:color w:val="000000" w:themeColor="text1"/>
          <w:sz w:val="26"/>
          <w:szCs w:val="26"/>
        </w:rPr>
      </w:pPr>
      <w:r w:rsidRPr="00E40EE9">
        <w:rPr>
          <w:rFonts w:eastAsia="標楷體" w:hint="eastAsia"/>
          <w:color w:val="000000" w:themeColor="text1"/>
          <w:sz w:val="26"/>
          <w:szCs w:val="26"/>
        </w:rPr>
        <w:t>因萊迪思台灣分公司為服務提供者，於交易中並無從事研究與發展活動，故應將有具有研發功能之可比較對象加以剃除，經此步驟得出</w:t>
      </w:r>
      <w:r w:rsidR="005900FF" w:rsidRPr="006C7FB1">
        <w:rPr>
          <w:rFonts w:eastAsia="標楷體"/>
          <w:color w:val="000000" w:themeColor="text1"/>
          <w:sz w:val="26"/>
          <w:szCs w:val="26"/>
        </w:rPr>
        <w:t>166</w:t>
      </w:r>
      <w:r w:rsidRPr="00E40EE9">
        <w:rPr>
          <w:rFonts w:eastAsia="標楷體" w:hint="eastAsia"/>
          <w:color w:val="000000" w:themeColor="text1"/>
          <w:sz w:val="26"/>
          <w:szCs w:val="26"/>
        </w:rPr>
        <w:t>個樣本。</w:t>
      </w:r>
    </w:p>
    <w:p w:rsidR="00917612" w:rsidRPr="00E40EE9" w:rsidRDefault="00917612" w:rsidP="001719B7">
      <w:pPr>
        <w:tabs>
          <w:tab w:val="left" w:pos="1134"/>
        </w:tabs>
        <w:spacing w:beforeLines="50" w:before="120" w:afterLines="50" w:after="120" w:line="360" w:lineRule="auto"/>
        <w:ind w:leftChars="400" w:left="960" w:firstLineChars="200" w:firstLine="520"/>
        <w:jc w:val="both"/>
        <w:rPr>
          <w:rFonts w:eastAsia="標楷體"/>
          <w:color w:val="000000" w:themeColor="text1"/>
          <w:sz w:val="26"/>
          <w:szCs w:val="26"/>
        </w:rPr>
      </w:pPr>
    </w:p>
    <w:p w:rsidR="00DE7202" w:rsidRPr="00E40EE9" w:rsidRDefault="001475AA" w:rsidP="001719B7">
      <w:pPr>
        <w:widowControl/>
        <w:numPr>
          <w:ilvl w:val="0"/>
          <w:numId w:val="42"/>
        </w:numPr>
        <w:tabs>
          <w:tab w:val="left" w:pos="1200"/>
        </w:tabs>
        <w:spacing w:beforeLines="50" w:before="120" w:afterLines="50" w:after="120" w:line="360" w:lineRule="auto"/>
        <w:ind w:left="1440"/>
        <w:jc w:val="both"/>
        <w:rPr>
          <w:rFonts w:eastAsia="標楷體"/>
          <w:color w:val="000000" w:themeColor="text1"/>
          <w:sz w:val="26"/>
          <w:szCs w:val="26"/>
        </w:rPr>
      </w:pPr>
      <w:r w:rsidRPr="00E40EE9">
        <w:rPr>
          <w:rFonts w:eastAsia="標楷體" w:hint="eastAsia"/>
          <w:color w:val="000000" w:themeColor="text1"/>
          <w:sz w:val="26"/>
          <w:szCs w:val="26"/>
        </w:rPr>
        <w:lastRenderedPageBreak/>
        <w:t>排除業務說明</w:t>
      </w:r>
    </w:p>
    <w:p w:rsidR="00DE7202" w:rsidRDefault="001475AA" w:rsidP="001719B7">
      <w:pPr>
        <w:tabs>
          <w:tab w:val="left" w:pos="1134"/>
        </w:tabs>
        <w:spacing w:beforeLines="50" w:before="120" w:afterLines="50" w:after="120" w:line="360" w:lineRule="auto"/>
        <w:ind w:leftChars="400" w:left="960" w:firstLineChars="200" w:firstLine="520"/>
        <w:jc w:val="both"/>
        <w:rPr>
          <w:rFonts w:eastAsia="標楷體"/>
          <w:sz w:val="26"/>
          <w:szCs w:val="26"/>
        </w:rPr>
      </w:pPr>
      <w:r w:rsidRPr="00E40EE9">
        <w:rPr>
          <w:rFonts w:eastAsia="標楷體" w:hint="eastAsia"/>
          <w:color w:val="000000" w:themeColor="text1"/>
          <w:sz w:val="26"/>
          <w:szCs w:val="26"/>
        </w:rPr>
        <w:t>為確定選出樣本之可比較性，故要求排除企業敘述中包含</w:t>
      </w:r>
      <w:r w:rsidRPr="00E40EE9">
        <w:rPr>
          <w:rFonts w:eastAsia="標楷體" w:hint="eastAsia"/>
          <w:color w:val="000000" w:themeColor="text1"/>
          <w:sz w:val="26"/>
          <w:szCs w:val="26"/>
        </w:rPr>
        <w:t>Investment Holding</w:t>
      </w:r>
      <w:r w:rsidRPr="00E40EE9">
        <w:rPr>
          <w:rFonts w:eastAsia="標楷體" w:hint="eastAsia"/>
          <w:color w:val="000000" w:themeColor="text1"/>
          <w:sz w:val="26"/>
          <w:szCs w:val="26"/>
        </w:rPr>
        <w:t>及</w:t>
      </w:r>
      <w:r w:rsidRPr="00E40EE9">
        <w:rPr>
          <w:rFonts w:eastAsia="標楷體" w:hint="eastAsia"/>
          <w:color w:val="000000" w:themeColor="text1"/>
          <w:sz w:val="26"/>
          <w:szCs w:val="26"/>
        </w:rPr>
        <w:t>Manufacture</w:t>
      </w:r>
      <w:proofErr w:type="gramStart"/>
      <w:r w:rsidRPr="00E40EE9">
        <w:rPr>
          <w:rFonts w:eastAsia="標楷體" w:hint="eastAsia"/>
          <w:color w:val="000000" w:themeColor="text1"/>
          <w:sz w:val="26"/>
          <w:szCs w:val="26"/>
        </w:rPr>
        <w:t>之字敘</w:t>
      </w:r>
      <w:proofErr w:type="gramEnd"/>
      <w:r w:rsidRPr="00E40EE9">
        <w:rPr>
          <w:rFonts w:eastAsia="標楷體" w:hint="eastAsia"/>
          <w:color w:val="000000" w:themeColor="text1"/>
          <w:sz w:val="26"/>
          <w:szCs w:val="26"/>
        </w:rPr>
        <w:t>，經此步驟得出</w:t>
      </w:r>
      <w:r w:rsidR="005900FF" w:rsidRPr="006C7FB1">
        <w:rPr>
          <w:rFonts w:eastAsia="標楷體"/>
          <w:color w:val="000000" w:themeColor="text1"/>
          <w:sz w:val="26"/>
          <w:szCs w:val="26"/>
        </w:rPr>
        <w:t>147</w:t>
      </w:r>
      <w:r w:rsidRPr="00684220">
        <w:rPr>
          <w:rFonts w:eastAsia="標楷體" w:hint="eastAsia"/>
          <w:sz w:val="26"/>
          <w:szCs w:val="26"/>
        </w:rPr>
        <w:t>個樣本。</w:t>
      </w:r>
    </w:p>
    <w:p w:rsidR="00DE7202" w:rsidRDefault="00236764" w:rsidP="001719B7">
      <w:pPr>
        <w:widowControl/>
        <w:numPr>
          <w:ilvl w:val="0"/>
          <w:numId w:val="41"/>
        </w:numPr>
        <w:tabs>
          <w:tab w:val="left" w:pos="851"/>
        </w:tabs>
        <w:spacing w:beforeLines="50" w:before="120" w:afterLines="50" w:after="120" w:line="360" w:lineRule="auto"/>
        <w:jc w:val="both"/>
        <w:outlineLvl w:val="2"/>
        <w:rPr>
          <w:rFonts w:eastAsia="標楷體"/>
          <w:b/>
          <w:sz w:val="26"/>
          <w:szCs w:val="26"/>
        </w:rPr>
      </w:pPr>
      <w:r w:rsidRPr="001544A2">
        <w:rPr>
          <w:rFonts w:eastAsia="標楷體"/>
          <w:b/>
          <w:sz w:val="26"/>
          <w:szCs w:val="26"/>
        </w:rPr>
        <w:t>企業敘述篩選</w:t>
      </w:r>
    </w:p>
    <w:p w:rsidR="00236764" w:rsidRPr="00F04B11" w:rsidRDefault="00236764" w:rsidP="00917612">
      <w:pPr>
        <w:tabs>
          <w:tab w:val="left" w:pos="1134"/>
        </w:tabs>
        <w:spacing w:beforeLines="50" w:before="120" w:afterLines="50" w:after="120" w:line="360" w:lineRule="auto"/>
        <w:ind w:leftChars="300" w:left="720" w:firstLineChars="200" w:firstLine="520"/>
        <w:jc w:val="both"/>
        <w:rPr>
          <w:rFonts w:eastAsia="標楷體"/>
          <w:sz w:val="26"/>
          <w:szCs w:val="26"/>
        </w:rPr>
      </w:pPr>
      <w:r w:rsidRPr="00617B36">
        <w:rPr>
          <w:rFonts w:eastAsia="標楷體"/>
          <w:sz w:val="26"/>
          <w:szCs w:val="26"/>
        </w:rPr>
        <w:t>本所復檢視上述步驟選出樣本在</w:t>
      </w:r>
      <w:r>
        <w:rPr>
          <w:rFonts w:eastAsia="標楷體" w:hint="eastAsia"/>
          <w:sz w:val="26"/>
          <w:szCs w:val="26"/>
        </w:rPr>
        <w:t>ONESOURCE</w:t>
      </w:r>
      <w:r w:rsidRPr="00617B36">
        <w:rPr>
          <w:rFonts w:eastAsia="標楷體"/>
          <w:sz w:val="26"/>
          <w:szCs w:val="26"/>
        </w:rPr>
        <w:t>資料庫中之企業敘述，</w:t>
      </w:r>
      <w:r w:rsidRPr="00617B36">
        <w:rPr>
          <w:rFonts w:eastAsia="標楷體" w:hint="eastAsia"/>
          <w:sz w:val="26"/>
          <w:szCs w:val="26"/>
        </w:rPr>
        <w:t>分別</w:t>
      </w:r>
      <w:r w:rsidRPr="00617B36">
        <w:rPr>
          <w:rFonts w:eastAsia="標楷體"/>
          <w:sz w:val="26"/>
          <w:szCs w:val="26"/>
        </w:rPr>
        <w:t>剔除執行功能、產品</w:t>
      </w:r>
      <w:r w:rsidRPr="00617B36">
        <w:rPr>
          <w:rFonts w:eastAsia="標楷體" w:hint="eastAsia"/>
          <w:sz w:val="26"/>
          <w:szCs w:val="26"/>
        </w:rPr>
        <w:t>及</w:t>
      </w:r>
      <w:r w:rsidRPr="00617B36">
        <w:rPr>
          <w:rFonts w:eastAsia="標楷體"/>
          <w:sz w:val="26"/>
          <w:szCs w:val="26"/>
        </w:rPr>
        <w:t>企業定位與</w:t>
      </w:r>
      <w:r w:rsidRPr="00BF43D0">
        <w:rPr>
          <w:rFonts w:eastAsia="標楷體" w:hint="eastAsia"/>
          <w:sz w:val="26"/>
          <w:szCs w:val="26"/>
        </w:rPr>
        <w:t>萊迪思台灣分公司</w:t>
      </w:r>
      <w:r w:rsidRPr="00617B36">
        <w:rPr>
          <w:rFonts w:eastAsia="標楷體"/>
          <w:sz w:val="26"/>
          <w:szCs w:val="26"/>
        </w:rPr>
        <w:t>差異太大</w:t>
      </w:r>
      <w:r w:rsidRPr="00684220">
        <w:rPr>
          <w:rFonts w:eastAsia="標楷體" w:hint="eastAsia"/>
          <w:sz w:val="26"/>
          <w:szCs w:val="26"/>
        </w:rPr>
        <w:t>者</w:t>
      </w:r>
      <w:r w:rsidRPr="00684220">
        <w:rPr>
          <w:rFonts w:eastAsia="標楷體"/>
          <w:sz w:val="26"/>
          <w:szCs w:val="26"/>
        </w:rPr>
        <w:t>，最後得出</w:t>
      </w:r>
      <w:r w:rsidR="005900FF">
        <w:rPr>
          <w:rFonts w:eastAsia="標楷體" w:hint="eastAsia"/>
          <w:sz w:val="26"/>
          <w:szCs w:val="26"/>
        </w:rPr>
        <w:t>9</w:t>
      </w:r>
      <w:r w:rsidRPr="00684220">
        <w:rPr>
          <w:rFonts w:eastAsia="標楷體" w:hint="eastAsia"/>
          <w:sz w:val="26"/>
          <w:szCs w:val="26"/>
        </w:rPr>
        <w:t>家</w:t>
      </w:r>
      <w:r w:rsidRPr="00684220">
        <w:rPr>
          <w:rFonts w:eastAsia="標楷體"/>
          <w:sz w:val="26"/>
          <w:szCs w:val="26"/>
        </w:rPr>
        <w:t>可比較對象</w:t>
      </w:r>
      <w:r w:rsidRPr="00191CCB">
        <w:rPr>
          <w:rFonts w:eastAsia="標楷體" w:hint="eastAsia"/>
          <w:sz w:val="26"/>
          <w:szCs w:val="26"/>
        </w:rPr>
        <w:t>（</w:t>
      </w:r>
      <w:r w:rsidRPr="00191CCB">
        <w:rPr>
          <w:rFonts w:eastAsia="標楷體"/>
          <w:sz w:val="26"/>
          <w:szCs w:val="26"/>
        </w:rPr>
        <w:t>拒絕原因</w:t>
      </w:r>
      <w:r w:rsidRPr="00191CCB">
        <w:rPr>
          <w:rFonts w:eastAsia="標楷體" w:hint="eastAsia"/>
          <w:sz w:val="26"/>
          <w:szCs w:val="26"/>
        </w:rPr>
        <w:t>列表</w:t>
      </w:r>
      <w:r w:rsidRPr="00191CCB">
        <w:rPr>
          <w:rFonts w:eastAsia="標楷體"/>
          <w:sz w:val="26"/>
          <w:szCs w:val="26"/>
        </w:rPr>
        <w:t>請見附件</w:t>
      </w:r>
      <w:r w:rsidRPr="00F04B11">
        <w:rPr>
          <w:rFonts w:eastAsia="標楷體" w:hint="eastAsia"/>
          <w:sz w:val="26"/>
          <w:szCs w:val="26"/>
        </w:rPr>
        <w:t>C</w:t>
      </w:r>
      <w:r w:rsidRPr="00F04B11">
        <w:rPr>
          <w:rFonts w:eastAsia="標楷體" w:hint="eastAsia"/>
          <w:sz w:val="26"/>
          <w:szCs w:val="26"/>
        </w:rPr>
        <w:t>）。</w:t>
      </w:r>
    </w:p>
    <w:p w:rsidR="00DE7202" w:rsidRDefault="00236764" w:rsidP="00917612">
      <w:pPr>
        <w:tabs>
          <w:tab w:val="left" w:pos="1134"/>
        </w:tabs>
        <w:spacing w:beforeLines="50" w:before="120" w:afterLines="50" w:after="120" w:line="360" w:lineRule="auto"/>
        <w:ind w:leftChars="300" w:left="720" w:firstLineChars="200" w:firstLine="520"/>
        <w:jc w:val="both"/>
        <w:rPr>
          <w:rFonts w:eastAsia="標楷體"/>
          <w:sz w:val="26"/>
          <w:szCs w:val="26"/>
        </w:rPr>
      </w:pPr>
      <w:r w:rsidRPr="00F04B11">
        <w:rPr>
          <w:rFonts w:eastAsia="標楷體" w:hint="eastAsia"/>
          <w:sz w:val="26"/>
          <w:szCs w:val="26"/>
        </w:rPr>
        <w:t>因每一家公司都是獨一無二的，所以選擇下列</w:t>
      </w:r>
      <w:r w:rsidR="00CE5C42">
        <w:rPr>
          <w:rFonts w:eastAsia="標楷體" w:hint="eastAsia"/>
          <w:sz w:val="26"/>
          <w:szCs w:val="26"/>
        </w:rPr>
        <w:t>9</w:t>
      </w:r>
      <w:r w:rsidRPr="00F04B11">
        <w:rPr>
          <w:rFonts w:eastAsia="標楷體"/>
          <w:sz w:val="26"/>
          <w:szCs w:val="26"/>
        </w:rPr>
        <w:t>家公司作為可比較對象之原因如下</w:t>
      </w:r>
      <w:proofErr w:type="gramStart"/>
      <w:r w:rsidRPr="00F04B11">
        <w:rPr>
          <w:rFonts w:eastAsia="標楷體" w:hint="eastAsia"/>
          <w:sz w:val="26"/>
          <w:szCs w:val="26"/>
        </w:rPr>
        <w:t>（</w:t>
      </w:r>
      <w:proofErr w:type="gramEnd"/>
      <w:r w:rsidRPr="00F04B11">
        <w:rPr>
          <w:rFonts w:eastAsia="標楷體"/>
          <w:sz w:val="26"/>
          <w:szCs w:val="26"/>
        </w:rPr>
        <w:t>可比較對象之企業敍述請見附件</w:t>
      </w:r>
      <w:r w:rsidRPr="00F04B11">
        <w:rPr>
          <w:rFonts w:eastAsia="標楷體" w:hint="eastAsia"/>
          <w:sz w:val="26"/>
          <w:szCs w:val="26"/>
        </w:rPr>
        <w:t>D</w:t>
      </w:r>
      <w:r w:rsidRPr="00F04B11">
        <w:rPr>
          <w:rFonts w:eastAsia="標楷體" w:hint="eastAsia"/>
          <w:sz w:val="26"/>
          <w:szCs w:val="26"/>
        </w:rPr>
        <w:t>）：</w:t>
      </w:r>
    </w:p>
    <w:tbl>
      <w:tblPr>
        <w:tblW w:w="7773" w:type="dxa"/>
        <w:tblInd w:w="7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828"/>
        <w:gridCol w:w="3009"/>
        <w:gridCol w:w="3936"/>
      </w:tblGrid>
      <w:tr w:rsidR="005900FF" w:rsidRPr="002E2982" w:rsidTr="00917612">
        <w:trPr>
          <w:tblHeader/>
        </w:trPr>
        <w:tc>
          <w:tcPr>
            <w:tcW w:w="828" w:type="dxa"/>
            <w:tcBorders>
              <w:bottom w:val="double" w:sz="4" w:space="0" w:color="auto"/>
            </w:tcBorders>
            <w:shd w:val="clear" w:color="auto" w:fill="4F81BD"/>
            <w:vAlign w:val="center"/>
          </w:tcPr>
          <w:p w:rsidR="005900FF" w:rsidRPr="00C36EF5" w:rsidRDefault="005900FF" w:rsidP="00917612">
            <w:pPr>
              <w:jc w:val="center"/>
              <w:rPr>
                <w:rFonts w:eastAsia="標楷體"/>
                <w:b/>
                <w:bCs/>
                <w:color w:val="FFFFFF"/>
                <w:spacing w:val="-2"/>
                <w:sz w:val="26"/>
                <w:szCs w:val="26"/>
              </w:rPr>
            </w:pPr>
            <w:r w:rsidRPr="00C36EF5">
              <w:rPr>
                <w:rFonts w:eastAsia="標楷體"/>
                <w:b/>
                <w:bCs/>
                <w:color w:val="FFFFFF"/>
                <w:spacing w:val="-2"/>
                <w:sz w:val="26"/>
                <w:szCs w:val="26"/>
              </w:rPr>
              <w:t>編號</w:t>
            </w:r>
          </w:p>
        </w:tc>
        <w:tc>
          <w:tcPr>
            <w:tcW w:w="3009" w:type="dxa"/>
            <w:tcBorders>
              <w:bottom w:val="double" w:sz="4" w:space="0" w:color="auto"/>
            </w:tcBorders>
            <w:shd w:val="clear" w:color="auto" w:fill="4F81BD"/>
            <w:vAlign w:val="center"/>
          </w:tcPr>
          <w:p w:rsidR="005900FF" w:rsidRPr="00C36EF5" w:rsidRDefault="005900FF" w:rsidP="00917612">
            <w:pPr>
              <w:jc w:val="center"/>
              <w:rPr>
                <w:rFonts w:eastAsia="標楷體"/>
                <w:b/>
                <w:bCs/>
                <w:color w:val="FFFFFF"/>
                <w:spacing w:val="-2"/>
                <w:sz w:val="26"/>
                <w:szCs w:val="26"/>
              </w:rPr>
            </w:pPr>
            <w:r w:rsidRPr="00C36EF5">
              <w:rPr>
                <w:rFonts w:eastAsia="標楷體"/>
                <w:b/>
                <w:bCs/>
                <w:color w:val="FFFFFF"/>
                <w:spacing w:val="-2"/>
                <w:sz w:val="26"/>
                <w:szCs w:val="26"/>
              </w:rPr>
              <w:t>公司名稱</w:t>
            </w:r>
          </w:p>
        </w:tc>
        <w:tc>
          <w:tcPr>
            <w:tcW w:w="3936" w:type="dxa"/>
            <w:tcBorders>
              <w:bottom w:val="double" w:sz="4" w:space="0" w:color="auto"/>
            </w:tcBorders>
            <w:shd w:val="clear" w:color="auto" w:fill="4F81BD"/>
            <w:vAlign w:val="center"/>
          </w:tcPr>
          <w:p w:rsidR="005900FF" w:rsidRPr="00C36EF5" w:rsidRDefault="005900FF" w:rsidP="00917612">
            <w:pPr>
              <w:jc w:val="center"/>
              <w:rPr>
                <w:rFonts w:eastAsia="標楷體"/>
                <w:b/>
                <w:bCs/>
                <w:color w:val="FFFFFF"/>
                <w:spacing w:val="-2"/>
                <w:sz w:val="26"/>
                <w:szCs w:val="26"/>
              </w:rPr>
            </w:pPr>
            <w:r w:rsidRPr="00C36EF5">
              <w:rPr>
                <w:rFonts w:eastAsia="標楷體"/>
                <w:b/>
                <w:bCs/>
                <w:color w:val="FFFFFF"/>
                <w:spacing w:val="-2"/>
                <w:sz w:val="26"/>
                <w:szCs w:val="26"/>
              </w:rPr>
              <w:t>接受原因</w:t>
            </w:r>
          </w:p>
        </w:tc>
      </w:tr>
      <w:tr w:rsidR="005900FF" w:rsidRPr="002E2982" w:rsidTr="00917612">
        <w:trPr>
          <w:trHeight w:val="850"/>
        </w:trPr>
        <w:tc>
          <w:tcPr>
            <w:tcW w:w="828" w:type="dxa"/>
            <w:tcBorders>
              <w:top w:val="double" w:sz="4" w:space="0" w:color="auto"/>
            </w:tcBorders>
            <w:vAlign w:val="center"/>
          </w:tcPr>
          <w:p w:rsidR="005900FF" w:rsidRPr="002E2982" w:rsidRDefault="005900FF" w:rsidP="00917612">
            <w:pPr>
              <w:spacing w:line="0" w:lineRule="atLeast"/>
              <w:jc w:val="center"/>
              <w:rPr>
                <w:rFonts w:eastAsia="標楷體"/>
                <w:sz w:val="26"/>
                <w:szCs w:val="26"/>
              </w:rPr>
            </w:pPr>
            <w:r w:rsidRPr="002E2982">
              <w:rPr>
                <w:rFonts w:eastAsia="標楷體"/>
                <w:sz w:val="26"/>
                <w:szCs w:val="26"/>
              </w:rPr>
              <w:t>1</w:t>
            </w:r>
          </w:p>
        </w:tc>
        <w:tc>
          <w:tcPr>
            <w:tcW w:w="3009" w:type="dxa"/>
            <w:tcBorders>
              <w:top w:val="double" w:sz="4" w:space="0" w:color="auto"/>
            </w:tcBorders>
            <w:vAlign w:val="center"/>
          </w:tcPr>
          <w:p w:rsidR="005900FF" w:rsidRPr="002E2982" w:rsidRDefault="005900FF" w:rsidP="00917612">
            <w:pPr>
              <w:keepLines/>
              <w:autoSpaceDE w:val="0"/>
              <w:autoSpaceDN w:val="0"/>
              <w:adjustRightInd w:val="0"/>
              <w:jc w:val="center"/>
              <w:rPr>
                <w:rFonts w:eastAsiaTheme="minorEastAsia"/>
                <w:noProof/>
                <w:color w:val="000000" w:themeColor="text1"/>
                <w:sz w:val="26"/>
                <w:szCs w:val="26"/>
                <w:lang w:eastAsia="en-US"/>
              </w:rPr>
            </w:pPr>
            <w:r w:rsidRPr="002E2982">
              <w:rPr>
                <w:rFonts w:eastAsiaTheme="minorEastAsia"/>
                <w:noProof/>
                <w:color w:val="000000" w:themeColor="text1"/>
                <w:sz w:val="26"/>
                <w:szCs w:val="26"/>
                <w:lang w:eastAsia="en-US"/>
              </w:rPr>
              <w:t>Edu Fin Inv JSC</w:t>
            </w:r>
          </w:p>
        </w:tc>
        <w:tc>
          <w:tcPr>
            <w:tcW w:w="3936" w:type="dxa"/>
            <w:tcBorders>
              <w:top w:val="double" w:sz="4" w:space="0" w:color="auto"/>
            </w:tcBorders>
            <w:vAlign w:val="center"/>
          </w:tcPr>
          <w:p w:rsidR="005900FF" w:rsidRPr="002E2982" w:rsidRDefault="005900FF" w:rsidP="00917612">
            <w:pPr>
              <w:spacing w:line="0" w:lineRule="atLeast"/>
              <w:jc w:val="center"/>
              <w:rPr>
                <w:rFonts w:eastAsia="標楷體"/>
                <w:color w:val="000000" w:themeColor="text1"/>
                <w:sz w:val="26"/>
                <w:szCs w:val="26"/>
              </w:rPr>
            </w:pPr>
            <w:r w:rsidRPr="002E2982">
              <w:rPr>
                <w:rFonts w:eastAsia="標楷體"/>
                <w:color w:val="000000" w:themeColor="text1"/>
                <w:sz w:val="26"/>
                <w:szCs w:val="26"/>
              </w:rPr>
              <w:t>提供企業諮詢管理服務。</w:t>
            </w:r>
          </w:p>
        </w:tc>
      </w:tr>
      <w:tr w:rsidR="005900FF" w:rsidRPr="002E2982" w:rsidTr="00917612">
        <w:trPr>
          <w:trHeight w:val="850"/>
        </w:trPr>
        <w:tc>
          <w:tcPr>
            <w:tcW w:w="828" w:type="dxa"/>
            <w:vAlign w:val="center"/>
          </w:tcPr>
          <w:p w:rsidR="005900FF" w:rsidRPr="002E2982" w:rsidRDefault="005900FF" w:rsidP="00917612">
            <w:pPr>
              <w:spacing w:line="0" w:lineRule="atLeast"/>
              <w:jc w:val="center"/>
              <w:rPr>
                <w:rFonts w:eastAsia="標楷體"/>
                <w:sz w:val="26"/>
                <w:szCs w:val="26"/>
              </w:rPr>
            </w:pPr>
            <w:r w:rsidRPr="002E2982">
              <w:rPr>
                <w:rFonts w:eastAsia="標楷體"/>
                <w:sz w:val="26"/>
                <w:szCs w:val="26"/>
              </w:rPr>
              <w:t>2</w:t>
            </w:r>
          </w:p>
        </w:tc>
        <w:tc>
          <w:tcPr>
            <w:tcW w:w="3009" w:type="dxa"/>
            <w:vAlign w:val="center"/>
          </w:tcPr>
          <w:p w:rsidR="005900FF" w:rsidRPr="002E2982" w:rsidRDefault="005900FF" w:rsidP="00917612">
            <w:pPr>
              <w:keepLines/>
              <w:autoSpaceDE w:val="0"/>
              <w:autoSpaceDN w:val="0"/>
              <w:adjustRightInd w:val="0"/>
              <w:jc w:val="center"/>
              <w:rPr>
                <w:rFonts w:eastAsiaTheme="minorEastAsia"/>
                <w:noProof/>
                <w:color w:val="000000" w:themeColor="text1"/>
                <w:sz w:val="26"/>
                <w:szCs w:val="26"/>
                <w:lang w:eastAsia="en-US"/>
              </w:rPr>
            </w:pPr>
            <w:r w:rsidRPr="002E2982">
              <w:rPr>
                <w:rFonts w:eastAsiaTheme="minorEastAsia"/>
                <w:noProof/>
                <w:color w:val="000000" w:themeColor="text1"/>
                <w:sz w:val="26"/>
                <w:szCs w:val="26"/>
                <w:lang w:eastAsia="en-US"/>
              </w:rPr>
              <w:t>FullSix SpA</w:t>
            </w:r>
          </w:p>
        </w:tc>
        <w:tc>
          <w:tcPr>
            <w:tcW w:w="3936" w:type="dxa"/>
            <w:vAlign w:val="center"/>
          </w:tcPr>
          <w:p w:rsidR="005900FF" w:rsidRPr="002E2982" w:rsidRDefault="005900FF" w:rsidP="00917612">
            <w:pPr>
              <w:spacing w:line="0" w:lineRule="atLeast"/>
              <w:jc w:val="center"/>
              <w:rPr>
                <w:rFonts w:eastAsia="標楷體"/>
                <w:color w:val="000000" w:themeColor="text1"/>
                <w:sz w:val="26"/>
              </w:rPr>
            </w:pPr>
            <w:r w:rsidRPr="002E2982">
              <w:rPr>
                <w:rFonts w:eastAsia="標楷體"/>
                <w:color w:val="000000" w:themeColor="text1"/>
                <w:sz w:val="26"/>
              </w:rPr>
              <w:t>提供廣告、客戶聯繫服務。</w:t>
            </w:r>
          </w:p>
        </w:tc>
      </w:tr>
      <w:tr w:rsidR="005900FF" w:rsidRPr="002E2982" w:rsidTr="00917612">
        <w:trPr>
          <w:trHeight w:val="850"/>
        </w:trPr>
        <w:tc>
          <w:tcPr>
            <w:tcW w:w="828" w:type="dxa"/>
            <w:vAlign w:val="center"/>
          </w:tcPr>
          <w:p w:rsidR="005900FF" w:rsidRPr="002E2982" w:rsidRDefault="005900FF" w:rsidP="00917612">
            <w:pPr>
              <w:spacing w:line="0" w:lineRule="atLeast"/>
              <w:jc w:val="center"/>
              <w:rPr>
                <w:rFonts w:eastAsia="標楷體"/>
                <w:sz w:val="26"/>
                <w:szCs w:val="26"/>
              </w:rPr>
            </w:pPr>
            <w:r w:rsidRPr="002E2982">
              <w:rPr>
                <w:rFonts w:eastAsia="標楷體"/>
                <w:sz w:val="26"/>
                <w:szCs w:val="26"/>
              </w:rPr>
              <w:t>3</w:t>
            </w:r>
          </w:p>
        </w:tc>
        <w:tc>
          <w:tcPr>
            <w:tcW w:w="3009" w:type="dxa"/>
            <w:vAlign w:val="center"/>
          </w:tcPr>
          <w:p w:rsidR="005900FF" w:rsidRPr="002E2982" w:rsidRDefault="005900FF" w:rsidP="00917612">
            <w:pPr>
              <w:keepLines/>
              <w:autoSpaceDE w:val="0"/>
              <w:autoSpaceDN w:val="0"/>
              <w:adjustRightInd w:val="0"/>
              <w:jc w:val="center"/>
              <w:rPr>
                <w:rFonts w:eastAsiaTheme="minorEastAsia"/>
                <w:noProof/>
                <w:color w:val="000000" w:themeColor="text1"/>
                <w:sz w:val="26"/>
                <w:szCs w:val="26"/>
                <w:lang w:eastAsia="en-US"/>
              </w:rPr>
            </w:pPr>
            <w:r w:rsidRPr="002E2982">
              <w:rPr>
                <w:rFonts w:eastAsiaTheme="minorEastAsia"/>
                <w:noProof/>
                <w:color w:val="000000" w:themeColor="text1"/>
                <w:sz w:val="26"/>
                <w:szCs w:val="26"/>
                <w:lang w:eastAsia="en-US"/>
              </w:rPr>
              <w:t>ICF International Inc</w:t>
            </w:r>
          </w:p>
        </w:tc>
        <w:tc>
          <w:tcPr>
            <w:tcW w:w="3936" w:type="dxa"/>
            <w:vAlign w:val="center"/>
          </w:tcPr>
          <w:p w:rsidR="005900FF" w:rsidRPr="002E2982" w:rsidRDefault="005900FF" w:rsidP="00917612">
            <w:pPr>
              <w:spacing w:line="0" w:lineRule="atLeast"/>
              <w:jc w:val="center"/>
              <w:rPr>
                <w:rFonts w:eastAsia="標楷體"/>
                <w:color w:val="000000" w:themeColor="text1"/>
                <w:sz w:val="26"/>
              </w:rPr>
            </w:pPr>
            <w:r w:rsidRPr="002E2982">
              <w:rPr>
                <w:rFonts w:eastAsia="標楷體"/>
                <w:color w:val="000000" w:themeColor="text1"/>
                <w:sz w:val="26"/>
                <w:szCs w:val="26"/>
              </w:rPr>
              <w:t>提供管理及技術諮詢服務。</w:t>
            </w:r>
          </w:p>
        </w:tc>
      </w:tr>
      <w:tr w:rsidR="005900FF" w:rsidRPr="002E2982" w:rsidTr="00917612">
        <w:trPr>
          <w:trHeight w:val="850"/>
        </w:trPr>
        <w:tc>
          <w:tcPr>
            <w:tcW w:w="828" w:type="dxa"/>
            <w:vAlign w:val="center"/>
          </w:tcPr>
          <w:p w:rsidR="005900FF" w:rsidRPr="002E2982" w:rsidRDefault="005900FF" w:rsidP="00917612">
            <w:pPr>
              <w:spacing w:line="0" w:lineRule="atLeast"/>
              <w:jc w:val="center"/>
              <w:rPr>
                <w:rFonts w:eastAsia="標楷體"/>
                <w:sz w:val="26"/>
                <w:szCs w:val="26"/>
              </w:rPr>
            </w:pPr>
            <w:r w:rsidRPr="002E2982">
              <w:rPr>
                <w:rFonts w:eastAsia="標楷體"/>
                <w:sz w:val="26"/>
                <w:szCs w:val="26"/>
              </w:rPr>
              <w:t>4</w:t>
            </w:r>
          </w:p>
        </w:tc>
        <w:tc>
          <w:tcPr>
            <w:tcW w:w="3009" w:type="dxa"/>
            <w:vAlign w:val="center"/>
          </w:tcPr>
          <w:p w:rsidR="005900FF" w:rsidRPr="002E2982" w:rsidRDefault="005900FF" w:rsidP="00917612">
            <w:pPr>
              <w:keepLines/>
              <w:autoSpaceDE w:val="0"/>
              <w:autoSpaceDN w:val="0"/>
              <w:adjustRightInd w:val="0"/>
              <w:jc w:val="center"/>
              <w:rPr>
                <w:rFonts w:eastAsiaTheme="minorEastAsia"/>
                <w:noProof/>
                <w:color w:val="000000" w:themeColor="text1"/>
                <w:sz w:val="26"/>
                <w:szCs w:val="26"/>
                <w:lang w:eastAsia="en-US"/>
              </w:rPr>
            </w:pPr>
            <w:r w:rsidRPr="002E2982">
              <w:rPr>
                <w:rFonts w:eastAsiaTheme="minorEastAsia"/>
                <w:noProof/>
                <w:color w:val="000000" w:themeColor="text1"/>
                <w:sz w:val="26"/>
                <w:szCs w:val="26"/>
                <w:lang w:eastAsia="en-US"/>
              </w:rPr>
              <w:t>MDC Partners Inc</w:t>
            </w:r>
          </w:p>
        </w:tc>
        <w:tc>
          <w:tcPr>
            <w:tcW w:w="3936" w:type="dxa"/>
            <w:vAlign w:val="center"/>
          </w:tcPr>
          <w:p w:rsidR="005900FF" w:rsidRPr="002E2982" w:rsidRDefault="005900FF" w:rsidP="00917612">
            <w:pPr>
              <w:spacing w:line="0" w:lineRule="atLeast"/>
              <w:jc w:val="center"/>
              <w:rPr>
                <w:rFonts w:eastAsia="標楷體"/>
                <w:color w:val="000000" w:themeColor="text1"/>
                <w:sz w:val="26"/>
                <w:szCs w:val="26"/>
              </w:rPr>
            </w:pPr>
            <w:r w:rsidRPr="002E2982">
              <w:rPr>
                <w:rFonts w:eastAsia="標楷體"/>
                <w:color w:val="000000" w:themeColor="text1"/>
                <w:sz w:val="26"/>
                <w:szCs w:val="26"/>
              </w:rPr>
              <w:t>提供客戶行銷及諮詢服務。</w:t>
            </w:r>
          </w:p>
        </w:tc>
      </w:tr>
      <w:tr w:rsidR="005900FF" w:rsidRPr="002E2982" w:rsidTr="00917612">
        <w:trPr>
          <w:trHeight w:val="850"/>
        </w:trPr>
        <w:tc>
          <w:tcPr>
            <w:tcW w:w="828" w:type="dxa"/>
            <w:vAlign w:val="center"/>
          </w:tcPr>
          <w:p w:rsidR="005900FF" w:rsidRPr="002E2982" w:rsidRDefault="005900FF" w:rsidP="00917612">
            <w:pPr>
              <w:spacing w:line="0" w:lineRule="atLeast"/>
              <w:jc w:val="center"/>
              <w:rPr>
                <w:rFonts w:eastAsia="標楷體"/>
                <w:sz w:val="26"/>
                <w:szCs w:val="26"/>
              </w:rPr>
            </w:pPr>
            <w:r w:rsidRPr="002E2982">
              <w:rPr>
                <w:rFonts w:eastAsia="標楷體"/>
                <w:sz w:val="26"/>
                <w:szCs w:val="26"/>
              </w:rPr>
              <w:t>5</w:t>
            </w:r>
          </w:p>
        </w:tc>
        <w:tc>
          <w:tcPr>
            <w:tcW w:w="3009" w:type="dxa"/>
            <w:vAlign w:val="center"/>
          </w:tcPr>
          <w:p w:rsidR="005900FF" w:rsidRPr="002E2982" w:rsidRDefault="005900FF" w:rsidP="00917612">
            <w:pPr>
              <w:keepLines/>
              <w:autoSpaceDE w:val="0"/>
              <w:autoSpaceDN w:val="0"/>
              <w:adjustRightInd w:val="0"/>
              <w:jc w:val="center"/>
              <w:rPr>
                <w:rFonts w:eastAsiaTheme="minorEastAsia"/>
                <w:noProof/>
                <w:color w:val="000000" w:themeColor="text1"/>
                <w:sz w:val="26"/>
                <w:szCs w:val="26"/>
                <w:lang w:eastAsia="en-US"/>
              </w:rPr>
            </w:pPr>
            <w:r w:rsidRPr="002E2982">
              <w:rPr>
                <w:rFonts w:eastAsiaTheme="minorEastAsia"/>
                <w:noProof/>
                <w:color w:val="000000" w:themeColor="text1"/>
                <w:sz w:val="26"/>
                <w:szCs w:val="26"/>
                <w:lang w:eastAsia="en-US"/>
              </w:rPr>
              <w:t>NV5 Global Inc</w:t>
            </w:r>
          </w:p>
        </w:tc>
        <w:tc>
          <w:tcPr>
            <w:tcW w:w="3936" w:type="dxa"/>
            <w:vAlign w:val="center"/>
          </w:tcPr>
          <w:p w:rsidR="005900FF" w:rsidRPr="002E2982" w:rsidRDefault="005900FF" w:rsidP="00917612">
            <w:pPr>
              <w:spacing w:line="0" w:lineRule="atLeast"/>
              <w:jc w:val="center"/>
              <w:rPr>
                <w:rFonts w:eastAsia="標楷體"/>
                <w:color w:val="000000" w:themeColor="text1"/>
                <w:sz w:val="26"/>
                <w:szCs w:val="26"/>
              </w:rPr>
            </w:pPr>
            <w:r w:rsidRPr="002E2982">
              <w:rPr>
                <w:rFonts w:eastAsia="標楷體"/>
                <w:color w:val="000000" w:themeColor="text1"/>
                <w:sz w:val="26"/>
                <w:szCs w:val="26"/>
              </w:rPr>
              <w:t>提供技術諮詢服務。</w:t>
            </w:r>
          </w:p>
        </w:tc>
      </w:tr>
      <w:tr w:rsidR="005900FF" w:rsidRPr="002E2982" w:rsidTr="00917612">
        <w:trPr>
          <w:trHeight w:val="850"/>
        </w:trPr>
        <w:tc>
          <w:tcPr>
            <w:tcW w:w="828" w:type="dxa"/>
            <w:vAlign w:val="center"/>
          </w:tcPr>
          <w:p w:rsidR="005900FF" w:rsidRPr="002E2982" w:rsidRDefault="005900FF" w:rsidP="00917612">
            <w:pPr>
              <w:spacing w:line="0" w:lineRule="atLeast"/>
              <w:jc w:val="center"/>
              <w:rPr>
                <w:rFonts w:eastAsia="標楷體"/>
                <w:sz w:val="26"/>
                <w:szCs w:val="26"/>
              </w:rPr>
            </w:pPr>
            <w:r w:rsidRPr="002E2982">
              <w:rPr>
                <w:rFonts w:eastAsia="標楷體"/>
                <w:sz w:val="26"/>
                <w:szCs w:val="26"/>
              </w:rPr>
              <w:t>6</w:t>
            </w:r>
          </w:p>
        </w:tc>
        <w:tc>
          <w:tcPr>
            <w:tcW w:w="3009" w:type="dxa"/>
            <w:shd w:val="clear" w:color="auto" w:fill="auto"/>
            <w:vAlign w:val="center"/>
          </w:tcPr>
          <w:p w:rsidR="005900FF" w:rsidRPr="002E2982" w:rsidRDefault="005900FF" w:rsidP="00917612">
            <w:pPr>
              <w:keepLines/>
              <w:autoSpaceDE w:val="0"/>
              <w:autoSpaceDN w:val="0"/>
              <w:adjustRightInd w:val="0"/>
              <w:jc w:val="center"/>
              <w:rPr>
                <w:rFonts w:eastAsiaTheme="minorEastAsia"/>
                <w:noProof/>
                <w:color w:val="000000" w:themeColor="text1"/>
                <w:sz w:val="26"/>
                <w:szCs w:val="26"/>
                <w:lang w:eastAsia="en-US"/>
              </w:rPr>
            </w:pPr>
            <w:r w:rsidRPr="002E2982">
              <w:rPr>
                <w:rFonts w:eastAsiaTheme="minorEastAsia"/>
                <w:noProof/>
                <w:color w:val="000000" w:themeColor="text1"/>
                <w:sz w:val="26"/>
                <w:szCs w:val="26"/>
                <w:lang w:eastAsia="en-US"/>
              </w:rPr>
              <w:t>One to One Contacts PCL</w:t>
            </w:r>
          </w:p>
        </w:tc>
        <w:tc>
          <w:tcPr>
            <w:tcW w:w="3936" w:type="dxa"/>
            <w:shd w:val="clear" w:color="auto" w:fill="auto"/>
            <w:vAlign w:val="center"/>
          </w:tcPr>
          <w:p w:rsidR="005900FF" w:rsidRPr="002E2982" w:rsidRDefault="005900FF" w:rsidP="00917612">
            <w:pPr>
              <w:spacing w:line="0" w:lineRule="atLeast"/>
              <w:jc w:val="center"/>
              <w:rPr>
                <w:rFonts w:eastAsia="標楷體"/>
                <w:color w:val="000000" w:themeColor="text1"/>
                <w:sz w:val="26"/>
                <w:szCs w:val="26"/>
              </w:rPr>
            </w:pPr>
            <w:r w:rsidRPr="002E2982">
              <w:rPr>
                <w:rFonts w:eastAsia="標楷體"/>
                <w:color w:val="000000" w:themeColor="text1"/>
                <w:sz w:val="26"/>
                <w:szCs w:val="26"/>
              </w:rPr>
              <w:t>提供客服及客戶管理服務。</w:t>
            </w:r>
          </w:p>
        </w:tc>
      </w:tr>
      <w:tr w:rsidR="005900FF" w:rsidRPr="002E2982" w:rsidTr="00917612">
        <w:trPr>
          <w:trHeight w:val="850"/>
        </w:trPr>
        <w:tc>
          <w:tcPr>
            <w:tcW w:w="828" w:type="dxa"/>
            <w:vAlign w:val="center"/>
          </w:tcPr>
          <w:p w:rsidR="005900FF" w:rsidRPr="002E2982" w:rsidRDefault="005900FF" w:rsidP="00917612">
            <w:pPr>
              <w:spacing w:line="0" w:lineRule="atLeast"/>
              <w:jc w:val="center"/>
              <w:rPr>
                <w:rFonts w:eastAsia="標楷體"/>
                <w:sz w:val="26"/>
                <w:szCs w:val="26"/>
              </w:rPr>
            </w:pPr>
            <w:r w:rsidRPr="002E2982">
              <w:rPr>
                <w:rFonts w:eastAsia="標楷體"/>
                <w:sz w:val="26"/>
                <w:szCs w:val="26"/>
              </w:rPr>
              <w:t>7</w:t>
            </w:r>
          </w:p>
        </w:tc>
        <w:tc>
          <w:tcPr>
            <w:tcW w:w="3009" w:type="dxa"/>
            <w:shd w:val="clear" w:color="auto" w:fill="auto"/>
            <w:vAlign w:val="center"/>
          </w:tcPr>
          <w:p w:rsidR="005900FF" w:rsidRPr="002E2982" w:rsidRDefault="005900FF" w:rsidP="00917612">
            <w:pPr>
              <w:keepLines/>
              <w:autoSpaceDE w:val="0"/>
              <w:autoSpaceDN w:val="0"/>
              <w:adjustRightInd w:val="0"/>
              <w:jc w:val="center"/>
              <w:rPr>
                <w:rFonts w:eastAsiaTheme="minorEastAsia"/>
                <w:noProof/>
                <w:color w:val="000000" w:themeColor="text1"/>
                <w:sz w:val="26"/>
                <w:szCs w:val="26"/>
                <w:lang w:eastAsia="en-US"/>
              </w:rPr>
            </w:pPr>
            <w:r w:rsidRPr="002E2982">
              <w:rPr>
                <w:rFonts w:eastAsiaTheme="minorEastAsia"/>
                <w:noProof/>
                <w:color w:val="000000" w:themeColor="text1"/>
                <w:sz w:val="26"/>
                <w:szCs w:val="26"/>
                <w:lang w:eastAsia="en-US"/>
              </w:rPr>
              <w:t>Oricom Inc</w:t>
            </w:r>
          </w:p>
        </w:tc>
        <w:tc>
          <w:tcPr>
            <w:tcW w:w="3936" w:type="dxa"/>
            <w:shd w:val="clear" w:color="auto" w:fill="auto"/>
            <w:vAlign w:val="center"/>
          </w:tcPr>
          <w:p w:rsidR="005900FF" w:rsidRPr="002E2982" w:rsidRDefault="005900FF" w:rsidP="00917612">
            <w:pPr>
              <w:spacing w:line="0" w:lineRule="atLeast"/>
              <w:jc w:val="center"/>
              <w:rPr>
                <w:rFonts w:eastAsia="標楷體"/>
                <w:color w:val="000000" w:themeColor="text1"/>
                <w:sz w:val="26"/>
                <w:szCs w:val="26"/>
              </w:rPr>
            </w:pPr>
            <w:r w:rsidRPr="002E2982">
              <w:rPr>
                <w:rFonts w:eastAsia="標楷體"/>
                <w:color w:val="000000" w:themeColor="text1"/>
                <w:sz w:val="26"/>
                <w:szCs w:val="26"/>
              </w:rPr>
              <w:t>提供行銷服務。</w:t>
            </w:r>
          </w:p>
        </w:tc>
      </w:tr>
      <w:tr w:rsidR="005900FF" w:rsidRPr="002E2982" w:rsidTr="00917612">
        <w:trPr>
          <w:trHeight w:val="850"/>
        </w:trPr>
        <w:tc>
          <w:tcPr>
            <w:tcW w:w="828" w:type="dxa"/>
            <w:vAlign w:val="center"/>
          </w:tcPr>
          <w:p w:rsidR="005900FF" w:rsidRPr="002E2982" w:rsidRDefault="005900FF" w:rsidP="00917612">
            <w:pPr>
              <w:spacing w:line="0" w:lineRule="atLeast"/>
              <w:jc w:val="center"/>
              <w:rPr>
                <w:rFonts w:eastAsia="標楷體"/>
                <w:sz w:val="26"/>
                <w:szCs w:val="26"/>
              </w:rPr>
            </w:pPr>
            <w:r w:rsidRPr="002E2982">
              <w:rPr>
                <w:rFonts w:eastAsia="標楷體"/>
                <w:sz w:val="26"/>
                <w:szCs w:val="26"/>
              </w:rPr>
              <w:lastRenderedPageBreak/>
              <w:t>8</w:t>
            </w:r>
          </w:p>
        </w:tc>
        <w:tc>
          <w:tcPr>
            <w:tcW w:w="3009" w:type="dxa"/>
            <w:shd w:val="clear" w:color="auto" w:fill="auto"/>
            <w:vAlign w:val="center"/>
          </w:tcPr>
          <w:p w:rsidR="005900FF" w:rsidRPr="002E2982" w:rsidRDefault="005900FF" w:rsidP="00917612">
            <w:pPr>
              <w:keepLines/>
              <w:autoSpaceDE w:val="0"/>
              <w:autoSpaceDN w:val="0"/>
              <w:adjustRightInd w:val="0"/>
              <w:jc w:val="center"/>
              <w:rPr>
                <w:rFonts w:eastAsiaTheme="minorEastAsia"/>
                <w:noProof/>
                <w:color w:val="000000" w:themeColor="text1"/>
                <w:sz w:val="26"/>
                <w:szCs w:val="26"/>
                <w:lang w:eastAsia="en-US"/>
              </w:rPr>
            </w:pPr>
            <w:r w:rsidRPr="002E2982">
              <w:rPr>
                <w:rFonts w:eastAsiaTheme="minorEastAsia"/>
                <w:noProof/>
                <w:color w:val="000000" w:themeColor="text1"/>
                <w:sz w:val="26"/>
                <w:szCs w:val="26"/>
                <w:lang w:eastAsia="en-US"/>
              </w:rPr>
              <w:t>Prestige International Inc.</w:t>
            </w:r>
          </w:p>
        </w:tc>
        <w:tc>
          <w:tcPr>
            <w:tcW w:w="3936" w:type="dxa"/>
            <w:shd w:val="clear" w:color="auto" w:fill="auto"/>
            <w:vAlign w:val="center"/>
          </w:tcPr>
          <w:p w:rsidR="005900FF" w:rsidRPr="002E2982" w:rsidRDefault="005900FF" w:rsidP="00917612">
            <w:pPr>
              <w:spacing w:line="0" w:lineRule="atLeast"/>
              <w:jc w:val="center"/>
              <w:rPr>
                <w:rFonts w:eastAsia="標楷體"/>
                <w:color w:val="000000" w:themeColor="text1"/>
                <w:sz w:val="26"/>
                <w:szCs w:val="26"/>
              </w:rPr>
            </w:pPr>
            <w:r w:rsidRPr="002E2982">
              <w:rPr>
                <w:rFonts w:eastAsia="標楷體"/>
                <w:color w:val="000000" w:themeColor="text1"/>
                <w:sz w:val="26"/>
                <w:szCs w:val="26"/>
              </w:rPr>
              <w:t>提供客戶支援服務</w:t>
            </w:r>
          </w:p>
        </w:tc>
      </w:tr>
      <w:tr w:rsidR="005900FF" w:rsidRPr="002E2982" w:rsidTr="00917612">
        <w:trPr>
          <w:trHeight w:val="850"/>
        </w:trPr>
        <w:tc>
          <w:tcPr>
            <w:tcW w:w="828" w:type="dxa"/>
            <w:vAlign w:val="center"/>
          </w:tcPr>
          <w:p w:rsidR="005900FF" w:rsidRPr="002E2982" w:rsidRDefault="005900FF" w:rsidP="00917612">
            <w:pPr>
              <w:spacing w:line="0" w:lineRule="atLeast"/>
              <w:jc w:val="center"/>
              <w:rPr>
                <w:rFonts w:eastAsia="標楷體"/>
                <w:sz w:val="26"/>
                <w:szCs w:val="26"/>
              </w:rPr>
            </w:pPr>
            <w:r w:rsidRPr="002E2982">
              <w:rPr>
                <w:rFonts w:eastAsia="標楷體"/>
                <w:sz w:val="26"/>
                <w:szCs w:val="26"/>
              </w:rPr>
              <w:t>9</w:t>
            </w:r>
          </w:p>
        </w:tc>
        <w:tc>
          <w:tcPr>
            <w:tcW w:w="3009" w:type="dxa"/>
            <w:shd w:val="clear" w:color="auto" w:fill="auto"/>
            <w:vAlign w:val="center"/>
          </w:tcPr>
          <w:p w:rsidR="005900FF" w:rsidRPr="002E2982" w:rsidRDefault="005900FF" w:rsidP="00917612">
            <w:pPr>
              <w:keepLines/>
              <w:autoSpaceDE w:val="0"/>
              <w:autoSpaceDN w:val="0"/>
              <w:adjustRightInd w:val="0"/>
              <w:jc w:val="center"/>
              <w:rPr>
                <w:rFonts w:eastAsiaTheme="minorEastAsia"/>
                <w:noProof/>
                <w:color w:val="000000" w:themeColor="text1"/>
                <w:sz w:val="26"/>
                <w:szCs w:val="26"/>
                <w:lang w:eastAsia="en-US"/>
              </w:rPr>
            </w:pPr>
            <w:r w:rsidRPr="002E2982">
              <w:rPr>
                <w:rFonts w:eastAsiaTheme="minorEastAsia"/>
                <w:noProof/>
                <w:color w:val="000000" w:themeColor="text1"/>
                <w:sz w:val="26"/>
                <w:szCs w:val="26"/>
                <w:lang w:eastAsia="en-US"/>
              </w:rPr>
              <w:t>Resources Connection, Inc.</w:t>
            </w:r>
          </w:p>
        </w:tc>
        <w:tc>
          <w:tcPr>
            <w:tcW w:w="3936" w:type="dxa"/>
            <w:shd w:val="clear" w:color="auto" w:fill="auto"/>
            <w:vAlign w:val="center"/>
          </w:tcPr>
          <w:p w:rsidR="005900FF" w:rsidRPr="002E2982" w:rsidRDefault="005900FF" w:rsidP="00917612">
            <w:pPr>
              <w:spacing w:line="0" w:lineRule="atLeast"/>
              <w:jc w:val="center"/>
              <w:rPr>
                <w:rFonts w:eastAsia="標楷體"/>
                <w:color w:val="000000" w:themeColor="text1"/>
                <w:sz w:val="26"/>
                <w:szCs w:val="26"/>
              </w:rPr>
            </w:pPr>
            <w:r w:rsidRPr="002E2982">
              <w:rPr>
                <w:rFonts w:eastAsia="標楷體"/>
                <w:color w:val="000000" w:themeColor="text1"/>
                <w:sz w:val="26"/>
                <w:szCs w:val="26"/>
              </w:rPr>
              <w:t>提供企業管理服務</w:t>
            </w:r>
          </w:p>
        </w:tc>
      </w:tr>
    </w:tbl>
    <w:p w:rsidR="00EA1F64" w:rsidRDefault="008C48FB" w:rsidP="001719B7">
      <w:pPr>
        <w:spacing w:beforeLines="50" w:before="120" w:afterLines="50" w:after="120" w:line="360" w:lineRule="auto"/>
        <w:jc w:val="both"/>
        <w:rPr>
          <w:rFonts w:eastAsia="標楷體" w:hint="eastAsia"/>
          <w:sz w:val="26"/>
          <w:szCs w:val="26"/>
        </w:rPr>
      </w:pPr>
      <w:r>
        <w:rPr>
          <w:rFonts w:eastAsia="標楷體"/>
          <w:sz w:val="26"/>
          <w:szCs w:val="26"/>
        </w:rPr>
        <w:br w:type="page"/>
      </w:r>
    </w:p>
    <w:p w:rsidR="00C9728A" w:rsidRDefault="00C9728A" w:rsidP="001719B7">
      <w:pPr>
        <w:spacing w:beforeLines="50" w:before="120" w:afterLines="50" w:after="120" w:line="360" w:lineRule="auto"/>
        <w:jc w:val="both"/>
        <w:rPr>
          <w:rFonts w:eastAsia="標楷體"/>
          <w:sz w:val="26"/>
          <w:szCs w:val="26"/>
        </w:rPr>
      </w:pPr>
    </w:p>
    <w:p w:rsidR="00EA1F64" w:rsidRDefault="00EA1F64" w:rsidP="001719B7">
      <w:pPr>
        <w:spacing w:beforeLines="50" w:before="120" w:afterLines="50" w:after="120" w:line="360" w:lineRule="auto"/>
        <w:jc w:val="both"/>
        <w:rPr>
          <w:rFonts w:eastAsia="標楷體" w:hint="eastAsia"/>
          <w:sz w:val="26"/>
          <w:szCs w:val="26"/>
        </w:rPr>
      </w:pPr>
    </w:p>
    <w:p w:rsidR="00C9728A" w:rsidRPr="00EA272E" w:rsidRDefault="00C9728A" w:rsidP="001719B7">
      <w:pPr>
        <w:spacing w:beforeLines="50" w:before="120" w:afterLines="50" w:after="120" w:line="360" w:lineRule="auto"/>
        <w:jc w:val="both"/>
        <w:rPr>
          <w:rFonts w:eastAsia="標楷體"/>
          <w:sz w:val="26"/>
          <w:szCs w:val="26"/>
        </w:rPr>
        <w:sectPr w:rsidR="00C9728A" w:rsidRPr="00EA272E" w:rsidSect="000223C9">
          <w:headerReference w:type="even" r:id="rId25"/>
          <w:headerReference w:type="default" r:id="rId26"/>
          <w:footerReference w:type="even" r:id="rId27"/>
          <w:headerReference w:type="first" r:id="rId28"/>
          <w:type w:val="oddPage"/>
          <w:pgSz w:w="11906" w:h="16838" w:code="9"/>
          <w:pgMar w:top="2160" w:right="1440" w:bottom="1814" w:left="1440" w:header="851" w:footer="567" w:gutter="567"/>
          <w:cols w:space="425"/>
          <w:docGrid w:linePitch="360"/>
        </w:sectPr>
      </w:pPr>
    </w:p>
    <w:p w:rsidR="00AF5158" w:rsidRPr="00EA272E" w:rsidRDefault="00EE4220" w:rsidP="00AF5158">
      <w:pPr>
        <w:pStyle w:val="1"/>
        <w:numPr>
          <w:ilvl w:val="0"/>
          <w:numId w:val="0"/>
        </w:numPr>
        <w:spacing w:before="0" w:after="0" w:line="240" w:lineRule="auto"/>
        <w:jc w:val="right"/>
        <w:rPr>
          <w:rFonts w:ascii="Times New Roman" w:eastAsia="標楷體" w:hAnsi="Times New Roman"/>
          <w:sz w:val="48"/>
          <w:szCs w:val="48"/>
        </w:rPr>
      </w:pPr>
      <w:bookmarkStart w:id="69" w:name="_Toc245269230"/>
      <w:bookmarkStart w:id="70" w:name="_Toc245269231"/>
      <w:bookmarkStart w:id="71" w:name="_Toc245269232"/>
      <w:bookmarkStart w:id="72" w:name="_Toc245269233"/>
      <w:bookmarkStart w:id="73" w:name="_Toc245269234"/>
      <w:bookmarkStart w:id="74" w:name="_Toc245269235"/>
      <w:bookmarkStart w:id="75" w:name="_Toc245269236"/>
      <w:bookmarkStart w:id="76" w:name="_Toc253154519"/>
      <w:bookmarkStart w:id="77" w:name="_Toc253154587"/>
      <w:bookmarkStart w:id="78" w:name="_Toc272326018"/>
      <w:bookmarkStart w:id="79" w:name="_Toc272326646"/>
      <w:bookmarkStart w:id="80" w:name="_Toc272326825"/>
      <w:bookmarkStart w:id="81" w:name="_Toc275960658"/>
      <w:bookmarkEnd w:id="69"/>
      <w:bookmarkEnd w:id="70"/>
      <w:bookmarkEnd w:id="71"/>
      <w:bookmarkEnd w:id="72"/>
      <w:bookmarkEnd w:id="73"/>
      <w:bookmarkEnd w:id="74"/>
      <w:bookmarkEnd w:id="75"/>
      <w:r>
        <w:rPr>
          <w:rFonts w:ascii="Times New Roman" w:eastAsia="標楷體" w:hAnsi="Times New Roman"/>
          <w:noProof/>
          <w:sz w:val="48"/>
          <w:szCs w:val="48"/>
        </w:rPr>
        <w:lastRenderedPageBreak/>
        <mc:AlternateContent>
          <mc:Choice Requires="wps">
            <w:drawing>
              <wp:anchor distT="0" distB="0" distL="114300" distR="114300" simplePos="0" relativeHeight="251659264" behindDoc="0" locked="0" layoutInCell="1" allowOverlap="1" wp14:anchorId="176AC1DA" wp14:editId="759B9332">
                <wp:simplePos x="0" y="0"/>
                <wp:positionH relativeFrom="column">
                  <wp:posOffset>4638675</wp:posOffset>
                </wp:positionH>
                <wp:positionV relativeFrom="paragraph">
                  <wp:posOffset>0</wp:posOffset>
                </wp:positionV>
                <wp:extent cx="720090" cy="720090"/>
                <wp:effectExtent l="0" t="0" r="22860" b="22860"/>
                <wp:wrapNone/>
                <wp:docPr id="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7B5D" w:rsidRPr="001E681F" w:rsidRDefault="00697B5D" w:rsidP="001E681F">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8" o:spid="_x0000_s1060" type="#_x0000_t202" style="position:absolute;left:0;text-align:left;margin-left:365.25pt;margin-top:0;width:56.7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">
                <v:textbox>
                  <w:txbxContent>
                    <w:p w:rsidR="00697B5D" w:rsidRPr="001E681F" w:rsidRDefault="00697B5D" w:rsidP="001E681F">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v:textbox>
              </v:shape>
            </w:pict>
          </mc:Fallback>
        </mc:AlternateContent>
      </w:r>
      <w:bookmarkEnd w:id="76"/>
      <w:bookmarkEnd w:id="77"/>
      <w:bookmarkEnd w:id="78"/>
      <w:bookmarkEnd w:id="79"/>
      <w:bookmarkEnd w:id="80"/>
      <w:bookmarkEnd w:id="81"/>
    </w:p>
    <w:p w:rsidR="00AF5158" w:rsidRPr="00EA272E" w:rsidRDefault="00AF5158" w:rsidP="00AF5158">
      <w:pPr>
        <w:jc w:val="right"/>
        <w:rPr>
          <w:rFonts w:eastAsia="標楷體"/>
        </w:rPr>
      </w:pPr>
    </w:p>
    <w:p w:rsidR="00AF5158" w:rsidRPr="00EA272E" w:rsidRDefault="00AF5158" w:rsidP="00AF5158">
      <w:pPr>
        <w:jc w:val="right"/>
        <w:rPr>
          <w:rFonts w:eastAsia="標楷體"/>
        </w:rPr>
      </w:pPr>
    </w:p>
    <w:p w:rsidR="00567251" w:rsidRPr="000E26E4" w:rsidRDefault="00F9092E" w:rsidP="00C9728A">
      <w:pPr>
        <w:pStyle w:val="1"/>
        <w:numPr>
          <w:ilvl w:val="0"/>
          <w:numId w:val="29"/>
        </w:numPr>
        <w:spacing w:before="100" w:beforeAutospacing="1" w:after="100" w:afterAutospacing="1" w:line="360" w:lineRule="auto"/>
        <w:ind w:rightChars="-19" w:right="-46"/>
        <w:jc w:val="center"/>
        <w:rPr>
          <w:rFonts w:ascii="Times New Roman" w:eastAsia="標楷體" w:hAnsi="Times New Roman"/>
          <w:sz w:val="44"/>
          <w:szCs w:val="46"/>
        </w:rPr>
      </w:pPr>
      <w:bookmarkStart w:id="82" w:name="_Toc359935474"/>
      <w:r w:rsidRPr="000E26E4">
        <w:rPr>
          <w:rFonts w:ascii="Times New Roman" w:eastAsia="標楷體" w:hAnsi="Times New Roman" w:hint="eastAsia"/>
          <w:sz w:val="44"/>
          <w:szCs w:val="46"/>
        </w:rPr>
        <w:t>受控交易評估</w:t>
      </w:r>
      <w:r w:rsidR="00A82581" w:rsidRPr="000E26E4">
        <w:rPr>
          <w:rFonts w:ascii="Times New Roman" w:eastAsia="標楷體" w:hAnsi="Times New Roman" w:hint="eastAsia"/>
          <w:sz w:val="44"/>
          <w:szCs w:val="46"/>
        </w:rPr>
        <w:t>結果</w:t>
      </w:r>
      <w:bookmarkEnd w:id="82"/>
    </w:p>
    <w:p w:rsidR="00DE7202" w:rsidRDefault="00F9092E" w:rsidP="001719B7">
      <w:pPr>
        <w:spacing w:beforeLines="50" w:before="120" w:afterLines="50" w:after="120" w:line="360" w:lineRule="auto"/>
        <w:ind w:firstLineChars="200" w:firstLine="520"/>
        <w:jc w:val="both"/>
        <w:rPr>
          <w:rFonts w:eastAsia="標楷體"/>
          <w:sz w:val="26"/>
          <w:szCs w:val="26"/>
        </w:rPr>
      </w:pPr>
      <w:r w:rsidRPr="00CA51EF">
        <w:rPr>
          <w:rFonts w:eastAsia="標楷體" w:hint="eastAsia"/>
          <w:sz w:val="26"/>
          <w:szCs w:val="26"/>
        </w:rPr>
        <w:t>由本</w:t>
      </w:r>
      <w:r w:rsidR="00A82581" w:rsidRPr="00CA51EF">
        <w:rPr>
          <w:rFonts w:eastAsia="標楷體" w:hint="eastAsia"/>
          <w:sz w:val="26"/>
          <w:szCs w:val="26"/>
        </w:rPr>
        <w:t>文據</w:t>
      </w:r>
      <w:r w:rsidRPr="00CA51EF">
        <w:rPr>
          <w:rFonts w:eastAsia="標楷體" w:hint="eastAsia"/>
          <w:sz w:val="26"/>
          <w:szCs w:val="26"/>
        </w:rPr>
        <w:t>第</w:t>
      </w:r>
      <w:r w:rsidR="009B3FB7" w:rsidRPr="00CA51EF">
        <w:rPr>
          <w:rFonts w:eastAsia="標楷體" w:hint="eastAsia"/>
          <w:sz w:val="26"/>
          <w:szCs w:val="26"/>
        </w:rPr>
        <w:t>陸</w:t>
      </w:r>
      <w:r w:rsidRPr="00CA51EF">
        <w:rPr>
          <w:rFonts w:eastAsia="標楷體" w:hint="eastAsia"/>
          <w:sz w:val="26"/>
          <w:szCs w:val="26"/>
        </w:rPr>
        <w:t>章得知，『</w:t>
      </w:r>
      <w:r w:rsidR="00983328" w:rsidRPr="00CA51EF">
        <w:rPr>
          <w:rFonts w:eastAsia="標楷體" w:hint="eastAsia"/>
          <w:sz w:val="26"/>
          <w:szCs w:val="26"/>
        </w:rPr>
        <w:t>可比較利潤法</w:t>
      </w:r>
      <w:r w:rsidRPr="00CA51EF">
        <w:rPr>
          <w:rFonts w:eastAsia="標楷體" w:hint="eastAsia"/>
          <w:sz w:val="26"/>
          <w:szCs w:val="26"/>
        </w:rPr>
        <w:t>』為評估</w:t>
      </w:r>
      <w:r w:rsidR="003A761B" w:rsidRPr="00CA51EF">
        <w:rPr>
          <w:rFonts w:eastAsia="標楷體" w:hint="eastAsia"/>
          <w:sz w:val="26"/>
          <w:szCs w:val="26"/>
        </w:rPr>
        <w:t>萊迪思台灣分公司</w:t>
      </w:r>
      <w:r w:rsidRPr="00CA51EF">
        <w:rPr>
          <w:rFonts w:eastAsia="標楷體" w:hint="eastAsia"/>
          <w:sz w:val="26"/>
          <w:szCs w:val="26"/>
        </w:rPr>
        <w:t>『</w:t>
      </w:r>
      <w:r w:rsidR="00983328" w:rsidRPr="00CA51EF">
        <w:rPr>
          <w:rFonts w:eastAsia="標楷體" w:hint="eastAsia"/>
          <w:sz w:val="26"/>
          <w:szCs w:val="26"/>
        </w:rPr>
        <w:t>服務之提供</w:t>
      </w:r>
      <w:r w:rsidRPr="00CA51EF">
        <w:rPr>
          <w:rFonts w:eastAsia="標楷體" w:hint="eastAsia"/>
          <w:sz w:val="26"/>
          <w:szCs w:val="26"/>
        </w:rPr>
        <w:t>』受控交易是否符合常規之</w:t>
      </w:r>
      <w:proofErr w:type="gramStart"/>
      <w:r w:rsidRPr="00CA51EF">
        <w:rPr>
          <w:rFonts w:eastAsia="標楷體" w:hint="eastAsia"/>
          <w:sz w:val="26"/>
          <w:szCs w:val="26"/>
        </w:rPr>
        <w:t>最</w:t>
      </w:r>
      <w:proofErr w:type="gramEnd"/>
      <w:r w:rsidRPr="00CA51EF">
        <w:rPr>
          <w:rFonts w:eastAsia="標楷體" w:hint="eastAsia"/>
          <w:sz w:val="26"/>
          <w:szCs w:val="26"/>
        </w:rPr>
        <w:t>適常規方法。</w:t>
      </w:r>
    </w:p>
    <w:p w:rsidR="00DE7202" w:rsidRDefault="00F9092E" w:rsidP="001719B7">
      <w:pPr>
        <w:pStyle w:val="2"/>
        <w:numPr>
          <w:ilvl w:val="0"/>
          <w:numId w:val="21"/>
        </w:numPr>
        <w:tabs>
          <w:tab w:val="left" w:pos="567"/>
        </w:tabs>
        <w:spacing w:beforeLines="100" w:before="240" w:afterLines="100" w:after="240" w:line="360" w:lineRule="auto"/>
        <w:ind w:left="482" w:hanging="482"/>
        <w:rPr>
          <w:rFonts w:ascii="Times New Roman" w:eastAsia="標楷體" w:hAnsi="Times New Roman"/>
          <w:sz w:val="36"/>
          <w:szCs w:val="40"/>
        </w:rPr>
      </w:pPr>
      <w:r w:rsidRPr="00D742A9">
        <w:rPr>
          <w:rFonts w:ascii="Times New Roman" w:eastAsia="標楷體" w:hAnsi="Times New Roman" w:hint="eastAsia"/>
          <w:sz w:val="36"/>
          <w:szCs w:val="40"/>
        </w:rPr>
        <w:t>採用「可比較利潤法」為</w:t>
      </w:r>
      <w:proofErr w:type="gramStart"/>
      <w:r w:rsidRPr="00D742A9">
        <w:rPr>
          <w:rFonts w:ascii="Times New Roman" w:eastAsia="標楷體" w:hAnsi="Times New Roman" w:hint="eastAsia"/>
          <w:sz w:val="36"/>
          <w:szCs w:val="40"/>
        </w:rPr>
        <w:t>最</w:t>
      </w:r>
      <w:proofErr w:type="gramEnd"/>
      <w:r w:rsidRPr="00D742A9">
        <w:rPr>
          <w:rFonts w:ascii="Times New Roman" w:eastAsia="標楷體" w:hAnsi="Times New Roman" w:hint="eastAsia"/>
          <w:sz w:val="36"/>
          <w:szCs w:val="40"/>
        </w:rPr>
        <w:t>適常規交易方法</w:t>
      </w:r>
    </w:p>
    <w:p w:rsidR="00DE7202" w:rsidRDefault="00F9092E" w:rsidP="001719B7">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由第</w:t>
      </w:r>
      <w:r w:rsidR="00A82581">
        <w:rPr>
          <w:rFonts w:eastAsia="標楷體" w:hint="eastAsia"/>
          <w:sz w:val="26"/>
          <w:szCs w:val="26"/>
        </w:rPr>
        <w:t>柒</w:t>
      </w:r>
      <w:r w:rsidRPr="006B74CC">
        <w:rPr>
          <w:rFonts w:eastAsia="標楷體" w:hint="eastAsia"/>
          <w:sz w:val="26"/>
          <w:szCs w:val="26"/>
        </w:rPr>
        <w:t>章步驟選出可比較對象後，本所即根據移轉訂價查核準則第</w:t>
      </w:r>
      <w:r w:rsidRPr="006B74CC">
        <w:rPr>
          <w:rFonts w:eastAsia="標楷體"/>
          <w:sz w:val="26"/>
          <w:szCs w:val="26"/>
        </w:rPr>
        <w:t>18</w:t>
      </w:r>
      <w:r w:rsidRPr="006B74CC">
        <w:rPr>
          <w:rFonts w:eastAsia="標楷體" w:hint="eastAsia"/>
          <w:sz w:val="26"/>
          <w:szCs w:val="26"/>
        </w:rPr>
        <w:t>條規定，以可比較對象之利潤率（利潤指標之選定請見第</w:t>
      </w:r>
      <w:r w:rsidR="009B3FB7">
        <w:rPr>
          <w:rFonts w:eastAsia="標楷體" w:hint="eastAsia"/>
          <w:sz w:val="26"/>
          <w:szCs w:val="26"/>
        </w:rPr>
        <w:t>捌</w:t>
      </w:r>
      <w:r w:rsidRPr="006B74CC">
        <w:rPr>
          <w:rFonts w:eastAsia="標楷體" w:hint="eastAsia"/>
          <w:sz w:val="26"/>
          <w:szCs w:val="26"/>
        </w:rPr>
        <w:t>章）建立常規交易</w:t>
      </w:r>
      <w:r>
        <w:rPr>
          <w:rFonts w:eastAsia="標楷體" w:hint="eastAsia"/>
          <w:sz w:val="26"/>
          <w:szCs w:val="26"/>
        </w:rPr>
        <w:t>範圍</w:t>
      </w:r>
      <w:r w:rsidRPr="006B74CC">
        <w:rPr>
          <w:rFonts w:eastAsia="標楷體" w:hint="eastAsia"/>
          <w:sz w:val="26"/>
          <w:szCs w:val="26"/>
        </w:rPr>
        <w:t>，據以決定受控交易之常規交易結果。</w:t>
      </w:r>
    </w:p>
    <w:p w:rsidR="00DE7202" w:rsidRDefault="00F9092E" w:rsidP="001719B7">
      <w:pPr>
        <w:spacing w:beforeLines="50" w:before="120" w:afterLines="50" w:after="120" w:line="360" w:lineRule="auto"/>
        <w:ind w:firstLineChars="250" w:firstLine="650"/>
        <w:rPr>
          <w:rFonts w:eastAsia="標楷體"/>
          <w:color w:val="000000"/>
          <w:sz w:val="26"/>
          <w:szCs w:val="26"/>
        </w:rPr>
      </w:pPr>
      <w:r w:rsidRPr="00EA272E">
        <w:rPr>
          <w:rFonts w:eastAsia="標楷體" w:hint="eastAsia"/>
          <w:color w:val="000000"/>
          <w:sz w:val="26"/>
          <w:szCs w:val="26"/>
        </w:rPr>
        <w:t>以下步驟為本所依移轉訂價查核準則</w:t>
      </w:r>
      <w:r w:rsidR="00A91D75">
        <w:rPr>
          <w:rFonts w:eastAsia="標楷體" w:hint="eastAsia"/>
          <w:color w:val="000000"/>
          <w:sz w:val="26"/>
          <w:szCs w:val="26"/>
        </w:rPr>
        <w:t>第</w:t>
      </w:r>
      <w:r w:rsidRPr="00EA272E">
        <w:rPr>
          <w:rFonts w:eastAsia="標楷體" w:hint="eastAsia"/>
          <w:color w:val="000000"/>
          <w:sz w:val="26"/>
          <w:szCs w:val="26"/>
        </w:rPr>
        <w:t>18</w:t>
      </w:r>
      <w:r w:rsidRPr="00EA272E">
        <w:rPr>
          <w:rFonts w:eastAsia="標楷體" w:hint="eastAsia"/>
          <w:color w:val="000000"/>
          <w:sz w:val="26"/>
          <w:szCs w:val="26"/>
        </w:rPr>
        <w:t>條辦理情形：</w:t>
      </w:r>
    </w:p>
    <w:p w:rsidR="00DE7202" w:rsidRDefault="00F9092E" w:rsidP="001719B7">
      <w:pPr>
        <w:pStyle w:val="2"/>
        <w:numPr>
          <w:ilvl w:val="1"/>
          <w:numId w:val="17"/>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選定受測個體及受測活動</w:t>
      </w:r>
    </w:p>
    <w:p w:rsidR="00DE7202" w:rsidRDefault="00F9092E" w:rsidP="001719B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w:t>
      </w:r>
      <w:proofErr w:type="gramStart"/>
      <w:r w:rsidRPr="00EA272E">
        <w:rPr>
          <w:rFonts w:eastAsia="標楷體"/>
          <w:sz w:val="26"/>
          <w:szCs w:val="26"/>
        </w:rPr>
        <w:t>最</w:t>
      </w:r>
      <w:proofErr w:type="gramEnd"/>
      <w:r w:rsidRPr="00EA272E">
        <w:rPr>
          <w:rFonts w:eastAsia="標楷體"/>
          <w:sz w:val="26"/>
          <w:szCs w:val="26"/>
        </w:rPr>
        <w:t>適之受測個體。受測活動，係指受測個體參與受控交易可細分至最小且可資辨認之營業活動。</w:t>
      </w:r>
    </w:p>
    <w:p w:rsidR="00DE7202" w:rsidRDefault="00F9092E" w:rsidP="001719B7">
      <w:pPr>
        <w:spacing w:beforeLines="100" w:before="240" w:afterLines="50" w:after="120" w:line="360" w:lineRule="auto"/>
        <w:ind w:firstLineChars="200" w:firstLine="520"/>
        <w:jc w:val="both"/>
        <w:rPr>
          <w:rFonts w:eastAsia="標楷體"/>
          <w:sz w:val="26"/>
          <w:szCs w:val="26"/>
        </w:rPr>
      </w:pPr>
      <w:r w:rsidRPr="00EA272E">
        <w:rPr>
          <w:rFonts w:eastAsia="標楷體" w:hint="eastAsia"/>
          <w:sz w:val="26"/>
          <w:szCs w:val="26"/>
        </w:rPr>
        <w:t>茲將選用受測個體之理由及受測活動說明如下：</w:t>
      </w:r>
    </w:p>
    <w:p w:rsidR="00917612" w:rsidRDefault="00917612" w:rsidP="001719B7">
      <w:pPr>
        <w:spacing w:beforeLines="100" w:before="240" w:afterLines="50" w:after="120" w:line="360" w:lineRule="auto"/>
        <w:ind w:firstLineChars="200" w:firstLine="520"/>
        <w:jc w:val="both"/>
        <w:rPr>
          <w:rFonts w:eastAsia="標楷體"/>
          <w:sz w:val="26"/>
          <w:szCs w:val="26"/>
        </w:rPr>
      </w:pPr>
    </w:p>
    <w:tbl>
      <w:tblPr>
        <w:tblW w:w="836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53"/>
        <w:gridCol w:w="1560"/>
        <w:gridCol w:w="949"/>
        <w:gridCol w:w="1701"/>
        <w:gridCol w:w="3001"/>
      </w:tblGrid>
      <w:tr w:rsidR="0096327D" w:rsidRPr="00A2350C" w:rsidTr="00917612">
        <w:trPr>
          <w:trHeight w:val="567"/>
          <w:tblHeader/>
          <w:jc w:val="center"/>
        </w:trPr>
        <w:tc>
          <w:tcPr>
            <w:tcW w:w="3662" w:type="dxa"/>
            <w:gridSpan w:val="3"/>
            <w:shd w:val="clear" w:color="auto" w:fill="4F81BD"/>
            <w:vAlign w:val="center"/>
          </w:tcPr>
          <w:p w:rsidR="0096327D" w:rsidRPr="00A2350C" w:rsidRDefault="0096327D" w:rsidP="0031780D">
            <w:pPr>
              <w:jc w:val="center"/>
              <w:rPr>
                <w:rFonts w:eastAsia="標楷體"/>
                <w:color w:val="FFFFFF"/>
                <w:sz w:val="26"/>
                <w:szCs w:val="26"/>
              </w:rPr>
            </w:pPr>
            <w:r w:rsidRPr="00A2350C">
              <w:rPr>
                <w:rFonts w:eastAsia="標楷體" w:hint="eastAsia"/>
                <w:color w:val="FFFFFF"/>
                <w:sz w:val="26"/>
                <w:szCs w:val="26"/>
              </w:rPr>
              <w:lastRenderedPageBreak/>
              <w:t>受測活動</w:t>
            </w:r>
          </w:p>
        </w:tc>
        <w:tc>
          <w:tcPr>
            <w:tcW w:w="1701" w:type="dxa"/>
            <w:vMerge w:val="restart"/>
            <w:shd w:val="clear" w:color="auto" w:fill="4F81BD"/>
            <w:vAlign w:val="center"/>
          </w:tcPr>
          <w:p w:rsidR="0096327D" w:rsidRPr="00A2350C" w:rsidRDefault="0096327D" w:rsidP="0031780D">
            <w:pPr>
              <w:jc w:val="center"/>
              <w:rPr>
                <w:rFonts w:eastAsia="標楷體"/>
                <w:color w:val="FFFFFF"/>
                <w:sz w:val="26"/>
                <w:szCs w:val="26"/>
              </w:rPr>
            </w:pPr>
            <w:r w:rsidRPr="00A2350C">
              <w:rPr>
                <w:rFonts w:eastAsia="標楷體" w:hint="eastAsia"/>
                <w:color w:val="FFFFFF"/>
                <w:sz w:val="26"/>
                <w:szCs w:val="26"/>
              </w:rPr>
              <w:t>受測個體</w:t>
            </w:r>
          </w:p>
        </w:tc>
        <w:tc>
          <w:tcPr>
            <w:tcW w:w="3001" w:type="dxa"/>
            <w:vMerge w:val="restart"/>
            <w:shd w:val="clear" w:color="auto" w:fill="4F81BD"/>
            <w:vAlign w:val="center"/>
          </w:tcPr>
          <w:p w:rsidR="0096327D" w:rsidRPr="00A2350C" w:rsidRDefault="0096327D" w:rsidP="0031780D">
            <w:pPr>
              <w:jc w:val="center"/>
              <w:rPr>
                <w:rFonts w:eastAsia="標楷體"/>
                <w:color w:val="FFFFFF"/>
                <w:sz w:val="26"/>
                <w:szCs w:val="26"/>
              </w:rPr>
            </w:pPr>
            <w:r w:rsidRPr="00A2350C">
              <w:rPr>
                <w:rFonts w:eastAsia="標楷體" w:hint="eastAsia"/>
                <w:color w:val="FFFFFF"/>
                <w:sz w:val="26"/>
                <w:szCs w:val="26"/>
              </w:rPr>
              <w:t>選用原因</w:t>
            </w:r>
          </w:p>
        </w:tc>
      </w:tr>
      <w:tr w:rsidR="0096327D" w:rsidRPr="00A2350C" w:rsidTr="00917612">
        <w:trPr>
          <w:trHeight w:val="567"/>
          <w:tblHeader/>
          <w:jc w:val="center"/>
        </w:trPr>
        <w:tc>
          <w:tcPr>
            <w:tcW w:w="1153" w:type="dxa"/>
            <w:shd w:val="clear" w:color="auto" w:fill="4F81BD"/>
            <w:vAlign w:val="center"/>
          </w:tcPr>
          <w:p w:rsidR="0096327D" w:rsidRPr="00A2350C" w:rsidRDefault="0096327D" w:rsidP="0031780D">
            <w:pPr>
              <w:jc w:val="center"/>
              <w:rPr>
                <w:rFonts w:eastAsia="標楷體"/>
                <w:color w:val="FFFFFF"/>
                <w:sz w:val="26"/>
                <w:szCs w:val="26"/>
              </w:rPr>
            </w:pPr>
            <w:r w:rsidRPr="00A2350C">
              <w:rPr>
                <w:rFonts w:eastAsia="標楷體" w:hint="eastAsia"/>
                <w:color w:val="FFFFFF"/>
                <w:sz w:val="26"/>
                <w:szCs w:val="26"/>
              </w:rPr>
              <w:t>受控交易類型</w:t>
            </w:r>
          </w:p>
        </w:tc>
        <w:tc>
          <w:tcPr>
            <w:tcW w:w="1560" w:type="dxa"/>
            <w:shd w:val="clear" w:color="auto" w:fill="4F81BD"/>
            <w:vAlign w:val="center"/>
          </w:tcPr>
          <w:p w:rsidR="0096327D" w:rsidRPr="00A2350C" w:rsidRDefault="0096327D" w:rsidP="0031780D">
            <w:pPr>
              <w:jc w:val="center"/>
              <w:rPr>
                <w:rFonts w:eastAsia="標楷體"/>
                <w:color w:val="FFFFFF"/>
                <w:sz w:val="26"/>
                <w:szCs w:val="26"/>
              </w:rPr>
            </w:pPr>
            <w:r w:rsidRPr="00A2350C">
              <w:rPr>
                <w:rFonts w:eastAsia="標楷體" w:hint="eastAsia"/>
                <w:color w:val="FFFFFF"/>
                <w:sz w:val="26"/>
                <w:szCs w:val="26"/>
              </w:rPr>
              <w:t>明細</w:t>
            </w:r>
          </w:p>
        </w:tc>
        <w:tc>
          <w:tcPr>
            <w:tcW w:w="949" w:type="dxa"/>
            <w:shd w:val="clear" w:color="auto" w:fill="4F81BD"/>
            <w:vAlign w:val="center"/>
          </w:tcPr>
          <w:p w:rsidR="0096327D" w:rsidRPr="00A2350C" w:rsidRDefault="0096327D" w:rsidP="0031780D">
            <w:pPr>
              <w:jc w:val="center"/>
              <w:rPr>
                <w:rFonts w:eastAsia="標楷體"/>
                <w:color w:val="FFFFFF"/>
                <w:sz w:val="26"/>
                <w:szCs w:val="26"/>
              </w:rPr>
            </w:pPr>
            <w:r w:rsidRPr="00A2350C">
              <w:rPr>
                <w:rFonts w:eastAsia="標楷體" w:hint="eastAsia"/>
                <w:color w:val="FFFFFF"/>
                <w:sz w:val="26"/>
                <w:szCs w:val="26"/>
              </w:rPr>
              <w:t>交易對象</w:t>
            </w:r>
          </w:p>
        </w:tc>
        <w:tc>
          <w:tcPr>
            <w:tcW w:w="1701" w:type="dxa"/>
            <w:vMerge/>
            <w:shd w:val="clear" w:color="auto" w:fill="4F81BD"/>
            <w:vAlign w:val="center"/>
          </w:tcPr>
          <w:p w:rsidR="0096327D" w:rsidRPr="00A2350C" w:rsidRDefault="0096327D" w:rsidP="0031780D">
            <w:pPr>
              <w:jc w:val="center"/>
              <w:rPr>
                <w:rFonts w:eastAsia="標楷體"/>
                <w:color w:val="FFFFFF"/>
                <w:sz w:val="26"/>
                <w:szCs w:val="26"/>
              </w:rPr>
            </w:pPr>
          </w:p>
        </w:tc>
        <w:tc>
          <w:tcPr>
            <w:tcW w:w="3001" w:type="dxa"/>
            <w:vMerge/>
            <w:shd w:val="clear" w:color="auto" w:fill="4F81BD"/>
            <w:vAlign w:val="center"/>
          </w:tcPr>
          <w:p w:rsidR="0096327D" w:rsidRPr="00A2350C" w:rsidRDefault="0096327D" w:rsidP="0031780D">
            <w:pPr>
              <w:jc w:val="center"/>
              <w:rPr>
                <w:rFonts w:eastAsia="標楷體"/>
                <w:color w:val="FFFFFF"/>
                <w:sz w:val="26"/>
                <w:szCs w:val="26"/>
              </w:rPr>
            </w:pPr>
          </w:p>
        </w:tc>
      </w:tr>
      <w:tr w:rsidR="0096327D" w:rsidRPr="00EA272E" w:rsidTr="00917612">
        <w:trPr>
          <w:trHeight w:val="385"/>
          <w:tblHeader/>
          <w:jc w:val="center"/>
        </w:trPr>
        <w:tc>
          <w:tcPr>
            <w:tcW w:w="1153" w:type="dxa"/>
            <w:shd w:val="clear" w:color="auto" w:fill="FFFFFF"/>
            <w:vAlign w:val="center"/>
          </w:tcPr>
          <w:p w:rsidR="0096327D" w:rsidRPr="00754B06" w:rsidRDefault="0096327D" w:rsidP="0031780D">
            <w:pPr>
              <w:jc w:val="center"/>
              <w:rPr>
                <w:rFonts w:eastAsia="標楷體"/>
                <w:sz w:val="26"/>
                <w:szCs w:val="26"/>
              </w:rPr>
            </w:pPr>
            <w:r w:rsidRPr="00754B06">
              <w:rPr>
                <w:rFonts w:eastAsia="標楷體" w:hint="eastAsia"/>
                <w:sz w:val="26"/>
                <w:szCs w:val="26"/>
              </w:rPr>
              <w:t>服務之提供</w:t>
            </w:r>
          </w:p>
        </w:tc>
        <w:tc>
          <w:tcPr>
            <w:tcW w:w="1560" w:type="dxa"/>
            <w:shd w:val="clear" w:color="auto" w:fill="FFFFFF"/>
            <w:vAlign w:val="center"/>
          </w:tcPr>
          <w:p w:rsidR="0096327D" w:rsidRPr="00163B5A" w:rsidRDefault="00163B5A" w:rsidP="00163B5A">
            <w:pPr>
              <w:rPr>
                <w:rFonts w:eastAsia="標楷體"/>
                <w:sz w:val="26"/>
                <w:szCs w:val="26"/>
              </w:rPr>
            </w:pPr>
            <w:r w:rsidRPr="00163B5A">
              <w:rPr>
                <w:rFonts w:eastAsia="標楷體" w:hint="eastAsia"/>
                <w:sz w:val="26"/>
                <w:szCs w:val="26"/>
              </w:rPr>
              <w:t>提供行銷、客戶聯</w:t>
            </w:r>
            <w:r w:rsidR="008C5F27">
              <w:rPr>
                <w:rFonts w:eastAsia="標楷體" w:hint="eastAsia"/>
                <w:sz w:val="26"/>
                <w:szCs w:val="26"/>
              </w:rPr>
              <w:t>絡</w:t>
            </w:r>
            <w:r w:rsidRPr="00163B5A">
              <w:rPr>
                <w:rFonts w:eastAsia="標楷體" w:hint="eastAsia"/>
                <w:sz w:val="26"/>
                <w:szCs w:val="26"/>
              </w:rPr>
              <w:t>、產品技術支援及產品服務。</w:t>
            </w:r>
          </w:p>
        </w:tc>
        <w:tc>
          <w:tcPr>
            <w:tcW w:w="949" w:type="dxa"/>
            <w:shd w:val="clear" w:color="auto" w:fill="FFFFFF"/>
            <w:vAlign w:val="center"/>
          </w:tcPr>
          <w:p w:rsidR="0096327D" w:rsidRPr="00754B06" w:rsidRDefault="00163B5A" w:rsidP="0031780D">
            <w:pPr>
              <w:jc w:val="center"/>
              <w:rPr>
                <w:rFonts w:eastAsia="標楷體"/>
                <w:sz w:val="26"/>
                <w:szCs w:val="26"/>
              </w:rPr>
            </w:pPr>
            <w:r>
              <w:rPr>
                <w:rFonts w:eastAsia="標楷體" w:hint="eastAsia"/>
                <w:sz w:val="26"/>
                <w:szCs w:val="26"/>
              </w:rPr>
              <w:t>LSG</w:t>
            </w:r>
          </w:p>
        </w:tc>
        <w:tc>
          <w:tcPr>
            <w:tcW w:w="1701" w:type="dxa"/>
            <w:shd w:val="clear" w:color="auto" w:fill="FFFFFF"/>
            <w:vAlign w:val="center"/>
          </w:tcPr>
          <w:p w:rsidR="00566C68" w:rsidRDefault="001768F5" w:rsidP="0031780D">
            <w:pPr>
              <w:jc w:val="center"/>
              <w:rPr>
                <w:rFonts w:eastAsia="標楷體"/>
                <w:sz w:val="26"/>
                <w:szCs w:val="26"/>
              </w:rPr>
            </w:pPr>
            <w:r w:rsidRPr="001768F5">
              <w:rPr>
                <w:rFonts w:eastAsia="標楷體" w:hint="eastAsia"/>
                <w:sz w:val="26"/>
                <w:szCs w:val="26"/>
              </w:rPr>
              <w:t>萊迪思</w:t>
            </w:r>
          </w:p>
          <w:p w:rsidR="0096327D" w:rsidRPr="001768F5" w:rsidRDefault="001768F5" w:rsidP="0031780D">
            <w:pPr>
              <w:jc w:val="center"/>
              <w:rPr>
                <w:rFonts w:eastAsia="標楷體"/>
                <w:sz w:val="26"/>
                <w:szCs w:val="26"/>
              </w:rPr>
            </w:pPr>
            <w:r w:rsidRPr="001768F5">
              <w:rPr>
                <w:rFonts w:eastAsia="標楷體" w:hint="eastAsia"/>
                <w:sz w:val="26"/>
                <w:szCs w:val="26"/>
              </w:rPr>
              <w:t>台灣分公司</w:t>
            </w:r>
          </w:p>
        </w:tc>
        <w:tc>
          <w:tcPr>
            <w:tcW w:w="3001" w:type="dxa"/>
            <w:shd w:val="clear" w:color="auto" w:fill="FFFFFF"/>
            <w:vAlign w:val="center"/>
          </w:tcPr>
          <w:p w:rsidR="0096327D" w:rsidRPr="00754B06" w:rsidRDefault="001768F5" w:rsidP="0031780D">
            <w:pPr>
              <w:jc w:val="both"/>
              <w:rPr>
                <w:rFonts w:eastAsia="標楷體"/>
                <w:sz w:val="26"/>
                <w:szCs w:val="26"/>
              </w:rPr>
            </w:pPr>
            <w:r w:rsidRPr="001768F5">
              <w:rPr>
                <w:rFonts w:eastAsia="標楷體" w:hint="eastAsia"/>
                <w:sz w:val="26"/>
                <w:szCs w:val="26"/>
              </w:rPr>
              <w:t>萊迪思台灣分公司</w:t>
            </w:r>
            <w:r w:rsidR="0096327D" w:rsidRPr="00754B06">
              <w:rPr>
                <w:rFonts w:eastAsia="標楷體" w:hint="eastAsia"/>
                <w:sz w:val="26"/>
                <w:szCs w:val="26"/>
              </w:rPr>
              <w:t>因營業</w:t>
            </w:r>
            <w:r w:rsidR="006815DA">
              <w:rPr>
                <w:rFonts w:eastAsia="標楷體" w:hint="eastAsia"/>
                <w:sz w:val="26"/>
                <w:szCs w:val="26"/>
              </w:rPr>
              <w:t>型</w:t>
            </w:r>
            <w:r w:rsidR="0096327D" w:rsidRPr="00754B06">
              <w:rPr>
                <w:rFonts w:eastAsia="標楷體" w:hint="eastAsia"/>
                <w:sz w:val="26"/>
                <w:szCs w:val="26"/>
              </w:rPr>
              <w:t>態及執行功能較</w:t>
            </w:r>
            <w:r w:rsidR="00163B5A" w:rsidRPr="00163B5A">
              <w:rPr>
                <w:rFonts w:eastAsia="標楷體"/>
                <w:sz w:val="26"/>
                <w:szCs w:val="26"/>
              </w:rPr>
              <w:t>LSG</w:t>
            </w:r>
            <w:r w:rsidR="0096327D" w:rsidRPr="00754B06">
              <w:rPr>
                <w:rFonts w:eastAsia="標楷體" w:hint="eastAsia"/>
                <w:sz w:val="26"/>
                <w:szCs w:val="26"/>
              </w:rPr>
              <w:t>單純，未擁有高價值之無形資產或特有資產，且為本國公司，財務資料經本國會計師查核簽證，本所認為其可信度應較國外之關係企業為高，故以其為受測個體。</w:t>
            </w:r>
          </w:p>
        </w:tc>
      </w:tr>
    </w:tbl>
    <w:p w:rsidR="00DE7202" w:rsidRDefault="00F9092E" w:rsidP="001719B7">
      <w:pPr>
        <w:pStyle w:val="2"/>
        <w:numPr>
          <w:ilvl w:val="1"/>
          <w:numId w:val="17"/>
        </w:numPr>
        <w:tabs>
          <w:tab w:val="left" w:pos="756"/>
        </w:tabs>
        <w:spacing w:beforeLines="100" w:before="240" w:afterLines="100" w:after="240" w:line="360" w:lineRule="auto"/>
        <w:ind w:left="757" w:hangingChars="210" w:hanging="757"/>
        <w:jc w:val="both"/>
        <w:rPr>
          <w:rFonts w:ascii="Times New Roman" w:eastAsia="標楷體" w:hAnsi="Times New Roman"/>
          <w:sz w:val="36"/>
          <w:szCs w:val="40"/>
        </w:rPr>
      </w:pPr>
      <w:r w:rsidRPr="002B3B56">
        <w:rPr>
          <w:rFonts w:ascii="Times New Roman" w:eastAsia="標楷體" w:hAnsi="Times New Roman" w:hint="eastAsia"/>
          <w:sz w:val="36"/>
          <w:szCs w:val="40"/>
        </w:rPr>
        <w:t>選定與受測個體及受測活動相似之可比較未受控交易</w:t>
      </w:r>
    </w:p>
    <w:p w:rsidR="00DE7202" w:rsidRDefault="00F9092E" w:rsidP="001719B7">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本步驟之執行已於本</w:t>
      </w:r>
      <w:r w:rsidR="00A82581">
        <w:rPr>
          <w:rFonts w:eastAsia="標楷體" w:hint="eastAsia"/>
          <w:sz w:val="26"/>
          <w:szCs w:val="26"/>
        </w:rPr>
        <w:t>文據</w:t>
      </w:r>
      <w:proofErr w:type="gramStart"/>
      <w:r w:rsidRPr="006B74CC">
        <w:rPr>
          <w:rFonts w:eastAsia="標楷體" w:hint="eastAsia"/>
          <w:sz w:val="26"/>
          <w:szCs w:val="26"/>
        </w:rPr>
        <w:t>第</w:t>
      </w:r>
      <w:r w:rsidR="00A82581">
        <w:rPr>
          <w:rFonts w:eastAsia="標楷體" w:hint="eastAsia"/>
          <w:sz w:val="26"/>
          <w:szCs w:val="26"/>
        </w:rPr>
        <w:t>柒</w:t>
      </w:r>
      <w:r w:rsidRPr="006B74CC">
        <w:rPr>
          <w:rFonts w:eastAsia="標楷體" w:hint="eastAsia"/>
          <w:sz w:val="26"/>
          <w:szCs w:val="26"/>
        </w:rPr>
        <w:t>章依移轉</w:t>
      </w:r>
      <w:proofErr w:type="gramEnd"/>
      <w:r w:rsidRPr="006B74CC">
        <w:rPr>
          <w:rFonts w:eastAsia="標楷體" w:hint="eastAsia"/>
          <w:sz w:val="26"/>
          <w:szCs w:val="26"/>
        </w:rPr>
        <w:t>訂價查核準則規定辦理。</w:t>
      </w:r>
    </w:p>
    <w:p w:rsidR="00DE7202" w:rsidRDefault="00F9092E" w:rsidP="001719B7">
      <w:pPr>
        <w:pStyle w:val="32"/>
        <w:spacing w:beforeLines="50" w:before="120" w:afterLines="50" w:after="120" w:line="360" w:lineRule="auto"/>
        <w:ind w:firstLineChars="200" w:firstLine="520"/>
        <w:jc w:val="both"/>
        <w:rPr>
          <w:szCs w:val="26"/>
        </w:rPr>
      </w:pPr>
      <w:r w:rsidRPr="00A2350C">
        <w:rPr>
          <w:rFonts w:hint="eastAsia"/>
          <w:szCs w:val="26"/>
        </w:rPr>
        <w:t>可比較利潤法對產品本身的可比較性要求遠小於可比較未受控價格</w:t>
      </w:r>
      <w:r w:rsidRPr="00576284">
        <w:rPr>
          <w:rFonts w:hint="eastAsia"/>
          <w:szCs w:val="26"/>
        </w:rPr>
        <w:t>/</w:t>
      </w:r>
      <w:r w:rsidRPr="00576284">
        <w:rPr>
          <w:rFonts w:hint="eastAsia"/>
          <w:szCs w:val="26"/>
        </w:rPr>
        <w:t>交易法</w:t>
      </w:r>
      <w:r w:rsidRPr="00576284">
        <w:rPr>
          <w:rFonts w:hint="eastAsia"/>
          <w:color w:val="000000"/>
          <w:szCs w:val="26"/>
        </w:rPr>
        <w:t>、再</w:t>
      </w:r>
      <w:proofErr w:type="gramStart"/>
      <w:r w:rsidRPr="00576284">
        <w:rPr>
          <w:rFonts w:hint="eastAsia"/>
          <w:color w:val="000000"/>
          <w:szCs w:val="26"/>
        </w:rPr>
        <w:t>售價格法與</w:t>
      </w:r>
      <w:proofErr w:type="gramEnd"/>
      <w:r w:rsidRPr="00576284">
        <w:rPr>
          <w:rFonts w:hint="eastAsia"/>
          <w:color w:val="000000"/>
          <w:szCs w:val="26"/>
        </w:rPr>
        <w:t>成本加價法等傳統交易法</w:t>
      </w:r>
      <w:r w:rsidRPr="00A2350C">
        <w:rPr>
          <w:rFonts w:hint="eastAsia"/>
          <w:szCs w:val="26"/>
        </w:rPr>
        <w:t>，對於可比較對象執行功能及承擔風險之可比較性要求也較低。本所依</w:t>
      </w:r>
      <w:r w:rsidRPr="00D86529">
        <w:rPr>
          <w:rFonts w:hint="eastAsia"/>
          <w:szCs w:val="26"/>
        </w:rPr>
        <w:t>受測個體於</w:t>
      </w:r>
      <w:proofErr w:type="gramStart"/>
      <w:r w:rsidRPr="00D86529">
        <w:rPr>
          <w:rFonts w:hint="eastAsia"/>
          <w:szCs w:val="26"/>
        </w:rPr>
        <w:t>受控交易中之</w:t>
      </w:r>
      <w:proofErr w:type="gramEnd"/>
      <w:r w:rsidRPr="00D86529">
        <w:rPr>
          <w:rFonts w:hint="eastAsia"/>
          <w:szCs w:val="26"/>
        </w:rPr>
        <w:t>企業個體角色，為其於資料庫中</w:t>
      </w:r>
      <w:proofErr w:type="gramStart"/>
      <w:r w:rsidRPr="00D86529">
        <w:rPr>
          <w:rFonts w:hint="eastAsia"/>
          <w:szCs w:val="26"/>
        </w:rPr>
        <w:t>蒐尋可</w:t>
      </w:r>
      <w:proofErr w:type="gramEnd"/>
      <w:r w:rsidRPr="00D86529">
        <w:rPr>
          <w:rFonts w:hint="eastAsia"/>
          <w:szCs w:val="26"/>
        </w:rPr>
        <w:t>比較對象</w:t>
      </w:r>
      <w:r w:rsidRPr="00A2350C">
        <w:rPr>
          <w:rFonts w:hint="eastAsia"/>
          <w:szCs w:val="26"/>
        </w:rPr>
        <w:t>。</w:t>
      </w:r>
    </w:p>
    <w:tbl>
      <w:tblPr>
        <w:tblW w:w="8570" w:type="dxa"/>
        <w:jc w:val="center"/>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08"/>
        <w:gridCol w:w="1988"/>
        <w:gridCol w:w="1437"/>
        <w:gridCol w:w="1696"/>
        <w:gridCol w:w="1441"/>
      </w:tblGrid>
      <w:tr w:rsidR="008D7B2D" w:rsidRPr="00A2350C" w:rsidTr="00917612">
        <w:trPr>
          <w:trHeight w:val="680"/>
          <w:tblHeader/>
          <w:jc w:val="center"/>
        </w:trPr>
        <w:tc>
          <w:tcPr>
            <w:tcW w:w="5433" w:type="dxa"/>
            <w:gridSpan w:val="3"/>
            <w:shd w:val="clear" w:color="auto" w:fill="4F81BD"/>
            <w:vAlign w:val="center"/>
          </w:tcPr>
          <w:p w:rsidR="00566C68" w:rsidRPr="00A2350C" w:rsidRDefault="00566C68" w:rsidP="0031780D">
            <w:pPr>
              <w:jc w:val="center"/>
              <w:rPr>
                <w:rFonts w:eastAsia="標楷體"/>
                <w:color w:val="FFFFFF"/>
                <w:sz w:val="26"/>
                <w:szCs w:val="26"/>
              </w:rPr>
            </w:pPr>
            <w:r w:rsidRPr="00A2350C">
              <w:rPr>
                <w:rFonts w:eastAsia="標楷體" w:hint="eastAsia"/>
                <w:color w:val="FFFFFF"/>
                <w:sz w:val="26"/>
                <w:szCs w:val="26"/>
              </w:rPr>
              <w:t>受測活動</w:t>
            </w:r>
          </w:p>
        </w:tc>
        <w:tc>
          <w:tcPr>
            <w:tcW w:w="1696" w:type="dxa"/>
            <w:vMerge w:val="restart"/>
            <w:shd w:val="clear" w:color="auto" w:fill="4F81BD"/>
            <w:vAlign w:val="center"/>
          </w:tcPr>
          <w:p w:rsidR="00566C68" w:rsidRPr="00A2350C" w:rsidRDefault="00566C68" w:rsidP="0031780D">
            <w:pPr>
              <w:jc w:val="center"/>
              <w:rPr>
                <w:rFonts w:eastAsia="標楷體"/>
                <w:color w:val="FFFFFF"/>
                <w:sz w:val="26"/>
                <w:szCs w:val="26"/>
              </w:rPr>
            </w:pPr>
            <w:r w:rsidRPr="00A2350C">
              <w:rPr>
                <w:rFonts w:eastAsia="標楷體" w:hint="eastAsia"/>
                <w:color w:val="FFFFFF"/>
                <w:sz w:val="26"/>
                <w:szCs w:val="26"/>
              </w:rPr>
              <w:t>受測個體</w:t>
            </w:r>
          </w:p>
        </w:tc>
        <w:tc>
          <w:tcPr>
            <w:tcW w:w="1441" w:type="dxa"/>
            <w:vMerge w:val="restart"/>
            <w:shd w:val="clear" w:color="auto" w:fill="4F81BD"/>
            <w:vAlign w:val="center"/>
          </w:tcPr>
          <w:p w:rsidR="00566C68" w:rsidRPr="00A2350C" w:rsidRDefault="00566C68" w:rsidP="0031780D">
            <w:pPr>
              <w:jc w:val="center"/>
              <w:rPr>
                <w:rFonts w:eastAsia="標楷體"/>
                <w:color w:val="FFFFFF"/>
                <w:sz w:val="26"/>
                <w:szCs w:val="26"/>
              </w:rPr>
            </w:pPr>
            <w:r>
              <w:rPr>
                <w:rFonts w:eastAsia="標楷體" w:hint="eastAsia"/>
                <w:color w:val="FFFFFF"/>
                <w:sz w:val="26"/>
                <w:szCs w:val="26"/>
              </w:rPr>
              <w:t>企業定位</w:t>
            </w:r>
          </w:p>
        </w:tc>
      </w:tr>
      <w:tr w:rsidR="008D7B2D" w:rsidRPr="00A2350C" w:rsidTr="00917612">
        <w:trPr>
          <w:trHeight w:val="680"/>
          <w:tblHeader/>
          <w:jc w:val="center"/>
        </w:trPr>
        <w:tc>
          <w:tcPr>
            <w:tcW w:w="2008" w:type="dxa"/>
            <w:shd w:val="clear" w:color="auto" w:fill="4F81BD"/>
            <w:vAlign w:val="center"/>
          </w:tcPr>
          <w:p w:rsidR="00566C68" w:rsidRPr="00A2350C" w:rsidRDefault="00566C68" w:rsidP="0031780D">
            <w:pPr>
              <w:jc w:val="center"/>
              <w:rPr>
                <w:rFonts w:eastAsia="標楷體"/>
                <w:color w:val="FFFFFF"/>
                <w:sz w:val="26"/>
                <w:szCs w:val="26"/>
              </w:rPr>
            </w:pPr>
            <w:r w:rsidRPr="00A2350C">
              <w:rPr>
                <w:rFonts w:eastAsia="標楷體" w:hint="eastAsia"/>
                <w:color w:val="FFFFFF"/>
                <w:sz w:val="26"/>
                <w:szCs w:val="26"/>
              </w:rPr>
              <w:t>受控交易類型</w:t>
            </w:r>
          </w:p>
        </w:tc>
        <w:tc>
          <w:tcPr>
            <w:tcW w:w="1988" w:type="dxa"/>
            <w:shd w:val="clear" w:color="auto" w:fill="4F81BD"/>
            <w:vAlign w:val="center"/>
          </w:tcPr>
          <w:p w:rsidR="00566C68" w:rsidRPr="00A2350C" w:rsidRDefault="00566C68" w:rsidP="0031780D">
            <w:pPr>
              <w:jc w:val="center"/>
              <w:rPr>
                <w:rFonts w:eastAsia="標楷體"/>
                <w:color w:val="FFFFFF"/>
                <w:sz w:val="26"/>
                <w:szCs w:val="26"/>
              </w:rPr>
            </w:pPr>
            <w:r w:rsidRPr="00A2350C">
              <w:rPr>
                <w:rFonts w:eastAsia="標楷體" w:hint="eastAsia"/>
                <w:color w:val="FFFFFF"/>
                <w:sz w:val="26"/>
                <w:szCs w:val="26"/>
              </w:rPr>
              <w:t>明細</w:t>
            </w:r>
          </w:p>
        </w:tc>
        <w:tc>
          <w:tcPr>
            <w:tcW w:w="1437" w:type="dxa"/>
            <w:shd w:val="clear" w:color="auto" w:fill="4F81BD"/>
            <w:vAlign w:val="center"/>
          </w:tcPr>
          <w:p w:rsidR="00566C68" w:rsidRPr="00A2350C" w:rsidRDefault="00566C68" w:rsidP="0031780D">
            <w:pPr>
              <w:jc w:val="center"/>
              <w:rPr>
                <w:rFonts w:eastAsia="標楷體"/>
                <w:color w:val="FFFFFF"/>
                <w:sz w:val="26"/>
                <w:szCs w:val="26"/>
              </w:rPr>
            </w:pPr>
            <w:r w:rsidRPr="00A2350C">
              <w:rPr>
                <w:rFonts w:eastAsia="標楷體" w:hint="eastAsia"/>
                <w:color w:val="FFFFFF"/>
                <w:sz w:val="26"/>
                <w:szCs w:val="26"/>
              </w:rPr>
              <w:t>交易對象</w:t>
            </w:r>
          </w:p>
        </w:tc>
        <w:tc>
          <w:tcPr>
            <w:tcW w:w="1696" w:type="dxa"/>
            <w:vMerge/>
            <w:shd w:val="clear" w:color="auto" w:fill="4F81BD"/>
            <w:vAlign w:val="center"/>
          </w:tcPr>
          <w:p w:rsidR="00566C68" w:rsidRPr="00A2350C" w:rsidRDefault="00566C68" w:rsidP="0031780D">
            <w:pPr>
              <w:jc w:val="center"/>
              <w:rPr>
                <w:rFonts w:eastAsia="標楷體"/>
                <w:color w:val="FFFFFF"/>
                <w:sz w:val="26"/>
                <w:szCs w:val="26"/>
              </w:rPr>
            </w:pPr>
          </w:p>
        </w:tc>
        <w:tc>
          <w:tcPr>
            <w:tcW w:w="1441" w:type="dxa"/>
            <w:vMerge/>
            <w:shd w:val="clear" w:color="auto" w:fill="4F81BD"/>
            <w:vAlign w:val="center"/>
          </w:tcPr>
          <w:p w:rsidR="00566C68" w:rsidRPr="00A2350C" w:rsidRDefault="00566C68" w:rsidP="0031780D">
            <w:pPr>
              <w:jc w:val="center"/>
              <w:rPr>
                <w:rFonts w:eastAsia="標楷體"/>
                <w:color w:val="FFFFFF"/>
                <w:sz w:val="26"/>
                <w:szCs w:val="26"/>
              </w:rPr>
            </w:pPr>
          </w:p>
        </w:tc>
      </w:tr>
      <w:tr w:rsidR="008D7B2D" w:rsidRPr="00EA272E" w:rsidTr="00E0403F">
        <w:trPr>
          <w:trHeight w:val="385"/>
          <w:tblHeader/>
          <w:jc w:val="center"/>
        </w:trPr>
        <w:tc>
          <w:tcPr>
            <w:tcW w:w="2008" w:type="dxa"/>
            <w:shd w:val="clear" w:color="auto" w:fill="FFFFFF"/>
            <w:vAlign w:val="center"/>
          </w:tcPr>
          <w:p w:rsidR="00566C68" w:rsidRPr="00754B06" w:rsidRDefault="00566C68" w:rsidP="0031780D">
            <w:pPr>
              <w:jc w:val="center"/>
              <w:rPr>
                <w:rFonts w:eastAsia="標楷體"/>
                <w:sz w:val="26"/>
                <w:szCs w:val="26"/>
              </w:rPr>
            </w:pPr>
            <w:r w:rsidRPr="00754B06">
              <w:rPr>
                <w:rFonts w:eastAsia="標楷體" w:hint="eastAsia"/>
                <w:sz w:val="26"/>
                <w:szCs w:val="26"/>
              </w:rPr>
              <w:t>服務之提供</w:t>
            </w:r>
          </w:p>
        </w:tc>
        <w:tc>
          <w:tcPr>
            <w:tcW w:w="1988" w:type="dxa"/>
            <w:shd w:val="clear" w:color="auto" w:fill="FFFFFF"/>
            <w:vAlign w:val="center"/>
          </w:tcPr>
          <w:p w:rsidR="00566C68" w:rsidRPr="00163B5A" w:rsidRDefault="00163B5A" w:rsidP="00FA5080">
            <w:pPr>
              <w:jc w:val="both"/>
              <w:rPr>
                <w:rFonts w:eastAsia="標楷體"/>
                <w:sz w:val="26"/>
                <w:szCs w:val="26"/>
              </w:rPr>
            </w:pPr>
            <w:r w:rsidRPr="00163B5A">
              <w:rPr>
                <w:rFonts w:eastAsia="標楷體" w:hint="eastAsia"/>
                <w:sz w:val="26"/>
                <w:szCs w:val="26"/>
              </w:rPr>
              <w:t>提供行銷、客戶聯繫、產品技術支援及產品服務。</w:t>
            </w:r>
          </w:p>
        </w:tc>
        <w:tc>
          <w:tcPr>
            <w:tcW w:w="1437" w:type="dxa"/>
            <w:shd w:val="clear" w:color="auto" w:fill="FFFFFF"/>
            <w:vAlign w:val="center"/>
          </w:tcPr>
          <w:p w:rsidR="00566C68" w:rsidRPr="00754B06" w:rsidRDefault="00163B5A" w:rsidP="009C3C94">
            <w:pPr>
              <w:jc w:val="center"/>
              <w:rPr>
                <w:rFonts w:eastAsia="標楷體"/>
                <w:sz w:val="26"/>
                <w:szCs w:val="26"/>
              </w:rPr>
            </w:pPr>
            <w:r>
              <w:rPr>
                <w:rFonts w:eastAsia="標楷體" w:hint="eastAsia"/>
                <w:sz w:val="26"/>
                <w:szCs w:val="26"/>
              </w:rPr>
              <w:t>LSG</w:t>
            </w:r>
          </w:p>
        </w:tc>
        <w:tc>
          <w:tcPr>
            <w:tcW w:w="1696" w:type="dxa"/>
            <w:shd w:val="clear" w:color="auto" w:fill="FFFFFF"/>
            <w:vAlign w:val="center"/>
          </w:tcPr>
          <w:p w:rsidR="00566C68" w:rsidRDefault="00566C68" w:rsidP="00566C68">
            <w:pPr>
              <w:jc w:val="center"/>
              <w:rPr>
                <w:rFonts w:eastAsia="標楷體"/>
                <w:sz w:val="26"/>
                <w:szCs w:val="26"/>
              </w:rPr>
            </w:pPr>
            <w:r w:rsidRPr="001768F5">
              <w:rPr>
                <w:rFonts w:eastAsia="標楷體" w:hint="eastAsia"/>
                <w:sz w:val="26"/>
                <w:szCs w:val="26"/>
              </w:rPr>
              <w:t>萊迪思</w:t>
            </w:r>
          </w:p>
          <w:p w:rsidR="00566C68" w:rsidRPr="00754B06" w:rsidRDefault="00566C68" w:rsidP="00566C68">
            <w:pPr>
              <w:jc w:val="center"/>
              <w:rPr>
                <w:rFonts w:eastAsia="標楷體"/>
                <w:sz w:val="26"/>
                <w:szCs w:val="26"/>
              </w:rPr>
            </w:pPr>
            <w:r w:rsidRPr="001768F5">
              <w:rPr>
                <w:rFonts w:eastAsia="標楷體" w:hint="eastAsia"/>
                <w:sz w:val="26"/>
                <w:szCs w:val="26"/>
              </w:rPr>
              <w:t>台灣分公司</w:t>
            </w:r>
          </w:p>
        </w:tc>
        <w:tc>
          <w:tcPr>
            <w:tcW w:w="1441" w:type="dxa"/>
            <w:shd w:val="clear" w:color="auto" w:fill="FFFFFF"/>
            <w:vAlign w:val="center"/>
          </w:tcPr>
          <w:p w:rsidR="00E0403F" w:rsidRDefault="00566C68" w:rsidP="0031780D">
            <w:pPr>
              <w:jc w:val="center"/>
              <w:rPr>
                <w:rFonts w:eastAsia="標楷體"/>
                <w:sz w:val="26"/>
                <w:szCs w:val="26"/>
              </w:rPr>
            </w:pPr>
            <w:r w:rsidRPr="00754B06">
              <w:rPr>
                <w:rFonts w:eastAsia="標楷體" w:hint="eastAsia"/>
                <w:sz w:val="26"/>
                <w:szCs w:val="26"/>
              </w:rPr>
              <w:t>服務</w:t>
            </w:r>
          </w:p>
          <w:p w:rsidR="00566C68" w:rsidRPr="00754B06" w:rsidRDefault="00566C68" w:rsidP="0031780D">
            <w:pPr>
              <w:jc w:val="center"/>
              <w:rPr>
                <w:rFonts w:eastAsia="標楷體"/>
                <w:sz w:val="26"/>
                <w:szCs w:val="26"/>
              </w:rPr>
            </w:pPr>
            <w:r w:rsidRPr="00754B06">
              <w:rPr>
                <w:rFonts w:eastAsia="標楷體" w:hint="eastAsia"/>
                <w:sz w:val="26"/>
                <w:szCs w:val="26"/>
              </w:rPr>
              <w:t>提供者</w:t>
            </w:r>
          </w:p>
        </w:tc>
      </w:tr>
    </w:tbl>
    <w:p w:rsidR="00F9092E" w:rsidRPr="00EA272E" w:rsidRDefault="009B3FB7" w:rsidP="001719B7">
      <w:pPr>
        <w:spacing w:beforeLines="50" w:before="120" w:afterLines="50" w:after="120" w:line="360" w:lineRule="auto"/>
        <w:ind w:firstLineChars="200" w:firstLine="520"/>
        <w:jc w:val="both"/>
        <w:rPr>
          <w:rFonts w:eastAsia="標楷體"/>
          <w:sz w:val="26"/>
          <w:szCs w:val="26"/>
        </w:rPr>
      </w:pPr>
      <w:r>
        <w:rPr>
          <w:rFonts w:eastAsia="標楷體"/>
          <w:color w:val="000000"/>
          <w:sz w:val="26"/>
          <w:szCs w:val="26"/>
        </w:rPr>
        <w:t>本</w:t>
      </w:r>
      <w:r>
        <w:rPr>
          <w:rFonts w:eastAsia="標楷體" w:hint="eastAsia"/>
          <w:color w:val="000000"/>
          <w:sz w:val="26"/>
          <w:szCs w:val="26"/>
        </w:rPr>
        <w:t>文據</w:t>
      </w:r>
      <w:r w:rsidR="00F9092E" w:rsidRPr="00EA272E">
        <w:rPr>
          <w:rFonts w:eastAsia="標楷體"/>
          <w:color w:val="000000"/>
          <w:sz w:val="26"/>
          <w:szCs w:val="26"/>
        </w:rPr>
        <w:t>第</w:t>
      </w:r>
      <w:r w:rsidR="00A82581">
        <w:rPr>
          <w:rFonts w:eastAsia="標楷體" w:hint="eastAsia"/>
          <w:color w:val="000000"/>
          <w:sz w:val="26"/>
          <w:szCs w:val="26"/>
        </w:rPr>
        <w:t>柒</w:t>
      </w:r>
      <w:r w:rsidR="00F9092E" w:rsidRPr="00EA272E">
        <w:rPr>
          <w:rFonts w:eastAsia="標楷體"/>
          <w:color w:val="000000"/>
          <w:sz w:val="26"/>
          <w:szCs w:val="26"/>
        </w:rPr>
        <w:t>章已說明可比較對象經過重重篩選所以被接受之原因，正因為每一家公司都是獨一無二</w:t>
      </w:r>
      <w:r w:rsidR="00F9092E" w:rsidRPr="00EA272E">
        <w:rPr>
          <w:rFonts w:eastAsia="標楷體" w:hint="eastAsia"/>
          <w:color w:val="000000"/>
          <w:sz w:val="26"/>
          <w:szCs w:val="26"/>
        </w:rPr>
        <w:t>的</w:t>
      </w:r>
      <w:r w:rsidR="00F9092E" w:rsidRPr="00EA272E">
        <w:rPr>
          <w:rFonts w:eastAsia="標楷體"/>
          <w:color w:val="000000"/>
          <w:sz w:val="26"/>
          <w:szCs w:val="26"/>
        </w:rPr>
        <w:t>，實際上無法找出與</w:t>
      </w:r>
      <w:r w:rsidR="00F9092E" w:rsidRPr="00EA272E">
        <w:rPr>
          <w:rFonts w:eastAsia="標楷體" w:hint="eastAsia"/>
          <w:color w:val="000000"/>
          <w:spacing w:val="-2"/>
          <w:sz w:val="26"/>
          <w:szCs w:val="26"/>
        </w:rPr>
        <w:t>受測個體</w:t>
      </w:r>
      <w:r w:rsidR="00F9092E" w:rsidRPr="00EA272E">
        <w:rPr>
          <w:rFonts w:eastAsia="標楷體"/>
          <w:color w:val="000000"/>
          <w:sz w:val="26"/>
          <w:szCs w:val="26"/>
        </w:rPr>
        <w:t>百分之百相同之</w:t>
      </w:r>
      <w:r w:rsidR="00F9092E" w:rsidRPr="00EA272E">
        <w:rPr>
          <w:rFonts w:eastAsia="標楷體"/>
          <w:color w:val="000000"/>
          <w:sz w:val="26"/>
          <w:szCs w:val="26"/>
        </w:rPr>
        <w:lastRenderedPageBreak/>
        <w:t>公司。可比較對象所以勝選之原因在於其主要執行之功能與</w:t>
      </w:r>
      <w:r w:rsidR="00F9092E" w:rsidRPr="00EA272E">
        <w:rPr>
          <w:rFonts w:eastAsia="標楷體" w:hint="eastAsia"/>
          <w:color w:val="000000"/>
          <w:spacing w:val="-2"/>
          <w:sz w:val="26"/>
          <w:szCs w:val="26"/>
        </w:rPr>
        <w:t>受測個體</w:t>
      </w:r>
      <w:r w:rsidR="00F9092E" w:rsidRPr="00EA272E">
        <w:rPr>
          <w:rFonts w:eastAsia="標楷體"/>
          <w:color w:val="000000"/>
          <w:sz w:val="26"/>
          <w:szCs w:val="26"/>
        </w:rPr>
        <w:t>執行之功能</w:t>
      </w:r>
      <w:r w:rsidR="00F9092E" w:rsidRPr="00EA272E">
        <w:rPr>
          <w:rFonts w:eastAsia="標楷體" w:hint="eastAsia"/>
          <w:color w:val="000000"/>
          <w:sz w:val="26"/>
          <w:szCs w:val="26"/>
        </w:rPr>
        <w:t>、</w:t>
      </w:r>
      <w:r w:rsidR="00F9092E" w:rsidRPr="00EA272E">
        <w:rPr>
          <w:rFonts w:eastAsia="標楷體"/>
          <w:color w:val="000000"/>
          <w:sz w:val="26"/>
          <w:szCs w:val="26"/>
        </w:rPr>
        <w:t>銷售之產品</w:t>
      </w:r>
      <w:r w:rsidR="00F9092E" w:rsidRPr="00EA272E">
        <w:rPr>
          <w:rFonts w:eastAsia="標楷體" w:hint="eastAsia"/>
          <w:color w:val="000000"/>
          <w:sz w:val="26"/>
          <w:szCs w:val="26"/>
        </w:rPr>
        <w:t>或提供之服務</w:t>
      </w:r>
      <w:r w:rsidR="00F9092E" w:rsidRPr="00EA272E">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DE7202" w:rsidRDefault="00F9092E" w:rsidP="001719B7">
      <w:pPr>
        <w:pStyle w:val="2"/>
        <w:numPr>
          <w:ilvl w:val="1"/>
          <w:numId w:val="17"/>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選定利潤率指標</w:t>
      </w:r>
    </w:p>
    <w:p w:rsidR="00DE7202" w:rsidRDefault="00F9092E" w:rsidP="001719B7">
      <w:pPr>
        <w:pStyle w:val="3"/>
        <w:numPr>
          <w:ilvl w:val="0"/>
          <w:numId w:val="18"/>
        </w:numPr>
        <w:spacing w:beforeLines="50" w:before="120" w:afterLines="50" w:after="120" w:line="360" w:lineRule="auto"/>
        <w:ind w:leftChars="100" w:left="720"/>
        <w:jc w:val="both"/>
        <w:rPr>
          <w:rFonts w:ascii="Times New Roman" w:eastAsia="標楷體" w:hAnsi="Times New Roman"/>
          <w:sz w:val="32"/>
          <w:szCs w:val="26"/>
        </w:rPr>
      </w:pPr>
      <w:r w:rsidRPr="00D92058">
        <w:rPr>
          <w:rFonts w:ascii="Times New Roman" w:eastAsia="標楷體" w:hAnsi="Times New Roman"/>
          <w:sz w:val="32"/>
          <w:szCs w:val="26"/>
        </w:rPr>
        <w:t>利潤率指標公式</w:t>
      </w:r>
    </w:p>
    <w:p w:rsidR="00DE7202" w:rsidRDefault="00F9092E" w:rsidP="001719B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可比較利潤法所使用之利潤率指標，根據同條第</w:t>
      </w:r>
      <w:r w:rsidRPr="00EA272E">
        <w:rPr>
          <w:rFonts w:eastAsia="標楷體"/>
          <w:sz w:val="26"/>
          <w:szCs w:val="26"/>
        </w:rPr>
        <w:t>4</w:t>
      </w:r>
      <w:r w:rsidRPr="00EA272E">
        <w:rPr>
          <w:rFonts w:eastAsia="標楷體" w:hint="eastAsia"/>
          <w:sz w:val="26"/>
          <w:szCs w:val="26"/>
        </w:rPr>
        <w:t>項規定，包括：</w:t>
      </w:r>
    </w:p>
    <w:p w:rsidR="00F9092E" w:rsidRPr="00EA272E" w:rsidRDefault="00F9092E"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sz w:val="26"/>
          <w:szCs w:val="26"/>
        </w:rPr>
      </w:pPr>
      <w:r w:rsidRPr="00EA272E">
        <w:rPr>
          <w:rFonts w:ascii="Times New Roman" w:eastAsia="標楷體" w:hAnsi="Times New Roman"/>
          <w:position w:val="-32"/>
          <w:sz w:val="26"/>
          <w:szCs w:val="26"/>
        </w:rPr>
        <w:object w:dxaOrig="5860" w:dyaOrig="740">
          <v:shape id="_x0000_i1025" type="#_x0000_t75" style="width:292.7pt;height:36.6pt" o:ole="">
            <v:imagedata r:id="rId29" o:title=""/>
          </v:shape>
          <o:OLEObject Type="Embed" ProgID="Equation.3" ShapeID="_x0000_i1025" DrawAspect="Content" ObjectID="_1557920646" r:id="rId30"/>
        </w:object>
      </w:r>
    </w:p>
    <w:p w:rsidR="00F9092E" w:rsidRPr="00EA272E" w:rsidRDefault="00F9092E"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sz w:val="26"/>
          <w:szCs w:val="26"/>
        </w:rPr>
      </w:pPr>
      <w:r w:rsidRPr="00EA272E">
        <w:rPr>
          <w:rFonts w:ascii="Times New Roman" w:eastAsia="標楷體" w:hAnsi="Times New Roman"/>
          <w:position w:val="-32"/>
          <w:sz w:val="26"/>
          <w:szCs w:val="26"/>
        </w:rPr>
        <w:object w:dxaOrig="5280" w:dyaOrig="740">
          <v:shape id="_x0000_i1026" type="#_x0000_t75" style="width:264pt;height:36.6pt" o:ole="">
            <v:imagedata r:id="rId31" o:title=""/>
          </v:shape>
          <o:OLEObject Type="Embed" ProgID="Equation.3" ShapeID="_x0000_i1026" DrawAspect="Content" ObjectID="_1557920647" r:id="rId32"/>
        </w:object>
      </w:r>
    </w:p>
    <w:p w:rsidR="00F9092E" w:rsidRPr="00EA272E" w:rsidRDefault="000A2D50"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sz w:val="26"/>
          <w:szCs w:val="26"/>
        </w:rPr>
      </w:pPr>
      <w:r w:rsidRPr="00D368DF">
        <w:rPr>
          <w:rFonts w:ascii="Times New Roman" w:eastAsia="標楷體" w:hAnsi="Times New Roman"/>
          <w:position w:val="-30"/>
        </w:rPr>
        <w:object w:dxaOrig="5899" w:dyaOrig="720">
          <v:shape id="_x0000_i1027" type="#_x0000_t75" style="width:294.65pt;height:36pt" o:ole="">
            <v:imagedata r:id="rId33" o:title=""/>
          </v:shape>
          <o:OLEObject Type="Embed" ProgID="Equation.3" ShapeID="_x0000_i1027" DrawAspect="Content" ObjectID="_1557920648" r:id="rId34"/>
        </w:object>
      </w:r>
    </w:p>
    <w:p w:rsidR="00F9092E" w:rsidRDefault="00F9092E"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rPr>
      </w:pPr>
      <w:r w:rsidRPr="00EA272E">
        <w:rPr>
          <w:rFonts w:ascii="Times New Roman" w:eastAsia="標楷體" w:hAnsi="Times New Roman"/>
          <w:position w:val="-12"/>
        </w:rPr>
        <w:object w:dxaOrig="5420" w:dyaOrig="360">
          <v:shape id="_x0000_i1028" type="#_x0000_t75" style="width:270.75pt;height:18.6pt" o:ole="">
            <v:imagedata r:id="rId35" o:title=""/>
          </v:shape>
          <o:OLEObject Type="Embed" ProgID="Equation.3" ShapeID="_x0000_i1028" DrawAspect="Content" ObjectID="_1557920649" r:id="rId36"/>
        </w:object>
      </w:r>
    </w:p>
    <w:p w:rsidR="00F9092E" w:rsidRPr="00F052EC" w:rsidRDefault="00765632" w:rsidP="008C5F27">
      <w:pPr>
        <w:tabs>
          <w:tab w:val="num" w:pos="851"/>
        </w:tabs>
        <w:jc w:val="right"/>
      </w:pPr>
      <w:r w:rsidRPr="00EA272E">
        <w:rPr>
          <w:rFonts w:eastAsia="標楷體"/>
          <w:position w:val="-32"/>
        </w:rPr>
        <w:object w:dxaOrig="8199" w:dyaOrig="740">
          <v:shape id="_x0000_i1029" type="#_x0000_t75" style="width:410.35pt;height:36.6pt" o:ole="">
            <v:imagedata r:id="rId37" o:title=""/>
          </v:shape>
          <o:OLEObject Type="Embed" ProgID="Equation.3" ShapeID="_x0000_i1029" DrawAspect="Content" ObjectID="_1557920650" r:id="rId38"/>
        </w:object>
      </w:r>
    </w:p>
    <w:p w:rsidR="00DE7202" w:rsidRDefault="00F9092E" w:rsidP="001719B7">
      <w:pPr>
        <w:pStyle w:val="5"/>
        <w:keepNext w:val="0"/>
        <w:numPr>
          <w:ilvl w:val="0"/>
          <w:numId w:val="3"/>
        </w:numPr>
        <w:tabs>
          <w:tab w:val="clear" w:pos="480"/>
          <w:tab w:val="num" w:pos="851"/>
        </w:tabs>
        <w:spacing w:beforeLines="100" w:before="240" w:afterLines="50" w:after="120" w:line="360" w:lineRule="auto"/>
        <w:ind w:left="482" w:hanging="57"/>
        <w:rPr>
          <w:rFonts w:ascii="Times New Roman" w:eastAsia="標楷體" w:hAnsi="Times New Roman"/>
          <w:b w:val="0"/>
          <w:sz w:val="26"/>
          <w:szCs w:val="26"/>
        </w:rPr>
      </w:pPr>
      <w:r w:rsidRPr="00F052EC">
        <w:rPr>
          <w:rFonts w:ascii="Times New Roman" w:eastAsia="標楷體" w:hAnsi="Times New Roman"/>
          <w:b w:val="0"/>
          <w:sz w:val="26"/>
          <w:szCs w:val="26"/>
        </w:rPr>
        <w:t>其他經財政部核定之利潤率指標</w:t>
      </w:r>
    </w:p>
    <w:p w:rsidR="00DE7202" w:rsidRDefault="00F9092E" w:rsidP="001719B7">
      <w:pPr>
        <w:pStyle w:val="3"/>
        <w:numPr>
          <w:ilvl w:val="0"/>
          <w:numId w:val="18"/>
        </w:numPr>
        <w:spacing w:beforeLines="50" w:before="120" w:afterLines="50" w:after="120" w:line="360" w:lineRule="auto"/>
        <w:ind w:leftChars="100" w:left="720"/>
        <w:jc w:val="both"/>
        <w:rPr>
          <w:rFonts w:ascii="Times New Roman" w:eastAsia="標楷體" w:hAnsi="Times New Roman"/>
          <w:sz w:val="32"/>
          <w:szCs w:val="26"/>
        </w:rPr>
      </w:pPr>
      <w:r w:rsidRPr="00D92058">
        <w:rPr>
          <w:rFonts w:ascii="Times New Roman" w:eastAsia="標楷體" w:hAnsi="Times New Roman"/>
          <w:sz w:val="32"/>
          <w:szCs w:val="26"/>
        </w:rPr>
        <w:t>使用之變數定義</w:t>
      </w:r>
    </w:p>
    <w:p w:rsidR="00DE7202" w:rsidRDefault="00F9092E" w:rsidP="001719B7">
      <w:pPr>
        <w:spacing w:beforeLines="50" w:before="120" w:afterLines="50" w:after="120" w:line="360" w:lineRule="auto"/>
        <w:ind w:leftChars="200" w:left="480" w:firstLineChars="200" w:firstLine="520"/>
        <w:rPr>
          <w:rFonts w:eastAsia="標楷體"/>
          <w:sz w:val="26"/>
          <w:szCs w:val="26"/>
        </w:rPr>
      </w:pPr>
      <w:r w:rsidRPr="00EA272E">
        <w:rPr>
          <w:rFonts w:eastAsia="標楷體"/>
          <w:sz w:val="26"/>
          <w:szCs w:val="26"/>
        </w:rPr>
        <w:t>同條第</w:t>
      </w:r>
      <w:r w:rsidRPr="00EA272E">
        <w:rPr>
          <w:rFonts w:eastAsia="標楷體"/>
          <w:sz w:val="26"/>
          <w:szCs w:val="26"/>
        </w:rPr>
        <w:t>5</w:t>
      </w:r>
      <w:r w:rsidRPr="00EA272E">
        <w:rPr>
          <w:rFonts w:eastAsia="標楷體"/>
          <w:sz w:val="26"/>
          <w:szCs w:val="26"/>
        </w:rPr>
        <w:t>項對上述公式所運用之變數定義如下：</w:t>
      </w:r>
    </w:p>
    <w:p w:rsidR="00DE7202" w:rsidRDefault="00F9092E" w:rsidP="001719B7">
      <w:pPr>
        <w:numPr>
          <w:ilvl w:val="0"/>
          <w:numId w:val="19"/>
        </w:numPr>
        <w:tabs>
          <w:tab w:val="left" w:pos="1134"/>
        </w:tabs>
        <w:spacing w:beforeLines="50" w:before="120" w:afterLines="50" w:after="120" w:line="360" w:lineRule="auto"/>
        <w:ind w:leftChars="250" w:left="1080"/>
        <w:jc w:val="both"/>
        <w:rPr>
          <w:rFonts w:eastAsia="標楷體"/>
          <w:b/>
          <w:sz w:val="28"/>
          <w:szCs w:val="26"/>
        </w:rPr>
      </w:pPr>
      <w:r w:rsidRPr="00F052EC">
        <w:rPr>
          <w:rFonts w:eastAsia="標楷體"/>
          <w:b/>
          <w:sz w:val="28"/>
          <w:szCs w:val="26"/>
        </w:rPr>
        <w:t>營業淨利</w:t>
      </w:r>
    </w:p>
    <w:p w:rsidR="00DE7202" w:rsidRDefault="00F9092E" w:rsidP="001719B7">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係指營業毛利減除營業費用後之金額，不包括</w:t>
      </w:r>
      <w:proofErr w:type="gramStart"/>
      <w:r w:rsidRPr="00EA272E">
        <w:rPr>
          <w:rFonts w:eastAsia="標楷體"/>
          <w:sz w:val="26"/>
          <w:szCs w:val="26"/>
        </w:rPr>
        <w:t>非屬受測</w:t>
      </w:r>
      <w:proofErr w:type="gramEnd"/>
      <w:r w:rsidRPr="00EA272E">
        <w:rPr>
          <w:rFonts w:eastAsia="標楷體"/>
          <w:sz w:val="26"/>
          <w:szCs w:val="26"/>
        </w:rPr>
        <w:t>活動之所得及與受測個體繼續經營無關之非常損益。</w:t>
      </w:r>
    </w:p>
    <w:p w:rsidR="00DE7202" w:rsidRDefault="00F9092E" w:rsidP="001719B7">
      <w:pPr>
        <w:numPr>
          <w:ilvl w:val="0"/>
          <w:numId w:val="19"/>
        </w:numPr>
        <w:tabs>
          <w:tab w:val="left" w:pos="1134"/>
        </w:tabs>
        <w:spacing w:beforeLines="50" w:before="120" w:afterLines="50" w:after="120" w:line="360" w:lineRule="auto"/>
        <w:ind w:leftChars="250" w:left="1080"/>
        <w:jc w:val="both"/>
        <w:rPr>
          <w:rFonts w:eastAsia="標楷體"/>
          <w:b/>
          <w:sz w:val="28"/>
          <w:szCs w:val="26"/>
        </w:rPr>
      </w:pPr>
      <w:r w:rsidRPr="00F052EC">
        <w:rPr>
          <w:rFonts w:eastAsia="標楷體"/>
          <w:b/>
          <w:sz w:val="28"/>
          <w:szCs w:val="26"/>
        </w:rPr>
        <w:lastRenderedPageBreak/>
        <w:t>營業資產</w:t>
      </w:r>
    </w:p>
    <w:p w:rsidR="00DE7202" w:rsidRDefault="00F9092E" w:rsidP="001719B7">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係指受測個體於相關營業活動所使用之資產，包括固定資產及流動資產，但不包括超額現金、短期投資、長期投資、閒置資產及與該營業活動無關之資產。</w:t>
      </w:r>
    </w:p>
    <w:p w:rsidR="00DE7202" w:rsidRDefault="00F9092E" w:rsidP="001719B7">
      <w:pPr>
        <w:numPr>
          <w:ilvl w:val="0"/>
          <w:numId w:val="19"/>
        </w:numPr>
        <w:tabs>
          <w:tab w:val="left" w:pos="1134"/>
        </w:tabs>
        <w:spacing w:beforeLines="50" w:before="120" w:afterLines="50" w:after="120" w:line="360" w:lineRule="auto"/>
        <w:ind w:leftChars="250" w:left="1080"/>
        <w:jc w:val="both"/>
        <w:rPr>
          <w:rFonts w:eastAsia="標楷體"/>
          <w:b/>
          <w:sz w:val="28"/>
          <w:szCs w:val="26"/>
        </w:rPr>
      </w:pPr>
      <w:r w:rsidRPr="00F052EC">
        <w:rPr>
          <w:rFonts w:eastAsia="標楷體"/>
          <w:b/>
          <w:sz w:val="28"/>
          <w:szCs w:val="26"/>
        </w:rPr>
        <w:t>營業費用</w:t>
      </w:r>
    </w:p>
    <w:p w:rsidR="00DE7202" w:rsidRDefault="00F9092E" w:rsidP="001719B7">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係指不包括非屬經營本業之利息費用、所得稅及與受測活動無關之費用。</w:t>
      </w:r>
    </w:p>
    <w:p w:rsidR="00DE7202" w:rsidRDefault="00F9092E" w:rsidP="001719B7">
      <w:pPr>
        <w:pStyle w:val="3"/>
        <w:numPr>
          <w:ilvl w:val="0"/>
          <w:numId w:val="18"/>
        </w:numPr>
        <w:spacing w:beforeLines="50" w:before="120" w:afterLines="50" w:after="120" w:line="360" w:lineRule="auto"/>
        <w:ind w:leftChars="100" w:left="720"/>
        <w:jc w:val="both"/>
        <w:rPr>
          <w:rFonts w:ascii="Times New Roman" w:eastAsia="標楷體" w:hAnsi="Times New Roman"/>
          <w:sz w:val="32"/>
          <w:szCs w:val="26"/>
        </w:rPr>
      </w:pPr>
      <w:r w:rsidRPr="00D92058">
        <w:rPr>
          <w:rFonts w:ascii="Times New Roman" w:eastAsia="標楷體" w:hAnsi="Times New Roman" w:hint="eastAsia"/>
          <w:sz w:val="32"/>
          <w:szCs w:val="26"/>
        </w:rPr>
        <w:t>選擇時應考量之因素</w:t>
      </w:r>
    </w:p>
    <w:p w:rsidR="00DE7202" w:rsidRDefault="00F9092E" w:rsidP="001719B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依同條第</w:t>
      </w:r>
      <w:r w:rsidRPr="00EA272E">
        <w:rPr>
          <w:rFonts w:eastAsia="標楷體"/>
          <w:sz w:val="26"/>
          <w:szCs w:val="26"/>
        </w:rPr>
        <w:t>6</w:t>
      </w:r>
      <w:r w:rsidRPr="00EA272E">
        <w:rPr>
          <w:rFonts w:eastAsia="標楷體"/>
          <w:sz w:val="26"/>
          <w:szCs w:val="26"/>
        </w:rPr>
        <w:t>項則規定選擇利潤率指標時，應以受測個體之受測活動為基礎，並考量下列因素：</w:t>
      </w:r>
    </w:p>
    <w:p w:rsidR="00DE7202" w:rsidRDefault="00F9092E" w:rsidP="001719B7">
      <w:pPr>
        <w:numPr>
          <w:ilvl w:val="0"/>
          <w:numId w:val="20"/>
        </w:numPr>
        <w:tabs>
          <w:tab w:val="left" w:pos="1134"/>
        </w:tabs>
        <w:spacing w:beforeLines="50" w:before="120" w:afterLines="50" w:after="120" w:line="360" w:lineRule="auto"/>
        <w:ind w:leftChars="250" w:left="1080"/>
        <w:jc w:val="both"/>
        <w:rPr>
          <w:rFonts w:eastAsia="標楷體"/>
          <w:b/>
          <w:sz w:val="28"/>
          <w:szCs w:val="26"/>
        </w:rPr>
      </w:pPr>
      <w:r w:rsidRPr="00F052EC">
        <w:rPr>
          <w:rFonts w:eastAsia="標楷體" w:hint="eastAsia"/>
          <w:b/>
          <w:sz w:val="28"/>
          <w:szCs w:val="26"/>
        </w:rPr>
        <w:t>受測</w:t>
      </w:r>
      <w:r w:rsidRPr="00F052EC">
        <w:rPr>
          <w:rFonts w:eastAsia="標楷體"/>
          <w:b/>
          <w:sz w:val="28"/>
          <w:szCs w:val="26"/>
        </w:rPr>
        <w:t>個體之活動性質</w:t>
      </w:r>
    </w:p>
    <w:p w:rsidR="00DE7202" w:rsidRDefault="00F9092E" w:rsidP="001719B7">
      <w:pPr>
        <w:spacing w:beforeLines="50" w:before="120" w:afterLines="50" w:after="120" w:line="360" w:lineRule="auto"/>
        <w:ind w:leftChars="300" w:left="720" w:firstLineChars="200" w:firstLine="520"/>
        <w:jc w:val="both"/>
        <w:rPr>
          <w:rFonts w:eastAsia="標楷體"/>
          <w:sz w:val="26"/>
          <w:szCs w:val="26"/>
        </w:rPr>
      </w:pPr>
      <w:r w:rsidRPr="00CA51EF">
        <w:rPr>
          <w:rFonts w:eastAsia="標楷體"/>
          <w:sz w:val="26"/>
          <w:szCs w:val="26"/>
        </w:rPr>
        <w:t>包括『</w:t>
      </w:r>
      <w:r w:rsidR="007A44F1" w:rsidRPr="00CA51EF">
        <w:rPr>
          <w:rFonts w:eastAsia="標楷體" w:hint="eastAsia"/>
          <w:sz w:val="26"/>
          <w:szCs w:val="26"/>
        </w:rPr>
        <w:t>服務之提供</w:t>
      </w:r>
      <w:r w:rsidRPr="00CA51EF">
        <w:rPr>
          <w:rFonts w:eastAsia="標楷體" w:hint="eastAsia"/>
          <w:sz w:val="26"/>
          <w:szCs w:val="26"/>
        </w:rPr>
        <w:t>』等交易活動</w:t>
      </w:r>
      <w:r w:rsidRPr="00CA51EF">
        <w:rPr>
          <w:rFonts w:eastAsia="標楷體"/>
          <w:sz w:val="26"/>
          <w:szCs w:val="26"/>
        </w:rPr>
        <w:t>。</w:t>
      </w:r>
    </w:p>
    <w:p w:rsidR="00DE7202" w:rsidRDefault="00F9092E" w:rsidP="001719B7">
      <w:pPr>
        <w:numPr>
          <w:ilvl w:val="0"/>
          <w:numId w:val="20"/>
        </w:numPr>
        <w:tabs>
          <w:tab w:val="left" w:pos="1134"/>
        </w:tabs>
        <w:spacing w:beforeLines="50" w:before="120" w:afterLines="50" w:after="120" w:line="360" w:lineRule="auto"/>
        <w:ind w:leftChars="250" w:left="1080"/>
        <w:jc w:val="both"/>
        <w:rPr>
          <w:rFonts w:eastAsia="標楷體"/>
          <w:b/>
          <w:sz w:val="28"/>
          <w:szCs w:val="26"/>
        </w:rPr>
      </w:pPr>
      <w:r w:rsidRPr="00F052EC">
        <w:rPr>
          <w:rFonts w:eastAsia="標楷體" w:hint="eastAsia"/>
          <w:b/>
          <w:sz w:val="28"/>
          <w:szCs w:val="26"/>
        </w:rPr>
        <w:t>所</w:t>
      </w:r>
      <w:r w:rsidRPr="00F052EC">
        <w:rPr>
          <w:rFonts w:eastAsia="標楷體"/>
          <w:b/>
          <w:sz w:val="28"/>
          <w:szCs w:val="26"/>
        </w:rPr>
        <w:t>取得未受控交易資料之可比較程度及其所使用資料與假設之品質</w:t>
      </w:r>
    </w:p>
    <w:p w:rsidR="00DE7202" w:rsidRDefault="00F9092E" w:rsidP="001719B7">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本</w:t>
      </w:r>
      <w:r w:rsidR="00A82581">
        <w:rPr>
          <w:rFonts w:eastAsia="標楷體" w:hint="eastAsia"/>
          <w:sz w:val="26"/>
          <w:szCs w:val="26"/>
        </w:rPr>
        <w:t>文據</w:t>
      </w:r>
      <w:r w:rsidRPr="00EA272E">
        <w:rPr>
          <w:rFonts w:eastAsia="標楷體"/>
          <w:sz w:val="26"/>
          <w:szCs w:val="26"/>
        </w:rPr>
        <w:t>第</w:t>
      </w:r>
      <w:r w:rsidR="00A82581">
        <w:rPr>
          <w:rFonts w:eastAsia="標楷體" w:hint="eastAsia"/>
          <w:sz w:val="26"/>
          <w:szCs w:val="26"/>
        </w:rPr>
        <w:t>柒</w:t>
      </w:r>
      <w:r w:rsidRPr="00EA272E">
        <w:rPr>
          <w:rFonts w:eastAsia="標楷體"/>
          <w:sz w:val="26"/>
          <w:szCs w:val="26"/>
        </w:rPr>
        <w:t>章已詳述可比較對象所以被選出之過程、原因及選擇時所用資</w:t>
      </w:r>
      <w:r>
        <w:rPr>
          <w:rFonts w:eastAsia="標楷體"/>
          <w:sz w:val="26"/>
          <w:szCs w:val="26"/>
        </w:rPr>
        <w:t>料與假設之品質</w:t>
      </w:r>
      <w:r>
        <w:rPr>
          <w:rFonts w:eastAsia="標楷體" w:hint="eastAsia"/>
          <w:sz w:val="26"/>
          <w:szCs w:val="26"/>
        </w:rPr>
        <w:t>，</w:t>
      </w:r>
      <w:r>
        <w:rPr>
          <w:rFonts w:eastAsia="標楷體"/>
          <w:sz w:val="26"/>
          <w:szCs w:val="26"/>
        </w:rPr>
        <w:t>其所使用可比較未受控交易資料均來自</w:t>
      </w:r>
      <w:r w:rsidR="00921F8F" w:rsidRPr="00CA51EF">
        <w:rPr>
          <w:rFonts w:eastAsia="標楷體" w:hint="eastAsia"/>
          <w:sz w:val="26"/>
          <w:szCs w:val="26"/>
        </w:rPr>
        <w:t>『</w:t>
      </w:r>
      <w:r w:rsidR="00E2690D">
        <w:rPr>
          <w:rFonts w:eastAsia="標楷體" w:hint="eastAsia"/>
          <w:sz w:val="26"/>
          <w:szCs w:val="26"/>
        </w:rPr>
        <w:t>ONESOURCE</w:t>
      </w:r>
      <w:r w:rsidR="00E2690D">
        <w:rPr>
          <w:rFonts w:eastAsia="標楷體" w:hint="eastAsia"/>
          <w:sz w:val="26"/>
          <w:szCs w:val="26"/>
        </w:rPr>
        <w:t>資料庫</w:t>
      </w:r>
      <w:r w:rsidR="00921F8F" w:rsidRPr="00CA51EF">
        <w:rPr>
          <w:rFonts w:eastAsia="標楷體" w:hint="eastAsia"/>
          <w:sz w:val="26"/>
          <w:szCs w:val="26"/>
        </w:rPr>
        <w:t>』作為選樣標準</w:t>
      </w:r>
      <w:r w:rsidRPr="00CA51EF">
        <w:rPr>
          <w:rFonts w:eastAsia="標楷體"/>
          <w:sz w:val="26"/>
          <w:szCs w:val="26"/>
        </w:rPr>
        <w:t>。</w:t>
      </w:r>
    </w:p>
    <w:p w:rsidR="00DE7202" w:rsidRDefault="00F9092E" w:rsidP="001719B7">
      <w:pPr>
        <w:numPr>
          <w:ilvl w:val="0"/>
          <w:numId w:val="20"/>
        </w:numPr>
        <w:tabs>
          <w:tab w:val="left" w:pos="1134"/>
        </w:tabs>
        <w:spacing w:beforeLines="50" w:before="120" w:afterLines="50" w:after="120" w:line="360" w:lineRule="auto"/>
        <w:ind w:leftChars="250" w:left="1080"/>
        <w:jc w:val="both"/>
        <w:rPr>
          <w:rFonts w:eastAsia="標楷體"/>
          <w:b/>
          <w:sz w:val="28"/>
          <w:szCs w:val="26"/>
        </w:rPr>
      </w:pPr>
      <w:r w:rsidRPr="00F052EC">
        <w:rPr>
          <w:rFonts w:eastAsia="標楷體"/>
          <w:b/>
          <w:sz w:val="28"/>
          <w:szCs w:val="26"/>
        </w:rPr>
        <w:t>該指標用以衡量受測個體常規營業利潤之可信賴程度</w:t>
      </w:r>
    </w:p>
    <w:p w:rsidR="00DE7202" w:rsidRDefault="00F9092E" w:rsidP="001719B7">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利潤</w:t>
      </w:r>
      <w:r w:rsidRPr="00EA272E">
        <w:rPr>
          <w:rFonts w:eastAsia="標楷體" w:hint="eastAsia"/>
          <w:sz w:val="26"/>
          <w:szCs w:val="26"/>
        </w:rPr>
        <w:t>率</w:t>
      </w:r>
      <w:r w:rsidRPr="00EA272E">
        <w:rPr>
          <w:rFonts w:eastAsia="標楷體"/>
          <w:sz w:val="26"/>
          <w:szCs w:val="26"/>
        </w:rPr>
        <w:t>指標</w:t>
      </w:r>
      <w:r w:rsidRPr="00EA272E">
        <w:rPr>
          <w:rFonts w:eastAsia="標楷體" w:hint="eastAsia"/>
          <w:sz w:val="26"/>
          <w:szCs w:val="26"/>
        </w:rPr>
        <w:t>為</w:t>
      </w:r>
      <w:r w:rsidRPr="00EA272E">
        <w:rPr>
          <w:rFonts w:eastAsia="標楷體"/>
          <w:sz w:val="26"/>
          <w:szCs w:val="26"/>
        </w:rPr>
        <w:t>衡量利潤與賺得利潤所產生成本間之關係。利潤</w:t>
      </w:r>
      <w:r w:rsidRPr="00EA272E">
        <w:rPr>
          <w:rFonts w:eastAsia="標楷體" w:hint="eastAsia"/>
          <w:sz w:val="26"/>
          <w:szCs w:val="26"/>
        </w:rPr>
        <w:t>率</w:t>
      </w:r>
      <w:r w:rsidRPr="00EA272E">
        <w:rPr>
          <w:rFonts w:eastAsia="標楷體"/>
          <w:sz w:val="26"/>
          <w:szCs w:val="26"/>
        </w:rPr>
        <w:t>指標之適用視情況而定，其與受測個體所從事之活動、由可比較未受控對象蒐集</w:t>
      </w:r>
      <w:r w:rsidRPr="00EA272E">
        <w:rPr>
          <w:rFonts w:eastAsia="標楷體" w:hint="eastAsia"/>
          <w:sz w:val="26"/>
          <w:szCs w:val="26"/>
        </w:rPr>
        <w:t>而</w:t>
      </w:r>
      <w:r w:rsidRPr="00EA272E">
        <w:rPr>
          <w:rFonts w:eastAsia="標楷體"/>
          <w:sz w:val="26"/>
          <w:szCs w:val="26"/>
        </w:rPr>
        <w:t>得之資料以及使用該指標是否可以得到值得信賴之常規交易結果均息息相關。</w:t>
      </w:r>
    </w:p>
    <w:p w:rsidR="00DE7202" w:rsidRDefault="00F9092E" w:rsidP="001719B7">
      <w:pPr>
        <w:numPr>
          <w:ilvl w:val="0"/>
          <w:numId w:val="20"/>
        </w:numPr>
        <w:tabs>
          <w:tab w:val="left" w:pos="1134"/>
        </w:tabs>
        <w:spacing w:beforeLines="50" w:before="120" w:afterLines="50" w:after="120" w:line="360" w:lineRule="auto"/>
        <w:ind w:leftChars="250" w:left="1080"/>
        <w:jc w:val="both"/>
        <w:rPr>
          <w:rFonts w:eastAsia="標楷體"/>
          <w:b/>
          <w:sz w:val="28"/>
          <w:szCs w:val="26"/>
        </w:rPr>
      </w:pPr>
      <w:r w:rsidRPr="00F052EC">
        <w:rPr>
          <w:rFonts w:eastAsia="標楷體"/>
          <w:b/>
          <w:sz w:val="28"/>
          <w:szCs w:val="26"/>
        </w:rPr>
        <w:lastRenderedPageBreak/>
        <w:t>該指標應包括交易當年度及前二年度之連續</w:t>
      </w:r>
      <w:proofErr w:type="gramStart"/>
      <w:r w:rsidRPr="00F052EC">
        <w:rPr>
          <w:rFonts w:eastAsia="標楷體"/>
          <w:b/>
          <w:sz w:val="28"/>
          <w:szCs w:val="26"/>
        </w:rPr>
        <w:t>三</w:t>
      </w:r>
      <w:proofErr w:type="gramEnd"/>
      <w:r w:rsidRPr="00F052EC">
        <w:rPr>
          <w:rFonts w:eastAsia="標楷體"/>
          <w:b/>
          <w:sz w:val="28"/>
          <w:szCs w:val="26"/>
        </w:rPr>
        <w:t>年度資料</w:t>
      </w:r>
    </w:p>
    <w:p w:rsidR="00DE7202" w:rsidRDefault="00F9092E" w:rsidP="001719B7">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為確定所取得未受控交易資料之可比較程度及其所使用資料與假設之品質，該資料所涵蓋之期間需足以反映可比較未受控交易之合理報酬，</w:t>
      </w:r>
      <w:r w:rsidRPr="00EA272E">
        <w:rPr>
          <w:rFonts w:eastAsia="標楷體" w:hint="eastAsia"/>
          <w:sz w:val="26"/>
          <w:szCs w:val="26"/>
        </w:rPr>
        <w:t>其</w:t>
      </w:r>
      <w:r w:rsidRPr="00EA272E">
        <w:rPr>
          <w:rFonts w:eastAsia="標楷體"/>
          <w:sz w:val="26"/>
          <w:szCs w:val="26"/>
        </w:rPr>
        <w:t>至少應包括交易當年度及前二年度之連續</w:t>
      </w:r>
      <w:proofErr w:type="gramStart"/>
      <w:r w:rsidRPr="00EA272E">
        <w:rPr>
          <w:rFonts w:eastAsia="標楷體"/>
          <w:sz w:val="26"/>
          <w:szCs w:val="26"/>
        </w:rPr>
        <w:t>三</w:t>
      </w:r>
      <w:proofErr w:type="gramEnd"/>
      <w:r w:rsidRPr="00EA272E">
        <w:rPr>
          <w:rFonts w:eastAsia="標楷體"/>
          <w:sz w:val="26"/>
          <w:szCs w:val="26"/>
        </w:rPr>
        <w:t>年度資料。營利事業於辦理交易當年度營利事業所得稅結算申報時，未能取得交易當年度可比較未受控交易資料者，得以不包括當年度之至少連續前三年度資料為基礎。</w:t>
      </w:r>
    </w:p>
    <w:p w:rsidR="00DE7202" w:rsidRPr="00C726AF" w:rsidRDefault="00F9092E" w:rsidP="001719B7">
      <w:pPr>
        <w:spacing w:beforeLines="50" w:before="120" w:afterLines="50" w:after="120" w:line="360" w:lineRule="auto"/>
        <w:ind w:leftChars="300" w:left="720" w:firstLineChars="200" w:firstLine="520"/>
        <w:jc w:val="both"/>
        <w:rPr>
          <w:rFonts w:eastAsia="標楷體"/>
          <w:color w:val="000000" w:themeColor="text1"/>
          <w:sz w:val="26"/>
          <w:szCs w:val="26"/>
        </w:rPr>
      </w:pPr>
      <w:r w:rsidRPr="00C726AF">
        <w:rPr>
          <w:rFonts w:eastAsia="標楷體" w:hint="eastAsia"/>
          <w:color w:val="000000" w:themeColor="text1"/>
          <w:sz w:val="26"/>
          <w:szCs w:val="26"/>
        </w:rPr>
        <w:t>因取樣之</w:t>
      </w:r>
      <w:r w:rsidR="00F3048D" w:rsidRPr="00C726AF">
        <w:rPr>
          <w:rFonts w:eastAsia="標楷體" w:hint="eastAsia"/>
          <w:color w:val="000000" w:themeColor="text1"/>
          <w:sz w:val="26"/>
          <w:szCs w:val="26"/>
        </w:rPr>
        <w:t>ONESOURCE</w:t>
      </w:r>
      <w:r w:rsidR="00820124" w:rsidRPr="00C726AF">
        <w:rPr>
          <w:rFonts w:eastAsia="標楷體" w:hint="eastAsia"/>
          <w:color w:val="000000" w:themeColor="text1"/>
          <w:sz w:val="26"/>
          <w:szCs w:val="26"/>
        </w:rPr>
        <w:t>資料庫</w:t>
      </w:r>
      <w:r w:rsidR="00030C3A" w:rsidRPr="00C726AF">
        <w:rPr>
          <w:rFonts w:eastAsia="標楷體" w:hint="eastAsia"/>
          <w:color w:val="000000" w:themeColor="text1"/>
          <w:sz w:val="26"/>
          <w:szCs w:val="26"/>
        </w:rPr>
        <w:t>201</w:t>
      </w:r>
      <w:r w:rsidR="00CE5C42">
        <w:rPr>
          <w:rFonts w:eastAsia="標楷體" w:hint="eastAsia"/>
          <w:color w:val="000000" w:themeColor="text1"/>
          <w:sz w:val="26"/>
          <w:szCs w:val="26"/>
        </w:rPr>
        <w:t>6</w:t>
      </w:r>
      <w:r w:rsidRPr="00C726AF">
        <w:rPr>
          <w:rFonts w:eastAsia="標楷體" w:hint="eastAsia"/>
          <w:color w:val="000000" w:themeColor="text1"/>
          <w:sz w:val="26"/>
          <w:szCs w:val="26"/>
        </w:rPr>
        <w:t>年</w:t>
      </w:r>
      <w:r w:rsidR="00F3048D" w:rsidRPr="00C726AF">
        <w:rPr>
          <w:rFonts w:eastAsia="標楷體" w:hint="eastAsia"/>
          <w:color w:val="000000" w:themeColor="text1"/>
          <w:sz w:val="26"/>
          <w:szCs w:val="26"/>
        </w:rPr>
        <w:t>1</w:t>
      </w:r>
      <w:r w:rsidR="00841F61" w:rsidRPr="00C726AF">
        <w:rPr>
          <w:rFonts w:eastAsia="標楷體" w:hint="eastAsia"/>
          <w:color w:val="000000" w:themeColor="text1"/>
          <w:sz w:val="26"/>
          <w:szCs w:val="26"/>
        </w:rPr>
        <w:t>2</w:t>
      </w:r>
      <w:r w:rsidRPr="00C726AF">
        <w:rPr>
          <w:rFonts w:eastAsia="標楷體" w:hint="eastAsia"/>
          <w:color w:val="000000" w:themeColor="text1"/>
          <w:sz w:val="26"/>
          <w:szCs w:val="26"/>
        </w:rPr>
        <w:t>月</w:t>
      </w:r>
      <w:r w:rsidR="00F3048D" w:rsidRPr="00C726AF">
        <w:rPr>
          <w:rFonts w:eastAsia="標楷體" w:hint="eastAsia"/>
          <w:color w:val="000000" w:themeColor="text1"/>
          <w:sz w:val="26"/>
          <w:szCs w:val="26"/>
        </w:rPr>
        <w:t>版本</w:t>
      </w:r>
      <w:r w:rsidRPr="00C726AF">
        <w:rPr>
          <w:rFonts w:eastAsia="標楷體" w:hint="eastAsia"/>
          <w:color w:val="000000" w:themeColor="text1"/>
          <w:sz w:val="26"/>
          <w:szCs w:val="26"/>
        </w:rPr>
        <w:t>中仍有部分公司未將</w:t>
      </w:r>
      <w:r w:rsidR="001D3E29" w:rsidRPr="00C726AF">
        <w:rPr>
          <w:rFonts w:eastAsia="標楷體" w:hint="eastAsia"/>
          <w:color w:val="000000" w:themeColor="text1"/>
          <w:sz w:val="26"/>
          <w:szCs w:val="26"/>
        </w:rPr>
        <w:t>10</w:t>
      </w:r>
      <w:r w:rsidR="00CE5C42">
        <w:rPr>
          <w:rFonts w:eastAsia="標楷體" w:hint="eastAsia"/>
          <w:color w:val="000000" w:themeColor="text1"/>
          <w:sz w:val="26"/>
          <w:szCs w:val="26"/>
        </w:rPr>
        <w:t>5</w:t>
      </w:r>
      <w:r w:rsidRPr="00C726AF">
        <w:rPr>
          <w:rFonts w:eastAsia="標楷體" w:hint="eastAsia"/>
          <w:color w:val="000000" w:themeColor="text1"/>
          <w:sz w:val="26"/>
          <w:szCs w:val="26"/>
        </w:rPr>
        <w:t>當年度之財務報表上傳至資料庫，為求取該資料</w:t>
      </w:r>
      <w:r w:rsidRPr="00C726AF">
        <w:rPr>
          <w:rFonts w:eastAsia="標楷體"/>
          <w:color w:val="000000" w:themeColor="text1"/>
          <w:sz w:val="26"/>
          <w:szCs w:val="26"/>
        </w:rPr>
        <w:t>所涵蓋之期間</w:t>
      </w:r>
      <w:r w:rsidRPr="00C726AF">
        <w:rPr>
          <w:rFonts w:eastAsia="標楷體" w:hint="eastAsia"/>
          <w:color w:val="000000" w:themeColor="text1"/>
          <w:sz w:val="26"/>
          <w:szCs w:val="26"/>
        </w:rPr>
        <w:t>能</w:t>
      </w:r>
      <w:r w:rsidRPr="00C726AF">
        <w:rPr>
          <w:rFonts w:eastAsia="標楷體"/>
          <w:color w:val="000000" w:themeColor="text1"/>
          <w:sz w:val="26"/>
          <w:szCs w:val="26"/>
        </w:rPr>
        <w:t>足以反映可比較未受控交易之合理報酬</w:t>
      </w:r>
      <w:r w:rsidRPr="00C726AF">
        <w:rPr>
          <w:rFonts w:eastAsia="標楷體" w:hint="eastAsia"/>
          <w:color w:val="000000" w:themeColor="text1"/>
          <w:sz w:val="26"/>
          <w:szCs w:val="26"/>
        </w:rPr>
        <w:t>，故本所要求樣本至少需具</w:t>
      </w:r>
      <w:r w:rsidR="00030C3A" w:rsidRPr="00C726AF">
        <w:rPr>
          <w:rFonts w:eastAsia="標楷體" w:hint="eastAsia"/>
          <w:color w:val="000000" w:themeColor="text1"/>
          <w:sz w:val="26"/>
          <w:szCs w:val="26"/>
        </w:rPr>
        <w:t>10</w:t>
      </w:r>
      <w:r w:rsidR="00CE5C42">
        <w:rPr>
          <w:rFonts w:eastAsia="標楷體" w:hint="eastAsia"/>
          <w:color w:val="000000" w:themeColor="text1"/>
          <w:sz w:val="26"/>
          <w:szCs w:val="26"/>
        </w:rPr>
        <w:t>2</w:t>
      </w:r>
      <w:r w:rsidRPr="00C726AF">
        <w:rPr>
          <w:rFonts w:eastAsia="標楷體" w:hint="eastAsia"/>
          <w:color w:val="000000" w:themeColor="text1"/>
          <w:sz w:val="26"/>
          <w:szCs w:val="26"/>
        </w:rPr>
        <w:t>至</w:t>
      </w:r>
      <w:r w:rsidR="00820124" w:rsidRPr="00C726AF">
        <w:rPr>
          <w:rFonts w:eastAsia="標楷體" w:hint="eastAsia"/>
          <w:color w:val="000000" w:themeColor="text1"/>
          <w:sz w:val="26"/>
          <w:szCs w:val="26"/>
        </w:rPr>
        <w:t>10</w:t>
      </w:r>
      <w:r w:rsidR="00CE5C42">
        <w:rPr>
          <w:rFonts w:eastAsia="標楷體" w:hint="eastAsia"/>
          <w:color w:val="000000" w:themeColor="text1"/>
          <w:sz w:val="26"/>
          <w:szCs w:val="26"/>
        </w:rPr>
        <w:t>4</w:t>
      </w:r>
      <w:r w:rsidRPr="00C726AF">
        <w:rPr>
          <w:rFonts w:eastAsia="標楷體" w:hint="eastAsia"/>
          <w:color w:val="000000" w:themeColor="text1"/>
          <w:sz w:val="26"/>
          <w:szCs w:val="26"/>
        </w:rPr>
        <w:t>會計年度連續</w:t>
      </w:r>
      <w:proofErr w:type="gramStart"/>
      <w:r w:rsidRPr="00C726AF">
        <w:rPr>
          <w:rFonts w:eastAsia="標楷體" w:hint="eastAsia"/>
          <w:color w:val="000000" w:themeColor="text1"/>
          <w:sz w:val="26"/>
          <w:szCs w:val="26"/>
        </w:rPr>
        <w:t>三</w:t>
      </w:r>
      <w:proofErr w:type="gramEnd"/>
      <w:r w:rsidRPr="00C726AF">
        <w:rPr>
          <w:rFonts w:eastAsia="標楷體" w:hint="eastAsia"/>
          <w:color w:val="000000" w:themeColor="text1"/>
          <w:sz w:val="26"/>
          <w:szCs w:val="26"/>
        </w:rPr>
        <w:t>年度之財務資料。</w:t>
      </w:r>
    </w:p>
    <w:p w:rsidR="00DE7202" w:rsidRDefault="00F9092E" w:rsidP="001719B7">
      <w:pPr>
        <w:pStyle w:val="3"/>
        <w:numPr>
          <w:ilvl w:val="0"/>
          <w:numId w:val="18"/>
        </w:numPr>
        <w:spacing w:beforeLines="50" w:before="120" w:afterLines="50" w:after="120" w:line="360" w:lineRule="auto"/>
        <w:ind w:leftChars="100" w:left="720"/>
        <w:jc w:val="both"/>
        <w:rPr>
          <w:rFonts w:ascii="Times New Roman" w:eastAsia="標楷體" w:hAnsi="Times New Roman"/>
          <w:sz w:val="32"/>
          <w:szCs w:val="26"/>
        </w:rPr>
      </w:pPr>
      <w:r w:rsidRPr="00D92058">
        <w:rPr>
          <w:rFonts w:ascii="Times New Roman" w:eastAsia="標楷體" w:hAnsi="Times New Roman" w:hint="eastAsia"/>
          <w:sz w:val="32"/>
          <w:szCs w:val="26"/>
        </w:rPr>
        <w:t>為受測個體選定利潤率指標</w:t>
      </w:r>
    </w:p>
    <w:p w:rsidR="00DE7202" w:rsidRDefault="00F9092E" w:rsidP="001719B7">
      <w:pPr>
        <w:spacing w:beforeLines="50" w:before="120" w:afterLines="50" w:after="120" w:line="360" w:lineRule="auto"/>
        <w:ind w:leftChars="200" w:left="480" w:firstLineChars="200" w:firstLine="520"/>
        <w:jc w:val="both"/>
        <w:rPr>
          <w:rFonts w:eastAsia="標楷體"/>
          <w:sz w:val="26"/>
          <w:szCs w:val="26"/>
        </w:rPr>
      </w:pPr>
      <w:r w:rsidRPr="00266521">
        <w:rPr>
          <w:rFonts w:eastAsia="標楷體"/>
          <w:sz w:val="26"/>
          <w:szCs w:val="26"/>
        </w:rPr>
        <w:t>因為利潤</w:t>
      </w:r>
      <w:r w:rsidRPr="00266521">
        <w:rPr>
          <w:rFonts w:eastAsia="標楷體" w:hint="eastAsia"/>
          <w:sz w:val="26"/>
          <w:szCs w:val="26"/>
        </w:rPr>
        <w:t>率</w:t>
      </w:r>
      <w:r w:rsidRPr="00266521">
        <w:rPr>
          <w:rFonts w:eastAsia="標楷體"/>
          <w:sz w:val="26"/>
          <w:szCs w:val="26"/>
        </w:rPr>
        <w:t>指標為衡量受測個體為賺得一定利潤所需花費之成本或所需使用資源之比率，是以選用利潤</w:t>
      </w:r>
      <w:r w:rsidRPr="00266521">
        <w:rPr>
          <w:rFonts w:eastAsia="標楷體" w:hint="eastAsia"/>
          <w:sz w:val="26"/>
          <w:szCs w:val="26"/>
        </w:rPr>
        <w:t>率</w:t>
      </w:r>
      <w:r w:rsidRPr="00266521">
        <w:rPr>
          <w:rFonts w:eastAsia="標楷體"/>
          <w:sz w:val="26"/>
          <w:szCs w:val="26"/>
        </w:rPr>
        <w:t>指標時必須考慮利潤與使用資源之關係。若受測個體之利潤主要由營業資產之使用而得致，則以營業資產報酬率做為利潤</w:t>
      </w:r>
      <w:r w:rsidRPr="00266521">
        <w:rPr>
          <w:rFonts w:eastAsia="標楷體" w:hint="eastAsia"/>
          <w:sz w:val="26"/>
          <w:szCs w:val="26"/>
        </w:rPr>
        <w:t>率</w:t>
      </w:r>
      <w:r w:rsidRPr="00266521">
        <w:rPr>
          <w:rFonts w:eastAsia="標楷體"/>
          <w:sz w:val="26"/>
          <w:szCs w:val="26"/>
        </w:rPr>
        <w:t>指標最為合適；若欲衡量營運成本（</w:t>
      </w:r>
      <w:r w:rsidRPr="00266521">
        <w:rPr>
          <w:rFonts w:eastAsia="標楷體"/>
          <w:sz w:val="26"/>
          <w:szCs w:val="26"/>
        </w:rPr>
        <w:t>Operating Cost</w:t>
      </w:r>
      <w:r w:rsidRPr="00266521">
        <w:rPr>
          <w:rFonts w:eastAsia="標楷體"/>
          <w:sz w:val="26"/>
          <w:szCs w:val="26"/>
        </w:rPr>
        <w:t>）報酬率，</w:t>
      </w:r>
      <w:r w:rsidRPr="00266521">
        <w:rPr>
          <w:rFonts w:eastAsia="標楷體" w:hint="eastAsia"/>
          <w:sz w:val="26"/>
          <w:szCs w:val="26"/>
        </w:rPr>
        <w:t>則</w:t>
      </w:r>
      <w:r w:rsidRPr="00266521">
        <w:rPr>
          <w:rFonts w:eastAsia="標楷體"/>
          <w:sz w:val="26"/>
          <w:szCs w:val="26"/>
        </w:rPr>
        <w:t>採用貝里比率</w:t>
      </w:r>
      <w:r w:rsidRPr="00266521">
        <w:rPr>
          <w:rFonts w:eastAsia="標楷體" w:hint="eastAsia"/>
          <w:sz w:val="26"/>
          <w:szCs w:val="26"/>
        </w:rPr>
        <w:t>或成本及營業費用淨利率為</w:t>
      </w:r>
      <w:r w:rsidRPr="00266521">
        <w:rPr>
          <w:rFonts w:eastAsia="標楷體"/>
          <w:sz w:val="26"/>
          <w:szCs w:val="26"/>
        </w:rPr>
        <w:t>利潤</w:t>
      </w:r>
      <w:r w:rsidRPr="00266521">
        <w:rPr>
          <w:rFonts w:eastAsia="標楷體" w:hint="eastAsia"/>
          <w:sz w:val="26"/>
          <w:szCs w:val="26"/>
        </w:rPr>
        <w:t>率</w:t>
      </w:r>
      <w:r w:rsidRPr="00266521">
        <w:rPr>
          <w:rFonts w:eastAsia="標楷體"/>
          <w:sz w:val="26"/>
          <w:szCs w:val="26"/>
        </w:rPr>
        <w:t>指標；若欲衡量淨利與銷貨間之關係，</w:t>
      </w:r>
      <w:r w:rsidRPr="00266521">
        <w:rPr>
          <w:rFonts w:eastAsia="標楷體" w:hint="eastAsia"/>
          <w:sz w:val="26"/>
          <w:szCs w:val="26"/>
        </w:rPr>
        <w:t>則</w:t>
      </w:r>
      <w:r w:rsidRPr="00266521">
        <w:rPr>
          <w:rFonts w:eastAsia="標楷體"/>
          <w:sz w:val="26"/>
          <w:szCs w:val="26"/>
        </w:rPr>
        <w:t>採用</w:t>
      </w:r>
      <w:r w:rsidRPr="00266521">
        <w:rPr>
          <w:rFonts w:eastAsia="標楷體" w:hint="eastAsia"/>
          <w:sz w:val="26"/>
          <w:szCs w:val="26"/>
        </w:rPr>
        <w:t>營業</w:t>
      </w:r>
      <w:r w:rsidRPr="00266521">
        <w:rPr>
          <w:rFonts w:eastAsia="標楷體"/>
          <w:sz w:val="26"/>
          <w:szCs w:val="26"/>
        </w:rPr>
        <w:t>淨利率為利潤</w:t>
      </w:r>
      <w:r w:rsidRPr="00266521">
        <w:rPr>
          <w:rFonts w:eastAsia="標楷體" w:hint="eastAsia"/>
          <w:sz w:val="26"/>
          <w:szCs w:val="26"/>
        </w:rPr>
        <w:t>率</w:t>
      </w:r>
      <w:r w:rsidRPr="00266521">
        <w:rPr>
          <w:rFonts w:eastAsia="標楷體"/>
          <w:sz w:val="26"/>
          <w:szCs w:val="26"/>
        </w:rPr>
        <w:t>指標</w:t>
      </w:r>
      <w:r w:rsidRPr="006B74CC">
        <w:rPr>
          <w:rFonts w:eastAsia="標楷體" w:hint="eastAsia"/>
          <w:sz w:val="26"/>
          <w:szCs w:val="26"/>
        </w:rPr>
        <w:t>；若受測個體產出績效與投入之成本及營業費用密切相關，則適用成本及營業費用淨利率。</w:t>
      </w:r>
    </w:p>
    <w:p w:rsidR="00DE7202" w:rsidRDefault="00F9092E" w:rsidP="001719B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一般而言，採用營業資產報酬率做為利潤</w:t>
      </w:r>
      <w:r w:rsidRPr="00EA272E">
        <w:rPr>
          <w:rFonts w:eastAsia="標楷體" w:hint="eastAsia"/>
          <w:sz w:val="26"/>
          <w:szCs w:val="26"/>
        </w:rPr>
        <w:t>率</w:t>
      </w:r>
      <w:r w:rsidRPr="00EA272E">
        <w:rPr>
          <w:rFonts w:eastAsia="標楷體"/>
          <w:sz w:val="26"/>
          <w:szCs w:val="26"/>
        </w:rPr>
        <w:t>指標者為製造商，採用貝里比率為比較營業毛利與營運成本間之關係，大多用於服務提供者或功能僅限於銷售活動為例行性且所售產品同質性高之配銷商。</w:t>
      </w:r>
      <w:r w:rsidRPr="00EA272E">
        <w:rPr>
          <w:rFonts w:eastAsia="標楷體" w:hint="eastAsia"/>
          <w:sz w:val="26"/>
          <w:szCs w:val="26"/>
        </w:rPr>
        <w:t>倘</w:t>
      </w:r>
      <w:r w:rsidRPr="00EA272E">
        <w:rPr>
          <w:rFonts w:eastAsia="標楷體"/>
          <w:sz w:val="26"/>
          <w:szCs w:val="26"/>
        </w:rPr>
        <w:t>若無法將利潤與其所運用之資源或花費之營業成本清楚區分，一般均採用</w:t>
      </w:r>
      <w:r w:rsidRPr="00EA272E">
        <w:rPr>
          <w:rFonts w:eastAsia="標楷體" w:hint="eastAsia"/>
          <w:sz w:val="26"/>
          <w:szCs w:val="26"/>
        </w:rPr>
        <w:t>營業</w:t>
      </w:r>
      <w:r w:rsidRPr="00EA272E">
        <w:rPr>
          <w:rFonts w:eastAsia="標楷體"/>
          <w:sz w:val="26"/>
          <w:szCs w:val="26"/>
        </w:rPr>
        <w:lastRenderedPageBreak/>
        <w:t>淨利率</w:t>
      </w:r>
      <w:r w:rsidRPr="00EA272E">
        <w:rPr>
          <w:rFonts w:eastAsia="標楷體" w:hint="eastAsia"/>
          <w:sz w:val="26"/>
          <w:szCs w:val="26"/>
        </w:rPr>
        <w:t>或成本及營業費用淨利率</w:t>
      </w:r>
      <w:r w:rsidRPr="00EA272E">
        <w:rPr>
          <w:rFonts w:eastAsia="標楷體"/>
          <w:sz w:val="26"/>
          <w:szCs w:val="26"/>
        </w:rPr>
        <w:t>作為利潤</w:t>
      </w:r>
      <w:r w:rsidRPr="00EA272E">
        <w:rPr>
          <w:rFonts w:eastAsia="標楷體" w:hint="eastAsia"/>
          <w:sz w:val="26"/>
          <w:szCs w:val="26"/>
        </w:rPr>
        <w:t>率</w:t>
      </w:r>
      <w:r w:rsidRPr="00EA272E">
        <w:rPr>
          <w:rFonts w:eastAsia="標楷體"/>
          <w:sz w:val="26"/>
          <w:szCs w:val="26"/>
        </w:rPr>
        <w:t>指標。</w:t>
      </w:r>
    </w:p>
    <w:p w:rsidR="00DE7202" w:rsidRDefault="00DC6CDA" w:rsidP="001719B7">
      <w:pPr>
        <w:spacing w:beforeLines="50" w:before="120" w:afterLines="50" w:after="120" w:line="360" w:lineRule="auto"/>
        <w:ind w:leftChars="200" w:left="480" w:firstLineChars="200" w:firstLine="520"/>
        <w:jc w:val="both"/>
        <w:rPr>
          <w:rFonts w:eastAsia="標楷體"/>
          <w:sz w:val="26"/>
          <w:szCs w:val="26"/>
          <w:shd w:val="clear" w:color="auto" w:fill="EAF1DD"/>
        </w:rPr>
      </w:pPr>
      <w:proofErr w:type="gramStart"/>
      <w:r w:rsidRPr="003734DD">
        <w:rPr>
          <w:rFonts w:eastAsia="標楷體"/>
          <w:sz w:val="26"/>
          <w:szCs w:val="26"/>
        </w:rPr>
        <w:t>評估</w:t>
      </w:r>
      <w:r w:rsidRPr="003734DD">
        <w:rPr>
          <w:rFonts w:eastAsia="標楷體" w:hint="eastAsia"/>
          <w:sz w:val="26"/>
          <w:szCs w:val="26"/>
        </w:rPr>
        <w:t>此</w:t>
      </w:r>
      <w:r w:rsidRPr="003734DD">
        <w:rPr>
          <w:rFonts w:eastAsia="標楷體"/>
          <w:sz w:val="26"/>
          <w:szCs w:val="26"/>
        </w:rPr>
        <w:t>受控</w:t>
      </w:r>
      <w:proofErr w:type="gramEnd"/>
      <w:r w:rsidRPr="003734DD">
        <w:rPr>
          <w:rFonts w:eastAsia="標楷體"/>
          <w:sz w:val="26"/>
          <w:szCs w:val="26"/>
        </w:rPr>
        <w:t>交易時，</w:t>
      </w:r>
      <w:r w:rsidRPr="00DC6CDA">
        <w:rPr>
          <w:rFonts w:eastAsia="標楷體" w:hint="eastAsia"/>
          <w:sz w:val="26"/>
          <w:szCs w:val="26"/>
        </w:rPr>
        <w:t>萊迪思台灣分公司</w:t>
      </w:r>
      <w:r w:rsidRPr="003734DD">
        <w:rPr>
          <w:rFonts w:eastAsia="標楷體"/>
          <w:sz w:val="26"/>
          <w:szCs w:val="26"/>
        </w:rPr>
        <w:t>為</w:t>
      </w:r>
      <w:r w:rsidRPr="003734DD">
        <w:rPr>
          <w:rFonts w:eastAsia="標楷體" w:hint="eastAsia"/>
          <w:sz w:val="26"/>
          <w:szCs w:val="26"/>
        </w:rPr>
        <w:t>服務提供者</w:t>
      </w:r>
      <w:r w:rsidRPr="003734DD">
        <w:rPr>
          <w:rFonts w:eastAsia="標楷體"/>
          <w:sz w:val="26"/>
          <w:szCs w:val="26"/>
        </w:rPr>
        <w:t>，故不選用適</w:t>
      </w:r>
      <w:r w:rsidRPr="003734DD">
        <w:rPr>
          <w:rFonts w:eastAsia="標楷體" w:hint="eastAsia"/>
          <w:sz w:val="26"/>
          <w:szCs w:val="26"/>
        </w:rPr>
        <w:t>合</w:t>
      </w:r>
      <w:r w:rsidRPr="003734DD">
        <w:rPr>
          <w:rFonts w:eastAsia="標楷體"/>
          <w:sz w:val="26"/>
          <w:szCs w:val="26"/>
        </w:rPr>
        <w:t>評估製造商之營業資產報酬率為利潤</w:t>
      </w:r>
      <w:r w:rsidRPr="003734DD">
        <w:rPr>
          <w:rFonts w:eastAsia="標楷體" w:hint="eastAsia"/>
          <w:sz w:val="26"/>
          <w:szCs w:val="26"/>
        </w:rPr>
        <w:t>率</w:t>
      </w:r>
      <w:r w:rsidRPr="003734DD">
        <w:rPr>
          <w:rFonts w:eastAsia="標楷體"/>
          <w:sz w:val="26"/>
          <w:szCs w:val="26"/>
        </w:rPr>
        <w:t>指標</w:t>
      </w:r>
      <w:r w:rsidRPr="003734DD">
        <w:rPr>
          <w:rFonts w:eastAsia="標楷體" w:hint="eastAsia"/>
          <w:sz w:val="26"/>
          <w:szCs w:val="26"/>
        </w:rPr>
        <w:t>；而貝里比率係以毛利為測試報酬之基準，因可比較對象會因會計處理方式之不同，將影響可比較程度，故不選用貝里比率為利潤率指標</w:t>
      </w:r>
      <w:r>
        <w:rPr>
          <w:rFonts w:eastAsia="標楷體" w:hint="eastAsia"/>
          <w:sz w:val="26"/>
          <w:szCs w:val="26"/>
        </w:rPr>
        <w:t>。</w:t>
      </w:r>
      <w:r w:rsidRPr="008D6F4A">
        <w:rPr>
          <w:rFonts w:eastAsia="標楷體" w:hint="eastAsia"/>
          <w:sz w:val="26"/>
          <w:szCs w:val="26"/>
        </w:rPr>
        <w:t>考量利潤指標不得以受控交易為計算基礎，故不採用營業淨利率為利潤指標。</w:t>
      </w:r>
      <w:r w:rsidRPr="003734DD">
        <w:rPr>
          <w:rFonts w:eastAsia="標楷體" w:hint="eastAsia"/>
          <w:sz w:val="26"/>
          <w:szCs w:val="26"/>
        </w:rPr>
        <w:t>由於</w:t>
      </w:r>
      <w:r w:rsidRPr="00DC6CDA">
        <w:rPr>
          <w:rFonts w:eastAsia="標楷體" w:hint="eastAsia"/>
          <w:sz w:val="26"/>
          <w:szCs w:val="26"/>
        </w:rPr>
        <w:t>萊迪思台灣分公司</w:t>
      </w:r>
      <w:r w:rsidRPr="003734DD">
        <w:rPr>
          <w:rFonts w:eastAsia="標楷體" w:hint="eastAsia"/>
          <w:sz w:val="26"/>
          <w:szCs w:val="26"/>
        </w:rPr>
        <w:t>主要功能為提供服務，並按照其提供相關服務成本的一定利潤加成作為向</w:t>
      </w:r>
      <w:r w:rsidR="008C5F27">
        <w:rPr>
          <w:rFonts w:eastAsia="標楷體" w:hint="eastAsia"/>
          <w:sz w:val="26"/>
          <w:szCs w:val="26"/>
        </w:rPr>
        <w:t>關係企業</w:t>
      </w:r>
      <w:r w:rsidRPr="003734DD">
        <w:rPr>
          <w:rFonts w:eastAsia="標楷體" w:hint="eastAsia"/>
          <w:sz w:val="26"/>
          <w:szCs w:val="26"/>
        </w:rPr>
        <w:t>收取</w:t>
      </w:r>
      <w:r w:rsidR="008C5F27">
        <w:rPr>
          <w:rFonts w:eastAsia="標楷體" w:hint="eastAsia"/>
          <w:sz w:val="26"/>
          <w:szCs w:val="26"/>
        </w:rPr>
        <w:t>報酬</w:t>
      </w:r>
      <w:r w:rsidRPr="003734DD">
        <w:rPr>
          <w:rFonts w:eastAsia="標楷體" w:hint="eastAsia"/>
          <w:sz w:val="26"/>
          <w:szCs w:val="26"/>
        </w:rPr>
        <w:t>之依據，故重視投入</w:t>
      </w:r>
      <w:r w:rsidRPr="003734DD">
        <w:rPr>
          <w:rFonts w:eastAsia="標楷體"/>
          <w:sz w:val="26"/>
          <w:szCs w:val="26"/>
        </w:rPr>
        <w:t>營運成本</w:t>
      </w:r>
      <w:r w:rsidRPr="003734DD">
        <w:rPr>
          <w:rFonts w:eastAsia="標楷體" w:hint="eastAsia"/>
          <w:sz w:val="26"/>
          <w:szCs w:val="26"/>
        </w:rPr>
        <w:t>與</w:t>
      </w:r>
      <w:r w:rsidRPr="003734DD">
        <w:rPr>
          <w:rFonts w:eastAsia="標楷體"/>
          <w:sz w:val="26"/>
          <w:szCs w:val="26"/>
        </w:rPr>
        <w:t>報酬</w:t>
      </w:r>
      <w:r w:rsidRPr="003734DD">
        <w:rPr>
          <w:rFonts w:eastAsia="標楷體" w:hint="eastAsia"/>
          <w:sz w:val="26"/>
          <w:szCs w:val="26"/>
        </w:rPr>
        <w:t>之間的關係，於是選用成本及營業費用淨利率最為合適。</w:t>
      </w:r>
    </w:p>
    <w:p w:rsidR="00DE7202" w:rsidRDefault="00F9092E" w:rsidP="001719B7">
      <w:pPr>
        <w:pStyle w:val="2"/>
        <w:numPr>
          <w:ilvl w:val="1"/>
          <w:numId w:val="17"/>
        </w:numPr>
        <w:tabs>
          <w:tab w:val="left" w:pos="756"/>
        </w:tabs>
        <w:spacing w:beforeLines="50" w:before="120" w:afterLines="50" w:after="12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可比較對象之常規交易範圍</w:t>
      </w:r>
    </w:p>
    <w:p w:rsidR="00DE7202" w:rsidRPr="009B2DB2" w:rsidRDefault="00F41014" w:rsidP="001719B7">
      <w:pPr>
        <w:numPr>
          <w:ilvl w:val="0"/>
          <w:numId w:val="31"/>
        </w:numPr>
        <w:tabs>
          <w:tab w:val="left" w:pos="840"/>
        </w:tabs>
        <w:spacing w:beforeLines="50" w:before="120" w:afterLines="50" w:after="120" w:line="360" w:lineRule="auto"/>
        <w:ind w:hanging="1360"/>
        <w:jc w:val="both"/>
        <w:rPr>
          <w:rFonts w:eastAsia="標楷體"/>
          <w:b/>
          <w:sz w:val="32"/>
          <w:szCs w:val="32"/>
        </w:rPr>
      </w:pPr>
      <w:r w:rsidRPr="009B2DB2">
        <w:rPr>
          <w:rFonts w:eastAsia="標楷體" w:hint="eastAsia"/>
          <w:b/>
          <w:sz w:val="32"/>
          <w:szCs w:val="32"/>
        </w:rPr>
        <w:t>服務之提供</w:t>
      </w:r>
    </w:p>
    <w:p w:rsidR="00DE7202" w:rsidRDefault="00F41014" w:rsidP="001719B7">
      <w:pPr>
        <w:autoSpaceDE w:val="0"/>
        <w:autoSpaceDN w:val="0"/>
        <w:adjustRightInd w:val="0"/>
        <w:spacing w:beforeLines="50" w:before="120" w:afterLines="50" w:after="120" w:line="360" w:lineRule="auto"/>
        <w:ind w:leftChars="300" w:left="720" w:firstLineChars="200" w:firstLine="520"/>
        <w:jc w:val="both"/>
        <w:rPr>
          <w:rFonts w:eastAsia="標楷體"/>
          <w:sz w:val="26"/>
          <w:szCs w:val="26"/>
        </w:rPr>
      </w:pPr>
      <w:r w:rsidRPr="009E7DC2">
        <w:rPr>
          <w:rFonts w:eastAsia="標楷體" w:hint="eastAsia"/>
          <w:sz w:val="26"/>
          <w:szCs w:val="26"/>
        </w:rPr>
        <w:t>受測個體</w:t>
      </w:r>
      <w:r w:rsidRPr="007057A7">
        <w:rPr>
          <w:rFonts w:eastAsia="標楷體" w:hint="eastAsia"/>
          <w:sz w:val="26"/>
          <w:szCs w:val="26"/>
        </w:rPr>
        <w:t>萊迪思</w:t>
      </w:r>
      <w:r w:rsidRPr="00DC6CDA">
        <w:rPr>
          <w:rFonts w:eastAsia="標楷體" w:hint="eastAsia"/>
          <w:sz w:val="26"/>
          <w:szCs w:val="26"/>
        </w:rPr>
        <w:t>台灣分公</w:t>
      </w:r>
      <w:r w:rsidRPr="00B436A3">
        <w:rPr>
          <w:rFonts w:eastAsia="標楷體" w:hint="eastAsia"/>
          <w:sz w:val="26"/>
          <w:szCs w:val="26"/>
        </w:rPr>
        <w:t>司</w:t>
      </w:r>
      <w:r w:rsidRPr="009E7DC2">
        <w:rPr>
          <w:rFonts w:eastAsia="標楷體" w:hint="eastAsia"/>
          <w:sz w:val="26"/>
          <w:szCs w:val="26"/>
        </w:rPr>
        <w:t>為服務之提供者之可比較對象</w:t>
      </w:r>
      <w:r w:rsidR="00FB62A7">
        <w:rPr>
          <w:rFonts w:eastAsia="標楷體" w:hint="eastAsia"/>
          <w:sz w:val="26"/>
          <w:szCs w:val="26"/>
        </w:rPr>
        <w:t>10</w:t>
      </w:r>
      <w:r w:rsidR="00394D74">
        <w:rPr>
          <w:rFonts w:eastAsia="標楷體" w:hint="eastAsia"/>
          <w:sz w:val="26"/>
          <w:szCs w:val="26"/>
        </w:rPr>
        <w:t>2</w:t>
      </w:r>
      <w:r w:rsidRPr="009E7DC2">
        <w:rPr>
          <w:rFonts w:eastAsia="標楷體" w:hint="eastAsia"/>
          <w:sz w:val="26"/>
          <w:szCs w:val="26"/>
        </w:rPr>
        <w:t>至</w:t>
      </w:r>
      <w:r w:rsidRPr="009E7DC2">
        <w:rPr>
          <w:rFonts w:eastAsia="標楷體" w:hint="eastAsia"/>
          <w:sz w:val="26"/>
          <w:szCs w:val="26"/>
        </w:rPr>
        <w:t>10</w:t>
      </w:r>
      <w:r w:rsidR="00394D74">
        <w:rPr>
          <w:rFonts w:eastAsia="標楷體" w:hint="eastAsia"/>
          <w:sz w:val="26"/>
          <w:szCs w:val="26"/>
        </w:rPr>
        <w:t>4</w:t>
      </w:r>
      <w:r w:rsidRPr="009E7DC2">
        <w:rPr>
          <w:rFonts w:eastAsia="標楷體" w:hint="eastAsia"/>
          <w:sz w:val="26"/>
          <w:szCs w:val="26"/>
        </w:rPr>
        <w:t>年度成本及</w:t>
      </w:r>
      <w:r>
        <w:rPr>
          <w:rFonts w:eastAsia="標楷體" w:hint="eastAsia"/>
          <w:sz w:val="26"/>
          <w:szCs w:val="26"/>
        </w:rPr>
        <w:t>營業</w:t>
      </w:r>
      <w:r w:rsidRPr="009E7DC2">
        <w:rPr>
          <w:rFonts w:eastAsia="標楷體" w:hint="eastAsia"/>
          <w:sz w:val="26"/>
          <w:szCs w:val="26"/>
        </w:rPr>
        <w:t>費用淨利率（請參見附件</w:t>
      </w:r>
      <w:r w:rsidR="00670527">
        <w:rPr>
          <w:rFonts w:eastAsia="標楷體" w:hint="eastAsia"/>
          <w:sz w:val="26"/>
          <w:szCs w:val="26"/>
        </w:rPr>
        <w:t>E</w:t>
      </w:r>
      <w:r w:rsidRPr="009E7DC2">
        <w:rPr>
          <w:rFonts w:eastAsia="標楷體" w:hint="eastAsia"/>
          <w:sz w:val="26"/>
          <w:szCs w:val="26"/>
        </w:rPr>
        <w:t>）整理如下：</w:t>
      </w:r>
    </w:p>
    <w:tbl>
      <w:tblPr>
        <w:tblW w:w="7705" w:type="dxa"/>
        <w:tblInd w:w="6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88"/>
        <w:gridCol w:w="2769"/>
        <w:gridCol w:w="1081"/>
        <w:gridCol w:w="1081"/>
        <w:gridCol w:w="1081"/>
        <w:gridCol w:w="1105"/>
      </w:tblGrid>
      <w:tr w:rsidR="00394D74" w:rsidRPr="002E2982" w:rsidTr="00167E87">
        <w:trPr>
          <w:cantSplit/>
          <w:trHeight w:val="556"/>
          <w:tblHeader/>
        </w:trPr>
        <w:tc>
          <w:tcPr>
            <w:tcW w:w="588" w:type="dxa"/>
            <w:vMerge w:val="restart"/>
            <w:shd w:val="clear" w:color="auto" w:fill="4F81BD"/>
            <w:vAlign w:val="center"/>
          </w:tcPr>
          <w:p w:rsidR="00394D74" w:rsidRPr="00C36EF5" w:rsidRDefault="00394D74" w:rsidP="00627DA3">
            <w:pPr>
              <w:spacing w:line="360" w:lineRule="auto"/>
              <w:jc w:val="center"/>
              <w:rPr>
                <w:rFonts w:eastAsia="標楷體"/>
                <w:b/>
                <w:bCs/>
                <w:color w:val="FFFFFF"/>
                <w:spacing w:val="-2"/>
                <w:sz w:val="26"/>
                <w:szCs w:val="26"/>
              </w:rPr>
            </w:pPr>
            <w:r w:rsidRPr="00C36EF5">
              <w:rPr>
                <w:rFonts w:eastAsia="標楷體"/>
                <w:b/>
                <w:bCs/>
                <w:color w:val="FFFFFF"/>
                <w:spacing w:val="-2"/>
                <w:sz w:val="26"/>
                <w:szCs w:val="26"/>
              </w:rPr>
              <w:t>編</w:t>
            </w:r>
          </w:p>
          <w:p w:rsidR="00394D74" w:rsidRPr="00C36EF5" w:rsidRDefault="00394D74" w:rsidP="00627DA3">
            <w:pPr>
              <w:spacing w:line="360" w:lineRule="auto"/>
              <w:jc w:val="center"/>
              <w:rPr>
                <w:rFonts w:eastAsia="標楷體"/>
                <w:b/>
                <w:bCs/>
                <w:color w:val="FFFFFF"/>
                <w:spacing w:val="-2"/>
                <w:sz w:val="26"/>
                <w:szCs w:val="26"/>
              </w:rPr>
            </w:pPr>
            <w:r w:rsidRPr="00C36EF5">
              <w:rPr>
                <w:rFonts w:eastAsia="標楷體"/>
                <w:b/>
                <w:bCs/>
                <w:color w:val="FFFFFF"/>
                <w:spacing w:val="-2"/>
                <w:sz w:val="26"/>
                <w:szCs w:val="26"/>
              </w:rPr>
              <w:t>號</w:t>
            </w:r>
          </w:p>
        </w:tc>
        <w:tc>
          <w:tcPr>
            <w:tcW w:w="2769" w:type="dxa"/>
            <w:shd w:val="clear" w:color="auto" w:fill="4F81BD"/>
            <w:vAlign w:val="center"/>
          </w:tcPr>
          <w:p w:rsidR="00394D74" w:rsidRPr="00C36EF5" w:rsidRDefault="00394D74" w:rsidP="00167E87">
            <w:pPr>
              <w:jc w:val="center"/>
              <w:rPr>
                <w:rFonts w:eastAsia="標楷體"/>
                <w:b/>
                <w:bCs/>
                <w:color w:val="FFFFFF"/>
                <w:spacing w:val="-2"/>
                <w:sz w:val="26"/>
                <w:szCs w:val="26"/>
              </w:rPr>
            </w:pPr>
            <w:r w:rsidRPr="00C36EF5">
              <w:rPr>
                <w:rFonts w:eastAsia="標楷體"/>
                <w:b/>
                <w:bCs/>
                <w:color w:val="FFFFFF"/>
                <w:spacing w:val="-2"/>
                <w:sz w:val="26"/>
                <w:szCs w:val="26"/>
              </w:rPr>
              <w:t>可比較對象</w:t>
            </w:r>
          </w:p>
        </w:tc>
        <w:tc>
          <w:tcPr>
            <w:tcW w:w="4348" w:type="dxa"/>
            <w:gridSpan w:val="4"/>
            <w:shd w:val="clear" w:color="auto" w:fill="4F81BD"/>
            <w:vAlign w:val="center"/>
          </w:tcPr>
          <w:p w:rsidR="00394D74" w:rsidRPr="00C36EF5" w:rsidRDefault="00394D74" w:rsidP="00167E87">
            <w:pPr>
              <w:jc w:val="center"/>
              <w:rPr>
                <w:rFonts w:eastAsia="標楷體"/>
                <w:b/>
                <w:bCs/>
                <w:color w:val="FFFFFF"/>
                <w:spacing w:val="-2"/>
                <w:sz w:val="26"/>
                <w:szCs w:val="26"/>
              </w:rPr>
            </w:pPr>
            <w:r w:rsidRPr="00C36EF5">
              <w:rPr>
                <w:rFonts w:eastAsia="標楷體"/>
                <w:b/>
                <w:bCs/>
                <w:color w:val="FFFFFF"/>
                <w:spacing w:val="-2"/>
                <w:sz w:val="26"/>
                <w:szCs w:val="26"/>
              </w:rPr>
              <w:t>成本及營業費用淨利率（</w:t>
            </w:r>
            <w:r w:rsidRPr="00C36EF5">
              <w:rPr>
                <w:rFonts w:eastAsia="標楷體"/>
                <w:b/>
                <w:bCs/>
                <w:color w:val="FFFFFF"/>
                <w:spacing w:val="-2"/>
                <w:sz w:val="26"/>
                <w:szCs w:val="26"/>
              </w:rPr>
              <w:t>%</w:t>
            </w:r>
            <w:r w:rsidRPr="00C36EF5">
              <w:rPr>
                <w:rFonts w:eastAsia="標楷體"/>
                <w:b/>
                <w:bCs/>
                <w:color w:val="FFFFFF"/>
                <w:spacing w:val="-2"/>
                <w:sz w:val="26"/>
                <w:szCs w:val="26"/>
              </w:rPr>
              <w:t>）</w:t>
            </w:r>
          </w:p>
        </w:tc>
      </w:tr>
      <w:tr w:rsidR="00394D74" w:rsidRPr="002E2982" w:rsidTr="00167E87">
        <w:trPr>
          <w:cantSplit/>
          <w:trHeight w:val="424"/>
          <w:tblHeader/>
        </w:trPr>
        <w:tc>
          <w:tcPr>
            <w:tcW w:w="588" w:type="dxa"/>
            <w:vMerge/>
            <w:tcBorders>
              <w:bottom w:val="double" w:sz="4" w:space="0" w:color="auto"/>
            </w:tcBorders>
            <w:shd w:val="clear" w:color="auto" w:fill="4F81BD"/>
            <w:vAlign w:val="center"/>
          </w:tcPr>
          <w:p w:rsidR="00394D74" w:rsidRPr="00C36EF5" w:rsidRDefault="00394D74" w:rsidP="00627DA3">
            <w:pPr>
              <w:spacing w:line="360" w:lineRule="auto"/>
              <w:jc w:val="center"/>
              <w:rPr>
                <w:rFonts w:eastAsia="標楷體"/>
                <w:b/>
                <w:bCs/>
                <w:color w:val="FFFFFF"/>
                <w:spacing w:val="-2"/>
                <w:sz w:val="26"/>
                <w:szCs w:val="26"/>
              </w:rPr>
            </w:pPr>
          </w:p>
        </w:tc>
        <w:tc>
          <w:tcPr>
            <w:tcW w:w="2769" w:type="dxa"/>
            <w:tcBorders>
              <w:bottom w:val="double" w:sz="4" w:space="0" w:color="auto"/>
            </w:tcBorders>
            <w:shd w:val="clear" w:color="auto" w:fill="4F81BD"/>
            <w:vAlign w:val="center"/>
          </w:tcPr>
          <w:p w:rsidR="00394D74" w:rsidRPr="00C36EF5" w:rsidRDefault="00394D74" w:rsidP="00167E87">
            <w:pPr>
              <w:jc w:val="center"/>
              <w:rPr>
                <w:rFonts w:eastAsia="標楷體"/>
                <w:b/>
                <w:bCs/>
                <w:color w:val="FFFFFF"/>
                <w:spacing w:val="-2"/>
                <w:sz w:val="26"/>
                <w:szCs w:val="26"/>
              </w:rPr>
            </w:pPr>
            <w:r w:rsidRPr="00C36EF5">
              <w:rPr>
                <w:rFonts w:eastAsia="標楷體"/>
                <w:b/>
                <w:bCs/>
                <w:color w:val="FFFFFF"/>
                <w:spacing w:val="-2"/>
                <w:sz w:val="26"/>
                <w:szCs w:val="26"/>
              </w:rPr>
              <w:t>資料年度</w:t>
            </w:r>
          </w:p>
        </w:tc>
        <w:tc>
          <w:tcPr>
            <w:tcW w:w="1081" w:type="dxa"/>
            <w:tcBorders>
              <w:bottom w:val="double" w:sz="4" w:space="0" w:color="auto"/>
            </w:tcBorders>
            <w:shd w:val="clear" w:color="auto" w:fill="4F81BD"/>
            <w:vAlign w:val="center"/>
          </w:tcPr>
          <w:p w:rsidR="00167E87" w:rsidRPr="00C36EF5" w:rsidRDefault="00394D74" w:rsidP="00167E87">
            <w:pPr>
              <w:jc w:val="center"/>
              <w:rPr>
                <w:rFonts w:eastAsia="標楷體"/>
                <w:b/>
                <w:bCs/>
                <w:color w:val="FFFFFF"/>
                <w:spacing w:val="-2"/>
                <w:sz w:val="26"/>
                <w:szCs w:val="26"/>
              </w:rPr>
            </w:pPr>
            <w:r w:rsidRPr="00C36EF5">
              <w:rPr>
                <w:rFonts w:eastAsia="標楷體"/>
                <w:b/>
                <w:bCs/>
                <w:color w:val="FFFFFF"/>
                <w:spacing w:val="-2"/>
                <w:sz w:val="26"/>
                <w:szCs w:val="26"/>
              </w:rPr>
              <w:t>102</w:t>
            </w:r>
            <w:r w:rsidRPr="00C36EF5">
              <w:rPr>
                <w:rFonts w:eastAsia="標楷體"/>
                <w:b/>
                <w:bCs/>
                <w:color w:val="FFFFFF"/>
                <w:spacing w:val="-2"/>
                <w:sz w:val="26"/>
                <w:szCs w:val="26"/>
              </w:rPr>
              <w:t>年</w:t>
            </w:r>
          </w:p>
        </w:tc>
        <w:tc>
          <w:tcPr>
            <w:tcW w:w="1081" w:type="dxa"/>
            <w:tcBorders>
              <w:bottom w:val="double" w:sz="4" w:space="0" w:color="auto"/>
            </w:tcBorders>
            <w:shd w:val="clear" w:color="auto" w:fill="4F81BD"/>
            <w:vAlign w:val="center"/>
          </w:tcPr>
          <w:p w:rsidR="00394D74" w:rsidRPr="00C36EF5" w:rsidRDefault="00394D74" w:rsidP="00167E87">
            <w:pPr>
              <w:jc w:val="center"/>
              <w:rPr>
                <w:rFonts w:eastAsia="標楷體"/>
                <w:b/>
                <w:bCs/>
                <w:color w:val="FFFFFF"/>
                <w:spacing w:val="-2"/>
                <w:sz w:val="26"/>
                <w:szCs w:val="26"/>
              </w:rPr>
            </w:pPr>
            <w:r w:rsidRPr="00C36EF5">
              <w:rPr>
                <w:rFonts w:eastAsia="標楷體"/>
                <w:b/>
                <w:bCs/>
                <w:color w:val="FFFFFF"/>
                <w:spacing w:val="-2"/>
                <w:sz w:val="26"/>
                <w:szCs w:val="26"/>
              </w:rPr>
              <w:t>103</w:t>
            </w:r>
            <w:r w:rsidRPr="00C36EF5">
              <w:rPr>
                <w:rFonts w:eastAsia="標楷體"/>
                <w:b/>
                <w:bCs/>
                <w:color w:val="FFFFFF"/>
                <w:spacing w:val="-2"/>
                <w:sz w:val="26"/>
                <w:szCs w:val="26"/>
              </w:rPr>
              <w:t>年</w:t>
            </w:r>
          </w:p>
        </w:tc>
        <w:tc>
          <w:tcPr>
            <w:tcW w:w="1081" w:type="dxa"/>
            <w:tcBorders>
              <w:bottom w:val="double" w:sz="4" w:space="0" w:color="auto"/>
            </w:tcBorders>
            <w:shd w:val="clear" w:color="auto" w:fill="4F81BD"/>
            <w:vAlign w:val="center"/>
          </w:tcPr>
          <w:p w:rsidR="00394D74" w:rsidRPr="00C36EF5" w:rsidRDefault="00394D74" w:rsidP="00167E87">
            <w:pPr>
              <w:jc w:val="center"/>
              <w:rPr>
                <w:rFonts w:eastAsia="標楷體"/>
                <w:b/>
                <w:bCs/>
                <w:color w:val="FFFFFF"/>
                <w:spacing w:val="-2"/>
                <w:sz w:val="26"/>
                <w:szCs w:val="26"/>
              </w:rPr>
            </w:pPr>
            <w:r w:rsidRPr="00C36EF5">
              <w:rPr>
                <w:rFonts w:eastAsia="標楷體"/>
                <w:b/>
                <w:bCs/>
                <w:color w:val="FFFFFF"/>
                <w:spacing w:val="-2"/>
                <w:sz w:val="26"/>
                <w:szCs w:val="26"/>
              </w:rPr>
              <w:t>104</w:t>
            </w:r>
            <w:r w:rsidRPr="00C36EF5">
              <w:rPr>
                <w:rFonts w:eastAsia="標楷體"/>
                <w:b/>
                <w:bCs/>
                <w:color w:val="FFFFFF"/>
                <w:spacing w:val="-2"/>
                <w:sz w:val="26"/>
                <w:szCs w:val="26"/>
              </w:rPr>
              <w:t>年</w:t>
            </w:r>
          </w:p>
        </w:tc>
        <w:tc>
          <w:tcPr>
            <w:tcW w:w="1105" w:type="dxa"/>
            <w:tcBorders>
              <w:bottom w:val="double" w:sz="4" w:space="0" w:color="auto"/>
            </w:tcBorders>
            <w:shd w:val="clear" w:color="auto" w:fill="4F81BD"/>
            <w:vAlign w:val="center"/>
          </w:tcPr>
          <w:p w:rsidR="00394D74" w:rsidRPr="00C36EF5" w:rsidRDefault="00394D74" w:rsidP="00167E87">
            <w:pPr>
              <w:jc w:val="center"/>
              <w:rPr>
                <w:rFonts w:eastAsia="標楷體"/>
                <w:b/>
                <w:bCs/>
                <w:color w:val="FFFFFF"/>
                <w:spacing w:val="-2"/>
                <w:sz w:val="26"/>
                <w:szCs w:val="26"/>
              </w:rPr>
            </w:pPr>
            <w:r w:rsidRPr="00C36EF5">
              <w:rPr>
                <w:rFonts w:eastAsia="標楷體"/>
                <w:b/>
                <w:bCs/>
                <w:color w:val="FFFFFF"/>
                <w:spacing w:val="-2"/>
                <w:sz w:val="26"/>
                <w:szCs w:val="26"/>
              </w:rPr>
              <w:t>平均</w:t>
            </w:r>
          </w:p>
        </w:tc>
      </w:tr>
      <w:tr w:rsidR="00394D74" w:rsidRPr="002E2982" w:rsidTr="00627DA3">
        <w:trPr>
          <w:trHeight w:val="567"/>
        </w:trPr>
        <w:tc>
          <w:tcPr>
            <w:tcW w:w="588" w:type="dxa"/>
            <w:tcBorders>
              <w:top w:val="double" w:sz="4" w:space="0" w:color="auto"/>
            </w:tcBorders>
            <w:vAlign w:val="center"/>
          </w:tcPr>
          <w:p w:rsidR="00394D74" w:rsidRPr="002E2982" w:rsidRDefault="00394D74" w:rsidP="00627DA3">
            <w:pPr>
              <w:jc w:val="center"/>
              <w:rPr>
                <w:rFonts w:eastAsia="標楷體"/>
                <w:sz w:val="26"/>
                <w:szCs w:val="26"/>
              </w:rPr>
            </w:pPr>
            <w:r w:rsidRPr="002E2982">
              <w:rPr>
                <w:rFonts w:eastAsia="標楷體"/>
                <w:sz w:val="26"/>
                <w:szCs w:val="26"/>
              </w:rPr>
              <w:t>1</w:t>
            </w:r>
          </w:p>
        </w:tc>
        <w:tc>
          <w:tcPr>
            <w:tcW w:w="2769" w:type="dxa"/>
            <w:tcBorders>
              <w:top w:val="double" w:sz="4" w:space="0" w:color="auto"/>
            </w:tcBorders>
            <w:vAlign w:val="center"/>
          </w:tcPr>
          <w:p w:rsidR="00394D74" w:rsidRPr="002E2982" w:rsidRDefault="00394D74" w:rsidP="00627DA3">
            <w:pPr>
              <w:keepLines/>
              <w:autoSpaceDE w:val="0"/>
              <w:autoSpaceDN w:val="0"/>
              <w:adjustRightInd w:val="0"/>
              <w:rPr>
                <w:rFonts w:eastAsia="標楷體"/>
                <w:noProof/>
                <w:color w:val="000000" w:themeColor="text1"/>
                <w:sz w:val="26"/>
                <w:szCs w:val="26"/>
                <w:lang w:eastAsia="en-US"/>
              </w:rPr>
            </w:pPr>
            <w:r w:rsidRPr="002E2982">
              <w:rPr>
                <w:rFonts w:eastAsia="標楷體"/>
                <w:noProof/>
                <w:color w:val="000000" w:themeColor="text1"/>
                <w:sz w:val="26"/>
                <w:szCs w:val="26"/>
                <w:lang w:eastAsia="en-US"/>
              </w:rPr>
              <w:t>Edu Fin Inv JSC</w:t>
            </w:r>
          </w:p>
        </w:tc>
        <w:tc>
          <w:tcPr>
            <w:tcW w:w="1081" w:type="dxa"/>
            <w:tcBorders>
              <w:top w:val="double" w:sz="4" w:space="0" w:color="auto"/>
            </w:tcBorders>
            <w:vAlign w:val="center"/>
          </w:tcPr>
          <w:p w:rsidR="00394D74" w:rsidRPr="006C7FB1" w:rsidRDefault="00394D74" w:rsidP="00627DA3">
            <w:pPr>
              <w:jc w:val="right"/>
              <w:rPr>
                <w:color w:val="000000"/>
                <w:sz w:val="26"/>
                <w:szCs w:val="26"/>
              </w:rPr>
            </w:pPr>
            <w:r w:rsidRPr="006C7FB1">
              <w:rPr>
                <w:color w:val="000000"/>
                <w:sz w:val="26"/>
                <w:szCs w:val="26"/>
              </w:rPr>
              <w:t>20.22%</w:t>
            </w:r>
          </w:p>
        </w:tc>
        <w:tc>
          <w:tcPr>
            <w:tcW w:w="1081" w:type="dxa"/>
            <w:tcBorders>
              <w:top w:val="double" w:sz="4" w:space="0" w:color="auto"/>
            </w:tcBorders>
            <w:vAlign w:val="center"/>
          </w:tcPr>
          <w:p w:rsidR="00394D74" w:rsidRPr="006C7FB1" w:rsidRDefault="00394D74" w:rsidP="00627DA3">
            <w:pPr>
              <w:jc w:val="right"/>
              <w:rPr>
                <w:color w:val="000000"/>
                <w:sz w:val="26"/>
                <w:szCs w:val="26"/>
              </w:rPr>
            </w:pPr>
            <w:r w:rsidRPr="006C7FB1">
              <w:rPr>
                <w:color w:val="000000"/>
                <w:sz w:val="26"/>
                <w:szCs w:val="26"/>
              </w:rPr>
              <w:t>2.88%</w:t>
            </w:r>
          </w:p>
        </w:tc>
        <w:tc>
          <w:tcPr>
            <w:tcW w:w="1081" w:type="dxa"/>
            <w:tcBorders>
              <w:top w:val="double" w:sz="4" w:space="0" w:color="auto"/>
            </w:tcBorders>
            <w:vAlign w:val="center"/>
          </w:tcPr>
          <w:p w:rsidR="00394D74" w:rsidRPr="006C7FB1" w:rsidRDefault="00394D74" w:rsidP="00627DA3">
            <w:pPr>
              <w:jc w:val="right"/>
              <w:rPr>
                <w:color w:val="000000"/>
                <w:sz w:val="26"/>
                <w:szCs w:val="26"/>
              </w:rPr>
            </w:pPr>
            <w:r w:rsidRPr="006C7FB1">
              <w:rPr>
                <w:color w:val="000000"/>
                <w:sz w:val="26"/>
                <w:szCs w:val="26"/>
              </w:rPr>
              <w:t>-5.44%</w:t>
            </w:r>
          </w:p>
        </w:tc>
        <w:tc>
          <w:tcPr>
            <w:tcW w:w="1105" w:type="dxa"/>
            <w:tcBorders>
              <w:top w:val="double" w:sz="4" w:space="0" w:color="auto"/>
            </w:tcBorders>
            <w:vAlign w:val="center"/>
          </w:tcPr>
          <w:p w:rsidR="00394D74" w:rsidRPr="006C7FB1" w:rsidRDefault="00394D74" w:rsidP="00627DA3">
            <w:pPr>
              <w:jc w:val="right"/>
              <w:rPr>
                <w:color w:val="000000"/>
                <w:sz w:val="26"/>
                <w:szCs w:val="26"/>
              </w:rPr>
            </w:pPr>
            <w:r w:rsidRPr="006C7FB1">
              <w:rPr>
                <w:color w:val="000000"/>
                <w:sz w:val="26"/>
                <w:szCs w:val="26"/>
              </w:rPr>
              <w:t>4.31%</w:t>
            </w:r>
          </w:p>
        </w:tc>
      </w:tr>
      <w:tr w:rsidR="00394D74" w:rsidRPr="002E2982" w:rsidTr="00627DA3">
        <w:trPr>
          <w:trHeight w:val="567"/>
        </w:trPr>
        <w:tc>
          <w:tcPr>
            <w:tcW w:w="588" w:type="dxa"/>
            <w:vAlign w:val="center"/>
          </w:tcPr>
          <w:p w:rsidR="00394D74" w:rsidRPr="002E2982" w:rsidRDefault="00394D74" w:rsidP="00627DA3">
            <w:pPr>
              <w:jc w:val="center"/>
              <w:rPr>
                <w:rFonts w:eastAsia="標楷體"/>
                <w:sz w:val="26"/>
                <w:szCs w:val="26"/>
              </w:rPr>
            </w:pPr>
            <w:r w:rsidRPr="002E2982">
              <w:rPr>
                <w:rFonts w:eastAsia="標楷體"/>
                <w:sz w:val="26"/>
                <w:szCs w:val="26"/>
              </w:rPr>
              <w:t>2</w:t>
            </w:r>
          </w:p>
        </w:tc>
        <w:tc>
          <w:tcPr>
            <w:tcW w:w="2769" w:type="dxa"/>
            <w:vAlign w:val="center"/>
          </w:tcPr>
          <w:p w:rsidR="00394D74" w:rsidRPr="002E2982" w:rsidRDefault="00394D74" w:rsidP="00627DA3">
            <w:pPr>
              <w:keepLines/>
              <w:autoSpaceDE w:val="0"/>
              <w:autoSpaceDN w:val="0"/>
              <w:adjustRightInd w:val="0"/>
              <w:rPr>
                <w:rFonts w:eastAsia="標楷體"/>
                <w:noProof/>
                <w:color w:val="000000" w:themeColor="text1"/>
                <w:sz w:val="26"/>
                <w:szCs w:val="26"/>
                <w:lang w:eastAsia="en-US"/>
              </w:rPr>
            </w:pPr>
            <w:r w:rsidRPr="002E2982">
              <w:rPr>
                <w:rFonts w:eastAsia="標楷體"/>
                <w:noProof/>
                <w:color w:val="000000" w:themeColor="text1"/>
                <w:sz w:val="26"/>
                <w:szCs w:val="26"/>
                <w:lang w:eastAsia="en-US"/>
              </w:rPr>
              <w:t>FullSix SpA</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1.58%</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3.04%</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8.09%</w:t>
            </w:r>
          </w:p>
        </w:tc>
        <w:tc>
          <w:tcPr>
            <w:tcW w:w="1105" w:type="dxa"/>
            <w:vAlign w:val="center"/>
          </w:tcPr>
          <w:p w:rsidR="00394D74" w:rsidRPr="006C7FB1" w:rsidRDefault="00394D74" w:rsidP="00627DA3">
            <w:pPr>
              <w:jc w:val="right"/>
              <w:rPr>
                <w:color w:val="000000"/>
                <w:sz w:val="26"/>
                <w:szCs w:val="26"/>
              </w:rPr>
            </w:pPr>
            <w:r w:rsidRPr="006C7FB1">
              <w:rPr>
                <w:color w:val="000000"/>
                <w:sz w:val="26"/>
                <w:szCs w:val="26"/>
              </w:rPr>
              <w:t>4.38%</w:t>
            </w:r>
          </w:p>
        </w:tc>
      </w:tr>
      <w:tr w:rsidR="00394D74" w:rsidRPr="002E2982" w:rsidTr="00627DA3">
        <w:trPr>
          <w:trHeight w:val="567"/>
        </w:trPr>
        <w:tc>
          <w:tcPr>
            <w:tcW w:w="588" w:type="dxa"/>
            <w:vAlign w:val="center"/>
          </w:tcPr>
          <w:p w:rsidR="00394D74" w:rsidRPr="002E2982" w:rsidRDefault="00394D74" w:rsidP="00627DA3">
            <w:pPr>
              <w:jc w:val="center"/>
              <w:rPr>
                <w:rFonts w:eastAsia="標楷體"/>
                <w:sz w:val="26"/>
                <w:szCs w:val="26"/>
              </w:rPr>
            </w:pPr>
            <w:r w:rsidRPr="002E2982">
              <w:rPr>
                <w:rFonts w:eastAsia="標楷體"/>
                <w:sz w:val="26"/>
                <w:szCs w:val="26"/>
              </w:rPr>
              <w:t>3</w:t>
            </w:r>
          </w:p>
        </w:tc>
        <w:tc>
          <w:tcPr>
            <w:tcW w:w="2769" w:type="dxa"/>
            <w:vAlign w:val="center"/>
          </w:tcPr>
          <w:p w:rsidR="00394D74" w:rsidRPr="002E2982" w:rsidRDefault="00394D74" w:rsidP="00627DA3">
            <w:pPr>
              <w:keepLines/>
              <w:autoSpaceDE w:val="0"/>
              <w:autoSpaceDN w:val="0"/>
              <w:adjustRightInd w:val="0"/>
              <w:rPr>
                <w:rFonts w:eastAsia="標楷體"/>
                <w:noProof/>
                <w:color w:val="000000" w:themeColor="text1"/>
                <w:sz w:val="26"/>
                <w:szCs w:val="26"/>
                <w:lang w:eastAsia="en-US"/>
              </w:rPr>
            </w:pPr>
            <w:r w:rsidRPr="002E2982">
              <w:rPr>
                <w:rFonts w:eastAsia="標楷體"/>
                <w:noProof/>
                <w:color w:val="000000" w:themeColor="text1"/>
                <w:sz w:val="26"/>
                <w:szCs w:val="26"/>
                <w:lang w:eastAsia="en-US"/>
              </w:rPr>
              <w:t>ICF International Inc</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7.31%</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7.07%</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7.12%</w:t>
            </w:r>
          </w:p>
        </w:tc>
        <w:tc>
          <w:tcPr>
            <w:tcW w:w="1105" w:type="dxa"/>
            <w:vAlign w:val="center"/>
          </w:tcPr>
          <w:p w:rsidR="00394D74" w:rsidRPr="006C7FB1" w:rsidRDefault="00394D74" w:rsidP="00627DA3">
            <w:pPr>
              <w:jc w:val="right"/>
              <w:rPr>
                <w:color w:val="000000"/>
                <w:sz w:val="26"/>
                <w:szCs w:val="26"/>
              </w:rPr>
            </w:pPr>
            <w:r w:rsidRPr="006C7FB1">
              <w:rPr>
                <w:color w:val="000000"/>
                <w:sz w:val="26"/>
                <w:szCs w:val="26"/>
              </w:rPr>
              <w:t>7.16%</w:t>
            </w:r>
          </w:p>
        </w:tc>
      </w:tr>
      <w:tr w:rsidR="00394D74" w:rsidRPr="002E2982" w:rsidTr="00627DA3">
        <w:trPr>
          <w:trHeight w:val="567"/>
        </w:trPr>
        <w:tc>
          <w:tcPr>
            <w:tcW w:w="588" w:type="dxa"/>
            <w:vAlign w:val="center"/>
          </w:tcPr>
          <w:p w:rsidR="00394D74" w:rsidRPr="002E2982" w:rsidRDefault="00394D74" w:rsidP="00627DA3">
            <w:pPr>
              <w:jc w:val="center"/>
              <w:rPr>
                <w:rFonts w:eastAsia="標楷體"/>
                <w:sz w:val="26"/>
                <w:szCs w:val="26"/>
              </w:rPr>
            </w:pPr>
            <w:r w:rsidRPr="002E2982">
              <w:rPr>
                <w:rFonts w:eastAsia="標楷體"/>
                <w:sz w:val="26"/>
                <w:szCs w:val="26"/>
              </w:rPr>
              <w:t>4</w:t>
            </w:r>
          </w:p>
        </w:tc>
        <w:tc>
          <w:tcPr>
            <w:tcW w:w="2769" w:type="dxa"/>
            <w:vAlign w:val="center"/>
          </w:tcPr>
          <w:p w:rsidR="00394D74" w:rsidRPr="002E2982" w:rsidRDefault="00394D74" w:rsidP="00627DA3">
            <w:pPr>
              <w:keepLines/>
              <w:autoSpaceDE w:val="0"/>
              <w:autoSpaceDN w:val="0"/>
              <w:adjustRightInd w:val="0"/>
              <w:rPr>
                <w:rFonts w:eastAsia="標楷體"/>
                <w:noProof/>
                <w:color w:val="000000" w:themeColor="text1"/>
                <w:sz w:val="26"/>
                <w:szCs w:val="26"/>
                <w:lang w:eastAsia="en-US"/>
              </w:rPr>
            </w:pPr>
            <w:r w:rsidRPr="002E2982">
              <w:rPr>
                <w:rFonts w:eastAsia="標楷體"/>
                <w:noProof/>
                <w:color w:val="000000" w:themeColor="text1"/>
                <w:sz w:val="26"/>
                <w:szCs w:val="26"/>
                <w:lang w:eastAsia="en-US"/>
              </w:rPr>
              <w:t>MDC Partners Inc</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-3.15%</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7.73%</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5.75%</w:t>
            </w:r>
          </w:p>
        </w:tc>
        <w:tc>
          <w:tcPr>
            <w:tcW w:w="1105" w:type="dxa"/>
            <w:vAlign w:val="center"/>
          </w:tcPr>
          <w:p w:rsidR="00394D74" w:rsidRPr="006C7FB1" w:rsidRDefault="00394D74" w:rsidP="00627DA3">
            <w:pPr>
              <w:jc w:val="right"/>
              <w:rPr>
                <w:color w:val="000000"/>
                <w:sz w:val="26"/>
                <w:szCs w:val="26"/>
              </w:rPr>
            </w:pPr>
            <w:r w:rsidRPr="006C7FB1">
              <w:rPr>
                <w:color w:val="000000"/>
                <w:sz w:val="26"/>
                <w:szCs w:val="26"/>
              </w:rPr>
              <w:t>3.59%</w:t>
            </w:r>
          </w:p>
        </w:tc>
      </w:tr>
      <w:tr w:rsidR="00394D74" w:rsidRPr="002E2982" w:rsidTr="00627DA3">
        <w:trPr>
          <w:trHeight w:val="567"/>
        </w:trPr>
        <w:tc>
          <w:tcPr>
            <w:tcW w:w="588" w:type="dxa"/>
            <w:vAlign w:val="center"/>
          </w:tcPr>
          <w:p w:rsidR="00394D74" w:rsidRPr="002E2982" w:rsidRDefault="00394D74" w:rsidP="00627DA3">
            <w:pPr>
              <w:jc w:val="center"/>
              <w:rPr>
                <w:rFonts w:eastAsia="標楷體"/>
                <w:sz w:val="26"/>
                <w:szCs w:val="26"/>
              </w:rPr>
            </w:pPr>
            <w:r w:rsidRPr="002E2982">
              <w:rPr>
                <w:rFonts w:eastAsia="標楷體"/>
                <w:sz w:val="26"/>
                <w:szCs w:val="26"/>
              </w:rPr>
              <w:t>5</w:t>
            </w:r>
          </w:p>
        </w:tc>
        <w:tc>
          <w:tcPr>
            <w:tcW w:w="2769" w:type="dxa"/>
            <w:vAlign w:val="center"/>
          </w:tcPr>
          <w:p w:rsidR="00394D74" w:rsidRPr="002E2982" w:rsidRDefault="00394D74" w:rsidP="00627DA3">
            <w:pPr>
              <w:keepLines/>
              <w:autoSpaceDE w:val="0"/>
              <w:autoSpaceDN w:val="0"/>
              <w:adjustRightInd w:val="0"/>
              <w:rPr>
                <w:rFonts w:eastAsia="標楷體"/>
                <w:noProof/>
                <w:color w:val="000000" w:themeColor="text1"/>
                <w:sz w:val="26"/>
                <w:szCs w:val="26"/>
                <w:lang w:eastAsia="en-US"/>
              </w:rPr>
            </w:pPr>
            <w:r w:rsidRPr="002E2982">
              <w:rPr>
                <w:rFonts w:eastAsia="標楷體"/>
                <w:noProof/>
                <w:color w:val="000000" w:themeColor="text1"/>
                <w:sz w:val="26"/>
                <w:szCs w:val="26"/>
                <w:lang w:eastAsia="en-US"/>
              </w:rPr>
              <w:t>NV5 Global Inc</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6.06%</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8.23%</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9.72%</w:t>
            </w:r>
          </w:p>
        </w:tc>
        <w:tc>
          <w:tcPr>
            <w:tcW w:w="1105" w:type="dxa"/>
            <w:vAlign w:val="center"/>
          </w:tcPr>
          <w:p w:rsidR="00394D74" w:rsidRPr="006C7FB1" w:rsidRDefault="00394D74" w:rsidP="00627DA3">
            <w:pPr>
              <w:jc w:val="right"/>
              <w:rPr>
                <w:color w:val="000000"/>
                <w:sz w:val="26"/>
                <w:szCs w:val="26"/>
              </w:rPr>
            </w:pPr>
            <w:r w:rsidRPr="006C7FB1">
              <w:rPr>
                <w:color w:val="000000"/>
                <w:sz w:val="26"/>
                <w:szCs w:val="26"/>
              </w:rPr>
              <w:t>8.46%</w:t>
            </w:r>
          </w:p>
        </w:tc>
      </w:tr>
      <w:tr w:rsidR="00394D74" w:rsidRPr="002E2982" w:rsidTr="00627DA3">
        <w:trPr>
          <w:trHeight w:val="567"/>
        </w:trPr>
        <w:tc>
          <w:tcPr>
            <w:tcW w:w="588" w:type="dxa"/>
            <w:vAlign w:val="center"/>
          </w:tcPr>
          <w:p w:rsidR="00394D74" w:rsidRPr="002E2982" w:rsidRDefault="00394D74" w:rsidP="00627DA3">
            <w:pPr>
              <w:jc w:val="center"/>
              <w:rPr>
                <w:rFonts w:eastAsia="標楷體"/>
                <w:sz w:val="26"/>
                <w:szCs w:val="26"/>
              </w:rPr>
            </w:pPr>
            <w:r w:rsidRPr="002E2982">
              <w:rPr>
                <w:rFonts w:eastAsia="標楷體"/>
                <w:sz w:val="26"/>
                <w:szCs w:val="26"/>
              </w:rPr>
              <w:t>6</w:t>
            </w:r>
          </w:p>
        </w:tc>
        <w:tc>
          <w:tcPr>
            <w:tcW w:w="2769" w:type="dxa"/>
            <w:vAlign w:val="center"/>
          </w:tcPr>
          <w:p w:rsidR="00394D74" w:rsidRPr="002E2982" w:rsidRDefault="00394D74" w:rsidP="00627DA3">
            <w:pPr>
              <w:keepLines/>
              <w:autoSpaceDE w:val="0"/>
              <w:autoSpaceDN w:val="0"/>
              <w:adjustRightInd w:val="0"/>
              <w:rPr>
                <w:rFonts w:eastAsia="標楷體"/>
                <w:noProof/>
                <w:color w:val="000000" w:themeColor="text1"/>
                <w:sz w:val="26"/>
                <w:szCs w:val="26"/>
                <w:lang w:eastAsia="en-US"/>
              </w:rPr>
            </w:pPr>
            <w:r w:rsidRPr="002E2982">
              <w:rPr>
                <w:rFonts w:eastAsia="標楷體"/>
                <w:noProof/>
                <w:color w:val="000000" w:themeColor="text1"/>
                <w:sz w:val="26"/>
                <w:szCs w:val="26"/>
                <w:lang w:eastAsia="en-US"/>
              </w:rPr>
              <w:t>One to One Contacts PCL</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18.52%</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9.85%</w:t>
            </w:r>
          </w:p>
        </w:tc>
        <w:tc>
          <w:tcPr>
            <w:tcW w:w="1081" w:type="dxa"/>
            <w:vAlign w:val="center"/>
          </w:tcPr>
          <w:p w:rsidR="00394D74" w:rsidRPr="006C7FB1" w:rsidRDefault="00394D74" w:rsidP="00627DA3">
            <w:pPr>
              <w:jc w:val="right"/>
              <w:rPr>
                <w:color w:val="000000"/>
                <w:sz w:val="26"/>
                <w:szCs w:val="26"/>
              </w:rPr>
            </w:pPr>
            <w:r w:rsidRPr="006C7FB1">
              <w:rPr>
                <w:color w:val="000000"/>
                <w:sz w:val="26"/>
                <w:szCs w:val="26"/>
              </w:rPr>
              <w:t>8.20%</w:t>
            </w:r>
          </w:p>
        </w:tc>
        <w:tc>
          <w:tcPr>
            <w:tcW w:w="1105" w:type="dxa"/>
            <w:vAlign w:val="center"/>
          </w:tcPr>
          <w:p w:rsidR="00394D74" w:rsidRPr="006C7FB1" w:rsidRDefault="00394D74" w:rsidP="00627DA3">
            <w:pPr>
              <w:jc w:val="right"/>
              <w:rPr>
                <w:color w:val="000000"/>
                <w:sz w:val="26"/>
                <w:szCs w:val="26"/>
              </w:rPr>
            </w:pPr>
            <w:r w:rsidRPr="006C7FB1">
              <w:rPr>
                <w:color w:val="000000"/>
                <w:sz w:val="26"/>
                <w:szCs w:val="26"/>
              </w:rPr>
              <w:t>11.44%</w:t>
            </w:r>
          </w:p>
        </w:tc>
      </w:tr>
      <w:tr w:rsidR="00394D74" w:rsidRPr="002E2982" w:rsidTr="00627DA3">
        <w:trPr>
          <w:trHeight w:val="567"/>
        </w:trPr>
        <w:tc>
          <w:tcPr>
            <w:tcW w:w="588" w:type="dxa"/>
            <w:vAlign w:val="center"/>
          </w:tcPr>
          <w:p w:rsidR="00394D74" w:rsidRPr="002E2982" w:rsidRDefault="00394D74" w:rsidP="00627DA3">
            <w:pPr>
              <w:jc w:val="center"/>
              <w:rPr>
                <w:rFonts w:eastAsia="標楷體"/>
                <w:sz w:val="26"/>
                <w:szCs w:val="26"/>
              </w:rPr>
            </w:pPr>
            <w:r w:rsidRPr="002E2982">
              <w:rPr>
                <w:rFonts w:eastAsia="標楷體"/>
                <w:sz w:val="26"/>
                <w:szCs w:val="26"/>
              </w:rPr>
              <w:t>7</w:t>
            </w:r>
          </w:p>
        </w:tc>
        <w:tc>
          <w:tcPr>
            <w:tcW w:w="2769" w:type="dxa"/>
            <w:shd w:val="clear" w:color="auto" w:fill="auto"/>
            <w:vAlign w:val="center"/>
          </w:tcPr>
          <w:p w:rsidR="00394D74" w:rsidRPr="002E2982" w:rsidRDefault="00394D74" w:rsidP="00627DA3">
            <w:pPr>
              <w:keepLines/>
              <w:autoSpaceDE w:val="0"/>
              <w:autoSpaceDN w:val="0"/>
              <w:adjustRightInd w:val="0"/>
              <w:rPr>
                <w:rFonts w:eastAsia="標楷體"/>
                <w:noProof/>
                <w:color w:val="000000" w:themeColor="text1"/>
                <w:sz w:val="26"/>
                <w:szCs w:val="26"/>
                <w:lang w:eastAsia="en-US"/>
              </w:rPr>
            </w:pPr>
            <w:r w:rsidRPr="002E2982">
              <w:rPr>
                <w:rFonts w:eastAsia="標楷體"/>
                <w:noProof/>
                <w:color w:val="000000" w:themeColor="text1"/>
                <w:sz w:val="26"/>
                <w:szCs w:val="26"/>
                <w:lang w:eastAsia="en-US"/>
              </w:rPr>
              <w:t>Oricom Inc</w:t>
            </w:r>
          </w:p>
        </w:tc>
        <w:tc>
          <w:tcPr>
            <w:tcW w:w="1081"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4.16%</w:t>
            </w:r>
          </w:p>
        </w:tc>
        <w:tc>
          <w:tcPr>
            <w:tcW w:w="1081"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3.49%</w:t>
            </w:r>
          </w:p>
        </w:tc>
        <w:tc>
          <w:tcPr>
            <w:tcW w:w="1081"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2.42%</w:t>
            </w:r>
          </w:p>
        </w:tc>
        <w:tc>
          <w:tcPr>
            <w:tcW w:w="1105"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3.27%</w:t>
            </w:r>
          </w:p>
        </w:tc>
      </w:tr>
      <w:tr w:rsidR="00394D74" w:rsidRPr="002E2982" w:rsidTr="00627DA3">
        <w:trPr>
          <w:trHeight w:val="567"/>
        </w:trPr>
        <w:tc>
          <w:tcPr>
            <w:tcW w:w="588" w:type="dxa"/>
            <w:vAlign w:val="center"/>
          </w:tcPr>
          <w:p w:rsidR="00394D74" w:rsidRPr="002E2982" w:rsidRDefault="00394D74" w:rsidP="00627DA3">
            <w:pPr>
              <w:jc w:val="center"/>
              <w:rPr>
                <w:rFonts w:eastAsia="標楷體"/>
                <w:sz w:val="26"/>
                <w:szCs w:val="26"/>
              </w:rPr>
            </w:pPr>
            <w:r w:rsidRPr="002E2982">
              <w:rPr>
                <w:rFonts w:eastAsia="標楷體"/>
                <w:sz w:val="26"/>
                <w:szCs w:val="26"/>
              </w:rPr>
              <w:lastRenderedPageBreak/>
              <w:t>8</w:t>
            </w:r>
          </w:p>
        </w:tc>
        <w:tc>
          <w:tcPr>
            <w:tcW w:w="2769" w:type="dxa"/>
            <w:shd w:val="clear" w:color="auto" w:fill="auto"/>
            <w:vAlign w:val="center"/>
          </w:tcPr>
          <w:p w:rsidR="00394D74" w:rsidRPr="002E2982" w:rsidRDefault="00394D74" w:rsidP="00627DA3">
            <w:pPr>
              <w:keepLines/>
              <w:autoSpaceDE w:val="0"/>
              <w:autoSpaceDN w:val="0"/>
              <w:adjustRightInd w:val="0"/>
              <w:rPr>
                <w:rFonts w:eastAsia="標楷體"/>
                <w:noProof/>
                <w:color w:val="000000" w:themeColor="text1"/>
                <w:sz w:val="26"/>
                <w:szCs w:val="26"/>
                <w:lang w:eastAsia="en-US"/>
              </w:rPr>
            </w:pPr>
            <w:r w:rsidRPr="002E2982">
              <w:rPr>
                <w:rFonts w:eastAsia="標楷體"/>
                <w:noProof/>
                <w:color w:val="000000" w:themeColor="text1"/>
                <w:sz w:val="26"/>
                <w:szCs w:val="26"/>
                <w:lang w:eastAsia="en-US"/>
              </w:rPr>
              <w:t>Prestige International Inc.</w:t>
            </w:r>
          </w:p>
        </w:tc>
        <w:tc>
          <w:tcPr>
            <w:tcW w:w="1081"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14.47%</w:t>
            </w:r>
          </w:p>
        </w:tc>
        <w:tc>
          <w:tcPr>
            <w:tcW w:w="1081"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13.62%</w:t>
            </w:r>
          </w:p>
        </w:tc>
        <w:tc>
          <w:tcPr>
            <w:tcW w:w="1081"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13.95%</w:t>
            </w:r>
          </w:p>
        </w:tc>
        <w:tc>
          <w:tcPr>
            <w:tcW w:w="1105"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14.00%</w:t>
            </w:r>
          </w:p>
        </w:tc>
      </w:tr>
      <w:tr w:rsidR="00394D74" w:rsidRPr="002E2982" w:rsidTr="00627DA3">
        <w:trPr>
          <w:trHeight w:val="567"/>
        </w:trPr>
        <w:tc>
          <w:tcPr>
            <w:tcW w:w="588" w:type="dxa"/>
            <w:vAlign w:val="center"/>
          </w:tcPr>
          <w:p w:rsidR="00394D74" w:rsidRPr="002E2982" w:rsidRDefault="00394D74" w:rsidP="00627DA3">
            <w:pPr>
              <w:jc w:val="center"/>
              <w:rPr>
                <w:rFonts w:eastAsia="標楷體"/>
                <w:sz w:val="26"/>
                <w:szCs w:val="26"/>
              </w:rPr>
            </w:pPr>
            <w:r w:rsidRPr="002E2982">
              <w:rPr>
                <w:rFonts w:eastAsia="標楷體"/>
                <w:sz w:val="26"/>
                <w:szCs w:val="26"/>
              </w:rPr>
              <w:t>9</w:t>
            </w:r>
          </w:p>
        </w:tc>
        <w:tc>
          <w:tcPr>
            <w:tcW w:w="2769" w:type="dxa"/>
            <w:shd w:val="clear" w:color="auto" w:fill="auto"/>
            <w:vAlign w:val="center"/>
          </w:tcPr>
          <w:p w:rsidR="00394D74" w:rsidRPr="002E2982" w:rsidRDefault="00394D74" w:rsidP="00627DA3">
            <w:pPr>
              <w:keepLines/>
              <w:autoSpaceDE w:val="0"/>
              <w:autoSpaceDN w:val="0"/>
              <w:adjustRightInd w:val="0"/>
              <w:rPr>
                <w:rFonts w:eastAsia="標楷體"/>
                <w:noProof/>
                <w:color w:val="000000" w:themeColor="text1"/>
                <w:sz w:val="26"/>
                <w:szCs w:val="26"/>
                <w:lang w:eastAsia="en-US"/>
              </w:rPr>
            </w:pPr>
            <w:r w:rsidRPr="002E2982">
              <w:rPr>
                <w:rFonts w:eastAsia="標楷體"/>
                <w:noProof/>
                <w:color w:val="000000" w:themeColor="text1"/>
                <w:sz w:val="26"/>
                <w:szCs w:val="26"/>
                <w:lang w:eastAsia="en-US"/>
              </w:rPr>
              <w:t>Resources Connection, Inc.</w:t>
            </w:r>
          </w:p>
        </w:tc>
        <w:tc>
          <w:tcPr>
            <w:tcW w:w="1081"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7.18%</w:t>
            </w:r>
          </w:p>
        </w:tc>
        <w:tc>
          <w:tcPr>
            <w:tcW w:w="1081"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9.30%</w:t>
            </w:r>
          </w:p>
        </w:tc>
        <w:tc>
          <w:tcPr>
            <w:tcW w:w="1081"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9.88%</w:t>
            </w:r>
          </w:p>
        </w:tc>
        <w:tc>
          <w:tcPr>
            <w:tcW w:w="1105" w:type="dxa"/>
            <w:shd w:val="clear" w:color="auto" w:fill="auto"/>
            <w:vAlign w:val="center"/>
          </w:tcPr>
          <w:p w:rsidR="00394D74" w:rsidRPr="006C7FB1" w:rsidRDefault="00394D74" w:rsidP="00627DA3">
            <w:pPr>
              <w:jc w:val="right"/>
              <w:rPr>
                <w:color w:val="000000"/>
                <w:sz w:val="26"/>
                <w:szCs w:val="26"/>
              </w:rPr>
            </w:pPr>
            <w:r w:rsidRPr="006C7FB1">
              <w:rPr>
                <w:color w:val="000000"/>
                <w:sz w:val="26"/>
                <w:szCs w:val="26"/>
              </w:rPr>
              <w:t>8.80%</w:t>
            </w:r>
          </w:p>
        </w:tc>
      </w:tr>
      <w:tr w:rsidR="00394D74" w:rsidRPr="002E2982" w:rsidTr="00627DA3">
        <w:trPr>
          <w:trHeight w:val="567"/>
        </w:trPr>
        <w:tc>
          <w:tcPr>
            <w:tcW w:w="7705" w:type="dxa"/>
            <w:gridSpan w:val="6"/>
            <w:shd w:val="clear" w:color="auto" w:fill="4F81BD"/>
            <w:vAlign w:val="center"/>
          </w:tcPr>
          <w:p w:rsidR="00394D74" w:rsidRPr="00C36EF5" w:rsidRDefault="00394D74" w:rsidP="00627DA3">
            <w:pPr>
              <w:spacing w:line="360" w:lineRule="auto"/>
              <w:jc w:val="center"/>
              <w:rPr>
                <w:rFonts w:eastAsia="標楷體"/>
                <w:b/>
                <w:bCs/>
                <w:color w:val="FFFFFF"/>
                <w:spacing w:val="-2"/>
                <w:sz w:val="26"/>
                <w:szCs w:val="26"/>
              </w:rPr>
            </w:pPr>
            <w:r w:rsidRPr="00C36EF5">
              <w:rPr>
                <w:rFonts w:eastAsia="標楷體"/>
                <w:b/>
                <w:bCs/>
                <w:color w:val="FFFFFF"/>
                <w:spacing w:val="-2"/>
                <w:sz w:val="26"/>
                <w:szCs w:val="26"/>
              </w:rPr>
              <w:t>常規交易範圍（四分位區間）</w:t>
            </w:r>
          </w:p>
        </w:tc>
      </w:tr>
      <w:tr w:rsidR="00394D74" w:rsidRPr="002E2982" w:rsidTr="00627DA3">
        <w:trPr>
          <w:trHeight w:val="567"/>
        </w:trPr>
        <w:tc>
          <w:tcPr>
            <w:tcW w:w="3357" w:type="dxa"/>
            <w:gridSpan w:val="2"/>
            <w:vAlign w:val="center"/>
          </w:tcPr>
          <w:p w:rsidR="00394D74" w:rsidRPr="002E2982" w:rsidRDefault="00394D74" w:rsidP="00627DA3">
            <w:pPr>
              <w:jc w:val="center"/>
              <w:rPr>
                <w:rFonts w:eastAsia="標楷體"/>
                <w:color w:val="000000"/>
                <w:sz w:val="26"/>
                <w:szCs w:val="26"/>
              </w:rPr>
            </w:pPr>
            <w:r w:rsidRPr="002E2982">
              <w:rPr>
                <w:rFonts w:eastAsia="標楷體"/>
                <w:color w:val="000000"/>
                <w:sz w:val="26"/>
                <w:szCs w:val="26"/>
              </w:rPr>
              <w:t>第</w:t>
            </w:r>
            <w:r w:rsidRPr="002E2982">
              <w:rPr>
                <w:rFonts w:eastAsia="標楷體"/>
                <w:color w:val="000000"/>
                <w:sz w:val="26"/>
                <w:szCs w:val="26"/>
              </w:rPr>
              <w:t>25</w:t>
            </w:r>
            <w:r w:rsidRPr="002E2982">
              <w:rPr>
                <w:rFonts w:eastAsia="標楷體"/>
                <w:color w:val="000000"/>
                <w:sz w:val="26"/>
                <w:szCs w:val="26"/>
              </w:rPr>
              <w:t>百分位數</w:t>
            </w:r>
          </w:p>
        </w:tc>
        <w:tc>
          <w:tcPr>
            <w:tcW w:w="1081" w:type="dxa"/>
            <w:vAlign w:val="center"/>
          </w:tcPr>
          <w:p w:rsidR="00394D74" w:rsidRPr="002E2982" w:rsidRDefault="00394D74" w:rsidP="00627DA3">
            <w:pPr>
              <w:jc w:val="right"/>
              <w:rPr>
                <w:color w:val="000000"/>
                <w:sz w:val="26"/>
                <w:szCs w:val="26"/>
              </w:rPr>
            </w:pPr>
            <w:r w:rsidRPr="006C7FB1">
              <w:rPr>
                <w:color w:val="000000"/>
                <w:sz w:val="26"/>
                <w:szCs w:val="26"/>
              </w:rPr>
              <w:t>4.16</w:t>
            </w:r>
            <w:r w:rsidRPr="002E2982">
              <w:rPr>
                <w:color w:val="000000"/>
                <w:sz w:val="26"/>
                <w:szCs w:val="26"/>
              </w:rPr>
              <w:t>%</w:t>
            </w:r>
          </w:p>
        </w:tc>
        <w:tc>
          <w:tcPr>
            <w:tcW w:w="1081" w:type="dxa"/>
            <w:vAlign w:val="center"/>
          </w:tcPr>
          <w:p w:rsidR="00394D74" w:rsidRPr="002E2982" w:rsidRDefault="00394D74" w:rsidP="00627DA3">
            <w:pPr>
              <w:jc w:val="right"/>
              <w:rPr>
                <w:color w:val="000000"/>
                <w:sz w:val="26"/>
                <w:szCs w:val="26"/>
              </w:rPr>
            </w:pPr>
            <w:r w:rsidRPr="006C7FB1">
              <w:rPr>
                <w:color w:val="000000"/>
                <w:sz w:val="26"/>
                <w:szCs w:val="26"/>
              </w:rPr>
              <w:t>3.49</w:t>
            </w:r>
            <w:r w:rsidRPr="002E2982">
              <w:rPr>
                <w:color w:val="000000"/>
                <w:sz w:val="26"/>
                <w:szCs w:val="26"/>
              </w:rPr>
              <w:t>%</w:t>
            </w:r>
          </w:p>
        </w:tc>
        <w:tc>
          <w:tcPr>
            <w:tcW w:w="1081" w:type="dxa"/>
            <w:vAlign w:val="center"/>
          </w:tcPr>
          <w:p w:rsidR="00394D74" w:rsidRPr="002E2982" w:rsidRDefault="00394D74" w:rsidP="00627DA3">
            <w:pPr>
              <w:jc w:val="right"/>
              <w:rPr>
                <w:color w:val="000000"/>
                <w:sz w:val="26"/>
                <w:szCs w:val="26"/>
              </w:rPr>
            </w:pPr>
            <w:r w:rsidRPr="006C7FB1">
              <w:rPr>
                <w:color w:val="000000"/>
                <w:sz w:val="26"/>
                <w:szCs w:val="26"/>
              </w:rPr>
              <w:t>5.75</w:t>
            </w:r>
            <w:r w:rsidRPr="002E2982">
              <w:rPr>
                <w:color w:val="000000"/>
                <w:sz w:val="26"/>
                <w:szCs w:val="26"/>
              </w:rPr>
              <w:t>%</w:t>
            </w:r>
          </w:p>
        </w:tc>
        <w:tc>
          <w:tcPr>
            <w:tcW w:w="1105" w:type="dxa"/>
            <w:vAlign w:val="center"/>
          </w:tcPr>
          <w:p w:rsidR="00394D74" w:rsidRPr="002E2982" w:rsidRDefault="00394D74" w:rsidP="00627DA3">
            <w:pPr>
              <w:jc w:val="right"/>
              <w:rPr>
                <w:color w:val="000000"/>
                <w:sz w:val="26"/>
                <w:szCs w:val="26"/>
              </w:rPr>
            </w:pPr>
            <w:r w:rsidRPr="006C7FB1">
              <w:rPr>
                <w:color w:val="000000"/>
                <w:sz w:val="26"/>
                <w:szCs w:val="26"/>
              </w:rPr>
              <w:t>4.31</w:t>
            </w:r>
            <w:r w:rsidRPr="002E2982">
              <w:rPr>
                <w:color w:val="000000"/>
                <w:sz w:val="26"/>
                <w:szCs w:val="26"/>
              </w:rPr>
              <w:t>%</w:t>
            </w:r>
          </w:p>
        </w:tc>
      </w:tr>
      <w:tr w:rsidR="00394D74" w:rsidRPr="002E2982" w:rsidTr="00627DA3">
        <w:trPr>
          <w:trHeight w:val="567"/>
        </w:trPr>
        <w:tc>
          <w:tcPr>
            <w:tcW w:w="3357" w:type="dxa"/>
            <w:gridSpan w:val="2"/>
            <w:vAlign w:val="center"/>
          </w:tcPr>
          <w:p w:rsidR="00394D74" w:rsidRPr="002E2982" w:rsidRDefault="00394D74" w:rsidP="00627DA3">
            <w:pPr>
              <w:jc w:val="center"/>
              <w:rPr>
                <w:rFonts w:eastAsia="標楷體"/>
                <w:color w:val="000000"/>
                <w:sz w:val="26"/>
                <w:szCs w:val="26"/>
              </w:rPr>
            </w:pPr>
            <w:r w:rsidRPr="002E2982">
              <w:rPr>
                <w:rFonts w:eastAsia="標楷體"/>
                <w:color w:val="000000"/>
                <w:sz w:val="26"/>
                <w:szCs w:val="26"/>
              </w:rPr>
              <w:t>中位數</w:t>
            </w:r>
          </w:p>
        </w:tc>
        <w:tc>
          <w:tcPr>
            <w:tcW w:w="1081" w:type="dxa"/>
            <w:vAlign w:val="center"/>
          </w:tcPr>
          <w:p w:rsidR="00394D74" w:rsidRPr="002E2982" w:rsidRDefault="00394D74" w:rsidP="00627DA3">
            <w:pPr>
              <w:jc w:val="right"/>
              <w:rPr>
                <w:color w:val="000000"/>
                <w:sz w:val="26"/>
                <w:szCs w:val="26"/>
              </w:rPr>
            </w:pPr>
            <w:r w:rsidRPr="006C7FB1">
              <w:rPr>
                <w:color w:val="000000"/>
                <w:sz w:val="26"/>
                <w:szCs w:val="26"/>
              </w:rPr>
              <w:t>7.18</w:t>
            </w:r>
            <w:r w:rsidRPr="002E2982">
              <w:rPr>
                <w:color w:val="000000"/>
                <w:sz w:val="26"/>
                <w:szCs w:val="26"/>
              </w:rPr>
              <w:t>%</w:t>
            </w:r>
          </w:p>
        </w:tc>
        <w:tc>
          <w:tcPr>
            <w:tcW w:w="1081" w:type="dxa"/>
            <w:vAlign w:val="center"/>
          </w:tcPr>
          <w:p w:rsidR="00394D74" w:rsidRPr="002E2982" w:rsidRDefault="00394D74" w:rsidP="00627DA3">
            <w:pPr>
              <w:jc w:val="right"/>
              <w:rPr>
                <w:color w:val="000000"/>
                <w:sz w:val="26"/>
                <w:szCs w:val="26"/>
              </w:rPr>
            </w:pPr>
            <w:r w:rsidRPr="006C7FB1">
              <w:rPr>
                <w:color w:val="000000"/>
                <w:sz w:val="26"/>
                <w:szCs w:val="26"/>
              </w:rPr>
              <w:t>7.73</w:t>
            </w:r>
            <w:r w:rsidRPr="002E2982">
              <w:rPr>
                <w:color w:val="000000"/>
                <w:sz w:val="26"/>
                <w:szCs w:val="26"/>
              </w:rPr>
              <w:t>%</w:t>
            </w:r>
          </w:p>
        </w:tc>
        <w:tc>
          <w:tcPr>
            <w:tcW w:w="1081" w:type="dxa"/>
            <w:vAlign w:val="center"/>
          </w:tcPr>
          <w:p w:rsidR="00394D74" w:rsidRPr="002E2982" w:rsidRDefault="00394D74" w:rsidP="00627DA3">
            <w:pPr>
              <w:jc w:val="right"/>
              <w:rPr>
                <w:color w:val="000000"/>
                <w:sz w:val="26"/>
                <w:szCs w:val="26"/>
              </w:rPr>
            </w:pPr>
            <w:r w:rsidRPr="006C7FB1">
              <w:rPr>
                <w:color w:val="000000"/>
                <w:sz w:val="26"/>
                <w:szCs w:val="26"/>
              </w:rPr>
              <w:t>8.09</w:t>
            </w:r>
            <w:r w:rsidRPr="002E2982">
              <w:rPr>
                <w:color w:val="000000"/>
                <w:sz w:val="26"/>
                <w:szCs w:val="26"/>
              </w:rPr>
              <w:t>%</w:t>
            </w:r>
          </w:p>
        </w:tc>
        <w:tc>
          <w:tcPr>
            <w:tcW w:w="1105" w:type="dxa"/>
            <w:vAlign w:val="center"/>
          </w:tcPr>
          <w:p w:rsidR="00394D74" w:rsidRPr="002E2982" w:rsidRDefault="00394D74" w:rsidP="00627DA3">
            <w:pPr>
              <w:jc w:val="right"/>
              <w:rPr>
                <w:color w:val="000000"/>
                <w:sz w:val="26"/>
                <w:szCs w:val="26"/>
              </w:rPr>
            </w:pPr>
            <w:r w:rsidRPr="006C7FB1">
              <w:rPr>
                <w:color w:val="000000"/>
                <w:sz w:val="26"/>
                <w:szCs w:val="26"/>
              </w:rPr>
              <w:t>7.16</w:t>
            </w:r>
            <w:r w:rsidRPr="002E2982">
              <w:rPr>
                <w:color w:val="000000"/>
                <w:sz w:val="26"/>
                <w:szCs w:val="26"/>
              </w:rPr>
              <w:t>%</w:t>
            </w:r>
          </w:p>
        </w:tc>
      </w:tr>
      <w:tr w:rsidR="00394D74" w:rsidRPr="002E2982" w:rsidTr="00627DA3">
        <w:trPr>
          <w:trHeight w:val="567"/>
        </w:trPr>
        <w:tc>
          <w:tcPr>
            <w:tcW w:w="3357" w:type="dxa"/>
            <w:gridSpan w:val="2"/>
            <w:vAlign w:val="center"/>
          </w:tcPr>
          <w:p w:rsidR="00394D74" w:rsidRPr="002E2982" w:rsidRDefault="00394D74" w:rsidP="00627DA3">
            <w:pPr>
              <w:jc w:val="center"/>
              <w:rPr>
                <w:rFonts w:eastAsia="標楷體"/>
                <w:color w:val="000000"/>
                <w:sz w:val="26"/>
                <w:szCs w:val="26"/>
              </w:rPr>
            </w:pPr>
            <w:r w:rsidRPr="002E2982">
              <w:rPr>
                <w:rFonts w:eastAsia="標楷體"/>
                <w:color w:val="000000"/>
                <w:sz w:val="26"/>
                <w:szCs w:val="26"/>
              </w:rPr>
              <w:t>第</w:t>
            </w:r>
            <w:r w:rsidRPr="002E2982">
              <w:rPr>
                <w:rFonts w:eastAsia="標楷體"/>
                <w:color w:val="000000"/>
                <w:sz w:val="26"/>
                <w:szCs w:val="26"/>
              </w:rPr>
              <w:t>75</w:t>
            </w:r>
            <w:r w:rsidRPr="002E2982">
              <w:rPr>
                <w:rFonts w:eastAsia="標楷體"/>
                <w:color w:val="000000"/>
                <w:sz w:val="26"/>
                <w:szCs w:val="26"/>
              </w:rPr>
              <w:t>百分位數</w:t>
            </w:r>
          </w:p>
        </w:tc>
        <w:tc>
          <w:tcPr>
            <w:tcW w:w="1081" w:type="dxa"/>
            <w:vAlign w:val="center"/>
          </w:tcPr>
          <w:p w:rsidR="00394D74" w:rsidRPr="002E2982" w:rsidRDefault="00394D74" w:rsidP="00627DA3">
            <w:pPr>
              <w:jc w:val="right"/>
              <w:rPr>
                <w:color w:val="000000"/>
                <w:sz w:val="26"/>
                <w:szCs w:val="26"/>
              </w:rPr>
            </w:pPr>
            <w:r w:rsidRPr="006C7FB1">
              <w:rPr>
                <w:color w:val="000000"/>
                <w:sz w:val="26"/>
                <w:szCs w:val="26"/>
              </w:rPr>
              <w:t>14.47</w:t>
            </w:r>
            <w:r w:rsidRPr="002E2982">
              <w:rPr>
                <w:color w:val="000000"/>
                <w:sz w:val="26"/>
                <w:szCs w:val="26"/>
              </w:rPr>
              <w:t>%</w:t>
            </w:r>
          </w:p>
        </w:tc>
        <w:tc>
          <w:tcPr>
            <w:tcW w:w="1081" w:type="dxa"/>
            <w:vAlign w:val="center"/>
          </w:tcPr>
          <w:p w:rsidR="00394D74" w:rsidRPr="002E2982" w:rsidRDefault="00394D74" w:rsidP="00627DA3">
            <w:pPr>
              <w:jc w:val="right"/>
              <w:rPr>
                <w:color w:val="000000"/>
                <w:sz w:val="26"/>
                <w:szCs w:val="26"/>
              </w:rPr>
            </w:pPr>
            <w:r w:rsidRPr="006C7FB1">
              <w:rPr>
                <w:color w:val="000000"/>
                <w:sz w:val="26"/>
                <w:szCs w:val="26"/>
              </w:rPr>
              <w:t>9.30</w:t>
            </w:r>
            <w:r w:rsidRPr="002E2982">
              <w:rPr>
                <w:color w:val="000000"/>
                <w:sz w:val="26"/>
                <w:szCs w:val="26"/>
              </w:rPr>
              <w:t>%</w:t>
            </w:r>
          </w:p>
        </w:tc>
        <w:tc>
          <w:tcPr>
            <w:tcW w:w="1081" w:type="dxa"/>
            <w:vAlign w:val="center"/>
          </w:tcPr>
          <w:p w:rsidR="00394D74" w:rsidRPr="002E2982" w:rsidRDefault="00394D74" w:rsidP="00627DA3">
            <w:pPr>
              <w:jc w:val="right"/>
              <w:rPr>
                <w:color w:val="000000"/>
                <w:sz w:val="26"/>
                <w:szCs w:val="26"/>
              </w:rPr>
            </w:pPr>
            <w:r w:rsidRPr="006C7FB1">
              <w:rPr>
                <w:color w:val="000000"/>
                <w:sz w:val="26"/>
                <w:szCs w:val="26"/>
              </w:rPr>
              <w:t>9.72</w:t>
            </w:r>
            <w:r w:rsidRPr="002E2982">
              <w:rPr>
                <w:color w:val="000000"/>
                <w:sz w:val="26"/>
                <w:szCs w:val="26"/>
              </w:rPr>
              <w:t>%</w:t>
            </w:r>
          </w:p>
        </w:tc>
        <w:tc>
          <w:tcPr>
            <w:tcW w:w="1105" w:type="dxa"/>
            <w:vAlign w:val="center"/>
          </w:tcPr>
          <w:p w:rsidR="00394D74" w:rsidRPr="002E2982" w:rsidRDefault="00394D74" w:rsidP="00627DA3">
            <w:pPr>
              <w:jc w:val="right"/>
              <w:rPr>
                <w:color w:val="000000"/>
                <w:sz w:val="26"/>
                <w:szCs w:val="26"/>
              </w:rPr>
            </w:pPr>
            <w:r w:rsidRPr="006C7FB1">
              <w:rPr>
                <w:color w:val="000000"/>
                <w:sz w:val="26"/>
                <w:szCs w:val="26"/>
              </w:rPr>
              <w:t>8.80</w:t>
            </w:r>
            <w:r w:rsidRPr="002E2982">
              <w:rPr>
                <w:color w:val="000000"/>
                <w:sz w:val="26"/>
                <w:szCs w:val="26"/>
              </w:rPr>
              <w:t>%</w:t>
            </w:r>
          </w:p>
        </w:tc>
      </w:tr>
    </w:tbl>
    <w:p w:rsidR="00F9092E" w:rsidRDefault="00F9092E" w:rsidP="00F9092E"/>
    <w:p w:rsidR="00F9092E" w:rsidRPr="00EA272E" w:rsidRDefault="00F9092E" w:rsidP="002C3C01">
      <w:pPr>
        <w:pStyle w:val="2"/>
        <w:numPr>
          <w:ilvl w:val="1"/>
          <w:numId w:val="17"/>
        </w:numPr>
        <w:tabs>
          <w:tab w:val="left" w:pos="756"/>
        </w:tabs>
        <w:spacing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受測個體</w:t>
      </w:r>
      <w:r w:rsidRPr="00EA272E">
        <w:rPr>
          <w:rFonts w:ascii="Times New Roman" w:eastAsia="標楷體" w:hAnsi="Times New Roman" w:hint="eastAsia"/>
          <w:sz w:val="36"/>
          <w:szCs w:val="40"/>
        </w:rPr>
        <w:t>之平均利潤率</w:t>
      </w:r>
    </w:p>
    <w:p w:rsidR="00F9092E" w:rsidRPr="00170630" w:rsidRDefault="00F9092E" w:rsidP="001719B7">
      <w:pPr>
        <w:pStyle w:val="3"/>
        <w:numPr>
          <w:ilvl w:val="0"/>
          <w:numId w:val="37"/>
        </w:numPr>
        <w:spacing w:afterLines="50" w:after="120" w:line="360" w:lineRule="auto"/>
        <w:ind w:left="1083" w:hanging="482"/>
        <w:jc w:val="both"/>
        <w:rPr>
          <w:rFonts w:ascii="Times New Roman" w:eastAsia="標楷體" w:hAnsi="Times New Roman"/>
          <w:sz w:val="32"/>
          <w:szCs w:val="26"/>
        </w:rPr>
      </w:pPr>
      <w:r w:rsidRPr="00170630">
        <w:rPr>
          <w:rFonts w:ascii="Times New Roman" w:eastAsia="標楷體" w:hAnsi="Times New Roman" w:hint="eastAsia"/>
          <w:sz w:val="32"/>
          <w:szCs w:val="26"/>
        </w:rPr>
        <w:t>服務之提供</w:t>
      </w:r>
    </w:p>
    <w:p w:rsidR="00DE7202" w:rsidRPr="00C726AF" w:rsidRDefault="00526ABF" w:rsidP="001719B7">
      <w:pPr>
        <w:autoSpaceDE w:val="0"/>
        <w:autoSpaceDN w:val="0"/>
        <w:adjustRightInd w:val="0"/>
        <w:spacing w:beforeLines="50" w:before="120" w:afterLines="50" w:after="120" w:line="360" w:lineRule="auto"/>
        <w:ind w:leftChars="300" w:left="720" w:firstLineChars="200" w:firstLine="520"/>
        <w:jc w:val="both"/>
        <w:rPr>
          <w:rFonts w:eastAsia="標楷體"/>
          <w:color w:val="000000" w:themeColor="text1"/>
          <w:sz w:val="26"/>
          <w:szCs w:val="26"/>
        </w:rPr>
      </w:pPr>
      <w:r w:rsidRPr="00170630">
        <w:rPr>
          <w:rFonts w:eastAsia="標楷體"/>
          <w:color w:val="000000" w:themeColor="text1"/>
          <w:sz w:val="26"/>
          <w:szCs w:val="26"/>
        </w:rPr>
        <w:t>10</w:t>
      </w:r>
      <w:r w:rsidR="00394D74" w:rsidRPr="00170630">
        <w:rPr>
          <w:rFonts w:eastAsia="標楷體"/>
          <w:color w:val="000000" w:themeColor="text1"/>
          <w:sz w:val="26"/>
          <w:szCs w:val="26"/>
        </w:rPr>
        <w:t>3</w:t>
      </w:r>
      <w:r w:rsidR="00492FD1" w:rsidRPr="00170630">
        <w:rPr>
          <w:rFonts w:eastAsia="標楷體"/>
          <w:color w:val="000000" w:themeColor="text1"/>
          <w:sz w:val="26"/>
          <w:szCs w:val="26"/>
        </w:rPr>
        <w:t>~10</w:t>
      </w:r>
      <w:r w:rsidR="00394D74" w:rsidRPr="00170630">
        <w:rPr>
          <w:rFonts w:eastAsia="標楷體"/>
          <w:color w:val="000000" w:themeColor="text1"/>
          <w:sz w:val="26"/>
          <w:szCs w:val="26"/>
        </w:rPr>
        <w:t>5</w:t>
      </w:r>
      <w:r w:rsidR="00F9092E" w:rsidRPr="00C726AF">
        <w:rPr>
          <w:rFonts w:eastAsia="標楷體" w:hint="eastAsia"/>
          <w:color w:val="000000" w:themeColor="text1"/>
          <w:sz w:val="26"/>
          <w:szCs w:val="26"/>
        </w:rPr>
        <w:t>會計年度與</w:t>
      </w:r>
      <w:r w:rsidR="00DD330C" w:rsidRPr="00C726AF">
        <w:rPr>
          <w:rFonts w:eastAsia="標楷體" w:hint="eastAsia"/>
          <w:color w:val="000000" w:themeColor="text1"/>
          <w:sz w:val="26"/>
          <w:szCs w:val="26"/>
        </w:rPr>
        <w:t>萊迪思台灣分公司提供</w:t>
      </w:r>
      <w:r w:rsidR="00265084" w:rsidRPr="00C726AF">
        <w:rPr>
          <w:rFonts w:eastAsia="標楷體" w:hint="eastAsia"/>
          <w:color w:val="000000" w:themeColor="text1"/>
          <w:sz w:val="26"/>
          <w:szCs w:val="26"/>
        </w:rPr>
        <w:t>行銷、產品諮詢、產品維修保養及售後服務</w:t>
      </w:r>
      <w:r w:rsidR="006E762F" w:rsidRPr="00C726AF">
        <w:rPr>
          <w:rFonts w:eastAsia="標楷體" w:hint="eastAsia"/>
          <w:color w:val="000000" w:themeColor="text1"/>
          <w:sz w:val="26"/>
          <w:szCs w:val="26"/>
        </w:rPr>
        <w:t>等服務予關係企業</w:t>
      </w:r>
      <w:r w:rsidR="00DD6D50" w:rsidRPr="00C726AF">
        <w:rPr>
          <w:rFonts w:eastAsia="標楷體" w:hint="eastAsia"/>
          <w:color w:val="000000" w:themeColor="text1"/>
          <w:sz w:val="26"/>
          <w:szCs w:val="26"/>
        </w:rPr>
        <w:t>之相關</w:t>
      </w:r>
      <w:r w:rsidR="00F9092E" w:rsidRPr="00C726AF">
        <w:rPr>
          <w:rFonts w:eastAsia="標楷體"/>
          <w:color w:val="000000" w:themeColor="text1"/>
          <w:sz w:val="26"/>
          <w:szCs w:val="26"/>
        </w:rPr>
        <w:t>損益資料</w:t>
      </w:r>
      <w:r w:rsidR="00F9092E" w:rsidRPr="00C726AF">
        <w:rPr>
          <w:rFonts w:eastAsia="標楷體" w:hint="eastAsia"/>
          <w:color w:val="000000" w:themeColor="text1"/>
          <w:sz w:val="26"/>
          <w:szCs w:val="26"/>
        </w:rPr>
        <w:t>如下</w:t>
      </w:r>
      <w:r w:rsidR="00F9092E" w:rsidRPr="00C726AF">
        <w:rPr>
          <w:rFonts w:eastAsia="標楷體"/>
          <w:color w:val="000000" w:themeColor="text1"/>
          <w:sz w:val="26"/>
          <w:szCs w:val="26"/>
        </w:rPr>
        <w:t>：</w:t>
      </w:r>
    </w:p>
    <w:p w:rsidR="00E3770C" w:rsidRPr="00F80C2A" w:rsidRDefault="00E3770C" w:rsidP="008B5F46">
      <w:pPr>
        <w:pStyle w:val="32"/>
        <w:spacing w:line="0" w:lineRule="atLeast"/>
        <w:ind w:leftChars="200" w:left="480" w:rightChars="-19" w:right="-46" w:firstLineChars="2350" w:firstLine="4700"/>
        <w:jc w:val="right"/>
        <w:rPr>
          <w:rFonts w:ascii="新細明體" w:eastAsia="新細明體" w:hAnsi="新細明體"/>
          <w:sz w:val="20"/>
          <w:szCs w:val="20"/>
        </w:rPr>
      </w:pPr>
      <w:r w:rsidRPr="00F80C2A">
        <w:rPr>
          <w:rFonts w:ascii="新細明體" w:eastAsia="新細明體" w:hAnsi="新細明體"/>
          <w:sz w:val="20"/>
          <w:szCs w:val="20"/>
        </w:rPr>
        <w:t>單位：</w:t>
      </w:r>
      <w:r w:rsidRPr="00F80C2A">
        <w:rPr>
          <w:rFonts w:ascii="新細明體" w:eastAsia="新細明體" w:hAnsi="新細明體" w:hint="eastAsia"/>
          <w:sz w:val="20"/>
          <w:szCs w:val="20"/>
        </w:rPr>
        <w:t>新台幣元</w:t>
      </w:r>
    </w:p>
    <w:tbl>
      <w:tblPr>
        <w:tblW w:w="8000"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544"/>
        <w:gridCol w:w="1614"/>
        <w:gridCol w:w="1614"/>
        <w:gridCol w:w="1614"/>
        <w:gridCol w:w="1614"/>
      </w:tblGrid>
      <w:tr w:rsidR="007B7F03" w:rsidRPr="00BB4352" w:rsidTr="00342644">
        <w:trPr>
          <w:trHeight w:val="493"/>
        </w:trPr>
        <w:tc>
          <w:tcPr>
            <w:tcW w:w="1544" w:type="dxa"/>
            <w:tcBorders>
              <w:bottom w:val="double" w:sz="4" w:space="0" w:color="auto"/>
            </w:tcBorders>
            <w:shd w:val="clear" w:color="auto" w:fill="4F81BD"/>
            <w:vAlign w:val="center"/>
          </w:tcPr>
          <w:p w:rsidR="00C726AF" w:rsidRPr="00C726AF" w:rsidRDefault="00C726AF" w:rsidP="00FB5369">
            <w:pPr>
              <w:jc w:val="center"/>
              <w:rPr>
                <w:rFonts w:eastAsia="標楷體" w:cs="新細明體"/>
                <w:bCs/>
                <w:color w:val="FFFFFF" w:themeColor="background1"/>
                <w:sz w:val="26"/>
                <w:szCs w:val="26"/>
              </w:rPr>
            </w:pPr>
            <w:r w:rsidRPr="00BB4352">
              <w:rPr>
                <w:rFonts w:eastAsia="標楷體" w:hint="eastAsia"/>
                <w:bCs/>
                <w:color w:val="FFFFFF"/>
                <w:sz w:val="26"/>
                <w:szCs w:val="26"/>
              </w:rPr>
              <w:t>損益科目</w:t>
            </w:r>
          </w:p>
        </w:tc>
        <w:tc>
          <w:tcPr>
            <w:tcW w:w="1614" w:type="dxa"/>
            <w:tcBorders>
              <w:bottom w:val="double" w:sz="4" w:space="0" w:color="auto"/>
            </w:tcBorders>
            <w:shd w:val="clear" w:color="auto" w:fill="4F81BD"/>
            <w:vAlign w:val="center"/>
          </w:tcPr>
          <w:p w:rsidR="00C726AF" w:rsidRPr="00C726AF" w:rsidRDefault="00C726AF">
            <w:pPr>
              <w:jc w:val="center"/>
              <w:rPr>
                <w:rFonts w:eastAsia="標楷體"/>
                <w:bCs/>
                <w:color w:val="FFFFFF" w:themeColor="background1"/>
                <w:sz w:val="26"/>
                <w:szCs w:val="26"/>
              </w:rPr>
            </w:pPr>
            <w:proofErr w:type="gramStart"/>
            <w:r w:rsidRPr="00C726AF">
              <w:rPr>
                <w:rFonts w:eastAsia="標楷體" w:hint="eastAsia"/>
                <w:bCs/>
                <w:color w:val="FFFFFF" w:themeColor="background1"/>
                <w:sz w:val="26"/>
                <w:szCs w:val="26"/>
              </w:rPr>
              <w:t>10</w:t>
            </w:r>
            <w:r w:rsidR="00170630">
              <w:rPr>
                <w:rFonts w:eastAsia="標楷體" w:hint="eastAsia"/>
                <w:bCs/>
                <w:color w:val="FFFFFF" w:themeColor="background1"/>
                <w:sz w:val="26"/>
                <w:szCs w:val="26"/>
              </w:rPr>
              <w:t>3</w:t>
            </w:r>
            <w:proofErr w:type="gramEnd"/>
            <w:r w:rsidRPr="00C726AF">
              <w:rPr>
                <w:rFonts w:eastAsia="標楷體" w:hint="eastAsia"/>
                <w:bCs/>
                <w:color w:val="FFFFFF" w:themeColor="background1"/>
                <w:sz w:val="26"/>
                <w:szCs w:val="26"/>
              </w:rPr>
              <w:t>年度</w:t>
            </w:r>
          </w:p>
        </w:tc>
        <w:tc>
          <w:tcPr>
            <w:tcW w:w="1614" w:type="dxa"/>
            <w:tcBorders>
              <w:bottom w:val="double" w:sz="4" w:space="0" w:color="auto"/>
            </w:tcBorders>
            <w:shd w:val="clear" w:color="auto" w:fill="4F81BD"/>
            <w:vAlign w:val="center"/>
          </w:tcPr>
          <w:p w:rsidR="00C726AF" w:rsidRPr="00C726AF" w:rsidRDefault="00C726AF" w:rsidP="000241AF">
            <w:pPr>
              <w:jc w:val="center"/>
              <w:rPr>
                <w:rFonts w:eastAsia="標楷體"/>
                <w:bCs/>
                <w:color w:val="FFFFFF" w:themeColor="background1"/>
                <w:sz w:val="26"/>
                <w:szCs w:val="26"/>
              </w:rPr>
            </w:pPr>
            <w:proofErr w:type="gramStart"/>
            <w:r w:rsidRPr="00C726AF">
              <w:rPr>
                <w:rFonts w:eastAsia="標楷體" w:hint="eastAsia"/>
                <w:bCs/>
                <w:color w:val="FFFFFF" w:themeColor="background1"/>
                <w:sz w:val="26"/>
                <w:szCs w:val="26"/>
              </w:rPr>
              <w:t>10</w:t>
            </w:r>
            <w:r w:rsidR="00170630">
              <w:rPr>
                <w:rFonts w:eastAsia="標楷體" w:hint="eastAsia"/>
                <w:bCs/>
                <w:color w:val="FFFFFF" w:themeColor="background1"/>
                <w:sz w:val="26"/>
                <w:szCs w:val="26"/>
              </w:rPr>
              <w:t>4</w:t>
            </w:r>
            <w:proofErr w:type="gramEnd"/>
            <w:r w:rsidRPr="00C726AF">
              <w:rPr>
                <w:rFonts w:eastAsia="標楷體" w:hint="eastAsia"/>
                <w:bCs/>
                <w:color w:val="FFFFFF" w:themeColor="background1"/>
                <w:sz w:val="26"/>
                <w:szCs w:val="26"/>
              </w:rPr>
              <w:t>年度</w:t>
            </w:r>
          </w:p>
        </w:tc>
        <w:tc>
          <w:tcPr>
            <w:tcW w:w="1614" w:type="dxa"/>
            <w:tcBorders>
              <w:bottom w:val="double" w:sz="4" w:space="0" w:color="auto"/>
            </w:tcBorders>
            <w:shd w:val="clear" w:color="auto" w:fill="4F81BD"/>
            <w:vAlign w:val="center"/>
          </w:tcPr>
          <w:p w:rsidR="00C726AF" w:rsidRPr="00C726AF" w:rsidRDefault="00C726AF">
            <w:pPr>
              <w:jc w:val="center"/>
              <w:rPr>
                <w:rFonts w:eastAsia="標楷體"/>
                <w:bCs/>
                <w:color w:val="FFFFFF" w:themeColor="background1"/>
                <w:sz w:val="26"/>
                <w:szCs w:val="26"/>
              </w:rPr>
            </w:pPr>
            <w:proofErr w:type="gramStart"/>
            <w:r w:rsidRPr="00C726AF">
              <w:rPr>
                <w:rFonts w:eastAsia="標楷體" w:hint="eastAsia"/>
                <w:bCs/>
                <w:color w:val="FFFFFF" w:themeColor="background1"/>
                <w:sz w:val="26"/>
                <w:szCs w:val="26"/>
              </w:rPr>
              <w:t>10</w:t>
            </w:r>
            <w:r w:rsidR="00170630">
              <w:rPr>
                <w:rFonts w:eastAsia="標楷體" w:hint="eastAsia"/>
                <w:bCs/>
                <w:color w:val="FFFFFF" w:themeColor="background1"/>
                <w:sz w:val="26"/>
                <w:szCs w:val="26"/>
              </w:rPr>
              <w:t>5</w:t>
            </w:r>
            <w:proofErr w:type="gramEnd"/>
            <w:r w:rsidRPr="00C726AF">
              <w:rPr>
                <w:rFonts w:eastAsia="標楷體" w:hint="eastAsia"/>
                <w:bCs/>
                <w:color w:val="FFFFFF" w:themeColor="background1"/>
                <w:sz w:val="26"/>
                <w:szCs w:val="26"/>
              </w:rPr>
              <w:t>年度</w:t>
            </w:r>
          </w:p>
        </w:tc>
        <w:tc>
          <w:tcPr>
            <w:tcW w:w="1614" w:type="dxa"/>
            <w:tcBorders>
              <w:bottom w:val="double" w:sz="4" w:space="0" w:color="auto"/>
            </w:tcBorders>
            <w:shd w:val="clear" w:color="auto" w:fill="4F81BD"/>
            <w:vAlign w:val="center"/>
          </w:tcPr>
          <w:p w:rsidR="00C726AF" w:rsidRDefault="00C726AF" w:rsidP="000241AF">
            <w:pPr>
              <w:jc w:val="center"/>
              <w:rPr>
                <w:rFonts w:eastAsia="標楷體"/>
                <w:bCs/>
                <w:color w:val="FFFFFF"/>
                <w:sz w:val="26"/>
                <w:szCs w:val="26"/>
              </w:rPr>
            </w:pPr>
            <w:r>
              <w:rPr>
                <w:rFonts w:eastAsia="標楷體" w:hint="eastAsia"/>
                <w:bCs/>
                <w:color w:val="FFFFFF"/>
                <w:sz w:val="26"/>
                <w:szCs w:val="26"/>
              </w:rPr>
              <w:t>平均</w:t>
            </w:r>
          </w:p>
        </w:tc>
      </w:tr>
      <w:tr w:rsidR="007972F4" w:rsidRPr="00BB4352" w:rsidTr="005C11CE">
        <w:tc>
          <w:tcPr>
            <w:tcW w:w="1544" w:type="dxa"/>
            <w:tcBorders>
              <w:top w:val="double" w:sz="4" w:space="0" w:color="auto"/>
            </w:tcBorders>
            <w:vAlign w:val="center"/>
          </w:tcPr>
          <w:p w:rsidR="007972F4" w:rsidRPr="00BB4352" w:rsidRDefault="007972F4" w:rsidP="00FB5369">
            <w:pPr>
              <w:jc w:val="center"/>
              <w:rPr>
                <w:rFonts w:eastAsia="標楷體" w:cs="新細明體"/>
                <w:sz w:val="26"/>
                <w:szCs w:val="26"/>
              </w:rPr>
            </w:pPr>
            <w:r w:rsidRPr="00BB4352">
              <w:rPr>
                <w:rFonts w:eastAsia="標楷體" w:hint="eastAsia"/>
                <w:sz w:val="26"/>
                <w:szCs w:val="26"/>
              </w:rPr>
              <w:t>營收淨額</w:t>
            </w:r>
          </w:p>
        </w:tc>
        <w:tc>
          <w:tcPr>
            <w:tcW w:w="1614" w:type="dxa"/>
            <w:tcBorders>
              <w:top w:val="double" w:sz="4" w:space="0" w:color="auto"/>
            </w:tcBorders>
            <w:vAlign w:val="center"/>
          </w:tcPr>
          <w:p w:rsidR="007972F4" w:rsidRDefault="007972F4" w:rsidP="00610BD9">
            <w:pPr>
              <w:wordWrap w:val="0"/>
              <w:jc w:val="right"/>
              <w:rPr>
                <w:color w:val="000000"/>
                <w:sz w:val="26"/>
                <w:szCs w:val="26"/>
              </w:rPr>
            </w:pPr>
            <w:r>
              <w:rPr>
                <w:rFonts w:hint="eastAsia"/>
                <w:color w:val="000000"/>
                <w:sz w:val="26"/>
                <w:szCs w:val="26"/>
              </w:rPr>
              <w:t>23,874,835</w:t>
            </w:r>
          </w:p>
        </w:tc>
        <w:tc>
          <w:tcPr>
            <w:tcW w:w="1614" w:type="dxa"/>
            <w:tcBorders>
              <w:top w:val="double" w:sz="4" w:space="0" w:color="auto"/>
            </w:tcBorders>
            <w:vAlign w:val="center"/>
          </w:tcPr>
          <w:p w:rsidR="007972F4" w:rsidRDefault="007972F4" w:rsidP="00610BD9">
            <w:pPr>
              <w:wordWrap w:val="0"/>
              <w:jc w:val="right"/>
              <w:rPr>
                <w:color w:val="000000"/>
                <w:sz w:val="26"/>
                <w:szCs w:val="26"/>
              </w:rPr>
            </w:pPr>
            <w:r>
              <w:rPr>
                <w:color w:val="000000"/>
                <w:sz w:val="26"/>
                <w:szCs w:val="26"/>
              </w:rPr>
              <w:t>40,356,746</w:t>
            </w:r>
          </w:p>
        </w:tc>
        <w:tc>
          <w:tcPr>
            <w:tcW w:w="1614" w:type="dxa"/>
            <w:tcBorders>
              <w:top w:val="double" w:sz="4" w:space="0" w:color="auto"/>
            </w:tcBorders>
            <w:vAlign w:val="center"/>
          </w:tcPr>
          <w:p w:rsidR="007972F4" w:rsidRDefault="007972F4">
            <w:pPr>
              <w:jc w:val="right"/>
              <w:rPr>
                <w:color w:val="000000"/>
                <w:sz w:val="26"/>
                <w:szCs w:val="26"/>
              </w:rPr>
            </w:pPr>
            <w:r>
              <w:rPr>
                <w:rFonts w:hint="eastAsia"/>
                <w:color w:val="000000"/>
                <w:sz w:val="26"/>
                <w:szCs w:val="26"/>
              </w:rPr>
              <w:t>69,381,182</w:t>
            </w:r>
          </w:p>
        </w:tc>
        <w:tc>
          <w:tcPr>
            <w:tcW w:w="1614" w:type="dxa"/>
            <w:tcBorders>
              <w:top w:val="double" w:sz="4" w:space="0" w:color="auto"/>
            </w:tcBorders>
            <w:vAlign w:val="center"/>
          </w:tcPr>
          <w:p w:rsidR="007972F4" w:rsidRPr="005C11CE" w:rsidRDefault="007972F4" w:rsidP="005C11CE">
            <w:pPr>
              <w:jc w:val="right"/>
              <w:rPr>
                <w:color w:val="000000"/>
                <w:sz w:val="26"/>
                <w:szCs w:val="26"/>
              </w:rPr>
            </w:pPr>
            <w:r w:rsidRPr="005C11CE">
              <w:rPr>
                <w:color w:val="000000"/>
                <w:sz w:val="26"/>
                <w:szCs w:val="26"/>
              </w:rPr>
              <w:t>44,537,588</w:t>
            </w:r>
          </w:p>
        </w:tc>
      </w:tr>
      <w:tr w:rsidR="00155FCB" w:rsidRPr="00BB4352" w:rsidTr="00697B5D">
        <w:trPr>
          <w:trHeight w:val="373"/>
        </w:trPr>
        <w:tc>
          <w:tcPr>
            <w:tcW w:w="1544" w:type="dxa"/>
            <w:vAlign w:val="center"/>
          </w:tcPr>
          <w:p w:rsidR="00155FCB" w:rsidRPr="00BB4352" w:rsidRDefault="00155FCB" w:rsidP="00FB5369">
            <w:pPr>
              <w:jc w:val="center"/>
              <w:rPr>
                <w:rFonts w:eastAsia="標楷體" w:cs="新細明體"/>
                <w:sz w:val="26"/>
                <w:szCs w:val="26"/>
              </w:rPr>
            </w:pPr>
            <w:r w:rsidRPr="00BB4352">
              <w:rPr>
                <w:rFonts w:eastAsia="標楷體" w:hint="eastAsia"/>
                <w:sz w:val="26"/>
                <w:szCs w:val="26"/>
              </w:rPr>
              <w:t>營業成本</w:t>
            </w:r>
          </w:p>
        </w:tc>
        <w:tc>
          <w:tcPr>
            <w:tcW w:w="1614" w:type="dxa"/>
            <w:vAlign w:val="center"/>
          </w:tcPr>
          <w:p w:rsidR="00155FCB" w:rsidRDefault="00155FCB">
            <w:pPr>
              <w:jc w:val="center"/>
              <w:rPr>
                <w:rFonts w:ascii="標楷體" w:eastAsia="標楷體" w:hAnsi="標楷體" w:cs="新細明體"/>
                <w:color w:val="000000"/>
                <w:sz w:val="26"/>
                <w:szCs w:val="26"/>
              </w:rPr>
            </w:pPr>
            <w:r>
              <w:rPr>
                <w:rFonts w:ascii="標楷體" w:eastAsia="標楷體" w:hAnsi="標楷體" w:hint="eastAsia"/>
                <w:color w:val="000000"/>
                <w:sz w:val="26"/>
                <w:szCs w:val="26"/>
              </w:rPr>
              <w:t>－</w:t>
            </w:r>
          </w:p>
        </w:tc>
        <w:tc>
          <w:tcPr>
            <w:tcW w:w="1614" w:type="dxa"/>
            <w:vAlign w:val="center"/>
          </w:tcPr>
          <w:p w:rsidR="00155FCB" w:rsidRDefault="00155FCB">
            <w:pPr>
              <w:jc w:val="center"/>
              <w:rPr>
                <w:rFonts w:ascii="標楷體" w:eastAsia="標楷體" w:hAnsi="標楷體" w:cs="新細明體"/>
                <w:color w:val="000000"/>
                <w:sz w:val="26"/>
                <w:szCs w:val="26"/>
              </w:rPr>
            </w:pPr>
            <w:r>
              <w:rPr>
                <w:rFonts w:ascii="標楷體" w:eastAsia="標楷體" w:hAnsi="標楷體" w:hint="eastAsia"/>
                <w:color w:val="000000"/>
                <w:sz w:val="26"/>
                <w:szCs w:val="26"/>
              </w:rPr>
              <w:t>－</w:t>
            </w:r>
          </w:p>
        </w:tc>
        <w:tc>
          <w:tcPr>
            <w:tcW w:w="1614" w:type="dxa"/>
          </w:tcPr>
          <w:p w:rsidR="00155FCB" w:rsidRDefault="00155FCB">
            <w:pPr>
              <w:jc w:val="center"/>
              <w:rPr>
                <w:rFonts w:ascii="標楷體" w:eastAsia="標楷體" w:hAnsi="標楷體" w:cs="新細明體"/>
                <w:color w:val="000000"/>
                <w:sz w:val="26"/>
                <w:szCs w:val="26"/>
              </w:rPr>
            </w:pPr>
            <w:r>
              <w:rPr>
                <w:rFonts w:ascii="標楷體" w:eastAsia="標楷體" w:hAnsi="標楷體" w:hint="eastAsia"/>
                <w:color w:val="000000"/>
                <w:sz w:val="26"/>
                <w:szCs w:val="26"/>
              </w:rPr>
              <w:t>－</w:t>
            </w:r>
          </w:p>
        </w:tc>
        <w:tc>
          <w:tcPr>
            <w:tcW w:w="1614" w:type="dxa"/>
          </w:tcPr>
          <w:p w:rsidR="00155FCB" w:rsidRDefault="00155FCB" w:rsidP="00697B5D">
            <w:pPr>
              <w:jc w:val="center"/>
              <w:rPr>
                <w:rFonts w:ascii="標楷體" w:eastAsia="標楷體" w:hAnsi="標楷體" w:cs="新細明體"/>
                <w:color w:val="000000"/>
                <w:sz w:val="26"/>
                <w:szCs w:val="26"/>
              </w:rPr>
            </w:pPr>
            <w:r>
              <w:rPr>
                <w:rFonts w:ascii="標楷體" w:eastAsia="標楷體" w:hAnsi="標楷體" w:hint="eastAsia"/>
                <w:color w:val="000000"/>
                <w:sz w:val="26"/>
                <w:szCs w:val="26"/>
              </w:rPr>
              <w:t>－</w:t>
            </w:r>
          </w:p>
        </w:tc>
      </w:tr>
      <w:tr w:rsidR="007972F4" w:rsidRPr="00BB4352" w:rsidTr="005C11CE">
        <w:trPr>
          <w:trHeight w:val="373"/>
        </w:trPr>
        <w:tc>
          <w:tcPr>
            <w:tcW w:w="1544" w:type="dxa"/>
            <w:vAlign w:val="center"/>
          </w:tcPr>
          <w:p w:rsidR="007972F4" w:rsidRPr="00BB4352" w:rsidRDefault="007972F4" w:rsidP="00FB5369">
            <w:pPr>
              <w:jc w:val="center"/>
              <w:rPr>
                <w:rFonts w:eastAsia="標楷體" w:cs="新細明體"/>
                <w:sz w:val="26"/>
                <w:szCs w:val="26"/>
              </w:rPr>
            </w:pPr>
            <w:r w:rsidRPr="00BB4352">
              <w:rPr>
                <w:rFonts w:eastAsia="標楷體" w:hint="eastAsia"/>
                <w:sz w:val="26"/>
                <w:szCs w:val="26"/>
              </w:rPr>
              <w:t>營業毛利</w:t>
            </w:r>
          </w:p>
        </w:tc>
        <w:tc>
          <w:tcPr>
            <w:tcW w:w="1614" w:type="dxa"/>
            <w:vAlign w:val="center"/>
          </w:tcPr>
          <w:p w:rsidR="007972F4" w:rsidRDefault="007972F4" w:rsidP="00610BD9">
            <w:pPr>
              <w:wordWrap w:val="0"/>
              <w:jc w:val="right"/>
              <w:rPr>
                <w:color w:val="000000"/>
                <w:sz w:val="26"/>
                <w:szCs w:val="26"/>
              </w:rPr>
            </w:pPr>
            <w:r>
              <w:rPr>
                <w:color w:val="000000"/>
                <w:sz w:val="26"/>
                <w:szCs w:val="26"/>
              </w:rPr>
              <w:t>23,874,835</w:t>
            </w:r>
          </w:p>
        </w:tc>
        <w:tc>
          <w:tcPr>
            <w:tcW w:w="1614" w:type="dxa"/>
            <w:vAlign w:val="center"/>
          </w:tcPr>
          <w:p w:rsidR="007972F4" w:rsidRDefault="007972F4" w:rsidP="00610BD9">
            <w:pPr>
              <w:wordWrap w:val="0"/>
              <w:jc w:val="right"/>
              <w:rPr>
                <w:color w:val="000000"/>
                <w:sz w:val="26"/>
                <w:szCs w:val="26"/>
              </w:rPr>
            </w:pPr>
            <w:r>
              <w:rPr>
                <w:rFonts w:hint="eastAsia"/>
                <w:color w:val="000000"/>
                <w:sz w:val="26"/>
                <w:szCs w:val="26"/>
              </w:rPr>
              <w:t>40,356,746</w:t>
            </w:r>
          </w:p>
        </w:tc>
        <w:tc>
          <w:tcPr>
            <w:tcW w:w="1614" w:type="dxa"/>
            <w:vAlign w:val="center"/>
          </w:tcPr>
          <w:p w:rsidR="007972F4" w:rsidRDefault="007972F4" w:rsidP="00697B5D">
            <w:pPr>
              <w:jc w:val="right"/>
              <w:rPr>
                <w:color w:val="000000"/>
                <w:sz w:val="26"/>
                <w:szCs w:val="26"/>
              </w:rPr>
            </w:pPr>
            <w:r>
              <w:rPr>
                <w:rFonts w:hint="eastAsia"/>
                <w:color w:val="000000"/>
                <w:sz w:val="26"/>
                <w:szCs w:val="26"/>
              </w:rPr>
              <w:t>69,381,182</w:t>
            </w:r>
          </w:p>
        </w:tc>
        <w:tc>
          <w:tcPr>
            <w:tcW w:w="1614" w:type="dxa"/>
            <w:vAlign w:val="center"/>
          </w:tcPr>
          <w:p w:rsidR="007972F4" w:rsidRPr="005C11CE" w:rsidRDefault="007972F4" w:rsidP="005C11CE">
            <w:pPr>
              <w:jc w:val="right"/>
              <w:rPr>
                <w:color w:val="000000"/>
                <w:sz w:val="26"/>
                <w:szCs w:val="26"/>
              </w:rPr>
            </w:pPr>
            <w:r w:rsidRPr="005C11CE">
              <w:rPr>
                <w:color w:val="000000"/>
                <w:sz w:val="26"/>
                <w:szCs w:val="26"/>
              </w:rPr>
              <w:t>44,537,588</w:t>
            </w:r>
          </w:p>
        </w:tc>
      </w:tr>
      <w:tr w:rsidR="007972F4" w:rsidRPr="00BB4352" w:rsidTr="005C11CE">
        <w:tc>
          <w:tcPr>
            <w:tcW w:w="1544" w:type="dxa"/>
            <w:vAlign w:val="center"/>
          </w:tcPr>
          <w:p w:rsidR="007972F4" w:rsidRPr="00BB4352" w:rsidRDefault="007972F4" w:rsidP="00FB5369">
            <w:pPr>
              <w:jc w:val="center"/>
              <w:rPr>
                <w:rFonts w:eastAsia="標楷體" w:cs="新細明體"/>
                <w:sz w:val="26"/>
                <w:szCs w:val="26"/>
              </w:rPr>
            </w:pPr>
            <w:r w:rsidRPr="00BB4352">
              <w:rPr>
                <w:rFonts w:eastAsia="標楷體" w:hint="eastAsia"/>
                <w:sz w:val="26"/>
                <w:szCs w:val="26"/>
              </w:rPr>
              <w:t>營業費用</w:t>
            </w:r>
          </w:p>
        </w:tc>
        <w:tc>
          <w:tcPr>
            <w:tcW w:w="1614" w:type="dxa"/>
            <w:vAlign w:val="center"/>
          </w:tcPr>
          <w:p w:rsidR="007972F4" w:rsidRDefault="007972F4" w:rsidP="00610BD9">
            <w:pPr>
              <w:ind w:left="65" w:hangingChars="25" w:hanging="65"/>
              <w:jc w:val="right"/>
              <w:rPr>
                <w:color w:val="000000"/>
                <w:sz w:val="26"/>
                <w:szCs w:val="26"/>
              </w:rPr>
            </w:pPr>
            <w:r>
              <w:rPr>
                <w:rFonts w:hint="eastAsia"/>
                <w:color w:val="000000"/>
                <w:sz w:val="26"/>
                <w:szCs w:val="26"/>
              </w:rPr>
              <w:t xml:space="preserve">22,737,938 </w:t>
            </w:r>
          </w:p>
        </w:tc>
        <w:tc>
          <w:tcPr>
            <w:tcW w:w="1614" w:type="dxa"/>
            <w:vAlign w:val="center"/>
          </w:tcPr>
          <w:p w:rsidR="007972F4" w:rsidRDefault="007972F4">
            <w:pPr>
              <w:jc w:val="right"/>
              <w:rPr>
                <w:color w:val="000000"/>
                <w:sz w:val="26"/>
                <w:szCs w:val="26"/>
              </w:rPr>
            </w:pPr>
            <w:r>
              <w:rPr>
                <w:rFonts w:hint="eastAsia"/>
                <w:color w:val="000000"/>
                <w:sz w:val="26"/>
                <w:szCs w:val="26"/>
              </w:rPr>
              <w:t>38</w:t>
            </w:r>
            <w:r>
              <w:rPr>
                <w:color w:val="000000"/>
                <w:sz w:val="26"/>
                <w:szCs w:val="26"/>
              </w:rPr>
              <w:t>,</w:t>
            </w:r>
            <w:r>
              <w:rPr>
                <w:rFonts w:hint="eastAsia"/>
                <w:color w:val="000000"/>
                <w:sz w:val="26"/>
                <w:szCs w:val="26"/>
              </w:rPr>
              <w:t xml:space="preserve">434 </w:t>
            </w:r>
            <w:r>
              <w:rPr>
                <w:color w:val="000000"/>
                <w:sz w:val="26"/>
                <w:szCs w:val="26"/>
              </w:rPr>
              <w:t>,9</w:t>
            </w:r>
            <w:r>
              <w:rPr>
                <w:rFonts w:hint="eastAsia"/>
                <w:color w:val="000000"/>
                <w:sz w:val="26"/>
                <w:szCs w:val="26"/>
              </w:rPr>
              <w:t>97</w:t>
            </w:r>
          </w:p>
        </w:tc>
        <w:tc>
          <w:tcPr>
            <w:tcW w:w="1614" w:type="dxa"/>
            <w:vAlign w:val="center"/>
          </w:tcPr>
          <w:p w:rsidR="007972F4" w:rsidRDefault="007972F4" w:rsidP="00697B5D">
            <w:pPr>
              <w:jc w:val="right"/>
              <w:rPr>
                <w:color w:val="000000"/>
                <w:sz w:val="26"/>
                <w:szCs w:val="26"/>
              </w:rPr>
            </w:pPr>
            <w:r>
              <w:rPr>
                <w:rFonts w:hint="eastAsia"/>
                <w:color w:val="000000"/>
                <w:sz w:val="26"/>
                <w:szCs w:val="26"/>
              </w:rPr>
              <w:t>66,077,316</w:t>
            </w:r>
          </w:p>
        </w:tc>
        <w:tc>
          <w:tcPr>
            <w:tcW w:w="1614" w:type="dxa"/>
            <w:vAlign w:val="center"/>
          </w:tcPr>
          <w:p w:rsidR="007972F4" w:rsidRPr="005C11CE" w:rsidRDefault="007972F4" w:rsidP="005C11CE">
            <w:pPr>
              <w:jc w:val="right"/>
              <w:rPr>
                <w:color w:val="000000"/>
                <w:sz w:val="26"/>
                <w:szCs w:val="26"/>
              </w:rPr>
            </w:pPr>
            <w:r w:rsidRPr="005C11CE">
              <w:rPr>
                <w:color w:val="000000"/>
                <w:sz w:val="26"/>
                <w:szCs w:val="26"/>
              </w:rPr>
              <w:t>42,416,750</w:t>
            </w:r>
          </w:p>
        </w:tc>
      </w:tr>
      <w:tr w:rsidR="007972F4" w:rsidRPr="00BB4352" w:rsidTr="005C11CE">
        <w:tc>
          <w:tcPr>
            <w:tcW w:w="1544" w:type="dxa"/>
            <w:vAlign w:val="center"/>
          </w:tcPr>
          <w:p w:rsidR="007972F4" w:rsidRPr="00BB4352" w:rsidRDefault="007972F4" w:rsidP="00FB5369">
            <w:pPr>
              <w:jc w:val="center"/>
              <w:rPr>
                <w:rFonts w:eastAsia="標楷體" w:cs="新細明體"/>
                <w:sz w:val="26"/>
                <w:szCs w:val="26"/>
              </w:rPr>
            </w:pPr>
            <w:r w:rsidRPr="00BB4352">
              <w:rPr>
                <w:rFonts w:eastAsia="標楷體" w:hint="eastAsia"/>
                <w:sz w:val="26"/>
                <w:szCs w:val="26"/>
              </w:rPr>
              <w:t>營業淨利</w:t>
            </w:r>
          </w:p>
        </w:tc>
        <w:tc>
          <w:tcPr>
            <w:tcW w:w="1614" w:type="dxa"/>
            <w:vAlign w:val="center"/>
          </w:tcPr>
          <w:p w:rsidR="007972F4" w:rsidRDefault="007972F4" w:rsidP="00610BD9">
            <w:pPr>
              <w:wordWrap w:val="0"/>
              <w:jc w:val="right"/>
              <w:rPr>
                <w:color w:val="000000"/>
                <w:sz w:val="26"/>
                <w:szCs w:val="26"/>
              </w:rPr>
            </w:pPr>
            <w:r>
              <w:rPr>
                <w:rFonts w:hint="eastAsia"/>
                <w:color w:val="000000"/>
                <w:sz w:val="26"/>
                <w:szCs w:val="26"/>
              </w:rPr>
              <w:t>1,136</w:t>
            </w:r>
            <w:r>
              <w:rPr>
                <w:color w:val="000000"/>
                <w:sz w:val="26"/>
                <w:szCs w:val="26"/>
              </w:rPr>
              <w:t>,</w:t>
            </w:r>
            <w:r>
              <w:rPr>
                <w:rFonts w:hint="eastAsia"/>
                <w:color w:val="000000"/>
                <w:sz w:val="26"/>
                <w:szCs w:val="26"/>
              </w:rPr>
              <w:t>897</w:t>
            </w:r>
          </w:p>
        </w:tc>
        <w:tc>
          <w:tcPr>
            <w:tcW w:w="1614" w:type="dxa"/>
            <w:vAlign w:val="center"/>
          </w:tcPr>
          <w:p w:rsidR="007972F4" w:rsidRDefault="007972F4" w:rsidP="00610BD9">
            <w:pPr>
              <w:wordWrap w:val="0"/>
              <w:jc w:val="right"/>
              <w:rPr>
                <w:color w:val="000000"/>
                <w:sz w:val="26"/>
                <w:szCs w:val="26"/>
              </w:rPr>
            </w:pPr>
            <w:r>
              <w:rPr>
                <w:color w:val="000000"/>
                <w:sz w:val="26"/>
                <w:szCs w:val="26"/>
              </w:rPr>
              <w:t>1,</w:t>
            </w:r>
            <w:r>
              <w:rPr>
                <w:rFonts w:hint="eastAsia"/>
                <w:color w:val="000000"/>
                <w:sz w:val="26"/>
                <w:szCs w:val="26"/>
              </w:rPr>
              <w:t>921</w:t>
            </w:r>
            <w:r>
              <w:rPr>
                <w:color w:val="000000"/>
                <w:sz w:val="26"/>
                <w:szCs w:val="26"/>
              </w:rPr>
              <w:t>,</w:t>
            </w:r>
            <w:r>
              <w:rPr>
                <w:rFonts w:hint="eastAsia"/>
                <w:color w:val="000000"/>
                <w:sz w:val="26"/>
                <w:szCs w:val="26"/>
              </w:rPr>
              <w:t>749</w:t>
            </w:r>
          </w:p>
        </w:tc>
        <w:tc>
          <w:tcPr>
            <w:tcW w:w="1614" w:type="dxa"/>
            <w:vAlign w:val="center"/>
          </w:tcPr>
          <w:p w:rsidR="007972F4" w:rsidRDefault="007972F4" w:rsidP="007972F4">
            <w:pPr>
              <w:jc w:val="right"/>
              <w:rPr>
                <w:color w:val="000000"/>
                <w:sz w:val="26"/>
                <w:szCs w:val="26"/>
              </w:rPr>
            </w:pPr>
            <w:r>
              <w:rPr>
                <w:rFonts w:hint="eastAsia"/>
                <w:color w:val="000000"/>
                <w:sz w:val="26"/>
                <w:szCs w:val="26"/>
              </w:rPr>
              <w:t>3,303,866</w:t>
            </w:r>
          </w:p>
        </w:tc>
        <w:tc>
          <w:tcPr>
            <w:tcW w:w="1614" w:type="dxa"/>
            <w:vAlign w:val="center"/>
          </w:tcPr>
          <w:p w:rsidR="007972F4" w:rsidRPr="005C11CE" w:rsidRDefault="007972F4" w:rsidP="005C11CE">
            <w:pPr>
              <w:jc w:val="right"/>
              <w:rPr>
                <w:color w:val="000000"/>
                <w:sz w:val="26"/>
                <w:szCs w:val="26"/>
              </w:rPr>
            </w:pPr>
            <w:r w:rsidRPr="005C11CE">
              <w:rPr>
                <w:color w:val="000000"/>
                <w:sz w:val="26"/>
                <w:szCs w:val="26"/>
              </w:rPr>
              <w:t>2,120,837</w:t>
            </w:r>
          </w:p>
        </w:tc>
      </w:tr>
      <w:tr w:rsidR="007972F4" w:rsidRPr="00BB4352" w:rsidTr="005C11CE">
        <w:tc>
          <w:tcPr>
            <w:tcW w:w="1544" w:type="dxa"/>
            <w:vAlign w:val="center"/>
          </w:tcPr>
          <w:p w:rsidR="007972F4" w:rsidRDefault="007972F4" w:rsidP="00FB5369">
            <w:pPr>
              <w:jc w:val="center"/>
              <w:rPr>
                <w:rFonts w:eastAsia="標楷體"/>
                <w:sz w:val="26"/>
                <w:szCs w:val="26"/>
              </w:rPr>
            </w:pPr>
            <w:r w:rsidRPr="00DD330C">
              <w:rPr>
                <w:rFonts w:eastAsia="標楷體" w:hint="eastAsia"/>
                <w:sz w:val="26"/>
                <w:szCs w:val="26"/>
              </w:rPr>
              <w:t>成本及營業</w:t>
            </w:r>
          </w:p>
          <w:p w:rsidR="007972F4" w:rsidRPr="00DD330C" w:rsidRDefault="007972F4" w:rsidP="00FB5369">
            <w:pPr>
              <w:jc w:val="center"/>
              <w:rPr>
                <w:rFonts w:eastAsia="標楷體"/>
                <w:sz w:val="26"/>
                <w:szCs w:val="26"/>
              </w:rPr>
            </w:pPr>
            <w:r w:rsidRPr="00DD330C">
              <w:rPr>
                <w:rFonts w:eastAsia="標楷體" w:hint="eastAsia"/>
                <w:sz w:val="26"/>
                <w:szCs w:val="26"/>
              </w:rPr>
              <w:t>費用淨利率</w:t>
            </w:r>
          </w:p>
        </w:tc>
        <w:tc>
          <w:tcPr>
            <w:tcW w:w="1614" w:type="dxa"/>
            <w:vAlign w:val="center"/>
          </w:tcPr>
          <w:p w:rsidR="007972F4" w:rsidRDefault="007972F4">
            <w:pPr>
              <w:jc w:val="right"/>
              <w:rPr>
                <w:color w:val="000000"/>
                <w:sz w:val="26"/>
                <w:szCs w:val="26"/>
              </w:rPr>
            </w:pPr>
            <w:r>
              <w:rPr>
                <w:color w:val="000000"/>
                <w:sz w:val="26"/>
                <w:szCs w:val="26"/>
              </w:rPr>
              <w:t>5.00%</w:t>
            </w:r>
          </w:p>
        </w:tc>
        <w:tc>
          <w:tcPr>
            <w:tcW w:w="1614" w:type="dxa"/>
            <w:vAlign w:val="center"/>
          </w:tcPr>
          <w:p w:rsidR="007972F4" w:rsidRDefault="007972F4">
            <w:pPr>
              <w:jc w:val="right"/>
              <w:rPr>
                <w:color w:val="000000"/>
                <w:sz w:val="26"/>
                <w:szCs w:val="26"/>
              </w:rPr>
            </w:pPr>
            <w:r>
              <w:rPr>
                <w:color w:val="000000"/>
                <w:sz w:val="26"/>
                <w:szCs w:val="26"/>
              </w:rPr>
              <w:t>5.00%</w:t>
            </w:r>
          </w:p>
        </w:tc>
        <w:tc>
          <w:tcPr>
            <w:tcW w:w="1614" w:type="dxa"/>
            <w:vAlign w:val="center"/>
          </w:tcPr>
          <w:p w:rsidR="007972F4" w:rsidRDefault="007972F4">
            <w:pPr>
              <w:jc w:val="right"/>
              <w:rPr>
                <w:color w:val="000000"/>
                <w:sz w:val="26"/>
                <w:szCs w:val="26"/>
              </w:rPr>
            </w:pPr>
            <w:r>
              <w:rPr>
                <w:color w:val="000000"/>
                <w:sz w:val="26"/>
                <w:szCs w:val="26"/>
              </w:rPr>
              <w:t>5.00%</w:t>
            </w:r>
          </w:p>
        </w:tc>
        <w:tc>
          <w:tcPr>
            <w:tcW w:w="1614" w:type="dxa"/>
            <w:vAlign w:val="center"/>
          </w:tcPr>
          <w:p w:rsidR="007972F4" w:rsidRPr="005C11CE" w:rsidRDefault="007972F4" w:rsidP="005C11CE">
            <w:pPr>
              <w:jc w:val="right"/>
              <w:rPr>
                <w:color w:val="000000"/>
                <w:sz w:val="26"/>
                <w:szCs w:val="26"/>
              </w:rPr>
            </w:pPr>
            <w:r w:rsidRPr="005C11CE">
              <w:rPr>
                <w:color w:val="000000"/>
                <w:sz w:val="26"/>
                <w:szCs w:val="26"/>
              </w:rPr>
              <w:t>5.00%</w:t>
            </w:r>
          </w:p>
        </w:tc>
      </w:tr>
    </w:tbl>
    <w:p w:rsidR="00DE7202" w:rsidRDefault="00F9092E" w:rsidP="001719B7">
      <w:pPr>
        <w:pStyle w:val="2"/>
        <w:numPr>
          <w:ilvl w:val="1"/>
          <w:numId w:val="17"/>
        </w:numPr>
        <w:tabs>
          <w:tab w:val="left" w:pos="756"/>
        </w:tabs>
        <w:spacing w:beforeLines="100" w:before="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評估受控交易</w:t>
      </w:r>
      <w:r w:rsidRPr="00EA272E">
        <w:rPr>
          <w:rFonts w:ascii="Times New Roman" w:eastAsia="標楷體" w:hAnsi="Times New Roman" w:hint="eastAsia"/>
          <w:sz w:val="36"/>
          <w:szCs w:val="40"/>
        </w:rPr>
        <w:t>之常規交易</w:t>
      </w:r>
      <w:r w:rsidRPr="00EA272E">
        <w:rPr>
          <w:rFonts w:ascii="Times New Roman" w:eastAsia="標楷體" w:hAnsi="Times New Roman"/>
          <w:sz w:val="36"/>
          <w:szCs w:val="40"/>
        </w:rPr>
        <w:t>結果</w:t>
      </w:r>
    </w:p>
    <w:p w:rsidR="00DE7202" w:rsidRDefault="00F9092E" w:rsidP="001719B7">
      <w:pPr>
        <w:pStyle w:val="3"/>
        <w:numPr>
          <w:ilvl w:val="0"/>
          <w:numId w:val="32"/>
        </w:numPr>
        <w:tabs>
          <w:tab w:val="clear" w:pos="1190"/>
          <w:tab w:val="num" w:pos="720"/>
        </w:tabs>
        <w:spacing w:beforeLines="50" w:before="120" w:line="360" w:lineRule="auto"/>
        <w:ind w:left="1191" w:hanging="953"/>
        <w:jc w:val="both"/>
        <w:rPr>
          <w:rFonts w:ascii="Times New Roman" w:eastAsia="標楷體" w:hAnsi="Times New Roman"/>
          <w:sz w:val="32"/>
          <w:szCs w:val="26"/>
        </w:rPr>
      </w:pPr>
      <w:r w:rsidRPr="00D92058">
        <w:rPr>
          <w:rFonts w:ascii="Times New Roman" w:eastAsia="標楷體" w:hAnsi="Times New Roman" w:hint="eastAsia"/>
          <w:sz w:val="32"/>
          <w:szCs w:val="26"/>
        </w:rPr>
        <w:t>服務之提供</w:t>
      </w:r>
    </w:p>
    <w:p w:rsidR="00151BE3" w:rsidRDefault="00AA1621" w:rsidP="001719B7">
      <w:pPr>
        <w:spacing w:beforeLines="50" w:before="120" w:afterLines="50" w:after="120" w:line="360" w:lineRule="auto"/>
        <w:ind w:leftChars="200" w:left="480" w:firstLineChars="200" w:firstLine="520"/>
        <w:jc w:val="both"/>
        <w:rPr>
          <w:rFonts w:eastAsia="標楷體"/>
          <w:color w:val="000000" w:themeColor="text1"/>
          <w:sz w:val="26"/>
          <w:szCs w:val="26"/>
        </w:rPr>
      </w:pPr>
      <w:r w:rsidRPr="00AA1621">
        <w:rPr>
          <w:rFonts w:eastAsia="標楷體" w:hint="eastAsia"/>
          <w:color w:val="000000" w:themeColor="text1"/>
          <w:sz w:val="26"/>
          <w:szCs w:val="26"/>
        </w:rPr>
        <w:t>萊迪</w:t>
      </w:r>
      <w:r w:rsidR="003A761B" w:rsidRPr="00C726AF">
        <w:rPr>
          <w:rFonts w:eastAsia="標楷體" w:hint="eastAsia"/>
          <w:color w:val="000000" w:themeColor="text1"/>
          <w:sz w:val="26"/>
          <w:szCs w:val="26"/>
        </w:rPr>
        <w:t>思台灣分公司</w:t>
      </w:r>
      <w:r w:rsidR="00526ABF" w:rsidRPr="003A177C">
        <w:rPr>
          <w:rFonts w:eastAsia="標楷體"/>
          <w:color w:val="000000" w:themeColor="text1"/>
          <w:sz w:val="26"/>
          <w:szCs w:val="26"/>
        </w:rPr>
        <w:t>10</w:t>
      </w:r>
      <w:r w:rsidR="00394D74" w:rsidRPr="003A177C">
        <w:rPr>
          <w:rFonts w:eastAsia="標楷體"/>
          <w:color w:val="000000" w:themeColor="text1"/>
          <w:sz w:val="26"/>
          <w:szCs w:val="26"/>
        </w:rPr>
        <w:t>3</w:t>
      </w:r>
      <w:r w:rsidR="002909D2" w:rsidRPr="003A177C">
        <w:rPr>
          <w:rFonts w:eastAsia="標楷體"/>
          <w:color w:val="000000" w:themeColor="text1"/>
          <w:sz w:val="26"/>
          <w:szCs w:val="26"/>
        </w:rPr>
        <w:t>~</w:t>
      </w:r>
      <w:proofErr w:type="gramStart"/>
      <w:r w:rsidR="002909D2" w:rsidRPr="003A177C">
        <w:rPr>
          <w:rFonts w:eastAsia="標楷體"/>
          <w:color w:val="000000" w:themeColor="text1"/>
          <w:sz w:val="26"/>
          <w:szCs w:val="26"/>
        </w:rPr>
        <w:t>10</w:t>
      </w:r>
      <w:r w:rsidR="00394D74" w:rsidRPr="003A177C">
        <w:rPr>
          <w:rFonts w:eastAsia="標楷體"/>
          <w:color w:val="000000" w:themeColor="text1"/>
          <w:sz w:val="26"/>
          <w:szCs w:val="26"/>
        </w:rPr>
        <w:t>5</w:t>
      </w:r>
      <w:proofErr w:type="gramEnd"/>
      <w:r w:rsidR="00F9092E" w:rsidRPr="00C726AF">
        <w:rPr>
          <w:rFonts w:eastAsia="標楷體" w:hint="eastAsia"/>
          <w:color w:val="000000" w:themeColor="text1"/>
          <w:sz w:val="26"/>
          <w:szCs w:val="26"/>
        </w:rPr>
        <w:t>年度提供</w:t>
      </w:r>
      <w:r w:rsidR="00076291" w:rsidRPr="00C726AF">
        <w:rPr>
          <w:rFonts w:eastAsia="標楷體"/>
          <w:color w:val="000000" w:themeColor="text1"/>
          <w:sz w:val="26"/>
          <w:szCs w:val="26"/>
        </w:rPr>
        <w:t>關係企業</w:t>
      </w:r>
      <w:r w:rsidR="00265084" w:rsidRPr="00C726AF">
        <w:rPr>
          <w:rFonts w:eastAsia="標楷體" w:hint="eastAsia"/>
          <w:color w:val="000000" w:themeColor="text1"/>
          <w:sz w:val="26"/>
          <w:szCs w:val="26"/>
        </w:rPr>
        <w:t>行銷、產品諮詢、產品維修保養及售後服務</w:t>
      </w:r>
      <w:r w:rsidR="00F9092E" w:rsidRPr="00C726AF">
        <w:rPr>
          <w:rFonts w:eastAsia="標楷體" w:hint="eastAsia"/>
          <w:color w:val="000000" w:themeColor="text1"/>
          <w:sz w:val="26"/>
          <w:szCs w:val="26"/>
        </w:rPr>
        <w:t>，</w:t>
      </w:r>
      <w:r w:rsidR="00265084" w:rsidRPr="003A177C">
        <w:rPr>
          <w:rFonts w:eastAsia="標楷體" w:hint="eastAsia"/>
          <w:color w:val="000000" w:themeColor="text1"/>
          <w:sz w:val="26"/>
          <w:szCs w:val="26"/>
        </w:rPr>
        <w:t>平均成本及營業費用淨利率</w:t>
      </w:r>
      <w:r w:rsidR="00DF6FF9" w:rsidRPr="003A177C">
        <w:rPr>
          <w:rFonts w:eastAsia="標楷體"/>
          <w:color w:val="000000" w:themeColor="text1"/>
          <w:sz w:val="26"/>
          <w:szCs w:val="26"/>
        </w:rPr>
        <w:t>5.00</w:t>
      </w:r>
      <w:r w:rsidR="00265084" w:rsidRPr="003A177C">
        <w:rPr>
          <w:rFonts w:eastAsia="標楷體"/>
          <w:color w:val="000000" w:themeColor="text1"/>
          <w:sz w:val="26"/>
          <w:szCs w:val="26"/>
        </w:rPr>
        <w:t>%</w:t>
      </w:r>
      <w:r w:rsidR="00265084" w:rsidRPr="003A177C">
        <w:rPr>
          <w:rFonts w:eastAsia="標楷體" w:hint="eastAsia"/>
          <w:color w:val="000000" w:themeColor="text1"/>
          <w:sz w:val="26"/>
          <w:szCs w:val="26"/>
        </w:rPr>
        <w:t>，</w:t>
      </w:r>
      <w:r w:rsidR="00265084" w:rsidRPr="00C726AF">
        <w:rPr>
          <w:rFonts w:eastAsia="標楷體" w:hint="eastAsia"/>
          <w:color w:val="000000" w:themeColor="text1"/>
          <w:sz w:val="26"/>
          <w:szCs w:val="26"/>
        </w:rPr>
        <w:t>落於</w:t>
      </w:r>
      <w:r w:rsidRPr="00AA1621">
        <w:rPr>
          <w:rFonts w:eastAsia="標楷體"/>
          <w:color w:val="000000" w:themeColor="text1"/>
          <w:sz w:val="26"/>
          <w:szCs w:val="26"/>
        </w:rPr>
        <w:t>ONESOURCE</w:t>
      </w:r>
      <w:r w:rsidRPr="00AA1621">
        <w:rPr>
          <w:rFonts w:eastAsia="標楷體" w:hint="eastAsia"/>
          <w:color w:val="000000" w:themeColor="text1"/>
          <w:sz w:val="26"/>
          <w:szCs w:val="26"/>
        </w:rPr>
        <w:t>資料庫</w:t>
      </w:r>
      <w:proofErr w:type="gramStart"/>
      <w:r w:rsidRPr="00AA1621">
        <w:rPr>
          <w:rFonts w:eastAsia="標楷體" w:hint="eastAsia"/>
          <w:color w:val="000000" w:themeColor="text1"/>
          <w:sz w:val="26"/>
          <w:szCs w:val="26"/>
        </w:rPr>
        <w:t>所選可比較</w:t>
      </w:r>
      <w:proofErr w:type="gramEnd"/>
      <w:r w:rsidRPr="00AA1621">
        <w:rPr>
          <w:rFonts w:eastAsia="標楷體" w:hint="eastAsia"/>
          <w:color w:val="000000" w:themeColor="text1"/>
          <w:sz w:val="26"/>
          <w:szCs w:val="26"/>
        </w:rPr>
        <w:t>對象</w:t>
      </w:r>
      <w:r w:rsidR="00265084" w:rsidRPr="00C726AF">
        <w:rPr>
          <w:rFonts w:eastAsia="標楷體" w:hint="eastAsia"/>
          <w:color w:val="000000" w:themeColor="text1"/>
          <w:sz w:val="26"/>
          <w:szCs w:val="26"/>
        </w:rPr>
        <w:t>常規交易範</w:t>
      </w:r>
      <w:r w:rsidR="00265084" w:rsidRPr="003A177C">
        <w:rPr>
          <w:rFonts w:eastAsia="標楷體" w:hint="eastAsia"/>
          <w:color w:val="000000" w:themeColor="text1"/>
          <w:sz w:val="26"/>
          <w:szCs w:val="26"/>
        </w:rPr>
        <w:t>圍</w:t>
      </w:r>
      <w:r w:rsidR="003A177C" w:rsidRPr="00610BD9">
        <w:rPr>
          <w:rFonts w:eastAsia="標楷體"/>
          <w:color w:val="000000" w:themeColor="text1"/>
          <w:sz w:val="26"/>
          <w:szCs w:val="26"/>
        </w:rPr>
        <w:t>4.31</w:t>
      </w:r>
      <w:r w:rsidR="003A177C">
        <w:rPr>
          <w:rFonts w:eastAsia="標楷體" w:hint="eastAsia"/>
          <w:color w:val="000000" w:themeColor="text1"/>
          <w:sz w:val="26"/>
          <w:szCs w:val="26"/>
        </w:rPr>
        <w:t>%</w:t>
      </w:r>
      <w:r w:rsidR="00C64750" w:rsidRPr="003A177C">
        <w:rPr>
          <w:rFonts w:eastAsia="標楷體" w:hint="eastAsia"/>
          <w:color w:val="000000" w:themeColor="text1"/>
          <w:sz w:val="26"/>
          <w:szCs w:val="26"/>
        </w:rPr>
        <w:t>～</w:t>
      </w:r>
      <w:r w:rsidR="002909D2" w:rsidRPr="003A177C">
        <w:rPr>
          <w:rFonts w:eastAsia="標楷體"/>
          <w:color w:val="000000" w:themeColor="text1"/>
          <w:sz w:val="26"/>
          <w:szCs w:val="26"/>
        </w:rPr>
        <w:t>8.</w:t>
      </w:r>
      <w:r w:rsidR="003A177C" w:rsidRPr="00610BD9">
        <w:rPr>
          <w:rFonts w:eastAsia="標楷體"/>
          <w:color w:val="000000" w:themeColor="text1"/>
          <w:sz w:val="26"/>
          <w:szCs w:val="26"/>
        </w:rPr>
        <w:t>80</w:t>
      </w:r>
      <w:r w:rsidR="00C64750" w:rsidRPr="003A177C">
        <w:rPr>
          <w:rFonts w:eastAsia="標楷體"/>
          <w:color w:val="000000" w:themeColor="text1"/>
          <w:sz w:val="26"/>
          <w:szCs w:val="26"/>
        </w:rPr>
        <w:t>%</w:t>
      </w:r>
      <w:r w:rsidR="00265084" w:rsidRPr="003A177C">
        <w:rPr>
          <w:rFonts w:eastAsia="標楷體" w:hint="eastAsia"/>
          <w:color w:val="000000" w:themeColor="text1"/>
          <w:sz w:val="26"/>
          <w:szCs w:val="26"/>
        </w:rPr>
        <w:t>內</w:t>
      </w:r>
      <w:r w:rsidR="00F9092E" w:rsidRPr="003A177C">
        <w:rPr>
          <w:rFonts w:eastAsia="標楷體" w:hint="eastAsia"/>
          <w:color w:val="000000" w:themeColor="text1"/>
          <w:sz w:val="26"/>
          <w:szCs w:val="26"/>
        </w:rPr>
        <w:t>，推</w:t>
      </w:r>
      <w:r w:rsidR="00F9092E" w:rsidRPr="00C726AF">
        <w:rPr>
          <w:rFonts w:eastAsia="標楷體" w:hint="eastAsia"/>
          <w:color w:val="000000" w:themeColor="text1"/>
          <w:sz w:val="26"/>
          <w:szCs w:val="26"/>
        </w:rPr>
        <w:t>論</w:t>
      </w:r>
      <w:r w:rsidR="003A761B" w:rsidRPr="00C726AF">
        <w:rPr>
          <w:rFonts w:eastAsia="標楷體" w:hint="eastAsia"/>
          <w:color w:val="000000" w:themeColor="text1"/>
          <w:sz w:val="26"/>
          <w:szCs w:val="26"/>
        </w:rPr>
        <w:t>萊迪思台灣分公司</w:t>
      </w:r>
      <w:r w:rsidR="002909D2" w:rsidRPr="00C726AF">
        <w:rPr>
          <w:rFonts w:eastAsia="標楷體" w:hint="eastAsia"/>
          <w:color w:val="000000" w:themeColor="text1"/>
          <w:sz w:val="26"/>
          <w:szCs w:val="26"/>
        </w:rPr>
        <w:t>10</w:t>
      </w:r>
      <w:r w:rsidR="00394D74">
        <w:rPr>
          <w:rFonts w:eastAsia="標楷體" w:hint="eastAsia"/>
          <w:color w:val="000000" w:themeColor="text1"/>
          <w:sz w:val="26"/>
          <w:szCs w:val="26"/>
        </w:rPr>
        <w:t>5</w:t>
      </w:r>
      <w:r w:rsidR="00F9092E" w:rsidRPr="00C726AF">
        <w:rPr>
          <w:rFonts w:eastAsia="標楷體" w:hint="eastAsia"/>
          <w:color w:val="000000" w:themeColor="text1"/>
          <w:sz w:val="26"/>
          <w:szCs w:val="26"/>
        </w:rPr>
        <w:t>會計年度該受控交易之移轉訂價符合常規。</w:t>
      </w:r>
    </w:p>
    <w:p w:rsidR="00DE7202" w:rsidRDefault="00DE7202" w:rsidP="001719B7">
      <w:pPr>
        <w:tabs>
          <w:tab w:val="left" w:pos="1134"/>
        </w:tabs>
        <w:spacing w:beforeLines="50" w:before="120" w:afterLines="50" w:after="120" w:line="360" w:lineRule="auto"/>
        <w:jc w:val="both"/>
        <w:rPr>
          <w:rFonts w:eastAsia="標楷體"/>
          <w:sz w:val="26"/>
          <w:szCs w:val="26"/>
        </w:rPr>
      </w:pPr>
    </w:p>
    <w:p w:rsidR="00F9092E" w:rsidRPr="0068427C" w:rsidRDefault="00F9092E" w:rsidP="001719B7">
      <w:pPr>
        <w:tabs>
          <w:tab w:val="left" w:pos="1134"/>
        </w:tabs>
        <w:spacing w:beforeLines="50" w:before="120" w:afterLines="50" w:after="120" w:line="360" w:lineRule="auto"/>
        <w:jc w:val="both"/>
        <w:rPr>
          <w:rFonts w:eastAsia="標楷體"/>
          <w:b/>
          <w:sz w:val="28"/>
          <w:szCs w:val="26"/>
        </w:rPr>
        <w:sectPr w:rsidR="00F9092E" w:rsidRPr="0068427C" w:rsidSect="000223C9">
          <w:type w:val="oddPage"/>
          <w:pgSz w:w="11906" w:h="16838" w:code="9"/>
          <w:pgMar w:top="2160" w:right="1440" w:bottom="1814" w:left="1440" w:header="851" w:footer="567" w:gutter="567"/>
          <w:cols w:space="425"/>
          <w:docGrid w:linePitch="360"/>
        </w:sectPr>
      </w:pPr>
    </w:p>
    <w:p w:rsidR="00EC5E5A" w:rsidRPr="00EA272E" w:rsidRDefault="00EE4220" w:rsidP="00EC5E5A">
      <w:pPr>
        <w:pStyle w:val="1"/>
        <w:numPr>
          <w:ilvl w:val="0"/>
          <w:numId w:val="0"/>
        </w:numPr>
        <w:spacing w:before="0" w:after="0" w:line="240" w:lineRule="auto"/>
        <w:jc w:val="right"/>
        <w:rPr>
          <w:rFonts w:ascii="Times New Roman" w:eastAsia="標楷體" w:hAnsi="Times New Roman"/>
          <w:sz w:val="48"/>
          <w:szCs w:val="48"/>
        </w:rPr>
      </w:pPr>
      <w:bookmarkStart w:id="83" w:name="_Toc253154521"/>
      <w:bookmarkStart w:id="84" w:name="_Toc253154589"/>
      <w:bookmarkStart w:id="85" w:name="_Toc272326020"/>
      <w:bookmarkStart w:id="86" w:name="_Toc272326648"/>
      <w:bookmarkStart w:id="87" w:name="_Toc272326827"/>
      <w:bookmarkStart w:id="88" w:name="_Toc275960660"/>
      <w:r>
        <w:rPr>
          <w:rFonts w:ascii="Times New Roman" w:eastAsia="標楷體" w:hAnsi="Times New Roman"/>
          <w:noProof/>
          <w:sz w:val="48"/>
          <w:szCs w:val="48"/>
        </w:rPr>
        <w:lastRenderedPageBreak/>
        <mc:AlternateContent>
          <mc:Choice Requires="wps">
            <w:drawing>
              <wp:anchor distT="0" distB="0" distL="114300" distR="114300" simplePos="0" relativeHeight="251660288" behindDoc="0" locked="0" layoutInCell="1" allowOverlap="1" wp14:anchorId="20B568F3" wp14:editId="6A8803DF">
                <wp:simplePos x="0" y="0"/>
                <wp:positionH relativeFrom="column">
                  <wp:posOffset>4648200</wp:posOffset>
                </wp:positionH>
                <wp:positionV relativeFrom="paragraph">
                  <wp:posOffset>0</wp:posOffset>
                </wp:positionV>
                <wp:extent cx="720090" cy="720090"/>
                <wp:effectExtent l="0" t="0" r="22860" b="22860"/>
                <wp:wrapNone/>
                <wp:docPr id="6"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7B5D" w:rsidRPr="0068427C" w:rsidRDefault="00697B5D"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61" type="#_x0000_t202" style="position:absolute;left:0;text-align:left;margin-left:366pt;margin-top:0;width:56.7pt;height:5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">
                <v:textbox>
                  <w:txbxContent>
                    <w:p w:rsidR="00697B5D" w:rsidRPr="0068427C" w:rsidRDefault="00697B5D"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83"/>
      <w:bookmarkEnd w:id="84"/>
      <w:bookmarkEnd w:id="85"/>
      <w:bookmarkEnd w:id="86"/>
      <w:bookmarkEnd w:id="87"/>
      <w:bookmarkEnd w:id="88"/>
    </w:p>
    <w:p w:rsidR="00EC5E5A" w:rsidRPr="00EA272E" w:rsidRDefault="00EC5E5A" w:rsidP="00EC5E5A">
      <w:pPr>
        <w:jc w:val="right"/>
        <w:rPr>
          <w:rFonts w:eastAsia="標楷體"/>
        </w:rPr>
      </w:pPr>
    </w:p>
    <w:p w:rsidR="00EC5E5A" w:rsidRPr="00EA272E" w:rsidRDefault="00EC5E5A" w:rsidP="00EC5E5A">
      <w:pPr>
        <w:jc w:val="right"/>
        <w:rPr>
          <w:rFonts w:eastAsia="標楷體"/>
        </w:rPr>
      </w:pPr>
    </w:p>
    <w:p w:rsidR="00567251" w:rsidRPr="000E26E4" w:rsidRDefault="00F9092E" w:rsidP="00C9728A">
      <w:pPr>
        <w:pStyle w:val="1"/>
        <w:numPr>
          <w:ilvl w:val="0"/>
          <w:numId w:val="29"/>
        </w:numPr>
        <w:spacing w:before="100" w:beforeAutospacing="1" w:after="100" w:afterAutospacing="1" w:line="360" w:lineRule="auto"/>
        <w:ind w:rightChars="-19" w:right="-46"/>
        <w:jc w:val="center"/>
        <w:rPr>
          <w:rFonts w:ascii="Times New Roman" w:eastAsia="標楷體" w:hAnsi="Times New Roman"/>
          <w:sz w:val="44"/>
          <w:szCs w:val="46"/>
        </w:rPr>
      </w:pPr>
      <w:bookmarkStart w:id="89" w:name="_Toc359935475"/>
      <w:bookmarkStart w:id="90" w:name="OLE_LINK1"/>
      <w:r w:rsidRPr="000E26E4">
        <w:rPr>
          <w:rFonts w:ascii="Times New Roman" w:eastAsia="標楷體" w:hAnsi="Times New Roman" w:hint="eastAsia"/>
          <w:sz w:val="44"/>
          <w:szCs w:val="46"/>
        </w:rPr>
        <w:t>結論</w:t>
      </w:r>
      <w:bookmarkStart w:id="91" w:name="_GoBack"/>
      <w:bookmarkEnd w:id="89"/>
      <w:bookmarkEnd w:id="91"/>
    </w:p>
    <w:p w:rsidR="00DE7202" w:rsidRDefault="00F9092E" w:rsidP="001719B7">
      <w:pPr>
        <w:spacing w:before="100" w:beforeAutospacing="1" w:afterLines="50" w:after="120" w:line="360" w:lineRule="auto"/>
        <w:ind w:firstLineChars="200" w:firstLine="520"/>
        <w:rPr>
          <w:rFonts w:eastAsia="標楷體"/>
          <w:sz w:val="26"/>
          <w:szCs w:val="26"/>
        </w:rPr>
      </w:pPr>
      <w:bookmarkStart w:id="92" w:name="_Toc166242748"/>
      <w:bookmarkEnd w:id="90"/>
      <w:r w:rsidRPr="00CA51EF">
        <w:rPr>
          <w:rFonts w:eastAsia="標楷體"/>
          <w:sz w:val="26"/>
          <w:szCs w:val="26"/>
        </w:rPr>
        <w:t>本</w:t>
      </w:r>
      <w:r w:rsidR="000E26E4" w:rsidRPr="00CA51EF">
        <w:rPr>
          <w:rFonts w:eastAsia="標楷體" w:hint="eastAsia"/>
          <w:sz w:val="26"/>
          <w:szCs w:val="26"/>
        </w:rPr>
        <w:t>文據</w:t>
      </w:r>
      <w:r w:rsidRPr="00CA51EF">
        <w:rPr>
          <w:rFonts w:eastAsia="標楷體"/>
          <w:sz w:val="26"/>
          <w:szCs w:val="26"/>
        </w:rPr>
        <w:t>結論之正確性，端賴</w:t>
      </w:r>
      <w:r w:rsidR="003A761B" w:rsidRPr="00CA51EF">
        <w:rPr>
          <w:rFonts w:eastAsia="標楷體" w:hint="eastAsia"/>
          <w:sz w:val="26"/>
          <w:szCs w:val="26"/>
        </w:rPr>
        <w:t>萊迪思台灣分公司</w:t>
      </w:r>
      <w:r w:rsidRPr="00CA51EF">
        <w:rPr>
          <w:rFonts w:eastAsia="標楷體"/>
          <w:sz w:val="26"/>
          <w:szCs w:val="26"/>
        </w:rPr>
        <w:t>管理當局提供資料之正確性，以及本所對其與各</w:t>
      </w:r>
      <w:proofErr w:type="gramStart"/>
      <w:r w:rsidRPr="00CA51EF">
        <w:rPr>
          <w:rFonts w:eastAsia="標楷體"/>
          <w:sz w:val="26"/>
          <w:szCs w:val="26"/>
        </w:rPr>
        <w:t>關係企業間受控</w:t>
      </w:r>
      <w:proofErr w:type="gramEnd"/>
      <w:r w:rsidRPr="00CA51EF">
        <w:rPr>
          <w:rFonts w:eastAsia="標楷體"/>
          <w:sz w:val="26"/>
          <w:szCs w:val="26"/>
        </w:rPr>
        <w:t>交易之充分瞭解而得致。</w:t>
      </w:r>
    </w:p>
    <w:p w:rsidR="00DE7202" w:rsidRDefault="00F9092E" w:rsidP="001719B7">
      <w:pPr>
        <w:spacing w:beforeLines="50" w:before="120" w:afterLines="50" w:after="120" w:line="360" w:lineRule="auto"/>
        <w:ind w:firstLineChars="200" w:firstLine="520"/>
        <w:rPr>
          <w:rFonts w:eastAsia="標楷體"/>
          <w:sz w:val="26"/>
          <w:szCs w:val="26"/>
        </w:rPr>
      </w:pPr>
      <w:r w:rsidRPr="00CA51EF">
        <w:rPr>
          <w:rFonts w:eastAsia="標楷體"/>
          <w:sz w:val="26"/>
          <w:szCs w:val="26"/>
        </w:rPr>
        <w:t>本所</w:t>
      </w:r>
      <w:r w:rsidRPr="00CA51EF">
        <w:rPr>
          <w:rFonts w:eastAsia="標楷體" w:hint="eastAsia"/>
          <w:sz w:val="26"/>
          <w:szCs w:val="26"/>
        </w:rPr>
        <w:t>於本</w:t>
      </w:r>
      <w:r w:rsidR="000E26E4" w:rsidRPr="00CA51EF">
        <w:rPr>
          <w:rFonts w:eastAsia="標楷體" w:hint="eastAsia"/>
          <w:sz w:val="26"/>
          <w:szCs w:val="26"/>
        </w:rPr>
        <w:t>文據</w:t>
      </w:r>
      <w:r w:rsidRPr="00CA51EF">
        <w:rPr>
          <w:rFonts w:eastAsia="標楷體" w:hint="eastAsia"/>
          <w:sz w:val="26"/>
          <w:szCs w:val="26"/>
        </w:rPr>
        <w:t>中</w:t>
      </w:r>
      <w:r w:rsidRPr="00CA51EF">
        <w:rPr>
          <w:rFonts w:eastAsia="標楷體"/>
          <w:sz w:val="26"/>
          <w:szCs w:val="26"/>
        </w:rPr>
        <w:t>採用</w:t>
      </w:r>
      <w:r w:rsidRPr="00CA51EF">
        <w:rPr>
          <w:rFonts w:eastAsia="標楷體" w:hint="eastAsia"/>
          <w:sz w:val="26"/>
          <w:szCs w:val="26"/>
        </w:rPr>
        <w:t>之</w:t>
      </w:r>
      <w:r w:rsidRPr="00CA51EF">
        <w:rPr>
          <w:rFonts w:eastAsia="標楷體"/>
          <w:sz w:val="26"/>
          <w:szCs w:val="26"/>
        </w:rPr>
        <w:t>可比較對象皆來自獨立且可驗證之來源，</w:t>
      </w:r>
      <w:r w:rsidRPr="00CA51EF">
        <w:rPr>
          <w:rFonts w:eastAsia="標楷體" w:hint="eastAsia"/>
          <w:sz w:val="26"/>
          <w:szCs w:val="26"/>
        </w:rPr>
        <w:t>即取自『</w:t>
      </w:r>
      <w:r w:rsidR="008F25E9">
        <w:rPr>
          <w:rFonts w:eastAsia="標楷體" w:hint="eastAsia"/>
          <w:sz w:val="26"/>
          <w:szCs w:val="26"/>
        </w:rPr>
        <w:t>ONESOURCE</w:t>
      </w:r>
      <w:r w:rsidR="008F25E9">
        <w:rPr>
          <w:rFonts w:eastAsia="標楷體" w:hint="eastAsia"/>
          <w:sz w:val="26"/>
          <w:szCs w:val="26"/>
        </w:rPr>
        <w:t>資料庫</w:t>
      </w:r>
      <w:r w:rsidRPr="00CA51EF">
        <w:rPr>
          <w:rFonts w:eastAsia="標楷體" w:hint="eastAsia"/>
          <w:sz w:val="26"/>
          <w:szCs w:val="26"/>
        </w:rPr>
        <w:t>』之資料</w:t>
      </w:r>
      <w:r w:rsidRPr="00CA51EF">
        <w:rPr>
          <w:rFonts w:eastAsia="標楷體"/>
          <w:sz w:val="26"/>
          <w:szCs w:val="26"/>
        </w:rPr>
        <w:t>。</w:t>
      </w:r>
    </w:p>
    <w:p w:rsidR="00DE7202" w:rsidRDefault="00F9092E" w:rsidP="001719B7">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分析結果</w:t>
      </w:r>
    </w:p>
    <w:p w:rsidR="00DE7202" w:rsidRDefault="00F9092E" w:rsidP="001719B7">
      <w:pPr>
        <w:pStyle w:val="3"/>
        <w:numPr>
          <w:ilvl w:val="0"/>
          <w:numId w:val="33"/>
        </w:numPr>
        <w:tabs>
          <w:tab w:val="clear" w:pos="1190"/>
          <w:tab w:val="num" w:pos="720"/>
        </w:tabs>
        <w:spacing w:beforeLines="50" w:before="120" w:afterLines="50" w:after="120" w:line="360" w:lineRule="auto"/>
        <w:ind w:hanging="950"/>
        <w:jc w:val="both"/>
        <w:rPr>
          <w:rFonts w:ascii="Times New Roman" w:eastAsia="標楷體"/>
          <w:sz w:val="32"/>
        </w:rPr>
      </w:pPr>
      <w:r w:rsidRPr="00597590">
        <w:rPr>
          <w:rFonts w:ascii="Times New Roman" w:eastAsia="標楷體" w:hint="eastAsia"/>
          <w:sz w:val="32"/>
        </w:rPr>
        <w:t>服務之提供</w:t>
      </w:r>
    </w:p>
    <w:p w:rsidR="00151BE3" w:rsidRDefault="003A761B" w:rsidP="001719B7">
      <w:pPr>
        <w:spacing w:beforeLines="50" w:before="120" w:afterLines="50" w:after="120" w:line="360" w:lineRule="auto"/>
        <w:ind w:leftChars="200" w:left="480" w:firstLineChars="200" w:firstLine="520"/>
        <w:jc w:val="both"/>
        <w:rPr>
          <w:rFonts w:eastAsia="標楷體"/>
          <w:color w:val="000000" w:themeColor="text1"/>
          <w:sz w:val="26"/>
          <w:szCs w:val="26"/>
        </w:rPr>
      </w:pPr>
      <w:r w:rsidRPr="00C726AF">
        <w:rPr>
          <w:rFonts w:eastAsia="標楷體" w:hint="eastAsia"/>
          <w:color w:val="000000" w:themeColor="text1"/>
          <w:sz w:val="26"/>
          <w:szCs w:val="26"/>
        </w:rPr>
        <w:t>萊迪思台灣分公司</w:t>
      </w:r>
      <w:r w:rsidR="002909D2" w:rsidRPr="00C726AF">
        <w:rPr>
          <w:rFonts w:eastAsia="標楷體" w:hint="eastAsia"/>
          <w:color w:val="000000" w:themeColor="text1"/>
          <w:sz w:val="26"/>
          <w:szCs w:val="26"/>
        </w:rPr>
        <w:t>10</w:t>
      </w:r>
      <w:r w:rsidR="00394D74">
        <w:rPr>
          <w:rFonts w:eastAsia="標楷體" w:hint="eastAsia"/>
          <w:color w:val="000000" w:themeColor="text1"/>
          <w:sz w:val="26"/>
          <w:szCs w:val="26"/>
        </w:rPr>
        <w:t>5</w:t>
      </w:r>
      <w:r w:rsidR="00F9092E" w:rsidRPr="00C726AF">
        <w:rPr>
          <w:rFonts w:eastAsia="標楷體" w:hint="eastAsia"/>
          <w:color w:val="000000" w:themeColor="text1"/>
          <w:sz w:val="26"/>
          <w:szCs w:val="26"/>
        </w:rPr>
        <w:t>會計年度提供</w:t>
      </w:r>
      <w:r w:rsidR="005C4E12" w:rsidRPr="00C726AF">
        <w:rPr>
          <w:rFonts w:eastAsia="標楷體"/>
          <w:color w:val="000000" w:themeColor="text1"/>
          <w:sz w:val="26"/>
          <w:szCs w:val="26"/>
        </w:rPr>
        <w:t>關係企業</w:t>
      </w:r>
      <w:r w:rsidR="00CC09C1" w:rsidRPr="00C726AF">
        <w:rPr>
          <w:rFonts w:eastAsia="標楷體" w:hint="eastAsia"/>
          <w:color w:val="000000" w:themeColor="text1"/>
          <w:sz w:val="26"/>
          <w:szCs w:val="26"/>
        </w:rPr>
        <w:t>行銷、產品諮詢、維修保養及售後服務</w:t>
      </w:r>
      <w:r w:rsidR="00F9092E" w:rsidRPr="00C726AF">
        <w:rPr>
          <w:rFonts w:eastAsia="標楷體" w:hint="eastAsia"/>
          <w:color w:val="000000" w:themeColor="text1"/>
          <w:sz w:val="26"/>
          <w:szCs w:val="26"/>
        </w:rPr>
        <w:t>，</w:t>
      </w:r>
      <w:r w:rsidR="00CC09C1" w:rsidRPr="00C726AF">
        <w:rPr>
          <w:rFonts w:eastAsia="標楷體" w:hint="eastAsia"/>
          <w:color w:val="000000" w:themeColor="text1"/>
          <w:sz w:val="26"/>
          <w:szCs w:val="26"/>
        </w:rPr>
        <w:t>可比較利潤法</w:t>
      </w:r>
      <w:r w:rsidR="00F9092E" w:rsidRPr="00C726AF">
        <w:rPr>
          <w:rFonts w:eastAsia="標楷體" w:hint="eastAsia"/>
          <w:color w:val="000000" w:themeColor="text1"/>
          <w:sz w:val="26"/>
          <w:szCs w:val="26"/>
        </w:rPr>
        <w:t>為</w:t>
      </w:r>
      <w:r w:rsidR="00F9092E" w:rsidRPr="00C726AF">
        <w:rPr>
          <w:rFonts w:eastAsia="標楷體"/>
          <w:color w:val="000000" w:themeColor="text1"/>
          <w:sz w:val="26"/>
          <w:szCs w:val="26"/>
        </w:rPr>
        <w:t>評估</w:t>
      </w:r>
      <w:r w:rsidR="00F9092E" w:rsidRPr="00C726AF">
        <w:rPr>
          <w:rFonts w:eastAsia="標楷體" w:hint="eastAsia"/>
          <w:color w:val="000000" w:themeColor="text1"/>
          <w:sz w:val="26"/>
          <w:szCs w:val="26"/>
        </w:rPr>
        <w:t>該受控交易之</w:t>
      </w:r>
      <w:proofErr w:type="gramStart"/>
      <w:r w:rsidR="00F9092E" w:rsidRPr="00C726AF">
        <w:rPr>
          <w:rFonts w:eastAsia="標楷體" w:hint="eastAsia"/>
          <w:color w:val="000000" w:themeColor="text1"/>
          <w:sz w:val="26"/>
          <w:szCs w:val="26"/>
        </w:rPr>
        <w:t>最</w:t>
      </w:r>
      <w:proofErr w:type="gramEnd"/>
      <w:r w:rsidR="00F9092E" w:rsidRPr="00C726AF">
        <w:rPr>
          <w:rFonts w:eastAsia="標楷體" w:hint="eastAsia"/>
          <w:color w:val="000000" w:themeColor="text1"/>
          <w:sz w:val="26"/>
          <w:szCs w:val="26"/>
        </w:rPr>
        <w:t>適常規交易方法，以</w:t>
      </w:r>
      <w:r w:rsidR="00CC09C1" w:rsidRPr="00C726AF">
        <w:rPr>
          <w:rFonts w:eastAsia="標楷體" w:hint="eastAsia"/>
          <w:color w:val="000000" w:themeColor="text1"/>
          <w:sz w:val="26"/>
          <w:szCs w:val="26"/>
        </w:rPr>
        <w:t>萊迪思台灣分公司</w:t>
      </w:r>
      <w:r w:rsidR="00F9092E" w:rsidRPr="00C726AF">
        <w:rPr>
          <w:rFonts w:eastAsia="標楷體" w:hint="eastAsia"/>
          <w:color w:val="000000" w:themeColor="text1"/>
          <w:sz w:val="26"/>
          <w:szCs w:val="26"/>
        </w:rPr>
        <w:t>為受測個體。</w:t>
      </w:r>
    </w:p>
    <w:p w:rsidR="00151BE3" w:rsidRDefault="00F9092E" w:rsidP="001719B7">
      <w:pPr>
        <w:spacing w:beforeLines="50" w:before="120" w:afterLines="50" w:after="120" w:line="360" w:lineRule="auto"/>
        <w:ind w:leftChars="200" w:left="480" w:firstLineChars="200" w:firstLine="520"/>
        <w:jc w:val="both"/>
        <w:rPr>
          <w:rFonts w:eastAsia="標楷體"/>
          <w:color w:val="000000" w:themeColor="text1"/>
          <w:sz w:val="26"/>
          <w:szCs w:val="26"/>
        </w:rPr>
      </w:pPr>
      <w:r w:rsidRPr="00C726AF">
        <w:rPr>
          <w:rFonts w:eastAsia="標楷體" w:hint="eastAsia"/>
          <w:color w:val="000000" w:themeColor="text1"/>
          <w:sz w:val="26"/>
          <w:szCs w:val="26"/>
        </w:rPr>
        <w:t>經分析，</w:t>
      </w:r>
      <w:r w:rsidR="003A761B" w:rsidRPr="00C726AF">
        <w:rPr>
          <w:rFonts w:eastAsia="標楷體" w:hint="eastAsia"/>
          <w:color w:val="000000" w:themeColor="text1"/>
          <w:sz w:val="26"/>
          <w:szCs w:val="26"/>
        </w:rPr>
        <w:t>萊迪思台灣分公司</w:t>
      </w:r>
      <w:r w:rsidR="002909D2" w:rsidRPr="00C726AF">
        <w:rPr>
          <w:rFonts w:eastAsia="標楷體" w:hint="eastAsia"/>
          <w:color w:val="000000" w:themeColor="text1"/>
          <w:sz w:val="26"/>
          <w:szCs w:val="26"/>
        </w:rPr>
        <w:t>10</w:t>
      </w:r>
      <w:r w:rsidR="00394D74">
        <w:rPr>
          <w:rFonts w:eastAsia="標楷體" w:hint="eastAsia"/>
          <w:color w:val="000000" w:themeColor="text1"/>
          <w:sz w:val="26"/>
          <w:szCs w:val="26"/>
        </w:rPr>
        <w:t>3</w:t>
      </w:r>
      <w:r w:rsidR="008F25E9" w:rsidRPr="00C726AF">
        <w:rPr>
          <w:rFonts w:eastAsia="標楷體" w:hint="eastAsia"/>
          <w:color w:val="000000" w:themeColor="text1"/>
          <w:sz w:val="26"/>
          <w:szCs w:val="26"/>
        </w:rPr>
        <w:t>~</w:t>
      </w:r>
      <w:proofErr w:type="gramStart"/>
      <w:r w:rsidR="002909D2" w:rsidRPr="00C726AF">
        <w:rPr>
          <w:rFonts w:eastAsia="標楷體" w:hint="eastAsia"/>
          <w:color w:val="000000" w:themeColor="text1"/>
          <w:sz w:val="26"/>
          <w:szCs w:val="26"/>
        </w:rPr>
        <w:t>10</w:t>
      </w:r>
      <w:r w:rsidR="00394D74">
        <w:rPr>
          <w:rFonts w:eastAsia="標楷體" w:hint="eastAsia"/>
          <w:color w:val="000000" w:themeColor="text1"/>
          <w:sz w:val="26"/>
          <w:szCs w:val="26"/>
        </w:rPr>
        <w:t>5</w:t>
      </w:r>
      <w:proofErr w:type="gramEnd"/>
      <w:r w:rsidRPr="00C726AF">
        <w:rPr>
          <w:rFonts w:eastAsia="標楷體" w:hint="eastAsia"/>
          <w:color w:val="000000" w:themeColor="text1"/>
          <w:sz w:val="26"/>
          <w:szCs w:val="26"/>
        </w:rPr>
        <w:t>年度提供</w:t>
      </w:r>
      <w:r w:rsidR="005C4E12" w:rsidRPr="00C726AF">
        <w:rPr>
          <w:rFonts w:eastAsia="標楷體"/>
          <w:color w:val="000000" w:themeColor="text1"/>
          <w:sz w:val="26"/>
          <w:szCs w:val="26"/>
        </w:rPr>
        <w:t>關係企業</w:t>
      </w:r>
      <w:r w:rsidR="00CC09C1" w:rsidRPr="00C726AF">
        <w:rPr>
          <w:rFonts w:eastAsia="標楷體" w:hint="eastAsia"/>
          <w:color w:val="000000" w:themeColor="text1"/>
          <w:sz w:val="26"/>
          <w:szCs w:val="26"/>
        </w:rPr>
        <w:t>服務</w:t>
      </w:r>
      <w:r w:rsidRPr="00C726AF">
        <w:rPr>
          <w:rFonts w:eastAsia="標楷體" w:hint="eastAsia"/>
          <w:color w:val="000000" w:themeColor="text1"/>
          <w:sz w:val="26"/>
          <w:szCs w:val="26"/>
        </w:rPr>
        <w:t>，</w:t>
      </w:r>
      <w:r w:rsidR="00CC09C1" w:rsidRPr="003A177C">
        <w:rPr>
          <w:rFonts w:eastAsia="標楷體" w:hint="eastAsia"/>
          <w:color w:val="000000" w:themeColor="text1"/>
          <w:sz w:val="26"/>
          <w:szCs w:val="26"/>
        </w:rPr>
        <w:t>平均</w:t>
      </w:r>
      <w:r w:rsidR="00FA4C56" w:rsidRPr="003A177C">
        <w:rPr>
          <w:rFonts w:eastAsia="標楷體" w:hint="eastAsia"/>
          <w:color w:val="000000" w:themeColor="text1"/>
          <w:sz w:val="26"/>
          <w:szCs w:val="26"/>
        </w:rPr>
        <w:t>賺得</w:t>
      </w:r>
      <w:r w:rsidR="00CC09C1" w:rsidRPr="003A177C">
        <w:rPr>
          <w:rFonts w:eastAsia="標楷體" w:hint="eastAsia"/>
          <w:color w:val="000000" w:themeColor="text1"/>
          <w:sz w:val="26"/>
          <w:szCs w:val="26"/>
        </w:rPr>
        <w:t>成本及營業費用淨利率</w:t>
      </w:r>
      <w:r w:rsidR="00CC09C1" w:rsidRPr="003A177C">
        <w:rPr>
          <w:rFonts w:eastAsia="標楷體"/>
          <w:color w:val="000000" w:themeColor="text1"/>
          <w:sz w:val="26"/>
          <w:szCs w:val="26"/>
        </w:rPr>
        <w:t>5.</w:t>
      </w:r>
      <w:r w:rsidR="00F82A49" w:rsidRPr="003A177C">
        <w:rPr>
          <w:rFonts w:eastAsia="標楷體"/>
          <w:color w:val="000000" w:themeColor="text1"/>
          <w:sz w:val="26"/>
          <w:szCs w:val="26"/>
        </w:rPr>
        <w:t>00</w:t>
      </w:r>
      <w:r w:rsidR="00CC09C1" w:rsidRPr="003A177C">
        <w:rPr>
          <w:rFonts w:eastAsia="標楷體"/>
          <w:color w:val="000000" w:themeColor="text1"/>
          <w:sz w:val="26"/>
          <w:szCs w:val="26"/>
        </w:rPr>
        <w:t>%</w:t>
      </w:r>
      <w:r w:rsidR="00CC09C1" w:rsidRPr="003A177C">
        <w:rPr>
          <w:rFonts w:eastAsia="標楷體" w:hint="eastAsia"/>
          <w:color w:val="000000" w:themeColor="text1"/>
          <w:sz w:val="26"/>
          <w:szCs w:val="26"/>
        </w:rPr>
        <w:t>，落於</w:t>
      </w:r>
      <w:r w:rsidR="003D0D59" w:rsidRPr="003A177C">
        <w:rPr>
          <w:rFonts w:eastAsia="標楷體"/>
          <w:sz w:val="26"/>
          <w:szCs w:val="26"/>
        </w:rPr>
        <w:t>ONESOURCE</w:t>
      </w:r>
      <w:r w:rsidR="003D0D59" w:rsidRPr="003A177C">
        <w:rPr>
          <w:rFonts w:eastAsia="標楷體" w:hint="eastAsia"/>
          <w:sz w:val="26"/>
          <w:szCs w:val="26"/>
        </w:rPr>
        <w:t>資料庫</w:t>
      </w:r>
      <w:proofErr w:type="gramStart"/>
      <w:r w:rsidR="003D0D59" w:rsidRPr="003A177C">
        <w:rPr>
          <w:rFonts w:eastAsia="標楷體" w:hint="eastAsia"/>
          <w:sz w:val="26"/>
          <w:szCs w:val="26"/>
        </w:rPr>
        <w:t>所選可比較</w:t>
      </w:r>
      <w:proofErr w:type="gramEnd"/>
      <w:r w:rsidR="003D0D59" w:rsidRPr="003A177C">
        <w:rPr>
          <w:rFonts w:eastAsia="標楷體" w:hint="eastAsia"/>
          <w:sz w:val="26"/>
          <w:szCs w:val="26"/>
        </w:rPr>
        <w:t>對象</w:t>
      </w:r>
      <w:r w:rsidR="00CC09C1" w:rsidRPr="003A177C">
        <w:rPr>
          <w:rFonts w:eastAsia="標楷體" w:hint="eastAsia"/>
          <w:color w:val="000000" w:themeColor="text1"/>
          <w:sz w:val="26"/>
          <w:szCs w:val="26"/>
        </w:rPr>
        <w:t>常規交易範圍</w:t>
      </w:r>
      <w:r w:rsidR="003A177C" w:rsidRPr="003A177C">
        <w:rPr>
          <w:rFonts w:eastAsia="標楷體"/>
          <w:color w:val="000000" w:themeColor="text1"/>
          <w:sz w:val="26"/>
          <w:szCs w:val="26"/>
        </w:rPr>
        <w:t>4.31</w:t>
      </w:r>
      <w:r w:rsidR="003A177C">
        <w:rPr>
          <w:rFonts w:eastAsia="標楷體" w:hint="eastAsia"/>
          <w:color w:val="000000" w:themeColor="text1"/>
          <w:sz w:val="26"/>
          <w:szCs w:val="26"/>
        </w:rPr>
        <w:t>%</w:t>
      </w:r>
      <w:r w:rsidR="003A177C" w:rsidRPr="003A177C">
        <w:rPr>
          <w:rFonts w:eastAsia="標楷體" w:hint="eastAsia"/>
          <w:color w:val="000000" w:themeColor="text1"/>
          <w:sz w:val="26"/>
          <w:szCs w:val="26"/>
        </w:rPr>
        <w:t>～</w:t>
      </w:r>
      <w:r w:rsidR="003A177C" w:rsidRPr="003A177C">
        <w:rPr>
          <w:rFonts w:eastAsia="標楷體"/>
          <w:color w:val="000000" w:themeColor="text1"/>
          <w:sz w:val="26"/>
          <w:szCs w:val="26"/>
        </w:rPr>
        <w:t>8.80%</w:t>
      </w:r>
      <w:r w:rsidR="00CC09C1" w:rsidRPr="003A177C">
        <w:rPr>
          <w:rFonts w:eastAsia="標楷體" w:hint="eastAsia"/>
          <w:color w:val="000000" w:themeColor="text1"/>
          <w:sz w:val="26"/>
          <w:szCs w:val="26"/>
        </w:rPr>
        <w:t>內</w:t>
      </w:r>
      <w:r w:rsidR="00CC09C1" w:rsidRPr="00C726AF">
        <w:rPr>
          <w:rFonts w:eastAsia="標楷體" w:hint="eastAsia"/>
          <w:color w:val="000000" w:themeColor="text1"/>
          <w:sz w:val="26"/>
          <w:szCs w:val="26"/>
        </w:rPr>
        <w:t>，</w:t>
      </w:r>
      <w:r w:rsidRPr="00C726AF">
        <w:rPr>
          <w:rFonts w:eastAsia="標楷體" w:hint="eastAsia"/>
          <w:color w:val="000000" w:themeColor="text1"/>
          <w:sz w:val="26"/>
          <w:szCs w:val="26"/>
        </w:rPr>
        <w:t>推論</w:t>
      </w:r>
      <w:r w:rsidR="003A761B" w:rsidRPr="00C726AF">
        <w:rPr>
          <w:rFonts w:eastAsia="標楷體" w:hint="eastAsia"/>
          <w:color w:val="000000" w:themeColor="text1"/>
          <w:sz w:val="26"/>
          <w:szCs w:val="26"/>
        </w:rPr>
        <w:t>萊迪思台灣分公司</w:t>
      </w:r>
      <w:proofErr w:type="gramStart"/>
      <w:r w:rsidR="002909D2" w:rsidRPr="00C726AF">
        <w:rPr>
          <w:rFonts w:eastAsia="標楷體" w:hint="eastAsia"/>
          <w:color w:val="000000" w:themeColor="text1"/>
          <w:sz w:val="26"/>
          <w:szCs w:val="26"/>
        </w:rPr>
        <w:t>10</w:t>
      </w:r>
      <w:r w:rsidR="00394D74">
        <w:rPr>
          <w:rFonts w:eastAsia="標楷體" w:hint="eastAsia"/>
          <w:color w:val="000000" w:themeColor="text1"/>
          <w:sz w:val="26"/>
          <w:szCs w:val="26"/>
        </w:rPr>
        <w:t>5</w:t>
      </w:r>
      <w:proofErr w:type="gramEnd"/>
      <w:r w:rsidRPr="00C726AF">
        <w:rPr>
          <w:rFonts w:eastAsia="標楷體" w:hint="eastAsia"/>
          <w:color w:val="000000" w:themeColor="text1"/>
          <w:sz w:val="26"/>
          <w:szCs w:val="26"/>
        </w:rPr>
        <w:t>年度該受控交易之移轉訂價符合常規。</w:t>
      </w:r>
    </w:p>
    <w:p w:rsidR="00DE7202" w:rsidRDefault="00F9092E" w:rsidP="001719B7">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建議</w:t>
      </w:r>
    </w:p>
    <w:p w:rsidR="00DE7202" w:rsidRDefault="00F9092E" w:rsidP="001719B7">
      <w:pPr>
        <w:spacing w:beforeLines="50" w:before="120" w:afterLines="50" w:after="120" w:line="360" w:lineRule="auto"/>
        <w:ind w:firstLineChars="200" w:firstLine="520"/>
        <w:rPr>
          <w:rFonts w:eastAsia="標楷體"/>
          <w:sz w:val="26"/>
          <w:szCs w:val="26"/>
        </w:rPr>
      </w:pPr>
      <w:r w:rsidRPr="00CA51EF">
        <w:rPr>
          <w:rFonts w:eastAsia="標楷體"/>
          <w:sz w:val="26"/>
          <w:szCs w:val="26"/>
        </w:rPr>
        <w:t>本所建議</w:t>
      </w:r>
      <w:r w:rsidR="003A761B" w:rsidRPr="00CA51EF">
        <w:rPr>
          <w:rFonts w:eastAsia="標楷體" w:hint="eastAsia"/>
          <w:sz w:val="26"/>
          <w:szCs w:val="26"/>
        </w:rPr>
        <w:t>萊迪思台灣分公司</w:t>
      </w:r>
      <w:r w:rsidRPr="00CA51EF">
        <w:rPr>
          <w:rFonts w:eastAsia="標楷體"/>
          <w:sz w:val="26"/>
          <w:szCs w:val="26"/>
        </w:rPr>
        <w:t>每年應根據當時之經濟情況，對營運狀況進行測試，以檢視移轉訂價是否仍符合常規，若不合常規，則需加以調整。</w:t>
      </w:r>
    </w:p>
    <w:p w:rsidR="00DE7202" w:rsidRDefault="00F9092E" w:rsidP="001719B7">
      <w:pPr>
        <w:spacing w:beforeLines="50" w:before="120" w:afterLines="50" w:after="120" w:line="360" w:lineRule="auto"/>
        <w:ind w:firstLineChars="200" w:firstLine="520"/>
        <w:rPr>
          <w:rFonts w:eastAsia="標楷體"/>
          <w:sz w:val="26"/>
          <w:szCs w:val="26"/>
        </w:rPr>
      </w:pPr>
      <w:r w:rsidRPr="00CA51EF">
        <w:rPr>
          <w:rFonts w:eastAsia="標楷體"/>
          <w:sz w:val="26"/>
          <w:szCs w:val="26"/>
        </w:rPr>
        <w:lastRenderedPageBreak/>
        <w:t>本所必須提醒本</w:t>
      </w:r>
      <w:r w:rsidR="000E26E4" w:rsidRPr="00CA51EF">
        <w:rPr>
          <w:rFonts w:eastAsia="標楷體" w:hint="eastAsia"/>
          <w:sz w:val="26"/>
          <w:szCs w:val="26"/>
        </w:rPr>
        <w:t>文據</w:t>
      </w:r>
      <w:r w:rsidRPr="00CA51EF">
        <w:rPr>
          <w:rFonts w:eastAsia="標楷體"/>
          <w:sz w:val="26"/>
          <w:szCs w:val="26"/>
        </w:rPr>
        <w:t>之使用者，若</w:t>
      </w:r>
      <w:r w:rsidR="003A761B" w:rsidRPr="00CA51EF">
        <w:rPr>
          <w:rFonts w:eastAsia="標楷體" w:hint="eastAsia"/>
          <w:sz w:val="26"/>
          <w:szCs w:val="26"/>
        </w:rPr>
        <w:t>萊迪思台灣分公司</w:t>
      </w:r>
      <w:r w:rsidRPr="00CA51EF">
        <w:rPr>
          <w:rFonts w:eastAsia="標楷體"/>
          <w:sz w:val="26"/>
          <w:szCs w:val="26"/>
        </w:rPr>
        <w:t>執行之功能及承擔</w:t>
      </w:r>
      <w:r w:rsidRPr="00EA272E">
        <w:rPr>
          <w:rFonts w:eastAsia="標楷體"/>
          <w:sz w:val="26"/>
          <w:szCs w:val="26"/>
        </w:rPr>
        <w:t>之風險有顯著變化，均會對本</w:t>
      </w:r>
      <w:r w:rsidR="000E26E4">
        <w:rPr>
          <w:rFonts w:eastAsia="標楷體" w:hint="eastAsia"/>
          <w:sz w:val="26"/>
          <w:szCs w:val="26"/>
        </w:rPr>
        <w:t>文據</w:t>
      </w:r>
      <w:r w:rsidRPr="00EA272E">
        <w:rPr>
          <w:rFonts w:eastAsia="標楷體"/>
          <w:sz w:val="26"/>
          <w:szCs w:val="26"/>
        </w:rPr>
        <w:t>之分析以及所選出之可比較對象有所影響，進而影響利潤指標及常規交易範圍。</w:t>
      </w:r>
      <w:bookmarkEnd w:id="92"/>
    </w:p>
    <w:p w:rsidR="00A261D8" w:rsidRDefault="00A261D8" w:rsidP="00917612">
      <w:pPr>
        <w:tabs>
          <w:tab w:val="left" w:pos="-567"/>
        </w:tabs>
        <w:spacing w:beforeLines="50" w:before="120" w:afterLines="50" w:after="120" w:line="360" w:lineRule="auto"/>
        <w:ind w:firstLineChars="200" w:firstLine="521"/>
        <w:rPr>
          <w:rFonts w:eastAsia="標楷體"/>
          <w:b/>
          <w:sz w:val="26"/>
          <w:szCs w:val="26"/>
        </w:rPr>
      </w:pPr>
    </w:p>
    <w:sectPr w:rsidR="00A261D8" w:rsidSect="000223C9">
      <w:headerReference w:type="even" r:id="rId39"/>
      <w:headerReference w:type="default" r:id="rId40"/>
      <w:footerReference w:type="even" r:id="rId41"/>
      <w:headerReference w:type="first" r:id="rId42"/>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973" w:rsidRDefault="005D6973">
      <w:r>
        <w:separator/>
      </w:r>
    </w:p>
  </w:endnote>
  <w:endnote w:type="continuationSeparator" w:id="0">
    <w:p w:rsidR="005D6973" w:rsidRDefault="005D6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rsidP="00986C9C">
    <w:pPr>
      <w:pStyle w:val="a9"/>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rsidP="00986C9C">
    <w:pPr>
      <w:pStyle w:val="a9"/>
      <w:jc w:val="center"/>
    </w:pPr>
    <w:r w:rsidRPr="001E62D4">
      <w:t xml:space="preserve">© </w:t>
    </w:r>
    <w:r>
      <w:rPr>
        <w:rFonts w:eastAsia="標楷體" w:hAnsi="標楷體" w:hint="eastAsia"/>
        <w:bCs/>
      </w:rPr>
      <w:t>2017</w:t>
    </w:r>
    <w:r w:rsidRPr="00BF1978">
      <w:rPr>
        <w:color w:val="00CCFF"/>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9"/>
    </w:pPr>
    <w:r>
      <w:fldChar w:fldCharType="begin"/>
    </w:r>
    <w:r>
      <w:instrText xml:space="preserve"> PAGE   \* MERGEFORMAT </w:instrText>
    </w:r>
    <w:r>
      <w:fldChar w:fldCharType="separate"/>
    </w:r>
    <w:r w:rsidR="00C9728A">
      <w:rPr>
        <w:noProof/>
      </w:rPr>
      <w:t>32</w:t>
    </w:r>
    <w:r>
      <w:rPr>
        <w:noProof/>
        <w:lang w:val="zh-TW"/>
      </w:rPr>
      <w:fldChar w:fldCharType="end"/>
    </w:r>
  </w:p>
  <w:p w:rsidR="00697B5D" w:rsidRDefault="00697B5D" w:rsidP="008469CA">
    <w:pPr>
      <w:pStyle w:val="a9"/>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9"/>
      <w:jc w:val="right"/>
    </w:pPr>
    <w:r>
      <w:fldChar w:fldCharType="begin"/>
    </w:r>
    <w:r>
      <w:instrText xml:space="preserve"> PAGE   \* MERGEFORMAT </w:instrText>
    </w:r>
    <w:r>
      <w:fldChar w:fldCharType="separate"/>
    </w:r>
    <w:r w:rsidR="00C9728A">
      <w:rPr>
        <w:noProof/>
      </w:rPr>
      <w:t>49</w:t>
    </w:r>
    <w:r>
      <w:rPr>
        <w:noProof/>
        <w:lang w:val="zh-TW"/>
      </w:rPr>
      <w:fldChar w:fldCharType="end"/>
    </w:r>
  </w:p>
  <w:p w:rsidR="00697B5D" w:rsidRDefault="00697B5D" w:rsidP="008469CA">
    <w:pPr>
      <w:pStyle w:val="a9"/>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9"/>
    </w:pPr>
    <w:r>
      <w:fldChar w:fldCharType="begin"/>
    </w:r>
    <w:r>
      <w:instrText xml:space="preserve"> PAGE   \* MERGEFORMAT </w:instrText>
    </w:r>
    <w:r>
      <w:fldChar w:fldCharType="separate"/>
    </w:r>
    <w:r w:rsidR="00C9728A">
      <w:rPr>
        <w:noProof/>
      </w:rPr>
      <w:t>48</w:t>
    </w:r>
    <w:r>
      <w:rPr>
        <w:noProof/>
        <w:lang w:val="zh-TW"/>
      </w:rPr>
      <w:fldChar w:fldCharType="end"/>
    </w:r>
  </w:p>
  <w:p w:rsidR="00697B5D" w:rsidRDefault="00697B5D" w:rsidP="008469CA">
    <w:pPr>
      <w:pStyle w:val="a9"/>
      <w:jc w:val="center"/>
    </w:pPr>
    <w:r w:rsidRPr="001E62D4">
      <w:t xml:space="preserve">© </w:t>
    </w:r>
    <w:r>
      <w:rPr>
        <w:rFonts w:eastAsia="標楷體" w:hAnsi="標楷體" w:hint="eastAsia"/>
        <w:bCs/>
      </w:rPr>
      <w:t>2016</w:t>
    </w:r>
    <w:r>
      <w:rPr>
        <w:rFonts w:hint="eastAsia"/>
      </w:rPr>
      <w:t>7</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9"/>
    </w:pPr>
    <w:r>
      <w:fldChar w:fldCharType="begin"/>
    </w:r>
    <w:r>
      <w:instrText xml:space="preserve"> PAGE   \* MERGEFORMAT </w:instrText>
    </w:r>
    <w:r>
      <w:fldChar w:fldCharType="separate"/>
    </w:r>
    <w:r w:rsidR="00C9728A">
      <w:rPr>
        <w:noProof/>
      </w:rPr>
      <w:t>50</w:t>
    </w:r>
    <w:r>
      <w:rPr>
        <w:noProof/>
        <w:lang w:val="zh-TW"/>
      </w:rPr>
      <w:fldChar w:fldCharType="end"/>
    </w:r>
  </w:p>
  <w:p w:rsidR="00697B5D" w:rsidRDefault="00697B5D" w:rsidP="00986C9C">
    <w:pPr>
      <w:pStyle w:val="a9"/>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973" w:rsidRDefault="005D6973">
      <w:r>
        <w:separator/>
      </w:r>
    </w:p>
  </w:footnote>
  <w:footnote w:type="continuationSeparator" w:id="0">
    <w:p w:rsidR="005D6973" w:rsidRDefault="005D6973">
      <w:r>
        <w:continuationSeparator/>
      </w:r>
    </w:p>
  </w:footnote>
  <w:footnote w:id="1">
    <w:p w:rsidR="00697B5D" w:rsidRPr="009E35E9" w:rsidRDefault="00697B5D">
      <w:pPr>
        <w:pStyle w:val="af1"/>
      </w:pPr>
      <w:r>
        <w:rPr>
          <w:rStyle w:val="af2"/>
        </w:rPr>
        <w:footnoteRef/>
      </w:r>
      <w:r w:rsidRPr="00196FAD">
        <w:t>https://www.itri.org.tw/chi/Content/Publications/contents.aspx?&amp;SiteID=1&amp;MmmID=2000&amp;MSid=712170236723511213</w:t>
      </w:r>
    </w:p>
  </w:footnote>
  <w:footnote w:id="2">
    <w:p w:rsidR="00697B5D" w:rsidRDefault="00697B5D">
      <w:pPr>
        <w:pStyle w:val="af1"/>
      </w:pPr>
      <w:r>
        <w:rPr>
          <w:rStyle w:val="af2"/>
        </w:rPr>
        <w:footnoteRef/>
      </w:r>
      <w:r w:rsidRPr="009E35E9">
        <w:rPr>
          <w:rFonts w:hint="eastAsia"/>
        </w:rPr>
        <w:t>永豐投顧</w:t>
      </w:r>
      <w:r w:rsidRPr="009E35E9">
        <w:rPr>
          <w:rFonts w:hint="eastAsia"/>
        </w:rPr>
        <w:t xml:space="preserve"> 106</w:t>
      </w:r>
      <w:r w:rsidRPr="009E35E9">
        <w:rPr>
          <w:rFonts w:hint="eastAsia"/>
        </w:rPr>
        <w:t>產業觀察</w:t>
      </w:r>
      <w:r w:rsidRPr="009E35E9">
        <w:rPr>
          <w:rFonts w:hint="eastAsia"/>
        </w:rPr>
        <w:t xml:space="preserve"> </w:t>
      </w:r>
      <w:r w:rsidRPr="009E35E9">
        <w:rPr>
          <w:rFonts w:hint="eastAsia"/>
        </w:rPr>
        <w:t>半導體</w:t>
      </w:r>
    </w:p>
    <w:p w:rsidR="00697B5D" w:rsidRPr="009E35E9" w:rsidRDefault="00697B5D">
      <w:pPr>
        <w:pStyle w:val="af1"/>
      </w:pPr>
      <w:r w:rsidRPr="009E35E9">
        <w:rPr>
          <w:rFonts w:hint="eastAsia"/>
        </w:rPr>
        <w:t>2017</w:t>
      </w:r>
      <w:r w:rsidRPr="009E35E9">
        <w:rPr>
          <w:rFonts w:hint="eastAsia"/>
        </w:rPr>
        <w:t>臺灣半導體產業維持成長動能</w:t>
      </w:r>
      <w:r w:rsidRPr="009E35E9">
        <w:rPr>
          <w:rFonts w:hint="eastAsia"/>
        </w:rPr>
        <w:t xml:space="preserve"> - </w:t>
      </w:r>
      <w:r w:rsidRPr="009E35E9">
        <w:rPr>
          <w:rFonts w:hint="eastAsia"/>
        </w:rPr>
        <w:t>資策會產業情報研究所</w:t>
      </w:r>
      <w:r w:rsidRPr="009E35E9">
        <w:rPr>
          <w:rFonts w:hint="eastAsia"/>
        </w:rPr>
        <w:t>(MIC)</w:t>
      </w:r>
      <w:r w:rsidRPr="009E35E9">
        <w:t xml:space="preserve"> </w:t>
      </w:r>
    </w:p>
  </w:footnote>
  <w:footnote w:id="3">
    <w:p w:rsidR="00697B5D" w:rsidRPr="00AA0DD0" w:rsidRDefault="00697B5D">
      <w:pPr>
        <w:pStyle w:val="af1"/>
      </w:pPr>
      <w:r>
        <w:rPr>
          <w:rStyle w:val="af2"/>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r>
      <w:rPr>
        <w:noProof/>
      </w:rPr>
      <mc:AlternateContent>
        <mc:Choice Requires="wps">
          <w:drawing>
            <wp:anchor distT="0" distB="0" distL="114300" distR="114300" simplePos="0" relativeHeight="251660288" behindDoc="0" locked="0" layoutInCell="1" allowOverlap="1" wp14:anchorId="0993CCD6" wp14:editId="0625EA70">
              <wp:simplePos x="0" y="0"/>
              <wp:positionH relativeFrom="column">
                <wp:posOffset>3167380</wp:posOffset>
              </wp:positionH>
              <wp:positionV relativeFrom="paragraph">
                <wp:posOffset>43815</wp:posOffset>
              </wp:positionV>
              <wp:extent cx="2299970" cy="586740"/>
              <wp:effectExtent l="0" t="0" r="0" b="0"/>
              <wp:wrapNone/>
              <wp:docPr id="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B5D" w:rsidRPr="002F0DEF" w:rsidRDefault="00697B5D" w:rsidP="00623A68">
                          <w:pPr>
                            <w:jc w:val="right"/>
                            <w:rPr>
                              <w:rFonts w:eastAsia="標楷體" w:hAnsi="標楷體"/>
                              <w:bCs/>
                              <w:sz w:val="20"/>
                              <w:szCs w:val="20"/>
                            </w:rPr>
                          </w:pPr>
                          <w:r w:rsidRPr="002F0DEF">
                            <w:rPr>
                              <w:rFonts w:eastAsia="標楷體" w:hAnsi="標楷體" w:hint="eastAsia"/>
                              <w:bCs/>
                              <w:sz w:val="20"/>
                              <w:szCs w:val="20"/>
                            </w:rPr>
                            <w:t>美商萊迪思半導體</w:t>
                          </w:r>
                          <w:r w:rsidRPr="002F0DEF">
                            <w:rPr>
                              <w:rFonts w:eastAsia="標楷體" w:hAnsi="標楷體" w:hint="eastAsia"/>
                              <w:bCs/>
                              <w:sz w:val="20"/>
                              <w:szCs w:val="20"/>
                            </w:rPr>
                            <w:t>(</w:t>
                          </w:r>
                          <w:r w:rsidRPr="002F0DEF">
                            <w:rPr>
                              <w:rFonts w:eastAsia="標楷體" w:hAnsi="標楷體" w:hint="eastAsia"/>
                              <w:bCs/>
                              <w:sz w:val="20"/>
                              <w:szCs w:val="20"/>
                            </w:rPr>
                            <w:t>股</w:t>
                          </w:r>
                          <w:r w:rsidRPr="002F0DEF">
                            <w:rPr>
                              <w:rFonts w:eastAsia="標楷體" w:hAnsi="標楷體" w:hint="eastAsia"/>
                              <w:bCs/>
                              <w:sz w:val="20"/>
                              <w:szCs w:val="20"/>
                            </w:rPr>
                            <w:t>)</w:t>
                          </w:r>
                          <w:r w:rsidRPr="002F0DEF">
                            <w:rPr>
                              <w:rFonts w:eastAsia="標楷體" w:hAnsi="標楷體" w:hint="eastAsia"/>
                              <w:bCs/>
                              <w:sz w:val="20"/>
                              <w:szCs w:val="20"/>
                            </w:rPr>
                            <w:t>公司台灣分公司</w:t>
                          </w:r>
                        </w:p>
                        <w:p w:rsidR="00697B5D" w:rsidRPr="002F0DEF" w:rsidRDefault="00697B5D" w:rsidP="00623A68">
                          <w:pPr>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7C04EB">
                            <w:rPr>
                              <w:rFonts w:eastAsia="標楷體" w:hAnsi="標楷體"/>
                              <w:bCs/>
                              <w:sz w:val="20"/>
                              <w:szCs w:val="20"/>
                            </w:rPr>
                            <w:t>年度</w:t>
                          </w:r>
                        </w:p>
                        <w:p w:rsidR="00697B5D" w:rsidRPr="0087751B" w:rsidRDefault="00697B5D" w:rsidP="00623A68">
                          <w:pPr>
                            <w:jc w:val="right"/>
                            <w:rPr>
                              <w:szCs w:val="20"/>
                            </w:rPr>
                          </w:pPr>
                          <w:r w:rsidRPr="002F0DEF">
                            <w:rPr>
                              <w:rFonts w:eastAsia="標楷體" w:hAnsi="標楷體"/>
                              <w:bCs/>
                              <w:sz w:val="20"/>
                              <w:szCs w:val="20"/>
                            </w:rPr>
                            <w:t>移轉訂價報告</w:t>
                          </w:r>
                          <w:r w:rsidRPr="002F0DEF">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9" type="#_x0000_t202" style="position:absolute;margin-left:249.4pt;margin-top:3.45pt;width:181.1pt;height:46.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82twIAAMA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" filled="f" stroked="f">
              <v:textbox style="mso-fit-shape-to-text:t">
                <w:txbxContent>
                  <w:p w:rsidR="00697B5D" w:rsidRPr="002F0DEF" w:rsidRDefault="00697B5D" w:rsidP="00623A68">
                    <w:pPr>
                      <w:jc w:val="right"/>
                      <w:rPr>
                        <w:rFonts w:eastAsia="標楷體" w:hAnsi="標楷體"/>
                        <w:bCs/>
                        <w:sz w:val="20"/>
                        <w:szCs w:val="20"/>
                      </w:rPr>
                    </w:pPr>
                    <w:r w:rsidRPr="002F0DEF">
                      <w:rPr>
                        <w:rFonts w:eastAsia="標楷體" w:hAnsi="標楷體" w:hint="eastAsia"/>
                        <w:bCs/>
                        <w:sz w:val="20"/>
                        <w:szCs w:val="20"/>
                      </w:rPr>
                      <w:t>美商萊迪思半導體</w:t>
                    </w:r>
                    <w:r w:rsidRPr="002F0DEF">
                      <w:rPr>
                        <w:rFonts w:eastAsia="標楷體" w:hAnsi="標楷體" w:hint="eastAsia"/>
                        <w:bCs/>
                        <w:sz w:val="20"/>
                        <w:szCs w:val="20"/>
                      </w:rPr>
                      <w:t>(</w:t>
                    </w:r>
                    <w:r w:rsidRPr="002F0DEF">
                      <w:rPr>
                        <w:rFonts w:eastAsia="標楷體" w:hAnsi="標楷體" w:hint="eastAsia"/>
                        <w:bCs/>
                        <w:sz w:val="20"/>
                        <w:szCs w:val="20"/>
                      </w:rPr>
                      <w:t>股</w:t>
                    </w:r>
                    <w:r w:rsidRPr="002F0DEF">
                      <w:rPr>
                        <w:rFonts w:eastAsia="標楷體" w:hAnsi="標楷體" w:hint="eastAsia"/>
                        <w:bCs/>
                        <w:sz w:val="20"/>
                        <w:szCs w:val="20"/>
                      </w:rPr>
                      <w:t>)</w:t>
                    </w:r>
                    <w:r w:rsidRPr="002F0DEF">
                      <w:rPr>
                        <w:rFonts w:eastAsia="標楷體" w:hAnsi="標楷體" w:hint="eastAsia"/>
                        <w:bCs/>
                        <w:sz w:val="20"/>
                        <w:szCs w:val="20"/>
                      </w:rPr>
                      <w:t>公司台灣分公司</w:t>
                    </w:r>
                  </w:p>
                  <w:p w:rsidR="00697B5D" w:rsidRPr="002F0DEF" w:rsidRDefault="00697B5D" w:rsidP="00623A68">
                    <w:pPr>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7C04EB">
                      <w:rPr>
                        <w:rFonts w:eastAsia="標楷體" w:hAnsi="標楷體"/>
                        <w:bCs/>
                        <w:sz w:val="20"/>
                        <w:szCs w:val="20"/>
                      </w:rPr>
                      <w:t>年度</w:t>
                    </w:r>
                  </w:p>
                  <w:p w:rsidR="00697B5D" w:rsidRPr="0087751B" w:rsidRDefault="00697B5D" w:rsidP="00623A68">
                    <w:pPr>
                      <w:jc w:val="right"/>
                      <w:rPr>
                        <w:szCs w:val="20"/>
                      </w:rPr>
                    </w:pPr>
                    <w:r w:rsidRPr="002F0DEF">
                      <w:rPr>
                        <w:rFonts w:eastAsia="標楷體" w:hAnsi="標楷體"/>
                        <w:bCs/>
                        <w:sz w:val="20"/>
                        <w:szCs w:val="20"/>
                      </w:rPr>
                      <w:t>移轉訂價報告</w:t>
                    </w:r>
                    <w:r w:rsidRPr="002F0DEF">
                      <w:rPr>
                        <w:rFonts w:eastAsia="標楷體" w:hAnsi="標楷體" w:hint="eastAsia"/>
                        <w:bCs/>
                        <w:sz w:val="20"/>
                        <w:szCs w:val="20"/>
                      </w:rPr>
                      <w:t>替代文據</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r>
      <w:rPr>
        <w:noProof/>
      </w:rPr>
      <mc:AlternateContent>
        <mc:Choice Requires="wps">
          <w:drawing>
            <wp:anchor distT="0" distB="0" distL="114300" distR="114300" simplePos="0" relativeHeight="251661312" behindDoc="0" locked="0" layoutInCell="1" allowOverlap="1" wp14:anchorId="5530BAB6" wp14:editId="4977B1CE">
              <wp:simplePos x="0" y="0"/>
              <wp:positionH relativeFrom="column">
                <wp:posOffset>3156585</wp:posOffset>
              </wp:positionH>
              <wp:positionV relativeFrom="paragraph">
                <wp:posOffset>43815</wp:posOffset>
              </wp:positionV>
              <wp:extent cx="2299970" cy="586740"/>
              <wp:effectExtent l="3810" t="0" r="1270" b="0"/>
              <wp:wrapNone/>
              <wp:docPr id="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B5D" w:rsidRPr="006C501A" w:rsidRDefault="00697B5D" w:rsidP="00623A68">
                          <w:pPr>
                            <w:jc w:val="right"/>
                            <w:rPr>
                              <w:rFonts w:eastAsia="標楷體" w:hAnsi="標楷體"/>
                              <w:bCs/>
                              <w:sz w:val="20"/>
                              <w:szCs w:val="20"/>
                            </w:rPr>
                          </w:pPr>
                          <w:r w:rsidRPr="006C501A">
                            <w:rPr>
                              <w:rFonts w:eastAsia="標楷體" w:hAnsi="標楷體" w:hint="eastAsia"/>
                              <w:bCs/>
                              <w:sz w:val="20"/>
                              <w:szCs w:val="20"/>
                            </w:rPr>
                            <w:t>美商萊迪思半導體</w:t>
                          </w:r>
                          <w:r w:rsidRPr="006C501A">
                            <w:rPr>
                              <w:rFonts w:eastAsia="標楷體" w:hAnsi="標楷體" w:hint="eastAsia"/>
                              <w:bCs/>
                              <w:sz w:val="20"/>
                              <w:szCs w:val="20"/>
                            </w:rPr>
                            <w:t>(</w:t>
                          </w:r>
                          <w:r w:rsidRPr="006C501A">
                            <w:rPr>
                              <w:rFonts w:eastAsia="標楷體" w:hAnsi="標楷體" w:hint="eastAsia"/>
                              <w:bCs/>
                              <w:sz w:val="20"/>
                              <w:szCs w:val="20"/>
                            </w:rPr>
                            <w:t>股</w:t>
                          </w:r>
                          <w:r w:rsidRPr="006C501A">
                            <w:rPr>
                              <w:rFonts w:eastAsia="標楷體" w:hAnsi="標楷體" w:hint="eastAsia"/>
                              <w:bCs/>
                              <w:sz w:val="20"/>
                              <w:szCs w:val="20"/>
                            </w:rPr>
                            <w:t>)</w:t>
                          </w:r>
                          <w:r w:rsidRPr="006C501A">
                            <w:rPr>
                              <w:rFonts w:eastAsia="標楷體" w:hAnsi="標楷體" w:hint="eastAsia"/>
                              <w:bCs/>
                              <w:sz w:val="20"/>
                              <w:szCs w:val="20"/>
                            </w:rPr>
                            <w:t>公司台灣分公司</w:t>
                          </w:r>
                        </w:p>
                        <w:p w:rsidR="00697B5D" w:rsidRPr="006C501A" w:rsidRDefault="00697B5D" w:rsidP="00623A68">
                          <w:pPr>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7C04EB">
                            <w:rPr>
                              <w:rFonts w:eastAsia="標楷體" w:hAnsi="標楷體"/>
                              <w:bCs/>
                              <w:sz w:val="20"/>
                              <w:szCs w:val="20"/>
                            </w:rPr>
                            <w:t>年度</w:t>
                          </w:r>
                        </w:p>
                        <w:p w:rsidR="00697B5D" w:rsidRPr="000E26E4" w:rsidRDefault="00697B5D" w:rsidP="00623A68">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70" type="#_x0000_t202" style="position:absolute;margin-left:248.55pt;margin-top:3.45pt;width:181.1pt;height:46.2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" filled="f" stroked="f">
              <v:textbox style="mso-fit-shape-to-text:t">
                <w:txbxContent>
                  <w:p w:rsidR="00697B5D" w:rsidRPr="006C501A" w:rsidRDefault="00697B5D" w:rsidP="00623A68">
                    <w:pPr>
                      <w:jc w:val="right"/>
                      <w:rPr>
                        <w:rFonts w:eastAsia="標楷體" w:hAnsi="標楷體"/>
                        <w:bCs/>
                        <w:sz w:val="20"/>
                        <w:szCs w:val="20"/>
                      </w:rPr>
                    </w:pPr>
                    <w:r w:rsidRPr="006C501A">
                      <w:rPr>
                        <w:rFonts w:eastAsia="標楷體" w:hAnsi="標楷體" w:hint="eastAsia"/>
                        <w:bCs/>
                        <w:sz w:val="20"/>
                        <w:szCs w:val="20"/>
                      </w:rPr>
                      <w:t>美商萊迪思半導體</w:t>
                    </w:r>
                    <w:r w:rsidRPr="006C501A">
                      <w:rPr>
                        <w:rFonts w:eastAsia="標楷體" w:hAnsi="標楷體" w:hint="eastAsia"/>
                        <w:bCs/>
                        <w:sz w:val="20"/>
                        <w:szCs w:val="20"/>
                      </w:rPr>
                      <w:t>(</w:t>
                    </w:r>
                    <w:r w:rsidRPr="006C501A">
                      <w:rPr>
                        <w:rFonts w:eastAsia="標楷體" w:hAnsi="標楷體" w:hint="eastAsia"/>
                        <w:bCs/>
                        <w:sz w:val="20"/>
                        <w:szCs w:val="20"/>
                      </w:rPr>
                      <w:t>股</w:t>
                    </w:r>
                    <w:r w:rsidRPr="006C501A">
                      <w:rPr>
                        <w:rFonts w:eastAsia="標楷體" w:hAnsi="標楷體" w:hint="eastAsia"/>
                        <w:bCs/>
                        <w:sz w:val="20"/>
                        <w:szCs w:val="20"/>
                      </w:rPr>
                      <w:t>)</w:t>
                    </w:r>
                    <w:r w:rsidRPr="006C501A">
                      <w:rPr>
                        <w:rFonts w:eastAsia="標楷體" w:hAnsi="標楷體" w:hint="eastAsia"/>
                        <w:bCs/>
                        <w:sz w:val="20"/>
                        <w:szCs w:val="20"/>
                      </w:rPr>
                      <w:t>公司台灣分公司</w:t>
                    </w:r>
                  </w:p>
                  <w:p w:rsidR="00697B5D" w:rsidRPr="006C501A" w:rsidRDefault="00697B5D" w:rsidP="00623A68">
                    <w:pPr>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7C04EB">
                      <w:rPr>
                        <w:rFonts w:eastAsia="標楷體" w:hAnsi="標楷體"/>
                        <w:bCs/>
                        <w:sz w:val="20"/>
                        <w:szCs w:val="20"/>
                      </w:rPr>
                      <w:t>年度</w:t>
                    </w:r>
                  </w:p>
                  <w:p w:rsidR="00697B5D" w:rsidRPr="000E26E4" w:rsidRDefault="00697B5D" w:rsidP="00623A68">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Pr="00C42AA0" w:rsidRDefault="00697B5D" w:rsidP="00C42AA0">
    <w:pPr>
      <w:pStyle w:val="a8"/>
    </w:pPr>
    <w:r>
      <w:rPr>
        <w:noProof/>
      </w:rPr>
      <mc:AlternateContent>
        <mc:Choice Requires="wps">
          <w:drawing>
            <wp:anchor distT="0" distB="0" distL="114300" distR="114300" simplePos="0" relativeHeight="251662336" behindDoc="0" locked="0" layoutInCell="1" allowOverlap="1" wp14:anchorId="75CC628E" wp14:editId="3CEDE682">
              <wp:simplePos x="0" y="0"/>
              <wp:positionH relativeFrom="column">
                <wp:posOffset>3156585</wp:posOffset>
              </wp:positionH>
              <wp:positionV relativeFrom="paragraph">
                <wp:posOffset>37465</wp:posOffset>
              </wp:positionV>
              <wp:extent cx="2299970" cy="586740"/>
              <wp:effectExtent l="3810" t="0" r="1270" b="4445"/>
              <wp:wrapNone/>
              <wp:docPr id="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B5D" w:rsidRPr="006C501A" w:rsidRDefault="00697B5D" w:rsidP="00C42AA0">
                          <w:pPr>
                            <w:jc w:val="right"/>
                            <w:rPr>
                              <w:rFonts w:eastAsia="標楷體" w:hAnsi="標楷體"/>
                              <w:bCs/>
                              <w:sz w:val="20"/>
                              <w:szCs w:val="20"/>
                            </w:rPr>
                          </w:pPr>
                          <w:r w:rsidRPr="006C501A">
                            <w:rPr>
                              <w:rFonts w:eastAsia="標楷體" w:hAnsi="標楷體" w:hint="eastAsia"/>
                              <w:bCs/>
                              <w:sz w:val="20"/>
                              <w:szCs w:val="20"/>
                            </w:rPr>
                            <w:t>美商萊迪思半導體</w:t>
                          </w:r>
                          <w:r w:rsidRPr="006C501A">
                            <w:rPr>
                              <w:rFonts w:eastAsia="標楷體" w:hAnsi="標楷體" w:hint="eastAsia"/>
                              <w:bCs/>
                              <w:sz w:val="20"/>
                              <w:szCs w:val="20"/>
                            </w:rPr>
                            <w:t>(</w:t>
                          </w:r>
                          <w:r w:rsidRPr="006C501A">
                            <w:rPr>
                              <w:rFonts w:eastAsia="標楷體" w:hAnsi="標楷體" w:hint="eastAsia"/>
                              <w:bCs/>
                              <w:sz w:val="20"/>
                              <w:szCs w:val="20"/>
                            </w:rPr>
                            <w:t>股</w:t>
                          </w:r>
                          <w:r w:rsidRPr="006C501A">
                            <w:rPr>
                              <w:rFonts w:eastAsia="標楷體" w:hAnsi="標楷體" w:hint="eastAsia"/>
                              <w:bCs/>
                              <w:sz w:val="20"/>
                              <w:szCs w:val="20"/>
                            </w:rPr>
                            <w:t>)</w:t>
                          </w:r>
                          <w:r w:rsidRPr="006C501A">
                            <w:rPr>
                              <w:rFonts w:eastAsia="標楷體" w:hAnsi="標楷體" w:hint="eastAsia"/>
                              <w:bCs/>
                              <w:sz w:val="20"/>
                              <w:szCs w:val="20"/>
                            </w:rPr>
                            <w:t>公司台灣分公司</w:t>
                          </w:r>
                        </w:p>
                        <w:p w:rsidR="00697B5D" w:rsidRPr="006C501A" w:rsidRDefault="00697B5D" w:rsidP="00C42AA0">
                          <w:pPr>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7C04EB">
                            <w:rPr>
                              <w:rFonts w:eastAsia="標楷體" w:hAnsi="標楷體"/>
                              <w:bCs/>
                              <w:sz w:val="20"/>
                              <w:szCs w:val="20"/>
                            </w:rPr>
                            <w:t>年度</w:t>
                          </w:r>
                        </w:p>
                        <w:p w:rsidR="00697B5D" w:rsidRPr="000E26E4" w:rsidRDefault="00697B5D" w:rsidP="00C42AA0">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3" o:spid="_x0000_s1071" type="#_x0000_t202" style="position:absolute;margin-left:248.55pt;margin-top:2.95pt;width:181.1pt;height:46.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" filled="f" stroked="f">
              <v:textbox style="mso-fit-shape-to-text:t">
                <w:txbxContent>
                  <w:p w:rsidR="00697B5D" w:rsidRPr="006C501A" w:rsidRDefault="00697B5D" w:rsidP="00C42AA0">
                    <w:pPr>
                      <w:jc w:val="right"/>
                      <w:rPr>
                        <w:rFonts w:eastAsia="標楷體" w:hAnsi="標楷體"/>
                        <w:bCs/>
                        <w:sz w:val="20"/>
                        <w:szCs w:val="20"/>
                      </w:rPr>
                    </w:pPr>
                    <w:r w:rsidRPr="006C501A">
                      <w:rPr>
                        <w:rFonts w:eastAsia="標楷體" w:hAnsi="標楷體" w:hint="eastAsia"/>
                        <w:bCs/>
                        <w:sz w:val="20"/>
                        <w:szCs w:val="20"/>
                      </w:rPr>
                      <w:t>美商萊迪思半導體</w:t>
                    </w:r>
                    <w:r w:rsidRPr="006C501A">
                      <w:rPr>
                        <w:rFonts w:eastAsia="標楷體" w:hAnsi="標楷體" w:hint="eastAsia"/>
                        <w:bCs/>
                        <w:sz w:val="20"/>
                        <w:szCs w:val="20"/>
                      </w:rPr>
                      <w:t>(</w:t>
                    </w:r>
                    <w:r w:rsidRPr="006C501A">
                      <w:rPr>
                        <w:rFonts w:eastAsia="標楷體" w:hAnsi="標楷體" w:hint="eastAsia"/>
                        <w:bCs/>
                        <w:sz w:val="20"/>
                        <w:szCs w:val="20"/>
                      </w:rPr>
                      <w:t>股</w:t>
                    </w:r>
                    <w:r w:rsidRPr="006C501A">
                      <w:rPr>
                        <w:rFonts w:eastAsia="標楷體" w:hAnsi="標楷體" w:hint="eastAsia"/>
                        <w:bCs/>
                        <w:sz w:val="20"/>
                        <w:szCs w:val="20"/>
                      </w:rPr>
                      <w:t>)</w:t>
                    </w:r>
                    <w:r w:rsidRPr="006C501A">
                      <w:rPr>
                        <w:rFonts w:eastAsia="標楷體" w:hAnsi="標楷體" w:hint="eastAsia"/>
                        <w:bCs/>
                        <w:sz w:val="20"/>
                        <w:szCs w:val="20"/>
                      </w:rPr>
                      <w:t>公司台灣分公司</w:t>
                    </w:r>
                  </w:p>
                  <w:p w:rsidR="00697B5D" w:rsidRPr="006C501A" w:rsidRDefault="00697B5D" w:rsidP="00C42AA0">
                    <w:pPr>
                      <w:jc w:val="right"/>
                      <w:rPr>
                        <w:rFonts w:eastAsia="標楷體" w:hAnsi="標楷體"/>
                        <w:bCs/>
                        <w:sz w:val="20"/>
                        <w:szCs w:val="20"/>
                      </w:rPr>
                    </w:pPr>
                    <w:r>
                      <w:rPr>
                        <w:rFonts w:eastAsia="標楷體" w:hAnsi="標楷體" w:hint="eastAsia"/>
                        <w:bCs/>
                        <w:sz w:val="20"/>
                        <w:szCs w:val="20"/>
                      </w:rPr>
                      <w:t>105</w:t>
                    </w:r>
                    <w:r>
                      <w:rPr>
                        <w:rFonts w:eastAsia="標楷體" w:hAnsi="標楷體" w:hint="eastAsia"/>
                        <w:bCs/>
                        <w:sz w:val="20"/>
                        <w:szCs w:val="20"/>
                      </w:rPr>
                      <w:t>會計</w:t>
                    </w:r>
                    <w:r w:rsidRPr="007C04EB">
                      <w:rPr>
                        <w:rFonts w:eastAsia="標楷體" w:hAnsi="標楷體"/>
                        <w:bCs/>
                        <w:sz w:val="20"/>
                        <w:szCs w:val="20"/>
                      </w:rPr>
                      <w:t>年度</w:t>
                    </w:r>
                  </w:p>
                  <w:p w:rsidR="00697B5D" w:rsidRPr="000E26E4" w:rsidRDefault="00697B5D" w:rsidP="00C42AA0">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r>
      <w:rPr>
        <w:noProof/>
      </w:rPr>
      <mc:AlternateContent>
        <mc:Choice Requires="wps">
          <w:drawing>
            <wp:anchor distT="0" distB="0" distL="114300" distR="114300" simplePos="0" relativeHeight="251658240" behindDoc="0" locked="0" layoutInCell="1" allowOverlap="1" wp14:anchorId="0261E0EF" wp14:editId="7FFEE100">
              <wp:simplePos x="0" y="0"/>
              <wp:positionH relativeFrom="column">
                <wp:posOffset>-18415</wp:posOffset>
              </wp:positionH>
              <wp:positionV relativeFrom="paragraph">
                <wp:posOffset>675005</wp:posOffset>
              </wp:positionV>
              <wp:extent cx="5829300" cy="0"/>
              <wp:effectExtent l="10160" t="8255" r="8890" b="10795"/>
              <wp:wrapNone/>
              <wp:docPr id="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zZ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Q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Tdw82R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700AB556" wp14:editId="65DB8A38">
          <wp:extent cx="2286000" cy="609600"/>
          <wp:effectExtent l="19050" t="0" r="0" b="0"/>
          <wp:docPr id="9"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r>
      <w:rPr>
        <w:noProof/>
      </w:rPr>
      <mc:AlternateContent>
        <mc:Choice Requires="wps">
          <w:drawing>
            <wp:anchor distT="0" distB="0" distL="114300" distR="114300" simplePos="0" relativeHeight="251659264" behindDoc="0" locked="0" layoutInCell="1" allowOverlap="1" wp14:anchorId="5F5259C8" wp14:editId="754B3B0C">
              <wp:simplePos x="0" y="0"/>
              <wp:positionH relativeFrom="column">
                <wp:posOffset>3178175</wp:posOffset>
              </wp:positionH>
              <wp:positionV relativeFrom="paragraph">
                <wp:posOffset>33020</wp:posOffset>
              </wp:positionV>
              <wp:extent cx="2299970" cy="586740"/>
              <wp:effectExtent l="0" t="4445" r="0" b="0"/>
              <wp:wrapNone/>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B5D" w:rsidRPr="000D2F4D" w:rsidRDefault="00697B5D" w:rsidP="00623A68">
                          <w:pPr>
                            <w:jc w:val="right"/>
                            <w:rPr>
                              <w:rFonts w:eastAsia="標楷體" w:hAnsi="標楷體"/>
                              <w:bCs/>
                              <w:sz w:val="20"/>
                              <w:szCs w:val="20"/>
                            </w:rPr>
                          </w:pPr>
                          <w:r w:rsidRPr="000D2F4D">
                            <w:rPr>
                              <w:rFonts w:eastAsia="標楷體" w:hAnsi="標楷體" w:hint="eastAsia"/>
                              <w:bCs/>
                              <w:sz w:val="20"/>
                              <w:szCs w:val="20"/>
                            </w:rPr>
                            <w:t>美商萊迪思半導體</w:t>
                          </w:r>
                          <w:r w:rsidRPr="000D2F4D">
                            <w:rPr>
                              <w:rFonts w:eastAsia="標楷體" w:hAnsi="標楷體" w:hint="eastAsia"/>
                              <w:bCs/>
                              <w:sz w:val="20"/>
                              <w:szCs w:val="20"/>
                            </w:rPr>
                            <w:t>(</w:t>
                          </w:r>
                          <w:r w:rsidRPr="000D2F4D">
                            <w:rPr>
                              <w:rFonts w:eastAsia="標楷體" w:hAnsi="標楷體" w:hint="eastAsia"/>
                              <w:bCs/>
                              <w:sz w:val="20"/>
                              <w:szCs w:val="20"/>
                            </w:rPr>
                            <w:t>股</w:t>
                          </w:r>
                          <w:r w:rsidRPr="000D2F4D">
                            <w:rPr>
                              <w:rFonts w:eastAsia="標楷體" w:hAnsi="標楷體" w:hint="eastAsia"/>
                              <w:bCs/>
                              <w:sz w:val="20"/>
                              <w:szCs w:val="20"/>
                            </w:rPr>
                            <w:t>)</w:t>
                          </w:r>
                          <w:r w:rsidRPr="000D2F4D">
                            <w:rPr>
                              <w:rFonts w:eastAsia="標楷體" w:hAnsi="標楷體" w:hint="eastAsia"/>
                              <w:bCs/>
                              <w:sz w:val="20"/>
                              <w:szCs w:val="20"/>
                            </w:rPr>
                            <w:t>公司台灣分公司</w:t>
                          </w:r>
                        </w:p>
                        <w:p w:rsidR="00697B5D" w:rsidRDefault="00697B5D" w:rsidP="00623A68">
                          <w:pPr>
                            <w:jc w:val="right"/>
                            <w:rPr>
                              <w:rFonts w:eastAsia="標楷體" w:hAnsi="標楷體"/>
                              <w:bCs/>
                              <w:sz w:val="20"/>
                              <w:szCs w:val="20"/>
                            </w:rPr>
                          </w:pPr>
                          <w:r w:rsidRPr="000D2F4D">
                            <w:rPr>
                              <w:rFonts w:eastAsia="標楷體" w:hAnsi="標楷體" w:hint="eastAsia"/>
                              <w:bCs/>
                              <w:sz w:val="20"/>
                              <w:szCs w:val="20"/>
                            </w:rPr>
                            <w:t>10</w:t>
                          </w:r>
                          <w:r>
                            <w:rPr>
                              <w:rFonts w:eastAsia="標楷體" w:hAnsi="標楷體" w:hint="eastAsia"/>
                              <w:bCs/>
                              <w:sz w:val="20"/>
                              <w:szCs w:val="20"/>
                            </w:rPr>
                            <w:t>5</w:t>
                          </w:r>
                          <w:r>
                            <w:rPr>
                              <w:rFonts w:eastAsia="標楷體" w:hAnsi="標楷體" w:hint="eastAsia"/>
                              <w:bCs/>
                              <w:sz w:val="20"/>
                              <w:szCs w:val="20"/>
                            </w:rPr>
                            <w:t>會計</w:t>
                          </w:r>
                          <w:r w:rsidRPr="007C04EB">
                            <w:rPr>
                              <w:rFonts w:eastAsia="標楷體" w:hAnsi="標楷體"/>
                              <w:bCs/>
                              <w:sz w:val="20"/>
                              <w:szCs w:val="20"/>
                            </w:rPr>
                            <w:t>年度</w:t>
                          </w:r>
                        </w:p>
                        <w:p w:rsidR="00697B5D" w:rsidRPr="007C04EB" w:rsidRDefault="00697B5D" w:rsidP="00623A68">
                          <w:pPr>
                            <w:jc w:val="right"/>
                            <w:rPr>
                              <w:rFonts w:eastAsia="標楷體" w:hAnsi="標楷體"/>
                              <w:bCs/>
                              <w:sz w:val="20"/>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8" type="#_x0000_t202" style="position:absolute;margin-left:250.25pt;margin-top:2.6pt;width:181.1pt;height:46.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" filled="f" stroked="f">
              <v:textbox style="mso-fit-shape-to-text:t">
                <w:txbxContent>
                  <w:p w:rsidR="00697B5D" w:rsidRPr="000D2F4D" w:rsidRDefault="00697B5D" w:rsidP="00623A68">
                    <w:pPr>
                      <w:jc w:val="right"/>
                      <w:rPr>
                        <w:rFonts w:eastAsia="標楷體" w:hAnsi="標楷體"/>
                        <w:bCs/>
                        <w:sz w:val="20"/>
                        <w:szCs w:val="20"/>
                      </w:rPr>
                    </w:pPr>
                    <w:r w:rsidRPr="000D2F4D">
                      <w:rPr>
                        <w:rFonts w:eastAsia="標楷體" w:hAnsi="標楷體" w:hint="eastAsia"/>
                        <w:bCs/>
                        <w:sz w:val="20"/>
                        <w:szCs w:val="20"/>
                      </w:rPr>
                      <w:t>美商萊迪思半導體</w:t>
                    </w:r>
                    <w:r w:rsidRPr="000D2F4D">
                      <w:rPr>
                        <w:rFonts w:eastAsia="標楷體" w:hAnsi="標楷體" w:hint="eastAsia"/>
                        <w:bCs/>
                        <w:sz w:val="20"/>
                        <w:szCs w:val="20"/>
                      </w:rPr>
                      <w:t>(</w:t>
                    </w:r>
                    <w:r w:rsidRPr="000D2F4D">
                      <w:rPr>
                        <w:rFonts w:eastAsia="標楷體" w:hAnsi="標楷體" w:hint="eastAsia"/>
                        <w:bCs/>
                        <w:sz w:val="20"/>
                        <w:szCs w:val="20"/>
                      </w:rPr>
                      <w:t>股</w:t>
                    </w:r>
                    <w:r w:rsidRPr="000D2F4D">
                      <w:rPr>
                        <w:rFonts w:eastAsia="標楷體" w:hAnsi="標楷體" w:hint="eastAsia"/>
                        <w:bCs/>
                        <w:sz w:val="20"/>
                        <w:szCs w:val="20"/>
                      </w:rPr>
                      <w:t>)</w:t>
                    </w:r>
                    <w:r w:rsidRPr="000D2F4D">
                      <w:rPr>
                        <w:rFonts w:eastAsia="標楷體" w:hAnsi="標楷體" w:hint="eastAsia"/>
                        <w:bCs/>
                        <w:sz w:val="20"/>
                        <w:szCs w:val="20"/>
                      </w:rPr>
                      <w:t>公司台灣分公司</w:t>
                    </w:r>
                  </w:p>
                  <w:p w:rsidR="00697B5D" w:rsidRDefault="00697B5D" w:rsidP="00623A68">
                    <w:pPr>
                      <w:jc w:val="right"/>
                      <w:rPr>
                        <w:rFonts w:eastAsia="標楷體" w:hAnsi="標楷體"/>
                        <w:bCs/>
                        <w:sz w:val="20"/>
                        <w:szCs w:val="20"/>
                      </w:rPr>
                    </w:pPr>
                    <w:r w:rsidRPr="000D2F4D">
                      <w:rPr>
                        <w:rFonts w:eastAsia="標楷體" w:hAnsi="標楷體" w:hint="eastAsia"/>
                        <w:bCs/>
                        <w:sz w:val="20"/>
                        <w:szCs w:val="20"/>
                      </w:rPr>
                      <w:t>10</w:t>
                    </w:r>
                    <w:r>
                      <w:rPr>
                        <w:rFonts w:eastAsia="標楷體" w:hAnsi="標楷體" w:hint="eastAsia"/>
                        <w:bCs/>
                        <w:sz w:val="20"/>
                        <w:szCs w:val="20"/>
                      </w:rPr>
                      <w:t>5</w:t>
                    </w:r>
                    <w:r>
                      <w:rPr>
                        <w:rFonts w:eastAsia="標楷體" w:hAnsi="標楷體" w:hint="eastAsia"/>
                        <w:bCs/>
                        <w:sz w:val="20"/>
                        <w:szCs w:val="20"/>
                      </w:rPr>
                      <w:t>會計</w:t>
                    </w:r>
                    <w:r w:rsidRPr="007C04EB">
                      <w:rPr>
                        <w:rFonts w:eastAsia="標楷體" w:hAnsi="標楷體"/>
                        <w:bCs/>
                        <w:sz w:val="20"/>
                        <w:szCs w:val="20"/>
                      </w:rPr>
                      <w:t>年度</w:t>
                    </w:r>
                  </w:p>
                  <w:p w:rsidR="00697B5D" w:rsidRPr="007C04EB" w:rsidRDefault="00697B5D" w:rsidP="00623A68">
                    <w:pPr>
                      <w:jc w:val="right"/>
                      <w:rPr>
                        <w:rFonts w:eastAsia="標楷體" w:hAnsi="標楷體"/>
                        <w:bCs/>
                        <w:sz w:val="20"/>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5D" w:rsidRDefault="00697B5D">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28"/>
      </v:shape>
    </w:pict>
  </w:numPicBullet>
  <w:abstractNum w:abstractNumId="0">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nsid w:val="00A55DBD"/>
    <w:multiLevelType w:val="hybridMultilevel"/>
    <w:tmpl w:val="EE363D7A"/>
    <w:lvl w:ilvl="0" w:tplc="0409000B">
      <w:start w:val="1"/>
      <w:numFmt w:val="bullet"/>
      <w:lvlText w:val=""/>
      <w:lvlJc w:val="left"/>
      <w:pPr>
        <w:tabs>
          <w:tab w:val="num" w:pos="1190"/>
        </w:tabs>
        <w:ind w:left="119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E020BC"/>
    <w:multiLevelType w:val="hybridMultilevel"/>
    <w:tmpl w:val="F03E3578"/>
    <w:lvl w:ilvl="0" w:tplc="0409000B">
      <w:start w:val="1"/>
      <w:numFmt w:val="bullet"/>
      <w:lvlText w:val=""/>
      <w:lvlJc w:val="left"/>
      <w:pPr>
        <w:tabs>
          <w:tab w:val="num" w:pos="1190"/>
        </w:tabs>
        <w:ind w:left="119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1FE64F5"/>
    <w:multiLevelType w:val="hybridMultilevel"/>
    <w:tmpl w:val="C3BA53AA"/>
    <w:lvl w:ilvl="0" w:tplc="4B8A7A72">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5">
    <w:nsid w:val="178174EF"/>
    <w:multiLevelType w:val="hybridMultilevel"/>
    <w:tmpl w:val="9B34AA70"/>
    <w:lvl w:ilvl="0" w:tplc="E1D0AB32">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7861649"/>
    <w:multiLevelType w:val="hybridMultilevel"/>
    <w:tmpl w:val="9B5490BA"/>
    <w:lvl w:ilvl="0" w:tplc="24AE841C">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
    <w:nsid w:val="1AD91C10"/>
    <w:multiLevelType w:val="hybridMultilevel"/>
    <w:tmpl w:val="A954A4F0"/>
    <w:lvl w:ilvl="0" w:tplc="0409000B">
      <w:start w:val="1"/>
      <w:numFmt w:val="bullet"/>
      <w:lvlText w:val=""/>
      <w:lvlJc w:val="left"/>
      <w:pPr>
        <w:tabs>
          <w:tab w:val="num" w:pos="1720"/>
        </w:tabs>
        <w:ind w:left="172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CD4B3B"/>
    <w:multiLevelType w:val="hybridMultilevel"/>
    <w:tmpl w:val="B79C70A2"/>
    <w:lvl w:ilvl="0" w:tplc="B8DA166C">
      <w:start w:val="1"/>
      <w:numFmt w:val="decimal"/>
      <w:lvlText w:val="（%1）"/>
      <w:lvlJc w:val="left"/>
      <w:pPr>
        <w:ind w:left="1047" w:hanging="480"/>
      </w:pPr>
      <w:rPr>
        <w:rFonts w:hint="default"/>
      </w:rPr>
    </w:lvl>
    <w:lvl w:ilvl="1" w:tplc="04090019" w:tentative="1">
      <w:start w:val="1"/>
      <w:numFmt w:val="ideographTraditional"/>
      <w:lvlText w:val="%2、"/>
      <w:lvlJc w:val="left"/>
      <w:pPr>
        <w:tabs>
          <w:tab w:val="num" w:pos="-873"/>
        </w:tabs>
        <w:ind w:left="-873" w:hanging="480"/>
      </w:pPr>
    </w:lvl>
    <w:lvl w:ilvl="2" w:tplc="0409001B" w:tentative="1">
      <w:start w:val="1"/>
      <w:numFmt w:val="lowerRoman"/>
      <w:lvlText w:val="%3."/>
      <w:lvlJc w:val="right"/>
      <w:pPr>
        <w:tabs>
          <w:tab w:val="num" w:pos="-393"/>
        </w:tabs>
        <w:ind w:left="-393" w:hanging="480"/>
      </w:pPr>
    </w:lvl>
    <w:lvl w:ilvl="3" w:tplc="0409000F" w:tentative="1">
      <w:start w:val="1"/>
      <w:numFmt w:val="decimal"/>
      <w:lvlText w:val="%4."/>
      <w:lvlJc w:val="left"/>
      <w:pPr>
        <w:tabs>
          <w:tab w:val="num" w:pos="87"/>
        </w:tabs>
        <w:ind w:left="87" w:hanging="480"/>
      </w:pPr>
    </w:lvl>
    <w:lvl w:ilvl="4" w:tplc="04090019" w:tentative="1">
      <w:start w:val="1"/>
      <w:numFmt w:val="ideographTraditional"/>
      <w:lvlText w:val="%5、"/>
      <w:lvlJc w:val="left"/>
      <w:pPr>
        <w:tabs>
          <w:tab w:val="num" w:pos="567"/>
        </w:tabs>
        <w:ind w:left="567" w:hanging="480"/>
      </w:pPr>
    </w:lvl>
    <w:lvl w:ilvl="5" w:tplc="0409001B" w:tentative="1">
      <w:start w:val="1"/>
      <w:numFmt w:val="lowerRoman"/>
      <w:lvlText w:val="%6."/>
      <w:lvlJc w:val="right"/>
      <w:pPr>
        <w:tabs>
          <w:tab w:val="num" w:pos="1047"/>
        </w:tabs>
        <w:ind w:left="1047" w:hanging="480"/>
      </w:pPr>
    </w:lvl>
    <w:lvl w:ilvl="6" w:tplc="0409000F" w:tentative="1">
      <w:start w:val="1"/>
      <w:numFmt w:val="decimal"/>
      <w:lvlText w:val="%7."/>
      <w:lvlJc w:val="left"/>
      <w:pPr>
        <w:tabs>
          <w:tab w:val="num" w:pos="1527"/>
        </w:tabs>
        <w:ind w:left="1527" w:hanging="480"/>
      </w:pPr>
    </w:lvl>
    <w:lvl w:ilvl="7" w:tplc="04090019" w:tentative="1">
      <w:start w:val="1"/>
      <w:numFmt w:val="ideographTraditional"/>
      <w:lvlText w:val="%8、"/>
      <w:lvlJc w:val="left"/>
      <w:pPr>
        <w:tabs>
          <w:tab w:val="num" w:pos="2007"/>
        </w:tabs>
        <w:ind w:left="2007" w:hanging="480"/>
      </w:pPr>
    </w:lvl>
    <w:lvl w:ilvl="8" w:tplc="0409001B" w:tentative="1">
      <w:start w:val="1"/>
      <w:numFmt w:val="lowerRoman"/>
      <w:lvlText w:val="%9."/>
      <w:lvlJc w:val="right"/>
      <w:pPr>
        <w:tabs>
          <w:tab w:val="num" w:pos="2487"/>
        </w:tabs>
        <w:ind w:left="2487" w:hanging="480"/>
      </w:pPr>
    </w:lvl>
  </w:abstractNum>
  <w:abstractNum w:abstractNumId="10">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1">
    <w:nsid w:val="210A2FA2"/>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27B7EEB"/>
    <w:multiLevelType w:val="hybridMultilevel"/>
    <w:tmpl w:val="D7CEBB9E"/>
    <w:lvl w:ilvl="0" w:tplc="43464E18">
      <w:start w:val="1"/>
      <w:numFmt w:val="decimal"/>
      <w:lvlText w:val="%1、"/>
      <w:lvlJc w:val="left"/>
      <w:pPr>
        <w:tabs>
          <w:tab w:val="num" w:pos="1800"/>
        </w:tabs>
        <w:ind w:left="1800" w:hanging="360"/>
      </w:pPr>
      <w:rPr>
        <w:rFonts w:ascii="Times New Roman" w:eastAsia="標楷體" w:hAnsi="Times New Roman" w:hint="default"/>
        <w:b w:val="0"/>
        <w:i w:val="0"/>
        <w:sz w:val="26"/>
        <w:szCs w:val="26"/>
      </w:rPr>
    </w:lvl>
    <w:lvl w:ilvl="1" w:tplc="04090007">
      <w:start w:val="1"/>
      <w:numFmt w:val="bullet"/>
      <w:lvlText w:val=""/>
      <w:lvlPicBulletId w:val="0"/>
      <w:lvlJc w:val="left"/>
      <w:pPr>
        <w:tabs>
          <w:tab w:val="num" w:pos="960"/>
        </w:tabs>
        <w:ind w:left="960" w:hanging="480"/>
      </w:pPr>
      <w:rPr>
        <w:rFonts w:ascii="Wingdings" w:hAnsi="Wingdings" w:hint="default"/>
        <w:b w:val="0"/>
        <w:i w:val="0"/>
        <w:sz w:val="24"/>
        <w:szCs w:val="24"/>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5A5698B"/>
    <w:multiLevelType w:val="hybridMultilevel"/>
    <w:tmpl w:val="679AF5F6"/>
    <w:lvl w:ilvl="0" w:tplc="0409000F">
      <w:start w:val="1"/>
      <w:numFmt w:val="decimal"/>
      <w:lvlText w:val="%1."/>
      <w:lvlJc w:val="left"/>
      <w:pPr>
        <w:ind w:left="480" w:hanging="480"/>
      </w:pPr>
    </w:lvl>
    <w:lvl w:ilvl="1" w:tplc="AA8C57F8">
      <w:start w:val="1"/>
      <w:numFmt w:val="taiwaneseCountingThousand"/>
      <w:lvlText w:val="（%2）"/>
      <w:lvlJc w:val="left"/>
      <w:pPr>
        <w:tabs>
          <w:tab w:val="num" w:pos="1335"/>
        </w:tabs>
        <w:ind w:left="1335" w:hanging="85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7F16FDB"/>
    <w:multiLevelType w:val="hybridMultilevel"/>
    <w:tmpl w:val="09D46086"/>
    <w:lvl w:ilvl="0" w:tplc="04090007">
      <w:start w:val="1"/>
      <w:numFmt w:val="bullet"/>
      <w:lvlText w:val=""/>
      <w:lvlPicBulletId w:val="0"/>
      <w:lvlJc w:val="left"/>
      <w:pPr>
        <w:tabs>
          <w:tab w:val="num" w:pos="480"/>
        </w:tabs>
        <w:ind w:left="480" w:hanging="480"/>
      </w:pPr>
      <w:rPr>
        <w:rFonts w:ascii="Wingdings" w:hAnsi="Wingdings" w:hint="default"/>
      </w:rPr>
    </w:lvl>
    <w:lvl w:ilvl="1" w:tplc="0409000B">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nsid w:val="28ED49EE"/>
    <w:multiLevelType w:val="hybridMultilevel"/>
    <w:tmpl w:val="FA34688A"/>
    <w:lvl w:ilvl="0" w:tplc="0409000B">
      <w:start w:val="1"/>
      <w:numFmt w:val="bullet"/>
      <w:lvlText w:val=""/>
      <w:lvlJc w:val="left"/>
      <w:pPr>
        <w:tabs>
          <w:tab w:val="num" w:pos="960"/>
        </w:tabs>
        <w:ind w:left="960" w:hanging="480"/>
      </w:pPr>
      <w:rPr>
        <w:rFonts w:ascii="Wingdings" w:hAnsi="Wingdings" w:hint="default"/>
      </w:rPr>
    </w:lvl>
    <w:lvl w:ilvl="1" w:tplc="04090019" w:tentative="1">
      <w:start w:val="1"/>
      <w:numFmt w:val="ideographTraditional"/>
      <w:lvlText w:val="%2、"/>
      <w:lvlJc w:val="left"/>
      <w:pPr>
        <w:ind w:left="0" w:hanging="480"/>
      </w:pPr>
    </w:lvl>
    <w:lvl w:ilvl="2" w:tplc="0409001B" w:tentative="1">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6">
    <w:nsid w:val="29EB60EA"/>
    <w:multiLevelType w:val="hybridMultilevel"/>
    <w:tmpl w:val="7AA22B72"/>
    <w:lvl w:ilvl="0" w:tplc="0409000B">
      <w:start w:val="1"/>
      <w:numFmt w:val="bullet"/>
      <w:lvlText w:val=""/>
      <w:lvlJc w:val="left"/>
      <w:pPr>
        <w:ind w:left="10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B312817"/>
    <w:multiLevelType w:val="hybridMultilevel"/>
    <w:tmpl w:val="60E6F1B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2B966643"/>
    <w:multiLevelType w:val="hybridMultilevel"/>
    <w:tmpl w:val="BFBC1D1C"/>
    <w:lvl w:ilvl="0" w:tplc="6D165898">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2CEB6FA8"/>
    <w:multiLevelType w:val="hybridMultilevel"/>
    <w:tmpl w:val="A3184A6C"/>
    <w:lvl w:ilvl="0" w:tplc="E13AF5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23">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0CC37E9"/>
    <w:multiLevelType w:val="hybridMultilevel"/>
    <w:tmpl w:val="285CB71A"/>
    <w:lvl w:ilvl="0" w:tplc="EA264578">
      <w:start w:val="1"/>
      <w:numFmt w:val="bullet"/>
      <w:lvlText w:val=""/>
      <w:lvlJc w:val="left"/>
      <w:pPr>
        <w:tabs>
          <w:tab w:val="num" w:pos="1080"/>
        </w:tabs>
        <w:ind w:left="10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8526E9C"/>
    <w:multiLevelType w:val="hybridMultilevel"/>
    <w:tmpl w:val="4CD870AA"/>
    <w:lvl w:ilvl="0" w:tplc="0409000B">
      <w:start w:val="1"/>
      <w:numFmt w:val="bullet"/>
      <w:lvlText w:val=""/>
      <w:lvlJc w:val="left"/>
      <w:pPr>
        <w:tabs>
          <w:tab w:val="num" w:pos="1080"/>
        </w:tabs>
        <w:ind w:left="1080" w:hanging="480"/>
      </w:pPr>
      <w:rPr>
        <w:rFonts w:ascii="Wingdings" w:hAnsi="Wingdings" w:hint="default"/>
      </w:rPr>
    </w:lvl>
    <w:lvl w:ilvl="1" w:tplc="04090019" w:tentative="1">
      <w:start w:val="1"/>
      <w:numFmt w:val="ideographTraditional"/>
      <w:lvlText w:val="%2、"/>
      <w:lvlJc w:val="left"/>
      <w:pPr>
        <w:ind w:left="120" w:hanging="480"/>
      </w:pPr>
    </w:lvl>
    <w:lvl w:ilvl="2" w:tplc="0409001B" w:tentative="1">
      <w:start w:val="1"/>
      <w:numFmt w:val="lowerRoman"/>
      <w:lvlText w:val="%3."/>
      <w:lvlJc w:val="right"/>
      <w:pPr>
        <w:ind w:left="600" w:hanging="480"/>
      </w:pPr>
    </w:lvl>
    <w:lvl w:ilvl="3" w:tplc="0409000F" w:tentative="1">
      <w:start w:val="1"/>
      <w:numFmt w:val="decimal"/>
      <w:lvlText w:val="%4."/>
      <w:lvlJc w:val="left"/>
      <w:pPr>
        <w:ind w:left="1080" w:hanging="480"/>
      </w:pPr>
    </w:lvl>
    <w:lvl w:ilvl="4" w:tplc="04090019" w:tentative="1">
      <w:start w:val="1"/>
      <w:numFmt w:val="ideographTraditional"/>
      <w:lvlText w:val="%5、"/>
      <w:lvlJc w:val="left"/>
      <w:pPr>
        <w:ind w:left="1560" w:hanging="480"/>
      </w:pPr>
    </w:lvl>
    <w:lvl w:ilvl="5" w:tplc="0409001B" w:tentative="1">
      <w:start w:val="1"/>
      <w:numFmt w:val="lowerRoman"/>
      <w:lvlText w:val="%6."/>
      <w:lvlJc w:val="right"/>
      <w:pPr>
        <w:ind w:left="2040" w:hanging="480"/>
      </w:pPr>
    </w:lvl>
    <w:lvl w:ilvl="6" w:tplc="0409000F" w:tentative="1">
      <w:start w:val="1"/>
      <w:numFmt w:val="decimal"/>
      <w:lvlText w:val="%7."/>
      <w:lvlJc w:val="left"/>
      <w:pPr>
        <w:ind w:left="2520" w:hanging="480"/>
      </w:pPr>
    </w:lvl>
    <w:lvl w:ilvl="7" w:tplc="04090019" w:tentative="1">
      <w:start w:val="1"/>
      <w:numFmt w:val="ideographTraditional"/>
      <w:lvlText w:val="%8、"/>
      <w:lvlJc w:val="left"/>
      <w:pPr>
        <w:ind w:left="3000" w:hanging="480"/>
      </w:pPr>
    </w:lvl>
    <w:lvl w:ilvl="8" w:tplc="0409001B" w:tentative="1">
      <w:start w:val="1"/>
      <w:numFmt w:val="lowerRoman"/>
      <w:lvlText w:val="%9."/>
      <w:lvlJc w:val="right"/>
      <w:pPr>
        <w:ind w:left="3480" w:hanging="480"/>
      </w:pPr>
    </w:lvl>
  </w:abstractNum>
  <w:abstractNum w:abstractNumId="26">
    <w:nsid w:val="3B2C52FA"/>
    <w:multiLevelType w:val="hybridMultilevel"/>
    <w:tmpl w:val="16DE809E"/>
    <w:lvl w:ilvl="0" w:tplc="FBCA38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8A056AC"/>
    <w:multiLevelType w:val="hybridMultilevel"/>
    <w:tmpl w:val="A5286E28"/>
    <w:lvl w:ilvl="0" w:tplc="26609300">
      <w:start w:val="1"/>
      <w:numFmt w:val="decimal"/>
      <w:lvlText w:val="%1、"/>
      <w:lvlJc w:val="left"/>
      <w:pPr>
        <w:ind w:left="1080" w:hanging="480"/>
      </w:pPr>
      <w:rPr>
        <w:rFonts w:hint="default"/>
      </w:rPr>
    </w:lvl>
    <w:lvl w:ilvl="1" w:tplc="04090019" w:tentative="1">
      <w:start w:val="1"/>
      <w:numFmt w:val="ideographTraditional"/>
      <w:lvlText w:val="%2、"/>
      <w:lvlJc w:val="left"/>
      <w:pPr>
        <w:ind w:left="120" w:hanging="480"/>
      </w:pPr>
    </w:lvl>
    <w:lvl w:ilvl="2" w:tplc="0409001B" w:tentative="1">
      <w:start w:val="1"/>
      <w:numFmt w:val="lowerRoman"/>
      <w:lvlText w:val="%3."/>
      <w:lvlJc w:val="right"/>
      <w:pPr>
        <w:ind w:left="600" w:hanging="480"/>
      </w:pPr>
    </w:lvl>
    <w:lvl w:ilvl="3" w:tplc="0409000F" w:tentative="1">
      <w:start w:val="1"/>
      <w:numFmt w:val="decimal"/>
      <w:lvlText w:val="%4."/>
      <w:lvlJc w:val="left"/>
      <w:pPr>
        <w:ind w:left="1080" w:hanging="480"/>
      </w:pPr>
    </w:lvl>
    <w:lvl w:ilvl="4" w:tplc="04090019" w:tentative="1">
      <w:start w:val="1"/>
      <w:numFmt w:val="ideographTraditional"/>
      <w:lvlText w:val="%5、"/>
      <w:lvlJc w:val="left"/>
      <w:pPr>
        <w:ind w:left="1560" w:hanging="480"/>
      </w:pPr>
    </w:lvl>
    <w:lvl w:ilvl="5" w:tplc="0409001B" w:tentative="1">
      <w:start w:val="1"/>
      <w:numFmt w:val="lowerRoman"/>
      <w:lvlText w:val="%6."/>
      <w:lvlJc w:val="right"/>
      <w:pPr>
        <w:ind w:left="2040" w:hanging="480"/>
      </w:pPr>
    </w:lvl>
    <w:lvl w:ilvl="6" w:tplc="0409000F" w:tentative="1">
      <w:start w:val="1"/>
      <w:numFmt w:val="decimal"/>
      <w:lvlText w:val="%7."/>
      <w:lvlJc w:val="left"/>
      <w:pPr>
        <w:ind w:left="2520" w:hanging="480"/>
      </w:pPr>
    </w:lvl>
    <w:lvl w:ilvl="7" w:tplc="04090019" w:tentative="1">
      <w:start w:val="1"/>
      <w:numFmt w:val="ideographTraditional"/>
      <w:lvlText w:val="%8、"/>
      <w:lvlJc w:val="left"/>
      <w:pPr>
        <w:ind w:left="3000" w:hanging="480"/>
      </w:pPr>
    </w:lvl>
    <w:lvl w:ilvl="8" w:tplc="0409001B" w:tentative="1">
      <w:start w:val="1"/>
      <w:numFmt w:val="lowerRoman"/>
      <w:lvlText w:val="%9."/>
      <w:lvlJc w:val="right"/>
      <w:pPr>
        <w:ind w:left="3480" w:hanging="480"/>
      </w:pPr>
    </w:lvl>
  </w:abstractNum>
  <w:abstractNum w:abstractNumId="29">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0">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1">
    <w:nsid w:val="59B708F9"/>
    <w:multiLevelType w:val="hybridMultilevel"/>
    <w:tmpl w:val="C9881462"/>
    <w:lvl w:ilvl="0" w:tplc="BAB67F28">
      <w:start w:val="1"/>
      <w:numFmt w:val="decimal"/>
      <w:lvlText w:val="(%1)"/>
      <w:lvlJc w:val="left"/>
      <w:pPr>
        <w:tabs>
          <w:tab w:val="num" w:pos="1920"/>
        </w:tabs>
        <w:ind w:left="1920" w:hanging="480"/>
      </w:pPr>
      <w:rPr>
        <w:rFonts w:hint="eastAsia"/>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32">
    <w:nsid w:val="5DA26452"/>
    <w:multiLevelType w:val="multilevel"/>
    <w:tmpl w:val="4B0ED5EC"/>
    <w:lvl w:ilvl="0">
      <w:start w:val="1"/>
      <w:numFmt w:val="ideographLegalTraditional"/>
      <w:pStyle w:val="1"/>
      <w:suff w:val="nothing"/>
      <w:lvlText w:val="第%1章、"/>
      <w:lvlJc w:val="center"/>
      <w:pPr>
        <w:ind w:left="3965" w:hanging="137"/>
      </w:pPr>
      <w:rPr>
        <w:rFonts w:ascii="Times New Roman" w:eastAsia="標楷體" w:hAnsi="Times New Roman" w:hint="default"/>
        <w:b/>
        <w:i w:val="0"/>
        <w:strike w:val="0"/>
        <w:dstrike w:val="0"/>
        <w:color w:val="000000"/>
        <w:sz w:val="44"/>
        <w:szCs w:val="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33">
    <w:nsid w:val="63922B38"/>
    <w:multiLevelType w:val="hybridMultilevel"/>
    <w:tmpl w:val="7D9AE2F4"/>
    <w:lvl w:ilvl="0" w:tplc="61A0BB9E">
      <w:start w:val="1"/>
      <w:numFmt w:val="taiwaneseCountingThousand"/>
      <w:suff w:val="nothing"/>
      <w:lvlText w:val="（%1）"/>
      <w:lvlJc w:val="left"/>
      <w:pPr>
        <w:ind w:left="765" w:hanging="765"/>
      </w:pPr>
      <w:rPr>
        <w:rFonts w:hint="default"/>
        <w:color w:val="auto"/>
      </w:rPr>
    </w:lvl>
    <w:lvl w:ilvl="1" w:tplc="9E72057A">
      <w:start w:val="1"/>
      <w:numFmt w:val="taiwaneseCountingThousand"/>
      <w:lvlText w:val="（%2）"/>
      <w:lvlJc w:val="left"/>
      <w:pPr>
        <w:tabs>
          <w:tab w:val="num" w:pos="1720"/>
        </w:tabs>
        <w:ind w:left="1720" w:hanging="720"/>
      </w:pPr>
      <w:rPr>
        <w:rFonts w:hint="eastAsia"/>
        <w:b w:val="0"/>
        <w:i w:val="0"/>
        <w:color w:val="auto"/>
      </w:rPr>
    </w:lvl>
    <w:lvl w:ilvl="2" w:tplc="0409001B">
      <w:start w:val="1"/>
      <w:numFmt w:val="lowerRoman"/>
      <w:lvlText w:val="%3."/>
      <w:lvlJc w:val="right"/>
      <w:pPr>
        <w:ind w:left="1960" w:hanging="480"/>
      </w:pPr>
    </w:lvl>
    <w:lvl w:ilvl="3" w:tplc="F43081A6">
      <w:start w:val="1"/>
      <w:numFmt w:val="decimal"/>
      <w:lvlText w:val="%4."/>
      <w:lvlJc w:val="left"/>
      <w:pPr>
        <w:ind w:left="0" w:firstLine="0"/>
      </w:pPr>
      <w:rPr>
        <w:rFonts w:ascii="Times New Roman" w:hAnsi="Times New Roman" w:hint="default"/>
        <w:b/>
        <w:u w:val="none"/>
      </w:rPr>
    </w:lvl>
    <w:lvl w:ilvl="4" w:tplc="04090019">
      <w:start w:val="1"/>
      <w:numFmt w:val="ideographTraditional"/>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ideographTraditional"/>
      <w:lvlText w:val="%8、"/>
      <w:lvlJc w:val="left"/>
      <w:pPr>
        <w:ind w:left="4360" w:hanging="480"/>
      </w:pPr>
    </w:lvl>
    <w:lvl w:ilvl="8" w:tplc="0409001B" w:tentative="1">
      <w:start w:val="1"/>
      <w:numFmt w:val="lowerRoman"/>
      <w:lvlText w:val="%9."/>
      <w:lvlJc w:val="right"/>
      <w:pPr>
        <w:ind w:left="4840" w:hanging="480"/>
      </w:pPr>
    </w:lvl>
  </w:abstractNum>
  <w:abstractNum w:abstractNumId="34">
    <w:nsid w:val="64805CD5"/>
    <w:multiLevelType w:val="hybridMultilevel"/>
    <w:tmpl w:val="49D27406"/>
    <w:lvl w:ilvl="0" w:tplc="0409000B">
      <w:start w:val="1"/>
      <w:numFmt w:val="bullet"/>
      <w:lvlText w:val=""/>
      <w:lvlJc w:val="left"/>
      <w:pPr>
        <w:tabs>
          <w:tab w:val="num" w:pos="1720"/>
        </w:tabs>
        <w:ind w:left="172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7">
    <w:nsid w:val="697A3F0E"/>
    <w:multiLevelType w:val="hybridMultilevel"/>
    <w:tmpl w:val="DE5059C6"/>
    <w:lvl w:ilvl="0" w:tplc="891A0B4E">
      <w:start w:val="1"/>
      <w:numFmt w:val="ideographLegalTraditional"/>
      <w:lvlText w:val="第%1章、"/>
      <w:lvlJc w:val="left"/>
      <w:pPr>
        <w:ind w:left="144" w:hanging="480"/>
      </w:pPr>
      <w:rPr>
        <w:rFonts w:ascii="Times New Roman" w:eastAsia="標楷體" w:hAnsi="Times New Roman" w:hint="default"/>
        <w:b/>
        <w:i w:val="0"/>
        <w:caps w:val="0"/>
        <w:strike w:val="0"/>
        <w:dstrike w:val="0"/>
        <w:vanish w:val="0"/>
        <w:color w:val="000000"/>
        <w:sz w:val="44"/>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624" w:hanging="480"/>
      </w:pPr>
    </w:lvl>
    <w:lvl w:ilvl="2" w:tplc="0409001B" w:tentative="1">
      <w:start w:val="1"/>
      <w:numFmt w:val="lowerRoman"/>
      <w:lvlText w:val="%3."/>
      <w:lvlJc w:val="right"/>
      <w:pPr>
        <w:ind w:left="1104" w:hanging="480"/>
      </w:pPr>
    </w:lvl>
    <w:lvl w:ilvl="3" w:tplc="0409000F" w:tentative="1">
      <w:start w:val="1"/>
      <w:numFmt w:val="decimal"/>
      <w:lvlText w:val="%4."/>
      <w:lvlJc w:val="left"/>
      <w:pPr>
        <w:ind w:left="1584" w:hanging="480"/>
      </w:pPr>
    </w:lvl>
    <w:lvl w:ilvl="4" w:tplc="04090019" w:tentative="1">
      <w:start w:val="1"/>
      <w:numFmt w:val="ideographTraditional"/>
      <w:lvlText w:val="%5、"/>
      <w:lvlJc w:val="left"/>
      <w:pPr>
        <w:ind w:left="2064" w:hanging="480"/>
      </w:pPr>
    </w:lvl>
    <w:lvl w:ilvl="5" w:tplc="0409001B" w:tentative="1">
      <w:start w:val="1"/>
      <w:numFmt w:val="lowerRoman"/>
      <w:lvlText w:val="%6."/>
      <w:lvlJc w:val="right"/>
      <w:pPr>
        <w:ind w:left="2544" w:hanging="480"/>
      </w:pPr>
    </w:lvl>
    <w:lvl w:ilvl="6" w:tplc="0409000F" w:tentative="1">
      <w:start w:val="1"/>
      <w:numFmt w:val="decimal"/>
      <w:lvlText w:val="%7."/>
      <w:lvlJc w:val="left"/>
      <w:pPr>
        <w:ind w:left="3024" w:hanging="480"/>
      </w:pPr>
    </w:lvl>
    <w:lvl w:ilvl="7" w:tplc="04090019" w:tentative="1">
      <w:start w:val="1"/>
      <w:numFmt w:val="ideographTraditional"/>
      <w:lvlText w:val="%8、"/>
      <w:lvlJc w:val="left"/>
      <w:pPr>
        <w:ind w:left="3504" w:hanging="480"/>
      </w:pPr>
    </w:lvl>
    <w:lvl w:ilvl="8" w:tplc="0409001B" w:tentative="1">
      <w:start w:val="1"/>
      <w:numFmt w:val="lowerRoman"/>
      <w:lvlText w:val="%9."/>
      <w:lvlJc w:val="right"/>
      <w:pPr>
        <w:ind w:left="3984" w:hanging="480"/>
      </w:pPr>
    </w:lvl>
  </w:abstractNum>
  <w:abstractNum w:abstractNumId="38">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8BE6A73"/>
    <w:multiLevelType w:val="hybridMultilevel"/>
    <w:tmpl w:val="C40EF4D8"/>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B786AE7"/>
    <w:multiLevelType w:val="hybridMultilevel"/>
    <w:tmpl w:val="C9EE401C"/>
    <w:lvl w:ilvl="0" w:tplc="BAB67F28">
      <w:start w:val="1"/>
      <w:numFmt w:val="decimal"/>
      <w:lvlText w:val="(%1)"/>
      <w:lvlJc w:val="left"/>
      <w:pPr>
        <w:tabs>
          <w:tab w:val="num" w:pos="1920"/>
        </w:tabs>
        <w:ind w:left="1920" w:hanging="480"/>
      </w:pPr>
      <w:rPr>
        <w:rFonts w:hint="eastAsia"/>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41">
    <w:nsid w:val="7C5E75B3"/>
    <w:multiLevelType w:val="hybridMultilevel"/>
    <w:tmpl w:val="07B61A4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7CC261D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D2C58AF"/>
    <w:multiLevelType w:val="hybridMultilevel"/>
    <w:tmpl w:val="EEA856D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2"/>
  </w:num>
  <w:num w:numId="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1"/>
  </w:num>
  <w:num w:numId="6">
    <w:abstractNumId w:val="39"/>
  </w:num>
  <w:num w:numId="7">
    <w:abstractNumId w:val="29"/>
  </w:num>
  <w:num w:numId="8">
    <w:abstractNumId w:val="11"/>
  </w:num>
  <w:num w:numId="9">
    <w:abstractNumId w:val="27"/>
  </w:num>
  <w:num w:numId="10">
    <w:abstractNumId w:val="36"/>
  </w:num>
  <w:num w:numId="11">
    <w:abstractNumId w:val="10"/>
  </w:num>
  <w:num w:numId="12">
    <w:abstractNumId w:val="38"/>
  </w:num>
  <w:num w:numId="13">
    <w:abstractNumId w:val="42"/>
  </w:num>
  <w:num w:numId="14">
    <w:abstractNumId w:val="7"/>
  </w:num>
  <w:num w:numId="15">
    <w:abstractNumId w:val="4"/>
  </w:num>
  <w:num w:numId="16">
    <w:abstractNumId w:val="35"/>
  </w:num>
  <w:num w:numId="17">
    <w:abstractNumId w:val="30"/>
  </w:num>
  <w:num w:numId="18">
    <w:abstractNumId w:val="18"/>
  </w:num>
  <w:num w:numId="19">
    <w:abstractNumId w:val="20"/>
  </w:num>
  <w:num w:numId="20">
    <w:abstractNumId w:val="26"/>
  </w:num>
  <w:num w:numId="21">
    <w:abstractNumId w:val="41"/>
  </w:num>
  <w:num w:numId="22">
    <w:abstractNumId w:val="23"/>
  </w:num>
  <w:num w:numId="23">
    <w:abstractNumId w:val="40"/>
  </w:num>
  <w:num w:numId="24">
    <w:abstractNumId w:val="31"/>
  </w:num>
  <w:num w:numId="25">
    <w:abstractNumId w:val="19"/>
  </w:num>
  <w:num w:numId="26">
    <w:abstractNumId w:val="33"/>
  </w:num>
  <w:num w:numId="27">
    <w:abstractNumId w:val="13"/>
  </w:num>
  <w:num w:numId="28">
    <w:abstractNumId w:val="12"/>
  </w:num>
  <w:num w:numId="29">
    <w:abstractNumId w:val="37"/>
  </w:num>
  <w:num w:numId="30">
    <w:abstractNumId w:val="34"/>
  </w:num>
  <w:num w:numId="31">
    <w:abstractNumId w:val="8"/>
  </w:num>
  <w:num w:numId="32">
    <w:abstractNumId w:val="1"/>
  </w:num>
  <w:num w:numId="33">
    <w:abstractNumId w:val="2"/>
  </w:num>
  <w:num w:numId="34">
    <w:abstractNumId w:val="14"/>
  </w:num>
  <w:num w:numId="35">
    <w:abstractNumId w:val="28"/>
  </w:num>
  <w:num w:numId="36">
    <w:abstractNumId w:val="15"/>
  </w:num>
  <w:num w:numId="37">
    <w:abstractNumId w:val="24"/>
  </w:num>
  <w:num w:numId="38">
    <w:abstractNumId w:val="25"/>
  </w:num>
  <w:num w:numId="39">
    <w:abstractNumId w:val="17"/>
  </w:num>
  <w:num w:numId="40">
    <w:abstractNumId w:val="5"/>
  </w:num>
  <w:num w:numId="41">
    <w:abstractNumId w:val="6"/>
  </w:num>
  <w:num w:numId="42">
    <w:abstractNumId w:val="9"/>
  </w:num>
  <w:num w:numId="43">
    <w:abstractNumId w:val="43"/>
  </w:num>
  <w:num w:numId="44">
    <w:abstractNumId w:val="32"/>
  </w:num>
  <w:num w:numId="45">
    <w:abstractNumId w:val="22"/>
  </w:num>
  <w:num w:numId="46">
    <w:abstractNumId w:val="16"/>
  </w:num>
  <w:num w:numId="47">
    <w:abstractNumId w:val="32"/>
  </w:num>
  <w:num w:numId="48">
    <w:abstractNumId w:val="32"/>
  </w:num>
  <w:num w:numId="49">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54A"/>
    <w:rsid w:val="000007DA"/>
    <w:rsid w:val="000008F2"/>
    <w:rsid w:val="0000146A"/>
    <w:rsid w:val="00002FEF"/>
    <w:rsid w:val="000033A9"/>
    <w:rsid w:val="0000396A"/>
    <w:rsid w:val="00003F0B"/>
    <w:rsid w:val="0000482D"/>
    <w:rsid w:val="00004DF5"/>
    <w:rsid w:val="00005903"/>
    <w:rsid w:val="00005C24"/>
    <w:rsid w:val="00006730"/>
    <w:rsid w:val="00006B75"/>
    <w:rsid w:val="00007409"/>
    <w:rsid w:val="00007A94"/>
    <w:rsid w:val="000112B6"/>
    <w:rsid w:val="000117C3"/>
    <w:rsid w:val="0001195B"/>
    <w:rsid w:val="00011CDC"/>
    <w:rsid w:val="000123AB"/>
    <w:rsid w:val="00013DE8"/>
    <w:rsid w:val="00013F10"/>
    <w:rsid w:val="0001467F"/>
    <w:rsid w:val="00014E40"/>
    <w:rsid w:val="000165F2"/>
    <w:rsid w:val="00017471"/>
    <w:rsid w:val="00021102"/>
    <w:rsid w:val="00021A3D"/>
    <w:rsid w:val="00021BF2"/>
    <w:rsid w:val="00021CCA"/>
    <w:rsid w:val="00021EB4"/>
    <w:rsid w:val="00022233"/>
    <w:rsid w:val="0002223F"/>
    <w:rsid w:val="000223C9"/>
    <w:rsid w:val="000224EA"/>
    <w:rsid w:val="0002273A"/>
    <w:rsid w:val="00022F33"/>
    <w:rsid w:val="000232B7"/>
    <w:rsid w:val="00023865"/>
    <w:rsid w:val="00023B31"/>
    <w:rsid w:val="00023B84"/>
    <w:rsid w:val="00023D87"/>
    <w:rsid w:val="0002410D"/>
    <w:rsid w:val="000241AF"/>
    <w:rsid w:val="00025109"/>
    <w:rsid w:val="00025CBA"/>
    <w:rsid w:val="0002636C"/>
    <w:rsid w:val="00026CE3"/>
    <w:rsid w:val="00030C3A"/>
    <w:rsid w:val="0003101C"/>
    <w:rsid w:val="00031237"/>
    <w:rsid w:val="000312DC"/>
    <w:rsid w:val="000314CC"/>
    <w:rsid w:val="000314E8"/>
    <w:rsid w:val="0003204E"/>
    <w:rsid w:val="00032268"/>
    <w:rsid w:val="00032FA0"/>
    <w:rsid w:val="00034AA3"/>
    <w:rsid w:val="0003507F"/>
    <w:rsid w:val="0003551C"/>
    <w:rsid w:val="00035D3C"/>
    <w:rsid w:val="000362F5"/>
    <w:rsid w:val="00036330"/>
    <w:rsid w:val="000363E0"/>
    <w:rsid w:val="000366D1"/>
    <w:rsid w:val="000378D3"/>
    <w:rsid w:val="0003792D"/>
    <w:rsid w:val="00037A86"/>
    <w:rsid w:val="00037C8F"/>
    <w:rsid w:val="00037DEC"/>
    <w:rsid w:val="0004140E"/>
    <w:rsid w:val="00041BD0"/>
    <w:rsid w:val="0004249D"/>
    <w:rsid w:val="00042ED9"/>
    <w:rsid w:val="000438A2"/>
    <w:rsid w:val="000444EA"/>
    <w:rsid w:val="000447DF"/>
    <w:rsid w:val="000449C2"/>
    <w:rsid w:val="000466B0"/>
    <w:rsid w:val="00046EBB"/>
    <w:rsid w:val="000501BE"/>
    <w:rsid w:val="000507B1"/>
    <w:rsid w:val="000508C9"/>
    <w:rsid w:val="00051584"/>
    <w:rsid w:val="00051C9B"/>
    <w:rsid w:val="00053BA9"/>
    <w:rsid w:val="00053CED"/>
    <w:rsid w:val="00054D4D"/>
    <w:rsid w:val="00054F69"/>
    <w:rsid w:val="0005580B"/>
    <w:rsid w:val="00056B5E"/>
    <w:rsid w:val="00057513"/>
    <w:rsid w:val="000605B9"/>
    <w:rsid w:val="00060BE9"/>
    <w:rsid w:val="00060E4A"/>
    <w:rsid w:val="00060F42"/>
    <w:rsid w:val="00061503"/>
    <w:rsid w:val="00061597"/>
    <w:rsid w:val="000628AC"/>
    <w:rsid w:val="00063D6B"/>
    <w:rsid w:val="00064192"/>
    <w:rsid w:val="000646BE"/>
    <w:rsid w:val="00064957"/>
    <w:rsid w:val="00064C2D"/>
    <w:rsid w:val="00064C8E"/>
    <w:rsid w:val="00066078"/>
    <w:rsid w:val="000671C5"/>
    <w:rsid w:val="000676DC"/>
    <w:rsid w:val="00067EB2"/>
    <w:rsid w:val="000702AA"/>
    <w:rsid w:val="00070339"/>
    <w:rsid w:val="00071232"/>
    <w:rsid w:val="0007209D"/>
    <w:rsid w:val="00072A32"/>
    <w:rsid w:val="00074150"/>
    <w:rsid w:val="00074544"/>
    <w:rsid w:val="00074FC8"/>
    <w:rsid w:val="00075418"/>
    <w:rsid w:val="00075992"/>
    <w:rsid w:val="00075B4D"/>
    <w:rsid w:val="0007600B"/>
    <w:rsid w:val="00076183"/>
    <w:rsid w:val="00076291"/>
    <w:rsid w:val="0007706A"/>
    <w:rsid w:val="00077D6F"/>
    <w:rsid w:val="000800CC"/>
    <w:rsid w:val="00080F31"/>
    <w:rsid w:val="00081595"/>
    <w:rsid w:val="000816AB"/>
    <w:rsid w:val="00082501"/>
    <w:rsid w:val="00082BE9"/>
    <w:rsid w:val="00082D4F"/>
    <w:rsid w:val="00083312"/>
    <w:rsid w:val="00083B37"/>
    <w:rsid w:val="00084602"/>
    <w:rsid w:val="000847DA"/>
    <w:rsid w:val="00085487"/>
    <w:rsid w:val="000855F0"/>
    <w:rsid w:val="00085D02"/>
    <w:rsid w:val="00085E00"/>
    <w:rsid w:val="00085EDE"/>
    <w:rsid w:val="00087057"/>
    <w:rsid w:val="00091420"/>
    <w:rsid w:val="000915E7"/>
    <w:rsid w:val="00092EB5"/>
    <w:rsid w:val="000933FE"/>
    <w:rsid w:val="00095C2C"/>
    <w:rsid w:val="00097101"/>
    <w:rsid w:val="000A09FD"/>
    <w:rsid w:val="000A1C01"/>
    <w:rsid w:val="000A2D50"/>
    <w:rsid w:val="000A2FA7"/>
    <w:rsid w:val="000A39BF"/>
    <w:rsid w:val="000A4DF3"/>
    <w:rsid w:val="000A4E77"/>
    <w:rsid w:val="000A517A"/>
    <w:rsid w:val="000A56EA"/>
    <w:rsid w:val="000A5F0A"/>
    <w:rsid w:val="000A6148"/>
    <w:rsid w:val="000A6283"/>
    <w:rsid w:val="000A6AF9"/>
    <w:rsid w:val="000B0039"/>
    <w:rsid w:val="000B1BCF"/>
    <w:rsid w:val="000B2940"/>
    <w:rsid w:val="000B2ACA"/>
    <w:rsid w:val="000B2D48"/>
    <w:rsid w:val="000B2EA4"/>
    <w:rsid w:val="000B2EFF"/>
    <w:rsid w:val="000B31ED"/>
    <w:rsid w:val="000B38E8"/>
    <w:rsid w:val="000B4A66"/>
    <w:rsid w:val="000B4F4A"/>
    <w:rsid w:val="000B5483"/>
    <w:rsid w:val="000B570B"/>
    <w:rsid w:val="000B598B"/>
    <w:rsid w:val="000B5CA0"/>
    <w:rsid w:val="000B6072"/>
    <w:rsid w:val="000B6B59"/>
    <w:rsid w:val="000B6CAC"/>
    <w:rsid w:val="000C0612"/>
    <w:rsid w:val="000C130D"/>
    <w:rsid w:val="000C2025"/>
    <w:rsid w:val="000C2693"/>
    <w:rsid w:val="000C38C2"/>
    <w:rsid w:val="000C4503"/>
    <w:rsid w:val="000C4AE1"/>
    <w:rsid w:val="000C4B9F"/>
    <w:rsid w:val="000C6315"/>
    <w:rsid w:val="000D0796"/>
    <w:rsid w:val="000D0B5B"/>
    <w:rsid w:val="000D1079"/>
    <w:rsid w:val="000D2132"/>
    <w:rsid w:val="000D220C"/>
    <w:rsid w:val="000D2392"/>
    <w:rsid w:val="000D2F4D"/>
    <w:rsid w:val="000D36CC"/>
    <w:rsid w:val="000D5025"/>
    <w:rsid w:val="000D5E5C"/>
    <w:rsid w:val="000D61BA"/>
    <w:rsid w:val="000D6297"/>
    <w:rsid w:val="000D660D"/>
    <w:rsid w:val="000D7B29"/>
    <w:rsid w:val="000D7DB7"/>
    <w:rsid w:val="000E0103"/>
    <w:rsid w:val="000E1257"/>
    <w:rsid w:val="000E12D9"/>
    <w:rsid w:val="000E249D"/>
    <w:rsid w:val="000E26E4"/>
    <w:rsid w:val="000E3239"/>
    <w:rsid w:val="000E3291"/>
    <w:rsid w:val="000E34BB"/>
    <w:rsid w:val="000E461C"/>
    <w:rsid w:val="000E53FF"/>
    <w:rsid w:val="000E5571"/>
    <w:rsid w:val="000E6096"/>
    <w:rsid w:val="000E6478"/>
    <w:rsid w:val="000E713B"/>
    <w:rsid w:val="000E71EE"/>
    <w:rsid w:val="000E7614"/>
    <w:rsid w:val="000E7653"/>
    <w:rsid w:val="000E7ABD"/>
    <w:rsid w:val="000E7B16"/>
    <w:rsid w:val="000F0FDD"/>
    <w:rsid w:val="000F1DF4"/>
    <w:rsid w:val="000F242F"/>
    <w:rsid w:val="000F3946"/>
    <w:rsid w:val="000F4FCA"/>
    <w:rsid w:val="000F6513"/>
    <w:rsid w:val="000F6C38"/>
    <w:rsid w:val="000F7CA9"/>
    <w:rsid w:val="0010050D"/>
    <w:rsid w:val="00100814"/>
    <w:rsid w:val="00100863"/>
    <w:rsid w:val="0010197A"/>
    <w:rsid w:val="00102287"/>
    <w:rsid w:val="001024DD"/>
    <w:rsid w:val="00102577"/>
    <w:rsid w:val="001030BD"/>
    <w:rsid w:val="00103197"/>
    <w:rsid w:val="001034D8"/>
    <w:rsid w:val="0010388F"/>
    <w:rsid w:val="00103932"/>
    <w:rsid w:val="0010399D"/>
    <w:rsid w:val="001045FF"/>
    <w:rsid w:val="001053D6"/>
    <w:rsid w:val="00105A31"/>
    <w:rsid w:val="00106F2A"/>
    <w:rsid w:val="001070FF"/>
    <w:rsid w:val="00107264"/>
    <w:rsid w:val="00107875"/>
    <w:rsid w:val="00110CB0"/>
    <w:rsid w:val="00111510"/>
    <w:rsid w:val="00111558"/>
    <w:rsid w:val="00111B33"/>
    <w:rsid w:val="001132C0"/>
    <w:rsid w:val="0011381E"/>
    <w:rsid w:val="00113913"/>
    <w:rsid w:val="00113EBF"/>
    <w:rsid w:val="00114657"/>
    <w:rsid w:val="00114CA3"/>
    <w:rsid w:val="00115407"/>
    <w:rsid w:val="0011587C"/>
    <w:rsid w:val="00115D83"/>
    <w:rsid w:val="00115E7F"/>
    <w:rsid w:val="00115F5C"/>
    <w:rsid w:val="00116A13"/>
    <w:rsid w:val="001172DB"/>
    <w:rsid w:val="00117BF8"/>
    <w:rsid w:val="0012062A"/>
    <w:rsid w:val="00120943"/>
    <w:rsid w:val="001217CC"/>
    <w:rsid w:val="0012217B"/>
    <w:rsid w:val="001222E7"/>
    <w:rsid w:val="001223EC"/>
    <w:rsid w:val="00125F3A"/>
    <w:rsid w:val="00127EBB"/>
    <w:rsid w:val="001301AF"/>
    <w:rsid w:val="0013082F"/>
    <w:rsid w:val="001312CB"/>
    <w:rsid w:val="001313A1"/>
    <w:rsid w:val="001323AD"/>
    <w:rsid w:val="00132504"/>
    <w:rsid w:val="00132724"/>
    <w:rsid w:val="00132FBC"/>
    <w:rsid w:val="00134327"/>
    <w:rsid w:val="0013497D"/>
    <w:rsid w:val="00134EE9"/>
    <w:rsid w:val="0013545D"/>
    <w:rsid w:val="001363A4"/>
    <w:rsid w:val="00136D61"/>
    <w:rsid w:val="00137126"/>
    <w:rsid w:val="00137498"/>
    <w:rsid w:val="00137E06"/>
    <w:rsid w:val="00141966"/>
    <w:rsid w:val="00141B5E"/>
    <w:rsid w:val="00141C3F"/>
    <w:rsid w:val="00141CFC"/>
    <w:rsid w:val="001428FC"/>
    <w:rsid w:val="0014663D"/>
    <w:rsid w:val="00146EC5"/>
    <w:rsid w:val="001475AA"/>
    <w:rsid w:val="001503BD"/>
    <w:rsid w:val="00150CAB"/>
    <w:rsid w:val="00151BE3"/>
    <w:rsid w:val="0015260B"/>
    <w:rsid w:val="00152CC5"/>
    <w:rsid w:val="00153B83"/>
    <w:rsid w:val="00153C50"/>
    <w:rsid w:val="00153CFF"/>
    <w:rsid w:val="00154143"/>
    <w:rsid w:val="001542BD"/>
    <w:rsid w:val="001554A1"/>
    <w:rsid w:val="00155E68"/>
    <w:rsid w:val="00155FCB"/>
    <w:rsid w:val="0015628F"/>
    <w:rsid w:val="00156638"/>
    <w:rsid w:val="00157005"/>
    <w:rsid w:val="001572E4"/>
    <w:rsid w:val="00157D3E"/>
    <w:rsid w:val="001601F8"/>
    <w:rsid w:val="00160779"/>
    <w:rsid w:val="0016078E"/>
    <w:rsid w:val="00162258"/>
    <w:rsid w:val="00162666"/>
    <w:rsid w:val="0016284D"/>
    <w:rsid w:val="00162D2B"/>
    <w:rsid w:val="0016341B"/>
    <w:rsid w:val="00163B5A"/>
    <w:rsid w:val="001649CB"/>
    <w:rsid w:val="00164E98"/>
    <w:rsid w:val="001655F5"/>
    <w:rsid w:val="00165939"/>
    <w:rsid w:val="00165A58"/>
    <w:rsid w:val="00166290"/>
    <w:rsid w:val="001675CF"/>
    <w:rsid w:val="00167E87"/>
    <w:rsid w:val="00170630"/>
    <w:rsid w:val="00170885"/>
    <w:rsid w:val="001712D6"/>
    <w:rsid w:val="001712E5"/>
    <w:rsid w:val="001713B4"/>
    <w:rsid w:val="001718CF"/>
    <w:rsid w:val="001719B7"/>
    <w:rsid w:val="00171A23"/>
    <w:rsid w:val="00171D72"/>
    <w:rsid w:val="0017256C"/>
    <w:rsid w:val="00173A90"/>
    <w:rsid w:val="00173BBE"/>
    <w:rsid w:val="00173FE0"/>
    <w:rsid w:val="001741EA"/>
    <w:rsid w:val="001746D8"/>
    <w:rsid w:val="00174C7A"/>
    <w:rsid w:val="00175D4E"/>
    <w:rsid w:val="001768F5"/>
    <w:rsid w:val="0017771E"/>
    <w:rsid w:val="001779AE"/>
    <w:rsid w:val="00177A4C"/>
    <w:rsid w:val="00180CA7"/>
    <w:rsid w:val="001816E7"/>
    <w:rsid w:val="00181B67"/>
    <w:rsid w:val="00183F9B"/>
    <w:rsid w:val="00184098"/>
    <w:rsid w:val="001845FF"/>
    <w:rsid w:val="00184A70"/>
    <w:rsid w:val="001853F4"/>
    <w:rsid w:val="00185C6A"/>
    <w:rsid w:val="00185CA9"/>
    <w:rsid w:val="00185D40"/>
    <w:rsid w:val="00186182"/>
    <w:rsid w:val="00186829"/>
    <w:rsid w:val="001871CD"/>
    <w:rsid w:val="001903D5"/>
    <w:rsid w:val="00190871"/>
    <w:rsid w:val="00191344"/>
    <w:rsid w:val="00191CCB"/>
    <w:rsid w:val="0019231C"/>
    <w:rsid w:val="0019235B"/>
    <w:rsid w:val="00195289"/>
    <w:rsid w:val="0019562C"/>
    <w:rsid w:val="00195A3C"/>
    <w:rsid w:val="00196262"/>
    <w:rsid w:val="001963A8"/>
    <w:rsid w:val="00196773"/>
    <w:rsid w:val="00196FAD"/>
    <w:rsid w:val="001A075D"/>
    <w:rsid w:val="001A0DB6"/>
    <w:rsid w:val="001A0E9A"/>
    <w:rsid w:val="001A2239"/>
    <w:rsid w:val="001A238F"/>
    <w:rsid w:val="001A3A0F"/>
    <w:rsid w:val="001A4D34"/>
    <w:rsid w:val="001A58BF"/>
    <w:rsid w:val="001A74F4"/>
    <w:rsid w:val="001A787A"/>
    <w:rsid w:val="001B057F"/>
    <w:rsid w:val="001B0D7A"/>
    <w:rsid w:val="001B1877"/>
    <w:rsid w:val="001B30C3"/>
    <w:rsid w:val="001B37B6"/>
    <w:rsid w:val="001B3B76"/>
    <w:rsid w:val="001B49DE"/>
    <w:rsid w:val="001B5752"/>
    <w:rsid w:val="001B6117"/>
    <w:rsid w:val="001B63FF"/>
    <w:rsid w:val="001B797F"/>
    <w:rsid w:val="001C0F87"/>
    <w:rsid w:val="001C0FAC"/>
    <w:rsid w:val="001C1AD9"/>
    <w:rsid w:val="001C1F2D"/>
    <w:rsid w:val="001C3273"/>
    <w:rsid w:val="001C3AC4"/>
    <w:rsid w:val="001C3DDF"/>
    <w:rsid w:val="001C3E51"/>
    <w:rsid w:val="001C59A9"/>
    <w:rsid w:val="001C59AA"/>
    <w:rsid w:val="001C5A12"/>
    <w:rsid w:val="001C5A9B"/>
    <w:rsid w:val="001C5D1A"/>
    <w:rsid w:val="001C6326"/>
    <w:rsid w:val="001C6736"/>
    <w:rsid w:val="001C67FF"/>
    <w:rsid w:val="001C7A96"/>
    <w:rsid w:val="001D1851"/>
    <w:rsid w:val="001D2191"/>
    <w:rsid w:val="001D280D"/>
    <w:rsid w:val="001D329C"/>
    <w:rsid w:val="001D3790"/>
    <w:rsid w:val="001D3E29"/>
    <w:rsid w:val="001D4A2D"/>
    <w:rsid w:val="001D6DB5"/>
    <w:rsid w:val="001D70E7"/>
    <w:rsid w:val="001D7994"/>
    <w:rsid w:val="001D7FE7"/>
    <w:rsid w:val="001E079D"/>
    <w:rsid w:val="001E0BA0"/>
    <w:rsid w:val="001E154B"/>
    <w:rsid w:val="001E157A"/>
    <w:rsid w:val="001E15BA"/>
    <w:rsid w:val="001E20C6"/>
    <w:rsid w:val="001E21D1"/>
    <w:rsid w:val="001E32CE"/>
    <w:rsid w:val="001E4C86"/>
    <w:rsid w:val="001E5881"/>
    <w:rsid w:val="001E6104"/>
    <w:rsid w:val="001E681F"/>
    <w:rsid w:val="001E6B0C"/>
    <w:rsid w:val="001E70BD"/>
    <w:rsid w:val="001E7194"/>
    <w:rsid w:val="001E7C25"/>
    <w:rsid w:val="001F1376"/>
    <w:rsid w:val="001F2BF3"/>
    <w:rsid w:val="001F2F22"/>
    <w:rsid w:val="001F3090"/>
    <w:rsid w:val="001F34AE"/>
    <w:rsid w:val="001F34C1"/>
    <w:rsid w:val="001F3778"/>
    <w:rsid w:val="001F43DB"/>
    <w:rsid w:val="001F49CB"/>
    <w:rsid w:val="001F5BF7"/>
    <w:rsid w:val="00200D67"/>
    <w:rsid w:val="0020337C"/>
    <w:rsid w:val="00203A2E"/>
    <w:rsid w:val="002042A0"/>
    <w:rsid w:val="00204D40"/>
    <w:rsid w:val="002061B6"/>
    <w:rsid w:val="002068EA"/>
    <w:rsid w:val="00206F80"/>
    <w:rsid w:val="002078DF"/>
    <w:rsid w:val="0021011C"/>
    <w:rsid w:val="002119A1"/>
    <w:rsid w:val="00211AA8"/>
    <w:rsid w:val="00212A5E"/>
    <w:rsid w:val="00212FF5"/>
    <w:rsid w:val="00213712"/>
    <w:rsid w:val="00213D3F"/>
    <w:rsid w:val="0021526A"/>
    <w:rsid w:val="002155BD"/>
    <w:rsid w:val="00216DB2"/>
    <w:rsid w:val="002202AA"/>
    <w:rsid w:val="0022197F"/>
    <w:rsid w:val="002221AD"/>
    <w:rsid w:val="00222BF9"/>
    <w:rsid w:val="00223C8B"/>
    <w:rsid w:val="00224F91"/>
    <w:rsid w:val="002275FD"/>
    <w:rsid w:val="00227796"/>
    <w:rsid w:val="00231073"/>
    <w:rsid w:val="002323A3"/>
    <w:rsid w:val="00232442"/>
    <w:rsid w:val="002329E2"/>
    <w:rsid w:val="00232A16"/>
    <w:rsid w:val="0023450A"/>
    <w:rsid w:val="00234519"/>
    <w:rsid w:val="00236764"/>
    <w:rsid w:val="002374DB"/>
    <w:rsid w:val="00241AC5"/>
    <w:rsid w:val="00241CA3"/>
    <w:rsid w:val="002425C5"/>
    <w:rsid w:val="00242BB2"/>
    <w:rsid w:val="00242C71"/>
    <w:rsid w:val="00242D49"/>
    <w:rsid w:val="00242E3C"/>
    <w:rsid w:val="00242F73"/>
    <w:rsid w:val="0024364D"/>
    <w:rsid w:val="002444A0"/>
    <w:rsid w:val="00245C2F"/>
    <w:rsid w:val="002463FB"/>
    <w:rsid w:val="0024731F"/>
    <w:rsid w:val="002474B2"/>
    <w:rsid w:val="00247894"/>
    <w:rsid w:val="0025005F"/>
    <w:rsid w:val="00250723"/>
    <w:rsid w:val="00250BDB"/>
    <w:rsid w:val="00250C74"/>
    <w:rsid w:val="00251C56"/>
    <w:rsid w:val="0025226A"/>
    <w:rsid w:val="0025324E"/>
    <w:rsid w:val="00253476"/>
    <w:rsid w:val="00253825"/>
    <w:rsid w:val="00253AB8"/>
    <w:rsid w:val="00253AF7"/>
    <w:rsid w:val="00253D4A"/>
    <w:rsid w:val="00253F7A"/>
    <w:rsid w:val="002545B5"/>
    <w:rsid w:val="0025494F"/>
    <w:rsid w:val="0025570B"/>
    <w:rsid w:val="00255EAD"/>
    <w:rsid w:val="0025612B"/>
    <w:rsid w:val="002571CA"/>
    <w:rsid w:val="0025780E"/>
    <w:rsid w:val="0025782F"/>
    <w:rsid w:val="00257CC9"/>
    <w:rsid w:val="00257F91"/>
    <w:rsid w:val="002600EC"/>
    <w:rsid w:val="00260731"/>
    <w:rsid w:val="002608FE"/>
    <w:rsid w:val="00261EDC"/>
    <w:rsid w:val="0026234D"/>
    <w:rsid w:val="002625AA"/>
    <w:rsid w:val="002629A4"/>
    <w:rsid w:val="00263137"/>
    <w:rsid w:val="0026325F"/>
    <w:rsid w:val="00263A77"/>
    <w:rsid w:val="00264E5E"/>
    <w:rsid w:val="00265084"/>
    <w:rsid w:val="0026608F"/>
    <w:rsid w:val="002663AA"/>
    <w:rsid w:val="00266521"/>
    <w:rsid w:val="00266582"/>
    <w:rsid w:val="002669F2"/>
    <w:rsid w:val="00266D93"/>
    <w:rsid w:val="002674FE"/>
    <w:rsid w:val="002676CC"/>
    <w:rsid w:val="00270528"/>
    <w:rsid w:val="00270752"/>
    <w:rsid w:val="00271566"/>
    <w:rsid w:val="00271E82"/>
    <w:rsid w:val="00271FEE"/>
    <w:rsid w:val="002723B6"/>
    <w:rsid w:val="00272522"/>
    <w:rsid w:val="00272EEE"/>
    <w:rsid w:val="00273902"/>
    <w:rsid w:val="002740F3"/>
    <w:rsid w:val="002742D9"/>
    <w:rsid w:val="00274955"/>
    <w:rsid w:val="00274AC1"/>
    <w:rsid w:val="00274B40"/>
    <w:rsid w:val="00275687"/>
    <w:rsid w:val="00275855"/>
    <w:rsid w:val="00275FAE"/>
    <w:rsid w:val="00276082"/>
    <w:rsid w:val="00276144"/>
    <w:rsid w:val="00277034"/>
    <w:rsid w:val="002775D3"/>
    <w:rsid w:val="00280AF4"/>
    <w:rsid w:val="00281142"/>
    <w:rsid w:val="00281EDC"/>
    <w:rsid w:val="002820C5"/>
    <w:rsid w:val="00283B85"/>
    <w:rsid w:val="0028412F"/>
    <w:rsid w:val="002846A4"/>
    <w:rsid w:val="00285874"/>
    <w:rsid w:val="00286356"/>
    <w:rsid w:val="00286B97"/>
    <w:rsid w:val="00287119"/>
    <w:rsid w:val="002909D2"/>
    <w:rsid w:val="00290D21"/>
    <w:rsid w:val="00290DAC"/>
    <w:rsid w:val="002926CE"/>
    <w:rsid w:val="00292B87"/>
    <w:rsid w:val="00292D58"/>
    <w:rsid w:val="00293834"/>
    <w:rsid w:val="002939AE"/>
    <w:rsid w:val="00293A6D"/>
    <w:rsid w:val="00293C61"/>
    <w:rsid w:val="00294C53"/>
    <w:rsid w:val="00295021"/>
    <w:rsid w:val="002963F9"/>
    <w:rsid w:val="00296F28"/>
    <w:rsid w:val="00297B34"/>
    <w:rsid w:val="002A0914"/>
    <w:rsid w:val="002A0C44"/>
    <w:rsid w:val="002A0F03"/>
    <w:rsid w:val="002A1C25"/>
    <w:rsid w:val="002A28D1"/>
    <w:rsid w:val="002A2B2C"/>
    <w:rsid w:val="002A4011"/>
    <w:rsid w:val="002A4839"/>
    <w:rsid w:val="002A5011"/>
    <w:rsid w:val="002A53C8"/>
    <w:rsid w:val="002A567C"/>
    <w:rsid w:val="002A5C61"/>
    <w:rsid w:val="002A6A8A"/>
    <w:rsid w:val="002A6FE0"/>
    <w:rsid w:val="002A76A6"/>
    <w:rsid w:val="002A7C34"/>
    <w:rsid w:val="002B07B7"/>
    <w:rsid w:val="002B0C83"/>
    <w:rsid w:val="002B2497"/>
    <w:rsid w:val="002B287F"/>
    <w:rsid w:val="002B2DB9"/>
    <w:rsid w:val="002B306E"/>
    <w:rsid w:val="002B3B56"/>
    <w:rsid w:val="002B563D"/>
    <w:rsid w:val="002B5FED"/>
    <w:rsid w:val="002B63D9"/>
    <w:rsid w:val="002B6A0B"/>
    <w:rsid w:val="002B6B61"/>
    <w:rsid w:val="002B6B9E"/>
    <w:rsid w:val="002B731B"/>
    <w:rsid w:val="002B7EB5"/>
    <w:rsid w:val="002C0D03"/>
    <w:rsid w:val="002C0EB6"/>
    <w:rsid w:val="002C1CD5"/>
    <w:rsid w:val="002C254D"/>
    <w:rsid w:val="002C2953"/>
    <w:rsid w:val="002C3C01"/>
    <w:rsid w:val="002C47A3"/>
    <w:rsid w:val="002C5BE3"/>
    <w:rsid w:val="002C68C1"/>
    <w:rsid w:val="002C68C2"/>
    <w:rsid w:val="002C6D61"/>
    <w:rsid w:val="002C7498"/>
    <w:rsid w:val="002C775B"/>
    <w:rsid w:val="002C7D93"/>
    <w:rsid w:val="002D06FD"/>
    <w:rsid w:val="002D0EAF"/>
    <w:rsid w:val="002D139D"/>
    <w:rsid w:val="002D174A"/>
    <w:rsid w:val="002D1A01"/>
    <w:rsid w:val="002D41D0"/>
    <w:rsid w:val="002D4302"/>
    <w:rsid w:val="002D444C"/>
    <w:rsid w:val="002D47D7"/>
    <w:rsid w:val="002D4C9D"/>
    <w:rsid w:val="002D4D92"/>
    <w:rsid w:val="002D5297"/>
    <w:rsid w:val="002D5918"/>
    <w:rsid w:val="002D5986"/>
    <w:rsid w:val="002D619E"/>
    <w:rsid w:val="002D6833"/>
    <w:rsid w:val="002D725A"/>
    <w:rsid w:val="002E0071"/>
    <w:rsid w:val="002E03C5"/>
    <w:rsid w:val="002E0478"/>
    <w:rsid w:val="002E0C8C"/>
    <w:rsid w:val="002E15A1"/>
    <w:rsid w:val="002E15B4"/>
    <w:rsid w:val="002E1795"/>
    <w:rsid w:val="002E1888"/>
    <w:rsid w:val="002E1FA3"/>
    <w:rsid w:val="002E2C74"/>
    <w:rsid w:val="002E3160"/>
    <w:rsid w:val="002E3A00"/>
    <w:rsid w:val="002E3B74"/>
    <w:rsid w:val="002E3BEB"/>
    <w:rsid w:val="002E4890"/>
    <w:rsid w:val="002E499B"/>
    <w:rsid w:val="002E5000"/>
    <w:rsid w:val="002E5352"/>
    <w:rsid w:val="002E66C8"/>
    <w:rsid w:val="002E6AE4"/>
    <w:rsid w:val="002E6AEC"/>
    <w:rsid w:val="002E6C8E"/>
    <w:rsid w:val="002E6DFF"/>
    <w:rsid w:val="002F0DEF"/>
    <w:rsid w:val="002F1797"/>
    <w:rsid w:val="002F21AD"/>
    <w:rsid w:val="002F22FF"/>
    <w:rsid w:val="002F2909"/>
    <w:rsid w:val="002F31A8"/>
    <w:rsid w:val="002F3404"/>
    <w:rsid w:val="002F3463"/>
    <w:rsid w:val="002F3485"/>
    <w:rsid w:val="002F3604"/>
    <w:rsid w:val="002F39D1"/>
    <w:rsid w:val="002F3D8C"/>
    <w:rsid w:val="002F3E24"/>
    <w:rsid w:val="002F551E"/>
    <w:rsid w:val="002F5610"/>
    <w:rsid w:val="002F5FC5"/>
    <w:rsid w:val="002F6393"/>
    <w:rsid w:val="002F6D60"/>
    <w:rsid w:val="002F7211"/>
    <w:rsid w:val="002F765C"/>
    <w:rsid w:val="002F7E24"/>
    <w:rsid w:val="00300E02"/>
    <w:rsid w:val="00301381"/>
    <w:rsid w:val="00301B6A"/>
    <w:rsid w:val="003029BB"/>
    <w:rsid w:val="0030307F"/>
    <w:rsid w:val="00303164"/>
    <w:rsid w:val="003037C0"/>
    <w:rsid w:val="00304135"/>
    <w:rsid w:val="003046F7"/>
    <w:rsid w:val="00305F77"/>
    <w:rsid w:val="00306794"/>
    <w:rsid w:val="00306C4E"/>
    <w:rsid w:val="00307A04"/>
    <w:rsid w:val="00307D12"/>
    <w:rsid w:val="0031026B"/>
    <w:rsid w:val="0031050B"/>
    <w:rsid w:val="00310762"/>
    <w:rsid w:val="00310B41"/>
    <w:rsid w:val="00310C89"/>
    <w:rsid w:val="00310DF8"/>
    <w:rsid w:val="003118D9"/>
    <w:rsid w:val="00312014"/>
    <w:rsid w:val="0031277A"/>
    <w:rsid w:val="003133EB"/>
    <w:rsid w:val="00313C0B"/>
    <w:rsid w:val="00314AA2"/>
    <w:rsid w:val="00314BE0"/>
    <w:rsid w:val="00314C62"/>
    <w:rsid w:val="00314E23"/>
    <w:rsid w:val="00315B09"/>
    <w:rsid w:val="00316331"/>
    <w:rsid w:val="003165B8"/>
    <w:rsid w:val="003169FD"/>
    <w:rsid w:val="0031780D"/>
    <w:rsid w:val="0032029B"/>
    <w:rsid w:val="00320495"/>
    <w:rsid w:val="00321F34"/>
    <w:rsid w:val="00322244"/>
    <w:rsid w:val="00322431"/>
    <w:rsid w:val="00322A88"/>
    <w:rsid w:val="00322C08"/>
    <w:rsid w:val="00322EC1"/>
    <w:rsid w:val="00323DFC"/>
    <w:rsid w:val="00323E1A"/>
    <w:rsid w:val="003247D5"/>
    <w:rsid w:val="0032534F"/>
    <w:rsid w:val="00327681"/>
    <w:rsid w:val="003278D5"/>
    <w:rsid w:val="0033001B"/>
    <w:rsid w:val="003304D0"/>
    <w:rsid w:val="0033135E"/>
    <w:rsid w:val="00331517"/>
    <w:rsid w:val="00331987"/>
    <w:rsid w:val="00331C6A"/>
    <w:rsid w:val="00332A10"/>
    <w:rsid w:val="00332F8F"/>
    <w:rsid w:val="003339D1"/>
    <w:rsid w:val="00334B1C"/>
    <w:rsid w:val="00335273"/>
    <w:rsid w:val="00335343"/>
    <w:rsid w:val="0033592A"/>
    <w:rsid w:val="003363C5"/>
    <w:rsid w:val="00336EE0"/>
    <w:rsid w:val="00337437"/>
    <w:rsid w:val="003415B7"/>
    <w:rsid w:val="003418D1"/>
    <w:rsid w:val="00342644"/>
    <w:rsid w:val="003426BC"/>
    <w:rsid w:val="0034271B"/>
    <w:rsid w:val="00344B6D"/>
    <w:rsid w:val="003455AD"/>
    <w:rsid w:val="00346AB8"/>
    <w:rsid w:val="00346D23"/>
    <w:rsid w:val="003477CD"/>
    <w:rsid w:val="003478F8"/>
    <w:rsid w:val="00347D4B"/>
    <w:rsid w:val="00350011"/>
    <w:rsid w:val="00350111"/>
    <w:rsid w:val="00350F7A"/>
    <w:rsid w:val="00350FF3"/>
    <w:rsid w:val="003517C0"/>
    <w:rsid w:val="00352C55"/>
    <w:rsid w:val="00352F9A"/>
    <w:rsid w:val="00353597"/>
    <w:rsid w:val="00353CC1"/>
    <w:rsid w:val="00353EB6"/>
    <w:rsid w:val="00354418"/>
    <w:rsid w:val="00354740"/>
    <w:rsid w:val="00354EE6"/>
    <w:rsid w:val="003558B8"/>
    <w:rsid w:val="00355BD8"/>
    <w:rsid w:val="0035627C"/>
    <w:rsid w:val="00356333"/>
    <w:rsid w:val="003564CB"/>
    <w:rsid w:val="003564F8"/>
    <w:rsid w:val="00357798"/>
    <w:rsid w:val="00357C54"/>
    <w:rsid w:val="00357E1B"/>
    <w:rsid w:val="00360859"/>
    <w:rsid w:val="00360F36"/>
    <w:rsid w:val="00361E25"/>
    <w:rsid w:val="00362371"/>
    <w:rsid w:val="003626B7"/>
    <w:rsid w:val="003628B9"/>
    <w:rsid w:val="003629A4"/>
    <w:rsid w:val="003629C0"/>
    <w:rsid w:val="00363051"/>
    <w:rsid w:val="003639C8"/>
    <w:rsid w:val="00363DF2"/>
    <w:rsid w:val="00363ED5"/>
    <w:rsid w:val="0036451C"/>
    <w:rsid w:val="00364620"/>
    <w:rsid w:val="00364FAF"/>
    <w:rsid w:val="0036519F"/>
    <w:rsid w:val="00365696"/>
    <w:rsid w:val="00365D31"/>
    <w:rsid w:val="00366491"/>
    <w:rsid w:val="003669B1"/>
    <w:rsid w:val="003708A7"/>
    <w:rsid w:val="003709F4"/>
    <w:rsid w:val="00371F7A"/>
    <w:rsid w:val="00372B13"/>
    <w:rsid w:val="00373051"/>
    <w:rsid w:val="003730FB"/>
    <w:rsid w:val="0037356A"/>
    <w:rsid w:val="00374B4C"/>
    <w:rsid w:val="00374F0E"/>
    <w:rsid w:val="00375265"/>
    <w:rsid w:val="00375269"/>
    <w:rsid w:val="0037590B"/>
    <w:rsid w:val="00375D90"/>
    <w:rsid w:val="003764D4"/>
    <w:rsid w:val="00376527"/>
    <w:rsid w:val="00376C61"/>
    <w:rsid w:val="00376CC4"/>
    <w:rsid w:val="0037782E"/>
    <w:rsid w:val="00377B8B"/>
    <w:rsid w:val="00377F38"/>
    <w:rsid w:val="00380859"/>
    <w:rsid w:val="00381E76"/>
    <w:rsid w:val="00382F82"/>
    <w:rsid w:val="00383F39"/>
    <w:rsid w:val="00384224"/>
    <w:rsid w:val="00384865"/>
    <w:rsid w:val="00385156"/>
    <w:rsid w:val="0038636E"/>
    <w:rsid w:val="0038698D"/>
    <w:rsid w:val="0038755E"/>
    <w:rsid w:val="00390046"/>
    <w:rsid w:val="00390FBA"/>
    <w:rsid w:val="003913C8"/>
    <w:rsid w:val="003913EF"/>
    <w:rsid w:val="003915DB"/>
    <w:rsid w:val="00391FAB"/>
    <w:rsid w:val="00392343"/>
    <w:rsid w:val="0039241F"/>
    <w:rsid w:val="00394D74"/>
    <w:rsid w:val="00395613"/>
    <w:rsid w:val="003967A0"/>
    <w:rsid w:val="00396C60"/>
    <w:rsid w:val="00396F86"/>
    <w:rsid w:val="00397D93"/>
    <w:rsid w:val="00397F28"/>
    <w:rsid w:val="003A00ED"/>
    <w:rsid w:val="003A099B"/>
    <w:rsid w:val="003A177C"/>
    <w:rsid w:val="003A1B0D"/>
    <w:rsid w:val="003A1C16"/>
    <w:rsid w:val="003A2167"/>
    <w:rsid w:val="003A35AD"/>
    <w:rsid w:val="003A53A8"/>
    <w:rsid w:val="003A761B"/>
    <w:rsid w:val="003A7A89"/>
    <w:rsid w:val="003A7E89"/>
    <w:rsid w:val="003B1188"/>
    <w:rsid w:val="003B136F"/>
    <w:rsid w:val="003B17DD"/>
    <w:rsid w:val="003B1A7C"/>
    <w:rsid w:val="003B30CB"/>
    <w:rsid w:val="003B4339"/>
    <w:rsid w:val="003B5075"/>
    <w:rsid w:val="003B5EE5"/>
    <w:rsid w:val="003B5F38"/>
    <w:rsid w:val="003B65CE"/>
    <w:rsid w:val="003B65E3"/>
    <w:rsid w:val="003B747E"/>
    <w:rsid w:val="003C069E"/>
    <w:rsid w:val="003C177E"/>
    <w:rsid w:val="003C1EC4"/>
    <w:rsid w:val="003C1F69"/>
    <w:rsid w:val="003C2119"/>
    <w:rsid w:val="003C291C"/>
    <w:rsid w:val="003C3DB2"/>
    <w:rsid w:val="003C40DD"/>
    <w:rsid w:val="003C5499"/>
    <w:rsid w:val="003C5E39"/>
    <w:rsid w:val="003C6AB4"/>
    <w:rsid w:val="003C6FD1"/>
    <w:rsid w:val="003C714C"/>
    <w:rsid w:val="003C7167"/>
    <w:rsid w:val="003C73C1"/>
    <w:rsid w:val="003D0975"/>
    <w:rsid w:val="003D0D59"/>
    <w:rsid w:val="003D1349"/>
    <w:rsid w:val="003D26F4"/>
    <w:rsid w:val="003D416C"/>
    <w:rsid w:val="003D6761"/>
    <w:rsid w:val="003D6A30"/>
    <w:rsid w:val="003D6DE3"/>
    <w:rsid w:val="003D71FA"/>
    <w:rsid w:val="003D7CA0"/>
    <w:rsid w:val="003E0141"/>
    <w:rsid w:val="003E079A"/>
    <w:rsid w:val="003E0C6E"/>
    <w:rsid w:val="003E0CFC"/>
    <w:rsid w:val="003E12FA"/>
    <w:rsid w:val="003E34B2"/>
    <w:rsid w:val="003E3591"/>
    <w:rsid w:val="003E3717"/>
    <w:rsid w:val="003E552E"/>
    <w:rsid w:val="003E55CF"/>
    <w:rsid w:val="003E5C5D"/>
    <w:rsid w:val="003E5CC0"/>
    <w:rsid w:val="003F16BC"/>
    <w:rsid w:val="003F1861"/>
    <w:rsid w:val="003F22D7"/>
    <w:rsid w:val="003F2F7F"/>
    <w:rsid w:val="003F3291"/>
    <w:rsid w:val="003F3BB8"/>
    <w:rsid w:val="003F44FF"/>
    <w:rsid w:val="003F4FF2"/>
    <w:rsid w:val="003F5DB9"/>
    <w:rsid w:val="003F6B53"/>
    <w:rsid w:val="003F7496"/>
    <w:rsid w:val="003F753E"/>
    <w:rsid w:val="003F785B"/>
    <w:rsid w:val="003F79C7"/>
    <w:rsid w:val="003F7C42"/>
    <w:rsid w:val="003F7DE9"/>
    <w:rsid w:val="004009A8"/>
    <w:rsid w:val="00401215"/>
    <w:rsid w:val="004012DE"/>
    <w:rsid w:val="004013AF"/>
    <w:rsid w:val="004016D6"/>
    <w:rsid w:val="004020E3"/>
    <w:rsid w:val="004021C5"/>
    <w:rsid w:val="0040266F"/>
    <w:rsid w:val="00403143"/>
    <w:rsid w:val="00403829"/>
    <w:rsid w:val="00404FF9"/>
    <w:rsid w:val="00405FE9"/>
    <w:rsid w:val="004114C1"/>
    <w:rsid w:val="004115D0"/>
    <w:rsid w:val="004119D4"/>
    <w:rsid w:val="0041273E"/>
    <w:rsid w:val="00412C78"/>
    <w:rsid w:val="0041323E"/>
    <w:rsid w:val="00413319"/>
    <w:rsid w:val="00413348"/>
    <w:rsid w:val="00413E77"/>
    <w:rsid w:val="004142DD"/>
    <w:rsid w:val="00414D8A"/>
    <w:rsid w:val="004157D0"/>
    <w:rsid w:val="00415999"/>
    <w:rsid w:val="00415C39"/>
    <w:rsid w:val="004169C7"/>
    <w:rsid w:val="00420A41"/>
    <w:rsid w:val="00420AFB"/>
    <w:rsid w:val="00420CF8"/>
    <w:rsid w:val="00420F12"/>
    <w:rsid w:val="0042186E"/>
    <w:rsid w:val="004219DE"/>
    <w:rsid w:val="00421AB1"/>
    <w:rsid w:val="004223D7"/>
    <w:rsid w:val="00422B39"/>
    <w:rsid w:val="00424A9B"/>
    <w:rsid w:val="00425E96"/>
    <w:rsid w:val="00427229"/>
    <w:rsid w:val="004303CE"/>
    <w:rsid w:val="00430832"/>
    <w:rsid w:val="0043124D"/>
    <w:rsid w:val="004326EA"/>
    <w:rsid w:val="0043296F"/>
    <w:rsid w:val="0043417E"/>
    <w:rsid w:val="0043492B"/>
    <w:rsid w:val="00434C24"/>
    <w:rsid w:val="004352BB"/>
    <w:rsid w:val="00435B4C"/>
    <w:rsid w:val="00436C85"/>
    <w:rsid w:val="004379E9"/>
    <w:rsid w:val="00440658"/>
    <w:rsid w:val="004406C7"/>
    <w:rsid w:val="00440C12"/>
    <w:rsid w:val="00440F54"/>
    <w:rsid w:val="0044175F"/>
    <w:rsid w:val="00441C5D"/>
    <w:rsid w:val="00441CC4"/>
    <w:rsid w:val="0044220E"/>
    <w:rsid w:val="00444900"/>
    <w:rsid w:val="0044536F"/>
    <w:rsid w:val="00445C2C"/>
    <w:rsid w:val="004471E1"/>
    <w:rsid w:val="00447A94"/>
    <w:rsid w:val="00450487"/>
    <w:rsid w:val="0045084A"/>
    <w:rsid w:val="00451030"/>
    <w:rsid w:val="004511E5"/>
    <w:rsid w:val="004512D9"/>
    <w:rsid w:val="004519CE"/>
    <w:rsid w:val="00451A1D"/>
    <w:rsid w:val="00452B74"/>
    <w:rsid w:val="0045332F"/>
    <w:rsid w:val="00453CFB"/>
    <w:rsid w:val="00454C1A"/>
    <w:rsid w:val="00455345"/>
    <w:rsid w:val="004555A3"/>
    <w:rsid w:val="00455676"/>
    <w:rsid w:val="004564EE"/>
    <w:rsid w:val="004570D6"/>
    <w:rsid w:val="004574AF"/>
    <w:rsid w:val="00457E29"/>
    <w:rsid w:val="004609E9"/>
    <w:rsid w:val="00460A1C"/>
    <w:rsid w:val="0046187D"/>
    <w:rsid w:val="00461F96"/>
    <w:rsid w:val="00462E02"/>
    <w:rsid w:val="0046339D"/>
    <w:rsid w:val="00463D3C"/>
    <w:rsid w:val="00463D7B"/>
    <w:rsid w:val="00464B44"/>
    <w:rsid w:val="00465608"/>
    <w:rsid w:val="0046625E"/>
    <w:rsid w:val="004662A5"/>
    <w:rsid w:val="0046646A"/>
    <w:rsid w:val="00466BBB"/>
    <w:rsid w:val="00466C8A"/>
    <w:rsid w:val="0046792A"/>
    <w:rsid w:val="00467E4D"/>
    <w:rsid w:val="004707E0"/>
    <w:rsid w:val="00470A52"/>
    <w:rsid w:val="004711A9"/>
    <w:rsid w:val="00471675"/>
    <w:rsid w:val="004725BC"/>
    <w:rsid w:val="00472ADA"/>
    <w:rsid w:val="00472B0F"/>
    <w:rsid w:val="00473DCC"/>
    <w:rsid w:val="00474158"/>
    <w:rsid w:val="00474523"/>
    <w:rsid w:val="00475548"/>
    <w:rsid w:val="00475B62"/>
    <w:rsid w:val="0047691A"/>
    <w:rsid w:val="00476B0E"/>
    <w:rsid w:val="00476BBB"/>
    <w:rsid w:val="004807E8"/>
    <w:rsid w:val="0048080D"/>
    <w:rsid w:val="00480C0A"/>
    <w:rsid w:val="00481332"/>
    <w:rsid w:val="00481C15"/>
    <w:rsid w:val="00482840"/>
    <w:rsid w:val="0048289A"/>
    <w:rsid w:val="004832D2"/>
    <w:rsid w:val="004839FE"/>
    <w:rsid w:val="0048600C"/>
    <w:rsid w:val="00486EA8"/>
    <w:rsid w:val="00487FDC"/>
    <w:rsid w:val="00490D83"/>
    <w:rsid w:val="00491174"/>
    <w:rsid w:val="004923B7"/>
    <w:rsid w:val="00492590"/>
    <w:rsid w:val="00492776"/>
    <w:rsid w:val="00492E9C"/>
    <w:rsid w:val="00492F49"/>
    <w:rsid w:val="00492FD1"/>
    <w:rsid w:val="004938B9"/>
    <w:rsid w:val="004939AD"/>
    <w:rsid w:val="0049422A"/>
    <w:rsid w:val="0049463D"/>
    <w:rsid w:val="0049485A"/>
    <w:rsid w:val="004950E6"/>
    <w:rsid w:val="00495415"/>
    <w:rsid w:val="00495886"/>
    <w:rsid w:val="00496315"/>
    <w:rsid w:val="00496326"/>
    <w:rsid w:val="00496DD7"/>
    <w:rsid w:val="004971F1"/>
    <w:rsid w:val="004979A3"/>
    <w:rsid w:val="00497D45"/>
    <w:rsid w:val="004A0040"/>
    <w:rsid w:val="004A036F"/>
    <w:rsid w:val="004A0671"/>
    <w:rsid w:val="004A1215"/>
    <w:rsid w:val="004A123A"/>
    <w:rsid w:val="004A15BC"/>
    <w:rsid w:val="004A1669"/>
    <w:rsid w:val="004A1B4D"/>
    <w:rsid w:val="004A24FD"/>
    <w:rsid w:val="004A2C20"/>
    <w:rsid w:val="004A2C9E"/>
    <w:rsid w:val="004A4301"/>
    <w:rsid w:val="004A4B24"/>
    <w:rsid w:val="004A4FE7"/>
    <w:rsid w:val="004A636C"/>
    <w:rsid w:val="004A65C8"/>
    <w:rsid w:val="004A7C42"/>
    <w:rsid w:val="004B080A"/>
    <w:rsid w:val="004B0DE9"/>
    <w:rsid w:val="004B2DB4"/>
    <w:rsid w:val="004B2EFD"/>
    <w:rsid w:val="004B3171"/>
    <w:rsid w:val="004B347A"/>
    <w:rsid w:val="004B45C0"/>
    <w:rsid w:val="004B4647"/>
    <w:rsid w:val="004B4A90"/>
    <w:rsid w:val="004B54E8"/>
    <w:rsid w:val="004B5503"/>
    <w:rsid w:val="004B6A73"/>
    <w:rsid w:val="004B74F1"/>
    <w:rsid w:val="004B78BE"/>
    <w:rsid w:val="004B7E86"/>
    <w:rsid w:val="004C0AAC"/>
    <w:rsid w:val="004C0C1C"/>
    <w:rsid w:val="004C0C55"/>
    <w:rsid w:val="004C2350"/>
    <w:rsid w:val="004C273F"/>
    <w:rsid w:val="004C2A43"/>
    <w:rsid w:val="004C34CC"/>
    <w:rsid w:val="004C3BFC"/>
    <w:rsid w:val="004C467C"/>
    <w:rsid w:val="004C491C"/>
    <w:rsid w:val="004C5F41"/>
    <w:rsid w:val="004C6152"/>
    <w:rsid w:val="004C63DA"/>
    <w:rsid w:val="004C71F7"/>
    <w:rsid w:val="004D01BD"/>
    <w:rsid w:val="004D0255"/>
    <w:rsid w:val="004D07E6"/>
    <w:rsid w:val="004D097C"/>
    <w:rsid w:val="004D0B7A"/>
    <w:rsid w:val="004D134B"/>
    <w:rsid w:val="004D284E"/>
    <w:rsid w:val="004D30CC"/>
    <w:rsid w:val="004D3685"/>
    <w:rsid w:val="004D3E3B"/>
    <w:rsid w:val="004D3FAD"/>
    <w:rsid w:val="004D429F"/>
    <w:rsid w:val="004D42B4"/>
    <w:rsid w:val="004D46E6"/>
    <w:rsid w:val="004D4B9D"/>
    <w:rsid w:val="004D52C1"/>
    <w:rsid w:val="004D55D2"/>
    <w:rsid w:val="004D6843"/>
    <w:rsid w:val="004D6E07"/>
    <w:rsid w:val="004D6E93"/>
    <w:rsid w:val="004D7EB7"/>
    <w:rsid w:val="004E1F54"/>
    <w:rsid w:val="004E1FFA"/>
    <w:rsid w:val="004E27FD"/>
    <w:rsid w:val="004E29CD"/>
    <w:rsid w:val="004E2AE6"/>
    <w:rsid w:val="004E3F42"/>
    <w:rsid w:val="004E45B3"/>
    <w:rsid w:val="004E4F89"/>
    <w:rsid w:val="004E5721"/>
    <w:rsid w:val="004E57BC"/>
    <w:rsid w:val="004E5A56"/>
    <w:rsid w:val="004E6126"/>
    <w:rsid w:val="004E6198"/>
    <w:rsid w:val="004E6C73"/>
    <w:rsid w:val="004E6EAF"/>
    <w:rsid w:val="004E7057"/>
    <w:rsid w:val="004E7BE5"/>
    <w:rsid w:val="004E7E33"/>
    <w:rsid w:val="004F06CA"/>
    <w:rsid w:val="004F1DBC"/>
    <w:rsid w:val="004F1E0B"/>
    <w:rsid w:val="004F2BFB"/>
    <w:rsid w:val="004F35BA"/>
    <w:rsid w:val="004F3CFB"/>
    <w:rsid w:val="004F4001"/>
    <w:rsid w:val="004F4A2B"/>
    <w:rsid w:val="004F4AB1"/>
    <w:rsid w:val="004F50E8"/>
    <w:rsid w:val="004F60FF"/>
    <w:rsid w:val="004F6199"/>
    <w:rsid w:val="004F68F9"/>
    <w:rsid w:val="004F70C1"/>
    <w:rsid w:val="004F73CD"/>
    <w:rsid w:val="004F7982"/>
    <w:rsid w:val="00500F5D"/>
    <w:rsid w:val="0050197D"/>
    <w:rsid w:val="00503D7F"/>
    <w:rsid w:val="00504AB5"/>
    <w:rsid w:val="005057C2"/>
    <w:rsid w:val="00506FDC"/>
    <w:rsid w:val="00507665"/>
    <w:rsid w:val="00507DB6"/>
    <w:rsid w:val="005108FA"/>
    <w:rsid w:val="005114AE"/>
    <w:rsid w:val="00511A87"/>
    <w:rsid w:val="00511CD3"/>
    <w:rsid w:val="00511EBB"/>
    <w:rsid w:val="0051463B"/>
    <w:rsid w:val="0051475E"/>
    <w:rsid w:val="00514BF1"/>
    <w:rsid w:val="00514EB0"/>
    <w:rsid w:val="0051536C"/>
    <w:rsid w:val="00515D60"/>
    <w:rsid w:val="00516533"/>
    <w:rsid w:val="005171E9"/>
    <w:rsid w:val="005174C6"/>
    <w:rsid w:val="00517579"/>
    <w:rsid w:val="0052048A"/>
    <w:rsid w:val="00520776"/>
    <w:rsid w:val="00520A03"/>
    <w:rsid w:val="00522271"/>
    <w:rsid w:val="0052299C"/>
    <w:rsid w:val="00522D97"/>
    <w:rsid w:val="0052415F"/>
    <w:rsid w:val="005242E9"/>
    <w:rsid w:val="00524547"/>
    <w:rsid w:val="005256EA"/>
    <w:rsid w:val="0052663C"/>
    <w:rsid w:val="005268EA"/>
    <w:rsid w:val="00526ABF"/>
    <w:rsid w:val="0052715C"/>
    <w:rsid w:val="00527778"/>
    <w:rsid w:val="00527A95"/>
    <w:rsid w:val="00531223"/>
    <w:rsid w:val="00531895"/>
    <w:rsid w:val="005333D3"/>
    <w:rsid w:val="005339EC"/>
    <w:rsid w:val="00533AD0"/>
    <w:rsid w:val="00533BB5"/>
    <w:rsid w:val="0053574B"/>
    <w:rsid w:val="00535EC5"/>
    <w:rsid w:val="00535F07"/>
    <w:rsid w:val="005362FE"/>
    <w:rsid w:val="00536987"/>
    <w:rsid w:val="00536B12"/>
    <w:rsid w:val="00537048"/>
    <w:rsid w:val="005410B6"/>
    <w:rsid w:val="00541AD0"/>
    <w:rsid w:val="0054235C"/>
    <w:rsid w:val="00542A85"/>
    <w:rsid w:val="0054379E"/>
    <w:rsid w:val="00543873"/>
    <w:rsid w:val="00543D9E"/>
    <w:rsid w:val="005452E6"/>
    <w:rsid w:val="00545C0C"/>
    <w:rsid w:val="00547671"/>
    <w:rsid w:val="0055046C"/>
    <w:rsid w:val="00551AA0"/>
    <w:rsid w:val="005522FA"/>
    <w:rsid w:val="005523B8"/>
    <w:rsid w:val="0055294D"/>
    <w:rsid w:val="00553F51"/>
    <w:rsid w:val="00554167"/>
    <w:rsid w:val="00554CD8"/>
    <w:rsid w:val="00555059"/>
    <w:rsid w:val="005577C2"/>
    <w:rsid w:val="005607EE"/>
    <w:rsid w:val="00560EE8"/>
    <w:rsid w:val="00561628"/>
    <w:rsid w:val="00562393"/>
    <w:rsid w:val="00562955"/>
    <w:rsid w:val="00564529"/>
    <w:rsid w:val="00564BA4"/>
    <w:rsid w:val="00564BF5"/>
    <w:rsid w:val="00564DDA"/>
    <w:rsid w:val="00565640"/>
    <w:rsid w:val="0056650A"/>
    <w:rsid w:val="00566722"/>
    <w:rsid w:val="00566C68"/>
    <w:rsid w:val="005670F3"/>
    <w:rsid w:val="00567251"/>
    <w:rsid w:val="005675EC"/>
    <w:rsid w:val="005677FD"/>
    <w:rsid w:val="005679C9"/>
    <w:rsid w:val="00567AC1"/>
    <w:rsid w:val="0057020C"/>
    <w:rsid w:val="005705D9"/>
    <w:rsid w:val="005708B3"/>
    <w:rsid w:val="00571359"/>
    <w:rsid w:val="00573204"/>
    <w:rsid w:val="00574C3D"/>
    <w:rsid w:val="00576284"/>
    <w:rsid w:val="00576429"/>
    <w:rsid w:val="00576AD1"/>
    <w:rsid w:val="00576E38"/>
    <w:rsid w:val="00576E83"/>
    <w:rsid w:val="005775E6"/>
    <w:rsid w:val="00577665"/>
    <w:rsid w:val="005777D5"/>
    <w:rsid w:val="00580428"/>
    <w:rsid w:val="00580556"/>
    <w:rsid w:val="005807C4"/>
    <w:rsid w:val="00580E1A"/>
    <w:rsid w:val="00581703"/>
    <w:rsid w:val="00581A67"/>
    <w:rsid w:val="00581D25"/>
    <w:rsid w:val="005827A6"/>
    <w:rsid w:val="00583101"/>
    <w:rsid w:val="00584017"/>
    <w:rsid w:val="0058432D"/>
    <w:rsid w:val="005847D9"/>
    <w:rsid w:val="00585449"/>
    <w:rsid w:val="005854E7"/>
    <w:rsid w:val="005855DE"/>
    <w:rsid w:val="005857F0"/>
    <w:rsid w:val="005873F2"/>
    <w:rsid w:val="00587B0F"/>
    <w:rsid w:val="005900FF"/>
    <w:rsid w:val="00591420"/>
    <w:rsid w:val="00591547"/>
    <w:rsid w:val="00591798"/>
    <w:rsid w:val="0059272B"/>
    <w:rsid w:val="00593C5A"/>
    <w:rsid w:val="00593D11"/>
    <w:rsid w:val="0059400C"/>
    <w:rsid w:val="00594272"/>
    <w:rsid w:val="00594BEF"/>
    <w:rsid w:val="0059513A"/>
    <w:rsid w:val="00595606"/>
    <w:rsid w:val="00595A2F"/>
    <w:rsid w:val="00595ECC"/>
    <w:rsid w:val="0059614A"/>
    <w:rsid w:val="0059624C"/>
    <w:rsid w:val="00596755"/>
    <w:rsid w:val="005967CF"/>
    <w:rsid w:val="00596A63"/>
    <w:rsid w:val="00596F5F"/>
    <w:rsid w:val="00597125"/>
    <w:rsid w:val="00597590"/>
    <w:rsid w:val="005A0E3B"/>
    <w:rsid w:val="005A10B3"/>
    <w:rsid w:val="005A1D2B"/>
    <w:rsid w:val="005A1F44"/>
    <w:rsid w:val="005A220D"/>
    <w:rsid w:val="005A2541"/>
    <w:rsid w:val="005A27EF"/>
    <w:rsid w:val="005A2C6F"/>
    <w:rsid w:val="005A4196"/>
    <w:rsid w:val="005A4DA5"/>
    <w:rsid w:val="005A4E51"/>
    <w:rsid w:val="005A6817"/>
    <w:rsid w:val="005A76BE"/>
    <w:rsid w:val="005A76F8"/>
    <w:rsid w:val="005A7C76"/>
    <w:rsid w:val="005B0B57"/>
    <w:rsid w:val="005B1031"/>
    <w:rsid w:val="005B1BBF"/>
    <w:rsid w:val="005B25FD"/>
    <w:rsid w:val="005B2DA0"/>
    <w:rsid w:val="005B31AB"/>
    <w:rsid w:val="005B3F63"/>
    <w:rsid w:val="005B4B52"/>
    <w:rsid w:val="005B57EB"/>
    <w:rsid w:val="005B5A01"/>
    <w:rsid w:val="005B6C5F"/>
    <w:rsid w:val="005B7314"/>
    <w:rsid w:val="005C00AA"/>
    <w:rsid w:val="005C03EC"/>
    <w:rsid w:val="005C0916"/>
    <w:rsid w:val="005C09D4"/>
    <w:rsid w:val="005C11CE"/>
    <w:rsid w:val="005C14C5"/>
    <w:rsid w:val="005C190D"/>
    <w:rsid w:val="005C2A51"/>
    <w:rsid w:val="005C38A7"/>
    <w:rsid w:val="005C460D"/>
    <w:rsid w:val="005C4E12"/>
    <w:rsid w:val="005C6620"/>
    <w:rsid w:val="005C7280"/>
    <w:rsid w:val="005C72BA"/>
    <w:rsid w:val="005C7DA9"/>
    <w:rsid w:val="005C7FFC"/>
    <w:rsid w:val="005D0C7F"/>
    <w:rsid w:val="005D0DE5"/>
    <w:rsid w:val="005D112B"/>
    <w:rsid w:val="005D1191"/>
    <w:rsid w:val="005D11C3"/>
    <w:rsid w:val="005D1657"/>
    <w:rsid w:val="005D261C"/>
    <w:rsid w:val="005D3511"/>
    <w:rsid w:val="005D3CAE"/>
    <w:rsid w:val="005D3E7D"/>
    <w:rsid w:val="005D4507"/>
    <w:rsid w:val="005D46F3"/>
    <w:rsid w:val="005D4A9E"/>
    <w:rsid w:val="005D58D0"/>
    <w:rsid w:val="005D59DA"/>
    <w:rsid w:val="005D5F93"/>
    <w:rsid w:val="005D6973"/>
    <w:rsid w:val="005D789E"/>
    <w:rsid w:val="005D7CE1"/>
    <w:rsid w:val="005E1078"/>
    <w:rsid w:val="005E22A2"/>
    <w:rsid w:val="005E2C76"/>
    <w:rsid w:val="005E2E54"/>
    <w:rsid w:val="005E34E9"/>
    <w:rsid w:val="005E37AE"/>
    <w:rsid w:val="005E3FA7"/>
    <w:rsid w:val="005E4045"/>
    <w:rsid w:val="005E4330"/>
    <w:rsid w:val="005E433E"/>
    <w:rsid w:val="005E46C4"/>
    <w:rsid w:val="005E46C6"/>
    <w:rsid w:val="005E49AC"/>
    <w:rsid w:val="005E5206"/>
    <w:rsid w:val="005E5229"/>
    <w:rsid w:val="005E65EA"/>
    <w:rsid w:val="005E7B14"/>
    <w:rsid w:val="005F0128"/>
    <w:rsid w:val="005F055E"/>
    <w:rsid w:val="005F0902"/>
    <w:rsid w:val="005F0A9E"/>
    <w:rsid w:val="005F1A52"/>
    <w:rsid w:val="005F1B26"/>
    <w:rsid w:val="005F2169"/>
    <w:rsid w:val="005F224C"/>
    <w:rsid w:val="005F2F50"/>
    <w:rsid w:val="005F2F9C"/>
    <w:rsid w:val="005F4A16"/>
    <w:rsid w:val="005F6113"/>
    <w:rsid w:val="005F6F74"/>
    <w:rsid w:val="005F76FC"/>
    <w:rsid w:val="006000EB"/>
    <w:rsid w:val="006003A3"/>
    <w:rsid w:val="00600500"/>
    <w:rsid w:val="00600D73"/>
    <w:rsid w:val="006010B0"/>
    <w:rsid w:val="00601165"/>
    <w:rsid w:val="0060221E"/>
    <w:rsid w:val="00602566"/>
    <w:rsid w:val="00603C2D"/>
    <w:rsid w:val="00603FA8"/>
    <w:rsid w:val="006045F1"/>
    <w:rsid w:val="006050AC"/>
    <w:rsid w:val="0060548D"/>
    <w:rsid w:val="0060594E"/>
    <w:rsid w:val="00605D7C"/>
    <w:rsid w:val="006078D2"/>
    <w:rsid w:val="006078F9"/>
    <w:rsid w:val="00607ABA"/>
    <w:rsid w:val="00607BEE"/>
    <w:rsid w:val="00610336"/>
    <w:rsid w:val="00610BD9"/>
    <w:rsid w:val="0061128F"/>
    <w:rsid w:val="006116AD"/>
    <w:rsid w:val="0061209C"/>
    <w:rsid w:val="006137A4"/>
    <w:rsid w:val="00614464"/>
    <w:rsid w:val="00614FD0"/>
    <w:rsid w:val="00615044"/>
    <w:rsid w:val="006150DF"/>
    <w:rsid w:val="0061633D"/>
    <w:rsid w:val="0061641E"/>
    <w:rsid w:val="006169C2"/>
    <w:rsid w:val="006170AF"/>
    <w:rsid w:val="006176B6"/>
    <w:rsid w:val="00620116"/>
    <w:rsid w:val="0062079F"/>
    <w:rsid w:val="00620C7B"/>
    <w:rsid w:val="00621ABB"/>
    <w:rsid w:val="00621F72"/>
    <w:rsid w:val="00621FDE"/>
    <w:rsid w:val="00622428"/>
    <w:rsid w:val="0062369D"/>
    <w:rsid w:val="00623A68"/>
    <w:rsid w:val="00623BC4"/>
    <w:rsid w:val="00624D87"/>
    <w:rsid w:val="006252D5"/>
    <w:rsid w:val="0062550C"/>
    <w:rsid w:val="00626D59"/>
    <w:rsid w:val="00627777"/>
    <w:rsid w:val="00627DA3"/>
    <w:rsid w:val="006312E0"/>
    <w:rsid w:val="00631EC6"/>
    <w:rsid w:val="006320B0"/>
    <w:rsid w:val="00632370"/>
    <w:rsid w:val="006324F6"/>
    <w:rsid w:val="006330D8"/>
    <w:rsid w:val="0063413A"/>
    <w:rsid w:val="00634B07"/>
    <w:rsid w:val="006354BD"/>
    <w:rsid w:val="00635663"/>
    <w:rsid w:val="00636FD3"/>
    <w:rsid w:val="0063761C"/>
    <w:rsid w:val="00637A92"/>
    <w:rsid w:val="00637D87"/>
    <w:rsid w:val="00637F7A"/>
    <w:rsid w:val="00640C06"/>
    <w:rsid w:val="00642EFB"/>
    <w:rsid w:val="00643188"/>
    <w:rsid w:val="00643747"/>
    <w:rsid w:val="00643CC0"/>
    <w:rsid w:val="00644471"/>
    <w:rsid w:val="006448FC"/>
    <w:rsid w:val="00644EFB"/>
    <w:rsid w:val="006459D8"/>
    <w:rsid w:val="00646CB0"/>
    <w:rsid w:val="006500A7"/>
    <w:rsid w:val="00650274"/>
    <w:rsid w:val="00650A97"/>
    <w:rsid w:val="006517A8"/>
    <w:rsid w:val="006521EA"/>
    <w:rsid w:val="00652E97"/>
    <w:rsid w:val="00653745"/>
    <w:rsid w:val="00653B4B"/>
    <w:rsid w:val="00654EF2"/>
    <w:rsid w:val="00656939"/>
    <w:rsid w:val="006578D7"/>
    <w:rsid w:val="00660CC7"/>
    <w:rsid w:val="00660D11"/>
    <w:rsid w:val="0066156A"/>
    <w:rsid w:val="006616B6"/>
    <w:rsid w:val="00661853"/>
    <w:rsid w:val="00661A01"/>
    <w:rsid w:val="006620A5"/>
    <w:rsid w:val="00662B13"/>
    <w:rsid w:val="006630DB"/>
    <w:rsid w:val="006639D0"/>
    <w:rsid w:val="00663A0B"/>
    <w:rsid w:val="006642F9"/>
    <w:rsid w:val="006664E2"/>
    <w:rsid w:val="0066657C"/>
    <w:rsid w:val="00666AB1"/>
    <w:rsid w:val="00667515"/>
    <w:rsid w:val="00670527"/>
    <w:rsid w:val="00671BE3"/>
    <w:rsid w:val="006721BD"/>
    <w:rsid w:val="00672D23"/>
    <w:rsid w:val="006736AD"/>
    <w:rsid w:val="00673B36"/>
    <w:rsid w:val="00673DD2"/>
    <w:rsid w:val="00673FBE"/>
    <w:rsid w:val="00674643"/>
    <w:rsid w:val="0067520D"/>
    <w:rsid w:val="00676860"/>
    <w:rsid w:val="00677C31"/>
    <w:rsid w:val="006809A4"/>
    <w:rsid w:val="006809EB"/>
    <w:rsid w:val="0068130F"/>
    <w:rsid w:val="006815DA"/>
    <w:rsid w:val="00681921"/>
    <w:rsid w:val="00682004"/>
    <w:rsid w:val="00682B7E"/>
    <w:rsid w:val="00682E9C"/>
    <w:rsid w:val="00683B1A"/>
    <w:rsid w:val="00684117"/>
    <w:rsid w:val="0068427C"/>
    <w:rsid w:val="006846E3"/>
    <w:rsid w:val="0068471C"/>
    <w:rsid w:val="00685BCB"/>
    <w:rsid w:val="006864E0"/>
    <w:rsid w:val="0068681E"/>
    <w:rsid w:val="00686BE5"/>
    <w:rsid w:val="00686FAB"/>
    <w:rsid w:val="006879D4"/>
    <w:rsid w:val="00690F56"/>
    <w:rsid w:val="00691B0B"/>
    <w:rsid w:val="00692BC7"/>
    <w:rsid w:val="00693E68"/>
    <w:rsid w:val="00694744"/>
    <w:rsid w:val="0069474D"/>
    <w:rsid w:val="00694D7A"/>
    <w:rsid w:val="00694D8D"/>
    <w:rsid w:val="00695322"/>
    <w:rsid w:val="00695CBD"/>
    <w:rsid w:val="006967EB"/>
    <w:rsid w:val="00697715"/>
    <w:rsid w:val="00697B5D"/>
    <w:rsid w:val="006A073F"/>
    <w:rsid w:val="006A091A"/>
    <w:rsid w:val="006A0F0D"/>
    <w:rsid w:val="006A19C5"/>
    <w:rsid w:val="006A1DD5"/>
    <w:rsid w:val="006A1FA2"/>
    <w:rsid w:val="006A27F6"/>
    <w:rsid w:val="006A3010"/>
    <w:rsid w:val="006A3EF5"/>
    <w:rsid w:val="006A42B8"/>
    <w:rsid w:val="006A46A8"/>
    <w:rsid w:val="006A5515"/>
    <w:rsid w:val="006A772F"/>
    <w:rsid w:val="006A7EC6"/>
    <w:rsid w:val="006B02D2"/>
    <w:rsid w:val="006B0591"/>
    <w:rsid w:val="006B2AC9"/>
    <w:rsid w:val="006B2BE2"/>
    <w:rsid w:val="006B3AF5"/>
    <w:rsid w:val="006B43C2"/>
    <w:rsid w:val="006B464F"/>
    <w:rsid w:val="006B48D1"/>
    <w:rsid w:val="006B4D0F"/>
    <w:rsid w:val="006B59E7"/>
    <w:rsid w:val="006B5C5E"/>
    <w:rsid w:val="006B5C6D"/>
    <w:rsid w:val="006B654A"/>
    <w:rsid w:val="006B67FD"/>
    <w:rsid w:val="006B6BFE"/>
    <w:rsid w:val="006C041F"/>
    <w:rsid w:val="006C13C9"/>
    <w:rsid w:val="006C1DB8"/>
    <w:rsid w:val="006C1EDC"/>
    <w:rsid w:val="006C1F42"/>
    <w:rsid w:val="006C2EED"/>
    <w:rsid w:val="006C362F"/>
    <w:rsid w:val="006C36E2"/>
    <w:rsid w:val="006C370A"/>
    <w:rsid w:val="006C39E3"/>
    <w:rsid w:val="006C3EB3"/>
    <w:rsid w:val="006C4300"/>
    <w:rsid w:val="006C440D"/>
    <w:rsid w:val="006C4545"/>
    <w:rsid w:val="006C501A"/>
    <w:rsid w:val="006C6816"/>
    <w:rsid w:val="006C6DE1"/>
    <w:rsid w:val="006D0907"/>
    <w:rsid w:val="006D0E20"/>
    <w:rsid w:val="006D1696"/>
    <w:rsid w:val="006D2544"/>
    <w:rsid w:val="006D3240"/>
    <w:rsid w:val="006D39A8"/>
    <w:rsid w:val="006D47A7"/>
    <w:rsid w:val="006D4D29"/>
    <w:rsid w:val="006D56B1"/>
    <w:rsid w:val="006D5DD1"/>
    <w:rsid w:val="006D7380"/>
    <w:rsid w:val="006D7455"/>
    <w:rsid w:val="006E057A"/>
    <w:rsid w:val="006E216D"/>
    <w:rsid w:val="006E35A7"/>
    <w:rsid w:val="006E3E31"/>
    <w:rsid w:val="006E6905"/>
    <w:rsid w:val="006E73FC"/>
    <w:rsid w:val="006E762F"/>
    <w:rsid w:val="006F0294"/>
    <w:rsid w:val="006F15A3"/>
    <w:rsid w:val="006F1840"/>
    <w:rsid w:val="006F195C"/>
    <w:rsid w:val="006F1A90"/>
    <w:rsid w:val="006F202B"/>
    <w:rsid w:val="006F2634"/>
    <w:rsid w:val="006F2BAE"/>
    <w:rsid w:val="006F31DB"/>
    <w:rsid w:val="006F4063"/>
    <w:rsid w:val="006F4B79"/>
    <w:rsid w:val="006F4D5B"/>
    <w:rsid w:val="006F54C6"/>
    <w:rsid w:val="006F5A7E"/>
    <w:rsid w:val="006F67B8"/>
    <w:rsid w:val="006F69C9"/>
    <w:rsid w:val="00700606"/>
    <w:rsid w:val="00700737"/>
    <w:rsid w:val="00700CB4"/>
    <w:rsid w:val="00701483"/>
    <w:rsid w:val="00701D08"/>
    <w:rsid w:val="00701F5E"/>
    <w:rsid w:val="00702F92"/>
    <w:rsid w:val="007036A6"/>
    <w:rsid w:val="00703E0A"/>
    <w:rsid w:val="0070429E"/>
    <w:rsid w:val="00704696"/>
    <w:rsid w:val="00704EA5"/>
    <w:rsid w:val="007057A7"/>
    <w:rsid w:val="007057FF"/>
    <w:rsid w:val="007060C5"/>
    <w:rsid w:val="007067BF"/>
    <w:rsid w:val="00706D2B"/>
    <w:rsid w:val="00707402"/>
    <w:rsid w:val="00707B45"/>
    <w:rsid w:val="00710A74"/>
    <w:rsid w:val="00711518"/>
    <w:rsid w:val="0071206E"/>
    <w:rsid w:val="0071226F"/>
    <w:rsid w:val="00712383"/>
    <w:rsid w:val="0071371C"/>
    <w:rsid w:val="00713F68"/>
    <w:rsid w:val="007146B4"/>
    <w:rsid w:val="00714B4B"/>
    <w:rsid w:val="00714F7A"/>
    <w:rsid w:val="0071576B"/>
    <w:rsid w:val="007158C4"/>
    <w:rsid w:val="0071596D"/>
    <w:rsid w:val="007159BD"/>
    <w:rsid w:val="00715F92"/>
    <w:rsid w:val="00716413"/>
    <w:rsid w:val="00716E1F"/>
    <w:rsid w:val="00720840"/>
    <w:rsid w:val="00720859"/>
    <w:rsid w:val="007225F5"/>
    <w:rsid w:val="007241CD"/>
    <w:rsid w:val="00724A1A"/>
    <w:rsid w:val="00725ECD"/>
    <w:rsid w:val="00726903"/>
    <w:rsid w:val="007273B0"/>
    <w:rsid w:val="0072762B"/>
    <w:rsid w:val="00727E16"/>
    <w:rsid w:val="00730CA2"/>
    <w:rsid w:val="00730CE4"/>
    <w:rsid w:val="00731177"/>
    <w:rsid w:val="00731605"/>
    <w:rsid w:val="00732AA9"/>
    <w:rsid w:val="00732B8A"/>
    <w:rsid w:val="00733365"/>
    <w:rsid w:val="00733F80"/>
    <w:rsid w:val="007347CE"/>
    <w:rsid w:val="00735142"/>
    <w:rsid w:val="007353D2"/>
    <w:rsid w:val="00736516"/>
    <w:rsid w:val="00736BD4"/>
    <w:rsid w:val="00736EFA"/>
    <w:rsid w:val="00737C96"/>
    <w:rsid w:val="007413E8"/>
    <w:rsid w:val="00741476"/>
    <w:rsid w:val="00741D60"/>
    <w:rsid w:val="00742ACD"/>
    <w:rsid w:val="00744225"/>
    <w:rsid w:val="00746E5D"/>
    <w:rsid w:val="007470D1"/>
    <w:rsid w:val="00750027"/>
    <w:rsid w:val="0075109A"/>
    <w:rsid w:val="00751857"/>
    <w:rsid w:val="00751DBE"/>
    <w:rsid w:val="00752245"/>
    <w:rsid w:val="00753877"/>
    <w:rsid w:val="00753963"/>
    <w:rsid w:val="00754B34"/>
    <w:rsid w:val="00754F45"/>
    <w:rsid w:val="00756208"/>
    <w:rsid w:val="00756857"/>
    <w:rsid w:val="00756EBE"/>
    <w:rsid w:val="00757125"/>
    <w:rsid w:val="00757A84"/>
    <w:rsid w:val="00757B04"/>
    <w:rsid w:val="00757E1B"/>
    <w:rsid w:val="0076045E"/>
    <w:rsid w:val="007614D0"/>
    <w:rsid w:val="007617D2"/>
    <w:rsid w:val="00762313"/>
    <w:rsid w:val="00762CEF"/>
    <w:rsid w:val="00762DDE"/>
    <w:rsid w:val="007631CC"/>
    <w:rsid w:val="00763AAE"/>
    <w:rsid w:val="00763B8E"/>
    <w:rsid w:val="00763EAA"/>
    <w:rsid w:val="00764E03"/>
    <w:rsid w:val="00765632"/>
    <w:rsid w:val="00766040"/>
    <w:rsid w:val="007661A6"/>
    <w:rsid w:val="00766F59"/>
    <w:rsid w:val="00767895"/>
    <w:rsid w:val="007678E5"/>
    <w:rsid w:val="0076791A"/>
    <w:rsid w:val="00767BDC"/>
    <w:rsid w:val="00767D4D"/>
    <w:rsid w:val="0077026E"/>
    <w:rsid w:val="00770C8A"/>
    <w:rsid w:val="00770EB5"/>
    <w:rsid w:val="00770ED8"/>
    <w:rsid w:val="00771FD0"/>
    <w:rsid w:val="00772169"/>
    <w:rsid w:val="00772554"/>
    <w:rsid w:val="007727A3"/>
    <w:rsid w:val="00773BA7"/>
    <w:rsid w:val="00773F24"/>
    <w:rsid w:val="00774652"/>
    <w:rsid w:val="00774A23"/>
    <w:rsid w:val="00774FED"/>
    <w:rsid w:val="00776414"/>
    <w:rsid w:val="00776444"/>
    <w:rsid w:val="007766F1"/>
    <w:rsid w:val="007769A3"/>
    <w:rsid w:val="00777FC7"/>
    <w:rsid w:val="00781CBD"/>
    <w:rsid w:val="00781EAA"/>
    <w:rsid w:val="00781ED3"/>
    <w:rsid w:val="007821E9"/>
    <w:rsid w:val="007831BE"/>
    <w:rsid w:val="00783DA1"/>
    <w:rsid w:val="0078422A"/>
    <w:rsid w:val="00784900"/>
    <w:rsid w:val="0078498A"/>
    <w:rsid w:val="007857BC"/>
    <w:rsid w:val="007857E0"/>
    <w:rsid w:val="007870EF"/>
    <w:rsid w:val="00787ECC"/>
    <w:rsid w:val="007916E5"/>
    <w:rsid w:val="007926A3"/>
    <w:rsid w:val="00792E19"/>
    <w:rsid w:val="00793139"/>
    <w:rsid w:val="007940F2"/>
    <w:rsid w:val="0079614E"/>
    <w:rsid w:val="007972F4"/>
    <w:rsid w:val="00797483"/>
    <w:rsid w:val="007974E8"/>
    <w:rsid w:val="007A00AF"/>
    <w:rsid w:val="007A0BF0"/>
    <w:rsid w:val="007A0F3F"/>
    <w:rsid w:val="007A2449"/>
    <w:rsid w:val="007A30DF"/>
    <w:rsid w:val="007A3185"/>
    <w:rsid w:val="007A3CB4"/>
    <w:rsid w:val="007A44F1"/>
    <w:rsid w:val="007A4CB3"/>
    <w:rsid w:val="007A5881"/>
    <w:rsid w:val="007A5AA8"/>
    <w:rsid w:val="007A6001"/>
    <w:rsid w:val="007A60C0"/>
    <w:rsid w:val="007A67A2"/>
    <w:rsid w:val="007A69F9"/>
    <w:rsid w:val="007B05BE"/>
    <w:rsid w:val="007B09D7"/>
    <w:rsid w:val="007B1101"/>
    <w:rsid w:val="007B1A94"/>
    <w:rsid w:val="007B277C"/>
    <w:rsid w:val="007B29C0"/>
    <w:rsid w:val="007B4054"/>
    <w:rsid w:val="007B4993"/>
    <w:rsid w:val="007B4D7F"/>
    <w:rsid w:val="007B501A"/>
    <w:rsid w:val="007B56FD"/>
    <w:rsid w:val="007B5744"/>
    <w:rsid w:val="007B68C3"/>
    <w:rsid w:val="007B74E2"/>
    <w:rsid w:val="007B7597"/>
    <w:rsid w:val="007B7F03"/>
    <w:rsid w:val="007C012E"/>
    <w:rsid w:val="007C0B9D"/>
    <w:rsid w:val="007C2EA9"/>
    <w:rsid w:val="007C2FDB"/>
    <w:rsid w:val="007C31B1"/>
    <w:rsid w:val="007C3221"/>
    <w:rsid w:val="007C3E33"/>
    <w:rsid w:val="007C4142"/>
    <w:rsid w:val="007C5FEA"/>
    <w:rsid w:val="007C682E"/>
    <w:rsid w:val="007C748A"/>
    <w:rsid w:val="007D05E6"/>
    <w:rsid w:val="007D07FA"/>
    <w:rsid w:val="007D0A74"/>
    <w:rsid w:val="007D2FD2"/>
    <w:rsid w:val="007D37A8"/>
    <w:rsid w:val="007D3C20"/>
    <w:rsid w:val="007D4A40"/>
    <w:rsid w:val="007D5024"/>
    <w:rsid w:val="007D6575"/>
    <w:rsid w:val="007D6C19"/>
    <w:rsid w:val="007D7089"/>
    <w:rsid w:val="007D7B44"/>
    <w:rsid w:val="007D7E5D"/>
    <w:rsid w:val="007E089A"/>
    <w:rsid w:val="007E0B39"/>
    <w:rsid w:val="007E168C"/>
    <w:rsid w:val="007E1E92"/>
    <w:rsid w:val="007E2257"/>
    <w:rsid w:val="007E2C14"/>
    <w:rsid w:val="007E3B3D"/>
    <w:rsid w:val="007E6272"/>
    <w:rsid w:val="007E6C7A"/>
    <w:rsid w:val="007E70F4"/>
    <w:rsid w:val="007E7B47"/>
    <w:rsid w:val="007E7DA7"/>
    <w:rsid w:val="007F00F7"/>
    <w:rsid w:val="007F099E"/>
    <w:rsid w:val="007F0AC7"/>
    <w:rsid w:val="007F1A88"/>
    <w:rsid w:val="007F324F"/>
    <w:rsid w:val="007F32AC"/>
    <w:rsid w:val="007F3EF4"/>
    <w:rsid w:val="007F431A"/>
    <w:rsid w:val="007F445B"/>
    <w:rsid w:val="007F491D"/>
    <w:rsid w:val="007F4C0D"/>
    <w:rsid w:val="007F4D4F"/>
    <w:rsid w:val="007F5789"/>
    <w:rsid w:val="007F5E48"/>
    <w:rsid w:val="007F5E75"/>
    <w:rsid w:val="007F66B7"/>
    <w:rsid w:val="007F6DC0"/>
    <w:rsid w:val="007F6DE4"/>
    <w:rsid w:val="007F7426"/>
    <w:rsid w:val="007F78B1"/>
    <w:rsid w:val="007F7944"/>
    <w:rsid w:val="008002B5"/>
    <w:rsid w:val="00800DA5"/>
    <w:rsid w:val="008015F8"/>
    <w:rsid w:val="00801BBC"/>
    <w:rsid w:val="00802BDF"/>
    <w:rsid w:val="00802C3B"/>
    <w:rsid w:val="008037C5"/>
    <w:rsid w:val="008059EF"/>
    <w:rsid w:val="0080631A"/>
    <w:rsid w:val="008109B8"/>
    <w:rsid w:val="00810BD1"/>
    <w:rsid w:val="0081108D"/>
    <w:rsid w:val="0081192A"/>
    <w:rsid w:val="008119F3"/>
    <w:rsid w:val="00812217"/>
    <w:rsid w:val="008123B7"/>
    <w:rsid w:val="00812635"/>
    <w:rsid w:val="00813320"/>
    <w:rsid w:val="00813D23"/>
    <w:rsid w:val="00816DD3"/>
    <w:rsid w:val="00817C45"/>
    <w:rsid w:val="00820124"/>
    <w:rsid w:val="008202C4"/>
    <w:rsid w:val="0082077B"/>
    <w:rsid w:val="00821B4F"/>
    <w:rsid w:val="00822964"/>
    <w:rsid w:val="00823237"/>
    <w:rsid w:val="00824120"/>
    <w:rsid w:val="00824ABC"/>
    <w:rsid w:val="0082533B"/>
    <w:rsid w:val="008260DE"/>
    <w:rsid w:val="008277E2"/>
    <w:rsid w:val="00827A54"/>
    <w:rsid w:val="00830158"/>
    <w:rsid w:val="00830C07"/>
    <w:rsid w:val="00830FB3"/>
    <w:rsid w:val="0083185A"/>
    <w:rsid w:val="0083287B"/>
    <w:rsid w:val="0083389C"/>
    <w:rsid w:val="00833992"/>
    <w:rsid w:val="00833AFD"/>
    <w:rsid w:val="00834667"/>
    <w:rsid w:val="00834E74"/>
    <w:rsid w:val="00834ED2"/>
    <w:rsid w:val="00836432"/>
    <w:rsid w:val="008365EE"/>
    <w:rsid w:val="00836EF5"/>
    <w:rsid w:val="0083719D"/>
    <w:rsid w:val="00837AB6"/>
    <w:rsid w:val="008407D8"/>
    <w:rsid w:val="00840E0D"/>
    <w:rsid w:val="00840ED2"/>
    <w:rsid w:val="00840EDA"/>
    <w:rsid w:val="00841F61"/>
    <w:rsid w:val="00842451"/>
    <w:rsid w:val="00842562"/>
    <w:rsid w:val="00843679"/>
    <w:rsid w:val="00843CBE"/>
    <w:rsid w:val="00843F94"/>
    <w:rsid w:val="00844EC9"/>
    <w:rsid w:val="00844F7D"/>
    <w:rsid w:val="00845818"/>
    <w:rsid w:val="00845B95"/>
    <w:rsid w:val="008463E6"/>
    <w:rsid w:val="008469CA"/>
    <w:rsid w:val="00847794"/>
    <w:rsid w:val="00850DC4"/>
    <w:rsid w:val="00850FE1"/>
    <w:rsid w:val="00851089"/>
    <w:rsid w:val="008522B5"/>
    <w:rsid w:val="00852B58"/>
    <w:rsid w:val="008537C4"/>
    <w:rsid w:val="00854B2D"/>
    <w:rsid w:val="00855643"/>
    <w:rsid w:val="00856547"/>
    <w:rsid w:val="00856CF9"/>
    <w:rsid w:val="00857FCD"/>
    <w:rsid w:val="00862A56"/>
    <w:rsid w:val="00862F44"/>
    <w:rsid w:val="00864C32"/>
    <w:rsid w:val="00865EE3"/>
    <w:rsid w:val="008669B6"/>
    <w:rsid w:val="00866CD8"/>
    <w:rsid w:val="0087006D"/>
    <w:rsid w:val="00870A25"/>
    <w:rsid w:val="00870B77"/>
    <w:rsid w:val="0087101E"/>
    <w:rsid w:val="0087118D"/>
    <w:rsid w:val="008719FC"/>
    <w:rsid w:val="00871D32"/>
    <w:rsid w:val="00871E39"/>
    <w:rsid w:val="008727AC"/>
    <w:rsid w:val="00872A63"/>
    <w:rsid w:val="00873B2D"/>
    <w:rsid w:val="00873B3B"/>
    <w:rsid w:val="00873FBC"/>
    <w:rsid w:val="0087455F"/>
    <w:rsid w:val="008748A0"/>
    <w:rsid w:val="00874F35"/>
    <w:rsid w:val="00875ABA"/>
    <w:rsid w:val="00875D6A"/>
    <w:rsid w:val="00875D85"/>
    <w:rsid w:val="00876AC6"/>
    <w:rsid w:val="00876F3C"/>
    <w:rsid w:val="0087751B"/>
    <w:rsid w:val="0087775B"/>
    <w:rsid w:val="008777D5"/>
    <w:rsid w:val="00880B5A"/>
    <w:rsid w:val="008818DA"/>
    <w:rsid w:val="008821CE"/>
    <w:rsid w:val="00882A88"/>
    <w:rsid w:val="00882EEC"/>
    <w:rsid w:val="00882FC9"/>
    <w:rsid w:val="0088312D"/>
    <w:rsid w:val="0088389F"/>
    <w:rsid w:val="00884040"/>
    <w:rsid w:val="00884061"/>
    <w:rsid w:val="008845A3"/>
    <w:rsid w:val="00884AE2"/>
    <w:rsid w:val="00885383"/>
    <w:rsid w:val="0088607F"/>
    <w:rsid w:val="0088760E"/>
    <w:rsid w:val="008877B2"/>
    <w:rsid w:val="008900BF"/>
    <w:rsid w:val="008900F3"/>
    <w:rsid w:val="0089099A"/>
    <w:rsid w:val="00890D2B"/>
    <w:rsid w:val="008915C8"/>
    <w:rsid w:val="008917E2"/>
    <w:rsid w:val="00894715"/>
    <w:rsid w:val="0089504C"/>
    <w:rsid w:val="008963BE"/>
    <w:rsid w:val="00896421"/>
    <w:rsid w:val="00896D2E"/>
    <w:rsid w:val="0089743E"/>
    <w:rsid w:val="00897A76"/>
    <w:rsid w:val="00897BB1"/>
    <w:rsid w:val="008A09DB"/>
    <w:rsid w:val="008A1978"/>
    <w:rsid w:val="008A1B49"/>
    <w:rsid w:val="008A288C"/>
    <w:rsid w:val="008A2EFE"/>
    <w:rsid w:val="008A326B"/>
    <w:rsid w:val="008A3471"/>
    <w:rsid w:val="008A508E"/>
    <w:rsid w:val="008A52DF"/>
    <w:rsid w:val="008A5527"/>
    <w:rsid w:val="008A55EF"/>
    <w:rsid w:val="008A6441"/>
    <w:rsid w:val="008A68F9"/>
    <w:rsid w:val="008A78A2"/>
    <w:rsid w:val="008B041D"/>
    <w:rsid w:val="008B0969"/>
    <w:rsid w:val="008B297D"/>
    <w:rsid w:val="008B3772"/>
    <w:rsid w:val="008B3796"/>
    <w:rsid w:val="008B38F5"/>
    <w:rsid w:val="008B3C80"/>
    <w:rsid w:val="008B55E2"/>
    <w:rsid w:val="008B5837"/>
    <w:rsid w:val="008B5C3C"/>
    <w:rsid w:val="008B5F46"/>
    <w:rsid w:val="008B68A9"/>
    <w:rsid w:val="008B6C2C"/>
    <w:rsid w:val="008B6C94"/>
    <w:rsid w:val="008B6EE5"/>
    <w:rsid w:val="008B7915"/>
    <w:rsid w:val="008C046F"/>
    <w:rsid w:val="008C08E2"/>
    <w:rsid w:val="008C24F7"/>
    <w:rsid w:val="008C2832"/>
    <w:rsid w:val="008C2BD6"/>
    <w:rsid w:val="008C2DC4"/>
    <w:rsid w:val="008C3032"/>
    <w:rsid w:val="008C408E"/>
    <w:rsid w:val="008C48FB"/>
    <w:rsid w:val="008C4E8C"/>
    <w:rsid w:val="008C4FED"/>
    <w:rsid w:val="008C5CCC"/>
    <w:rsid w:val="008C5F27"/>
    <w:rsid w:val="008C639C"/>
    <w:rsid w:val="008C6E18"/>
    <w:rsid w:val="008C6F22"/>
    <w:rsid w:val="008D0195"/>
    <w:rsid w:val="008D14FC"/>
    <w:rsid w:val="008D2283"/>
    <w:rsid w:val="008D2507"/>
    <w:rsid w:val="008D2E41"/>
    <w:rsid w:val="008D3231"/>
    <w:rsid w:val="008D4426"/>
    <w:rsid w:val="008D48C2"/>
    <w:rsid w:val="008D4D02"/>
    <w:rsid w:val="008D4FEF"/>
    <w:rsid w:val="008D5D8B"/>
    <w:rsid w:val="008D61D2"/>
    <w:rsid w:val="008D7B2D"/>
    <w:rsid w:val="008D7E1D"/>
    <w:rsid w:val="008E0161"/>
    <w:rsid w:val="008E0285"/>
    <w:rsid w:val="008E08B4"/>
    <w:rsid w:val="008E0EB4"/>
    <w:rsid w:val="008E0F34"/>
    <w:rsid w:val="008E1224"/>
    <w:rsid w:val="008E1573"/>
    <w:rsid w:val="008E1C02"/>
    <w:rsid w:val="008E2C9E"/>
    <w:rsid w:val="008E3EE6"/>
    <w:rsid w:val="008E4E0D"/>
    <w:rsid w:val="008E57D5"/>
    <w:rsid w:val="008E6111"/>
    <w:rsid w:val="008E6F47"/>
    <w:rsid w:val="008E7A79"/>
    <w:rsid w:val="008F062C"/>
    <w:rsid w:val="008F0678"/>
    <w:rsid w:val="008F11AB"/>
    <w:rsid w:val="008F1422"/>
    <w:rsid w:val="008F22C1"/>
    <w:rsid w:val="008F25E9"/>
    <w:rsid w:val="008F3D95"/>
    <w:rsid w:val="008F6489"/>
    <w:rsid w:val="008F68F9"/>
    <w:rsid w:val="008F70B3"/>
    <w:rsid w:val="008F71A8"/>
    <w:rsid w:val="00901F7F"/>
    <w:rsid w:val="0090271E"/>
    <w:rsid w:val="0090496E"/>
    <w:rsid w:val="00904995"/>
    <w:rsid w:val="00904BBC"/>
    <w:rsid w:val="00905C76"/>
    <w:rsid w:val="009064B5"/>
    <w:rsid w:val="00906B15"/>
    <w:rsid w:val="00906F2B"/>
    <w:rsid w:val="009077D7"/>
    <w:rsid w:val="00910401"/>
    <w:rsid w:val="0091073C"/>
    <w:rsid w:val="00911032"/>
    <w:rsid w:val="00911705"/>
    <w:rsid w:val="00911972"/>
    <w:rsid w:val="00912BFF"/>
    <w:rsid w:val="00913116"/>
    <w:rsid w:val="00914678"/>
    <w:rsid w:val="0091516D"/>
    <w:rsid w:val="00915780"/>
    <w:rsid w:val="0091646A"/>
    <w:rsid w:val="009167DB"/>
    <w:rsid w:val="009168E8"/>
    <w:rsid w:val="00917612"/>
    <w:rsid w:val="00917CA3"/>
    <w:rsid w:val="00920578"/>
    <w:rsid w:val="00921263"/>
    <w:rsid w:val="00921685"/>
    <w:rsid w:val="00921F8F"/>
    <w:rsid w:val="009222B8"/>
    <w:rsid w:val="00922FF8"/>
    <w:rsid w:val="009242C3"/>
    <w:rsid w:val="009258D9"/>
    <w:rsid w:val="00925BA8"/>
    <w:rsid w:val="0092640C"/>
    <w:rsid w:val="009265AB"/>
    <w:rsid w:val="00926917"/>
    <w:rsid w:val="0092749E"/>
    <w:rsid w:val="0092787C"/>
    <w:rsid w:val="00927BFC"/>
    <w:rsid w:val="00931071"/>
    <w:rsid w:val="009319B8"/>
    <w:rsid w:val="00932517"/>
    <w:rsid w:val="009326DA"/>
    <w:rsid w:val="00932E8E"/>
    <w:rsid w:val="00933461"/>
    <w:rsid w:val="00933913"/>
    <w:rsid w:val="00934027"/>
    <w:rsid w:val="00935824"/>
    <w:rsid w:val="009361CF"/>
    <w:rsid w:val="009367F8"/>
    <w:rsid w:val="00936C11"/>
    <w:rsid w:val="00940412"/>
    <w:rsid w:val="009404D6"/>
    <w:rsid w:val="009409DC"/>
    <w:rsid w:val="0094133F"/>
    <w:rsid w:val="00941EA4"/>
    <w:rsid w:val="0094437D"/>
    <w:rsid w:val="009447FE"/>
    <w:rsid w:val="0094489A"/>
    <w:rsid w:val="00950506"/>
    <w:rsid w:val="009508DE"/>
    <w:rsid w:val="00951B98"/>
    <w:rsid w:val="00952110"/>
    <w:rsid w:val="00952B84"/>
    <w:rsid w:val="009530A9"/>
    <w:rsid w:val="00953252"/>
    <w:rsid w:val="009537B5"/>
    <w:rsid w:val="00955870"/>
    <w:rsid w:val="0095592A"/>
    <w:rsid w:val="00955B2D"/>
    <w:rsid w:val="00956961"/>
    <w:rsid w:val="00956E8E"/>
    <w:rsid w:val="00956EDA"/>
    <w:rsid w:val="0096034D"/>
    <w:rsid w:val="00960742"/>
    <w:rsid w:val="00960CD5"/>
    <w:rsid w:val="009616C8"/>
    <w:rsid w:val="00961F06"/>
    <w:rsid w:val="00962B77"/>
    <w:rsid w:val="0096327D"/>
    <w:rsid w:val="00963BED"/>
    <w:rsid w:val="00964997"/>
    <w:rsid w:val="00965062"/>
    <w:rsid w:val="0096521D"/>
    <w:rsid w:val="00965A81"/>
    <w:rsid w:val="00966EA0"/>
    <w:rsid w:val="009675E5"/>
    <w:rsid w:val="009713BE"/>
    <w:rsid w:val="00971D7D"/>
    <w:rsid w:val="0097223D"/>
    <w:rsid w:val="00972CDA"/>
    <w:rsid w:val="00973093"/>
    <w:rsid w:val="0097322A"/>
    <w:rsid w:val="00974174"/>
    <w:rsid w:val="009752A8"/>
    <w:rsid w:val="009753EA"/>
    <w:rsid w:val="009763CF"/>
    <w:rsid w:val="00976B38"/>
    <w:rsid w:val="009771C4"/>
    <w:rsid w:val="009773A9"/>
    <w:rsid w:val="009779E8"/>
    <w:rsid w:val="00977B20"/>
    <w:rsid w:val="00981A24"/>
    <w:rsid w:val="00981BF0"/>
    <w:rsid w:val="00983328"/>
    <w:rsid w:val="0098411E"/>
    <w:rsid w:val="009849D2"/>
    <w:rsid w:val="0098579C"/>
    <w:rsid w:val="00985FA6"/>
    <w:rsid w:val="00986605"/>
    <w:rsid w:val="009867C5"/>
    <w:rsid w:val="00986A24"/>
    <w:rsid w:val="00986C9C"/>
    <w:rsid w:val="009904BF"/>
    <w:rsid w:val="0099210D"/>
    <w:rsid w:val="0099221C"/>
    <w:rsid w:val="009934CF"/>
    <w:rsid w:val="009937B3"/>
    <w:rsid w:val="00993B46"/>
    <w:rsid w:val="0099470E"/>
    <w:rsid w:val="00994CD4"/>
    <w:rsid w:val="00995A28"/>
    <w:rsid w:val="00995F8B"/>
    <w:rsid w:val="009967C6"/>
    <w:rsid w:val="00996E9F"/>
    <w:rsid w:val="0099702B"/>
    <w:rsid w:val="0099704A"/>
    <w:rsid w:val="00997E6D"/>
    <w:rsid w:val="009A0075"/>
    <w:rsid w:val="009A0429"/>
    <w:rsid w:val="009A0670"/>
    <w:rsid w:val="009A08A6"/>
    <w:rsid w:val="009A18BF"/>
    <w:rsid w:val="009A1C87"/>
    <w:rsid w:val="009A1D78"/>
    <w:rsid w:val="009A1E6A"/>
    <w:rsid w:val="009A2CF7"/>
    <w:rsid w:val="009A2D80"/>
    <w:rsid w:val="009A31ED"/>
    <w:rsid w:val="009A4C89"/>
    <w:rsid w:val="009A5B82"/>
    <w:rsid w:val="009A66AF"/>
    <w:rsid w:val="009A6E32"/>
    <w:rsid w:val="009A7C89"/>
    <w:rsid w:val="009B01A8"/>
    <w:rsid w:val="009B02A5"/>
    <w:rsid w:val="009B0574"/>
    <w:rsid w:val="009B07FC"/>
    <w:rsid w:val="009B122F"/>
    <w:rsid w:val="009B17BF"/>
    <w:rsid w:val="009B2DB2"/>
    <w:rsid w:val="009B3F94"/>
    <w:rsid w:val="009B3FB7"/>
    <w:rsid w:val="009B4211"/>
    <w:rsid w:val="009B4860"/>
    <w:rsid w:val="009B4954"/>
    <w:rsid w:val="009B534A"/>
    <w:rsid w:val="009B5610"/>
    <w:rsid w:val="009B5926"/>
    <w:rsid w:val="009B5A96"/>
    <w:rsid w:val="009B5B4B"/>
    <w:rsid w:val="009B762A"/>
    <w:rsid w:val="009C0506"/>
    <w:rsid w:val="009C06AE"/>
    <w:rsid w:val="009C09D3"/>
    <w:rsid w:val="009C0EE0"/>
    <w:rsid w:val="009C1497"/>
    <w:rsid w:val="009C1FAE"/>
    <w:rsid w:val="009C23C4"/>
    <w:rsid w:val="009C2F09"/>
    <w:rsid w:val="009C3269"/>
    <w:rsid w:val="009C349D"/>
    <w:rsid w:val="009C3521"/>
    <w:rsid w:val="009C3C94"/>
    <w:rsid w:val="009C4AEE"/>
    <w:rsid w:val="009C5202"/>
    <w:rsid w:val="009C5E01"/>
    <w:rsid w:val="009C6716"/>
    <w:rsid w:val="009C7534"/>
    <w:rsid w:val="009C7B49"/>
    <w:rsid w:val="009C7BFB"/>
    <w:rsid w:val="009C7E99"/>
    <w:rsid w:val="009D091D"/>
    <w:rsid w:val="009D1299"/>
    <w:rsid w:val="009D152A"/>
    <w:rsid w:val="009D1EDC"/>
    <w:rsid w:val="009D2285"/>
    <w:rsid w:val="009D29B1"/>
    <w:rsid w:val="009D2B10"/>
    <w:rsid w:val="009D2F4A"/>
    <w:rsid w:val="009D3401"/>
    <w:rsid w:val="009D5435"/>
    <w:rsid w:val="009D5545"/>
    <w:rsid w:val="009D673E"/>
    <w:rsid w:val="009D6905"/>
    <w:rsid w:val="009D6D17"/>
    <w:rsid w:val="009D7A7C"/>
    <w:rsid w:val="009D7EDC"/>
    <w:rsid w:val="009E0168"/>
    <w:rsid w:val="009E054D"/>
    <w:rsid w:val="009E0917"/>
    <w:rsid w:val="009E0AB1"/>
    <w:rsid w:val="009E0E44"/>
    <w:rsid w:val="009E114E"/>
    <w:rsid w:val="009E1568"/>
    <w:rsid w:val="009E35E9"/>
    <w:rsid w:val="009E425C"/>
    <w:rsid w:val="009E52A9"/>
    <w:rsid w:val="009E5DC0"/>
    <w:rsid w:val="009E6052"/>
    <w:rsid w:val="009F0D3E"/>
    <w:rsid w:val="009F1267"/>
    <w:rsid w:val="009F2963"/>
    <w:rsid w:val="009F2AF4"/>
    <w:rsid w:val="009F3542"/>
    <w:rsid w:val="009F3970"/>
    <w:rsid w:val="009F3A80"/>
    <w:rsid w:val="009F4A0F"/>
    <w:rsid w:val="009F4F15"/>
    <w:rsid w:val="009F5A99"/>
    <w:rsid w:val="009F6889"/>
    <w:rsid w:val="009F78B6"/>
    <w:rsid w:val="00A00355"/>
    <w:rsid w:val="00A01018"/>
    <w:rsid w:val="00A01070"/>
    <w:rsid w:val="00A0162B"/>
    <w:rsid w:val="00A02624"/>
    <w:rsid w:val="00A02A2E"/>
    <w:rsid w:val="00A03797"/>
    <w:rsid w:val="00A03E1C"/>
    <w:rsid w:val="00A041C3"/>
    <w:rsid w:val="00A05F14"/>
    <w:rsid w:val="00A076ED"/>
    <w:rsid w:val="00A07AA7"/>
    <w:rsid w:val="00A11922"/>
    <w:rsid w:val="00A1238E"/>
    <w:rsid w:val="00A123C6"/>
    <w:rsid w:val="00A12A6C"/>
    <w:rsid w:val="00A1313E"/>
    <w:rsid w:val="00A13814"/>
    <w:rsid w:val="00A13C4B"/>
    <w:rsid w:val="00A13C97"/>
    <w:rsid w:val="00A13F38"/>
    <w:rsid w:val="00A14326"/>
    <w:rsid w:val="00A14E7F"/>
    <w:rsid w:val="00A16793"/>
    <w:rsid w:val="00A16B4B"/>
    <w:rsid w:val="00A16DB5"/>
    <w:rsid w:val="00A21530"/>
    <w:rsid w:val="00A2296E"/>
    <w:rsid w:val="00A2320B"/>
    <w:rsid w:val="00A2350C"/>
    <w:rsid w:val="00A23D50"/>
    <w:rsid w:val="00A23E00"/>
    <w:rsid w:val="00A24458"/>
    <w:rsid w:val="00A24518"/>
    <w:rsid w:val="00A245B7"/>
    <w:rsid w:val="00A24728"/>
    <w:rsid w:val="00A24EC3"/>
    <w:rsid w:val="00A250A6"/>
    <w:rsid w:val="00A25409"/>
    <w:rsid w:val="00A25C23"/>
    <w:rsid w:val="00A261D8"/>
    <w:rsid w:val="00A26460"/>
    <w:rsid w:val="00A2686B"/>
    <w:rsid w:val="00A305AA"/>
    <w:rsid w:val="00A30889"/>
    <w:rsid w:val="00A30A60"/>
    <w:rsid w:val="00A30A6C"/>
    <w:rsid w:val="00A30B4D"/>
    <w:rsid w:val="00A30C39"/>
    <w:rsid w:val="00A3127C"/>
    <w:rsid w:val="00A317C3"/>
    <w:rsid w:val="00A31F77"/>
    <w:rsid w:val="00A32276"/>
    <w:rsid w:val="00A3233A"/>
    <w:rsid w:val="00A32773"/>
    <w:rsid w:val="00A32796"/>
    <w:rsid w:val="00A32806"/>
    <w:rsid w:val="00A32F19"/>
    <w:rsid w:val="00A336D2"/>
    <w:rsid w:val="00A33987"/>
    <w:rsid w:val="00A3462E"/>
    <w:rsid w:val="00A34AB3"/>
    <w:rsid w:val="00A3552E"/>
    <w:rsid w:val="00A357DB"/>
    <w:rsid w:val="00A35A0F"/>
    <w:rsid w:val="00A40930"/>
    <w:rsid w:val="00A41386"/>
    <w:rsid w:val="00A4142F"/>
    <w:rsid w:val="00A42203"/>
    <w:rsid w:val="00A429CF"/>
    <w:rsid w:val="00A42CF2"/>
    <w:rsid w:val="00A43131"/>
    <w:rsid w:val="00A439EA"/>
    <w:rsid w:val="00A43D6E"/>
    <w:rsid w:val="00A43F6B"/>
    <w:rsid w:val="00A45C09"/>
    <w:rsid w:val="00A4645E"/>
    <w:rsid w:val="00A4707F"/>
    <w:rsid w:val="00A471F4"/>
    <w:rsid w:val="00A47986"/>
    <w:rsid w:val="00A47EF4"/>
    <w:rsid w:val="00A50DD6"/>
    <w:rsid w:val="00A5122B"/>
    <w:rsid w:val="00A52004"/>
    <w:rsid w:val="00A52170"/>
    <w:rsid w:val="00A52440"/>
    <w:rsid w:val="00A527FA"/>
    <w:rsid w:val="00A52862"/>
    <w:rsid w:val="00A52E0C"/>
    <w:rsid w:val="00A53143"/>
    <w:rsid w:val="00A544E1"/>
    <w:rsid w:val="00A54E02"/>
    <w:rsid w:val="00A54E29"/>
    <w:rsid w:val="00A55CA7"/>
    <w:rsid w:val="00A566FB"/>
    <w:rsid w:val="00A56C3F"/>
    <w:rsid w:val="00A56FE8"/>
    <w:rsid w:val="00A5747C"/>
    <w:rsid w:val="00A57AE3"/>
    <w:rsid w:val="00A60AF1"/>
    <w:rsid w:val="00A60DF2"/>
    <w:rsid w:val="00A61C72"/>
    <w:rsid w:val="00A62107"/>
    <w:rsid w:val="00A6394A"/>
    <w:rsid w:val="00A644B0"/>
    <w:rsid w:val="00A6473B"/>
    <w:rsid w:val="00A647FA"/>
    <w:rsid w:val="00A6678D"/>
    <w:rsid w:val="00A66B80"/>
    <w:rsid w:val="00A707E0"/>
    <w:rsid w:val="00A709DF"/>
    <w:rsid w:val="00A70B98"/>
    <w:rsid w:val="00A71056"/>
    <w:rsid w:val="00A7138A"/>
    <w:rsid w:val="00A71440"/>
    <w:rsid w:val="00A71EA9"/>
    <w:rsid w:val="00A728D4"/>
    <w:rsid w:val="00A734F5"/>
    <w:rsid w:val="00A73DA4"/>
    <w:rsid w:val="00A73DDA"/>
    <w:rsid w:val="00A741FD"/>
    <w:rsid w:val="00A74642"/>
    <w:rsid w:val="00A756E9"/>
    <w:rsid w:val="00A757EA"/>
    <w:rsid w:val="00A75C7F"/>
    <w:rsid w:val="00A75E6C"/>
    <w:rsid w:val="00A76407"/>
    <w:rsid w:val="00A77580"/>
    <w:rsid w:val="00A80750"/>
    <w:rsid w:val="00A80B25"/>
    <w:rsid w:val="00A82581"/>
    <w:rsid w:val="00A83B96"/>
    <w:rsid w:val="00A850FA"/>
    <w:rsid w:val="00A867B5"/>
    <w:rsid w:val="00A86B07"/>
    <w:rsid w:val="00A878F0"/>
    <w:rsid w:val="00A87E88"/>
    <w:rsid w:val="00A87F88"/>
    <w:rsid w:val="00A900BC"/>
    <w:rsid w:val="00A900D8"/>
    <w:rsid w:val="00A90936"/>
    <w:rsid w:val="00A9179E"/>
    <w:rsid w:val="00A919F2"/>
    <w:rsid w:val="00A91D75"/>
    <w:rsid w:val="00A938D2"/>
    <w:rsid w:val="00A94111"/>
    <w:rsid w:val="00A94D22"/>
    <w:rsid w:val="00A953F5"/>
    <w:rsid w:val="00A95625"/>
    <w:rsid w:val="00A95F2B"/>
    <w:rsid w:val="00A96305"/>
    <w:rsid w:val="00A97577"/>
    <w:rsid w:val="00AA09FF"/>
    <w:rsid w:val="00AA0D89"/>
    <w:rsid w:val="00AA0DD0"/>
    <w:rsid w:val="00AA1020"/>
    <w:rsid w:val="00AA108A"/>
    <w:rsid w:val="00AA126C"/>
    <w:rsid w:val="00AA1563"/>
    <w:rsid w:val="00AA1621"/>
    <w:rsid w:val="00AA1B07"/>
    <w:rsid w:val="00AA2D23"/>
    <w:rsid w:val="00AA307C"/>
    <w:rsid w:val="00AA3653"/>
    <w:rsid w:val="00AA55B3"/>
    <w:rsid w:val="00AA5874"/>
    <w:rsid w:val="00AA59D9"/>
    <w:rsid w:val="00AA5EFD"/>
    <w:rsid w:val="00AA68C6"/>
    <w:rsid w:val="00AA70BE"/>
    <w:rsid w:val="00AA78B8"/>
    <w:rsid w:val="00AB0394"/>
    <w:rsid w:val="00AB0746"/>
    <w:rsid w:val="00AB07E8"/>
    <w:rsid w:val="00AB0992"/>
    <w:rsid w:val="00AB10C1"/>
    <w:rsid w:val="00AB1872"/>
    <w:rsid w:val="00AB20D5"/>
    <w:rsid w:val="00AB2AF8"/>
    <w:rsid w:val="00AB3AFB"/>
    <w:rsid w:val="00AB3B6F"/>
    <w:rsid w:val="00AB3D8C"/>
    <w:rsid w:val="00AB43BF"/>
    <w:rsid w:val="00AB5966"/>
    <w:rsid w:val="00AB6AF9"/>
    <w:rsid w:val="00AB79A2"/>
    <w:rsid w:val="00AB7B43"/>
    <w:rsid w:val="00AB7F90"/>
    <w:rsid w:val="00AC0221"/>
    <w:rsid w:val="00AC06F7"/>
    <w:rsid w:val="00AC100B"/>
    <w:rsid w:val="00AC13FB"/>
    <w:rsid w:val="00AC1411"/>
    <w:rsid w:val="00AC24CA"/>
    <w:rsid w:val="00AC4D08"/>
    <w:rsid w:val="00AC5367"/>
    <w:rsid w:val="00AC5384"/>
    <w:rsid w:val="00AC53CA"/>
    <w:rsid w:val="00AC55EB"/>
    <w:rsid w:val="00AC565D"/>
    <w:rsid w:val="00AC6DF7"/>
    <w:rsid w:val="00AC6E59"/>
    <w:rsid w:val="00AC6F6D"/>
    <w:rsid w:val="00AC79F4"/>
    <w:rsid w:val="00AD03EB"/>
    <w:rsid w:val="00AD0A5C"/>
    <w:rsid w:val="00AD1C9C"/>
    <w:rsid w:val="00AD1F61"/>
    <w:rsid w:val="00AD2202"/>
    <w:rsid w:val="00AD2234"/>
    <w:rsid w:val="00AD34F0"/>
    <w:rsid w:val="00AD353F"/>
    <w:rsid w:val="00AD3572"/>
    <w:rsid w:val="00AD3E91"/>
    <w:rsid w:val="00AD445B"/>
    <w:rsid w:val="00AD5AB0"/>
    <w:rsid w:val="00AD5BC3"/>
    <w:rsid w:val="00AD5E6C"/>
    <w:rsid w:val="00AD6A12"/>
    <w:rsid w:val="00AD7811"/>
    <w:rsid w:val="00AD7907"/>
    <w:rsid w:val="00AD7975"/>
    <w:rsid w:val="00AE03BA"/>
    <w:rsid w:val="00AE0A32"/>
    <w:rsid w:val="00AE1045"/>
    <w:rsid w:val="00AE16B4"/>
    <w:rsid w:val="00AE198D"/>
    <w:rsid w:val="00AE1B51"/>
    <w:rsid w:val="00AE23E6"/>
    <w:rsid w:val="00AE33A8"/>
    <w:rsid w:val="00AE3B30"/>
    <w:rsid w:val="00AE3D3A"/>
    <w:rsid w:val="00AE4DC2"/>
    <w:rsid w:val="00AE4EDB"/>
    <w:rsid w:val="00AE5AFC"/>
    <w:rsid w:val="00AE651F"/>
    <w:rsid w:val="00AE658E"/>
    <w:rsid w:val="00AE79FB"/>
    <w:rsid w:val="00AE7A28"/>
    <w:rsid w:val="00AF04D8"/>
    <w:rsid w:val="00AF0534"/>
    <w:rsid w:val="00AF078D"/>
    <w:rsid w:val="00AF0AE3"/>
    <w:rsid w:val="00AF142A"/>
    <w:rsid w:val="00AF2316"/>
    <w:rsid w:val="00AF309C"/>
    <w:rsid w:val="00AF3A9F"/>
    <w:rsid w:val="00AF5158"/>
    <w:rsid w:val="00AF5261"/>
    <w:rsid w:val="00AF6586"/>
    <w:rsid w:val="00AF65C1"/>
    <w:rsid w:val="00AF6677"/>
    <w:rsid w:val="00AF6AA9"/>
    <w:rsid w:val="00AF724A"/>
    <w:rsid w:val="00AF73D3"/>
    <w:rsid w:val="00AF783B"/>
    <w:rsid w:val="00B0042C"/>
    <w:rsid w:val="00B01764"/>
    <w:rsid w:val="00B0349B"/>
    <w:rsid w:val="00B03B0A"/>
    <w:rsid w:val="00B04421"/>
    <w:rsid w:val="00B04A5C"/>
    <w:rsid w:val="00B053D1"/>
    <w:rsid w:val="00B05B12"/>
    <w:rsid w:val="00B071C3"/>
    <w:rsid w:val="00B07D2E"/>
    <w:rsid w:val="00B07D73"/>
    <w:rsid w:val="00B1001D"/>
    <w:rsid w:val="00B10DF3"/>
    <w:rsid w:val="00B11195"/>
    <w:rsid w:val="00B11F51"/>
    <w:rsid w:val="00B1269E"/>
    <w:rsid w:val="00B12B86"/>
    <w:rsid w:val="00B12D41"/>
    <w:rsid w:val="00B12EED"/>
    <w:rsid w:val="00B13778"/>
    <w:rsid w:val="00B1484F"/>
    <w:rsid w:val="00B15466"/>
    <w:rsid w:val="00B15B1B"/>
    <w:rsid w:val="00B15B29"/>
    <w:rsid w:val="00B2056F"/>
    <w:rsid w:val="00B20873"/>
    <w:rsid w:val="00B20DB7"/>
    <w:rsid w:val="00B21104"/>
    <w:rsid w:val="00B21173"/>
    <w:rsid w:val="00B2132E"/>
    <w:rsid w:val="00B21515"/>
    <w:rsid w:val="00B217F7"/>
    <w:rsid w:val="00B21BA7"/>
    <w:rsid w:val="00B22A14"/>
    <w:rsid w:val="00B23864"/>
    <w:rsid w:val="00B2442A"/>
    <w:rsid w:val="00B24C52"/>
    <w:rsid w:val="00B25EE5"/>
    <w:rsid w:val="00B25F55"/>
    <w:rsid w:val="00B26006"/>
    <w:rsid w:val="00B26A86"/>
    <w:rsid w:val="00B26C26"/>
    <w:rsid w:val="00B274EE"/>
    <w:rsid w:val="00B276E3"/>
    <w:rsid w:val="00B313CD"/>
    <w:rsid w:val="00B32202"/>
    <w:rsid w:val="00B32585"/>
    <w:rsid w:val="00B32BA9"/>
    <w:rsid w:val="00B32CBC"/>
    <w:rsid w:val="00B32EC5"/>
    <w:rsid w:val="00B3407B"/>
    <w:rsid w:val="00B342D9"/>
    <w:rsid w:val="00B345BC"/>
    <w:rsid w:val="00B34C93"/>
    <w:rsid w:val="00B3509F"/>
    <w:rsid w:val="00B350D9"/>
    <w:rsid w:val="00B3514F"/>
    <w:rsid w:val="00B35164"/>
    <w:rsid w:val="00B353AF"/>
    <w:rsid w:val="00B36759"/>
    <w:rsid w:val="00B40737"/>
    <w:rsid w:val="00B41CB3"/>
    <w:rsid w:val="00B42B65"/>
    <w:rsid w:val="00B42B6A"/>
    <w:rsid w:val="00B436A3"/>
    <w:rsid w:val="00B446AF"/>
    <w:rsid w:val="00B44BE7"/>
    <w:rsid w:val="00B46E54"/>
    <w:rsid w:val="00B46EDA"/>
    <w:rsid w:val="00B47C98"/>
    <w:rsid w:val="00B50300"/>
    <w:rsid w:val="00B5040B"/>
    <w:rsid w:val="00B5068C"/>
    <w:rsid w:val="00B508BC"/>
    <w:rsid w:val="00B50AEE"/>
    <w:rsid w:val="00B525C9"/>
    <w:rsid w:val="00B52BEE"/>
    <w:rsid w:val="00B52C16"/>
    <w:rsid w:val="00B5366E"/>
    <w:rsid w:val="00B55A78"/>
    <w:rsid w:val="00B55E13"/>
    <w:rsid w:val="00B566F5"/>
    <w:rsid w:val="00B5765D"/>
    <w:rsid w:val="00B57816"/>
    <w:rsid w:val="00B57E9B"/>
    <w:rsid w:val="00B604C8"/>
    <w:rsid w:val="00B6075C"/>
    <w:rsid w:val="00B60BDE"/>
    <w:rsid w:val="00B60FDC"/>
    <w:rsid w:val="00B61724"/>
    <w:rsid w:val="00B61B6E"/>
    <w:rsid w:val="00B61C34"/>
    <w:rsid w:val="00B6298A"/>
    <w:rsid w:val="00B65803"/>
    <w:rsid w:val="00B658DB"/>
    <w:rsid w:val="00B659A1"/>
    <w:rsid w:val="00B66129"/>
    <w:rsid w:val="00B66197"/>
    <w:rsid w:val="00B67C01"/>
    <w:rsid w:val="00B70201"/>
    <w:rsid w:val="00B702F0"/>
    <w:rsid w:val="00B70549"/>
    <w:rsid w:val="00B70B3B"/>
    <w:rsid w:val="00B70BFB"/>
    <w:rsid w:val="00B70EAE"/>
    <w:rsid w:val="00B71A49"/>
    <w:rsid w:val="00B72D18"/>
    <w:rsid w:val="00B72E7E"/>
    <w:rsid w:val="00B72F88"/>
    <w:rsid w:val="00B746C4"/>
    <w:rsid w:val="00B74A7C"/>
    <w:rsid w:val="00B751C6"/>
    <w:rsid w:val="00B75A60"/>
    <w:rsid w:val="00B762D7"/>
    <w:rsid w:val="00B76923"/>
    <w:rsid w:val="00B76A93"/>
    <w:rsid w:val="00B80553"/>
    <w:rsid w:val="00B808CD"/>
    <w:rsid w:val="00B80CEA"/>
    <w:rsid w:val="00B81DE5"/>
    <w:rsid w:val="00B8406A"/>
    <w:rsid w:val="00B857C1"/>
    <w:rsid w:val="00B85C47"/>
    <w:rsid w:val="00B864BD"/>
    <w:rsid w:val="00B86CA5"/>
    <w:rsid w:val="00B8732C"/>
    <w:rsid w:val="00B876E0"/>
    <w:rsid w:val="00B91344"/>
    <w:rsid w:val="00B915A0"/>
    <w:rsid w:val="00B9203D"/>
    <w:rsid w:val="00B92561"/>
    <w:rsid w:val="00B93C06"/>
    <w:rsid w:val="00B94497"/>
    <w:rsid w:val="00B94F93"/>
    <w:rsid w:val="00B95C46"/>
    <w:rsid w:val="00B95EC7"/>
    <w:rsid w:val="00B962E0"/>
    <w:rsid w:val="00B96726"/>
    <w:rsid w:val="00B97491"/>
    <w:rsid w:val="00B97EFB"/>
    <w:rsid w:val="00BA035E"/>
    <w:rsid w:val="00BA0488"/>
    <w:rsid w:val="00BA0F0E"/>
    <w:rsid w:val="00BA0F1D"/>
    <w:rsid w:val="00BA2595"/>
    <w:rsid w:val="00BA29C4"/>
    <w:rsid w:val="00BA31A3"/>
    <w:rsid w:val="00BA37FB"/>
    <w:rsid w:val="00BA3B4D"/>
    <w:rsid w:val="00BA3D8D"/>
    <w:rsid w:val="00BA7704"/>
    <w:rsid w:val="00BA7846"/>
    <w:rsid w:val="00BB0710"/>
    <w:rsid w:val="00BB123C"/>
    <w:rsid w:val="00BB1733"/>
    <w:rsid w:val="00BB306A"/>
    <w:rsid w:val="00BB3DA2"/>
    <w:rsid w:val="00BB4352"/>
    <w:rsid w:val="00BB48D0"/>
    <w:rsid w:val="00BB56AC"/>
    <w:rsid w:val="00BB6BBE"/>
    <w:rsid w:val="00BB6BD4"/>
    <w:rsid w:val="00BB739B"/>
    <w:rsid w:val="00BB7400"/>
    <w:rsid w:val="00BC15D8"/>
    <w:rsid w:val="00BC2355"/>
    <w:rsid w:val="00BC28E7"/>
    <w:rsid w:val="00BC2E9D"/>
    <w:rsid w:val="00BC37BD"/>
    <w:rsid w:val="00BC39D2"/>
    <w:rsid w:val="00BC3E14"/>
    <w:rsid w:val="00BC559F"/>
    <w:rsid w:val="00BC65F8"/>
    <w:rsid w:val="00BC709E"/>
    <w:rsid w:val="00BC7114"/>
    <w:rsid w:val="00BC7BF5"/>
    <w:rsid w:val="00BD0BC2"/>
    <w:rsid w:val="00BD0E3E"/>
    <w:rsid w:val="00BD139E"/>
    <w:rsid w:val="00BD2836"/>
    <w:rsid w:val="00BD2F10"/>
    <w:rsid w:val="00BD319E"/>
    <w:rsid w:val="00BD3FF3"/>
    <w:rsid w:val="00BD40F4"/>
    <w:rsid w:val="00BD46EE"/>
    <w:rsid w:val="00BD6915"/>
    <w:rsid w:val="00BD6F3C"/>
    <w:rsid w:val="00BD7039"/>
    <w:rsid w:val="00BD786C"/>
    <w:rsid w:val="00BD7D97"/>
    <w:rsid w:val="00BE0491"/>
    <w:rsid w:val="00BE183F"/>
    <w:rsid w:val="00BE1D50"/>
    <w:rsid w:val="00BE220A"/>
    <w:rsid w:val="00BE222C"/>
    <w:rsid w:val="00BE2B44"/>
    <w:rsid w:val="00BE3E7D"/>
    <w:rsid w:val="00BE43DA"/>
    <w:rsid w:val="00BE4BE0"/>
    <w:rsid w:val="00BE4D2F"/>
    <w:rsid w:val="00BE4FBE"/>
    <w:rsid w:val="00BE4FEB"/>
    <w:rsid w:val="00BE51D0"/>
    <w:rsid w:val="00BE60E4"/>
    <w:rsid w:val="00BE69D0"/>
    <w:rsid w:val="00BE6BDA"/>
    <w:rsid w:val="00BE7AF2"/>
    <w:rsid w:val="00BF0C3E"/>
    <w:rsid w:val="00BF1978"/>
    <w:rsid w:val="00BF201B"/>
    <w:rsid w:val="00BF21B1"/>
    <w:rsid w:val="00BF2F50"/>
    <w:rsid w:val="00BF38BD"/>
    <w:rsid w:val="00BF43D0"/>
    <w:rsid w:val="00BF53BD"/>
    <w:rsid w:val="00BF5F37"/>
    <w:rsid w:val="00BF6515"/>
    <w:rsid w:val="00BF69C6"/>
    <w:rsid w:val="00BF7218"/>
    <w:rsid w:val="00C0342B"/>
    <w:rsid w:val="00C0351F"/>
    <w:rsid w:val="00C0414F"/>
    <w:rsid w:val="00C04F61"/>
    <w:rsid w:val="00C04F84"/>
    <w:rsid w:val="00C04FD1"/>
    <w:rsid w:val="00C0551B"/>
    <w:rsid w:val="00C05C9B"/>
    <w:rsid w:val="00C06D02"/>
    <w:rsid w:val="00C06E46"/>
    <w:rsid w:val="00C06F61"/>
    <w:rsid w:val="00C074E7"/>
    <w:rsid w:val="00C0796A"/>
    <w:rsid w:val="00C07EB0"/>
    <w:rsid w:val="00C10D72"/>
    <w:rsid w:val="00C11E99"/>
    <w:rsid w:val="00C11FD7"/>
    <w:rsid w:val="00C12A9E"/>
    <w:rsid w:val="00C14478"/>
    <w:rsid w:val="00C14BEE"/>
    <w:rsid w:val="00C152D7"/>
    <w:rsid w:val="00C15364"/>
    <w:rsid w:val="00C17059"/>
    <w:rsid w:val="00C17EF0"/>
    <w:rsid w:val="00C210D6"/>
    <w:rsid w:val="00C21252"/>
    <w:rsid w:val="00C216A8"/>
    <w:rsid w:val="00C21E79"/>
    <w:rsid w:val="00C22193"/>
    <w:rsid w:val="00C23996"/>
    <w:rsid w:val="00C23B0D"/>
    <w:rsid w:val="00C25D30"/>
    <w:rsid w:val="00C2616C"/>
    <w:rsid w:val="00C307F1"/>
    <w:rsid w:val="00C30897"/>
    <w:rsid w:val="00C32408"/>
    <w:rsid w:val="00C325AE"/>
    <w:rsid w:val="00C33DC3"/>
    <w:rsid w:val="00C3427E"/>
    <w:rsid w:val="00C3434A"/>
    <w:rsid w:val="00C3458E"/>
    <w:rsid w:val="00C34847"/>
    <w:rsid w:val="00C35924"/>
    <w:rsid w:val="00C35ACC"/>
    <w:rsid w:val="00C36045"/>
    <w:rsid w:val="00C368F6"/>
    <w:rsid w:val="00C36C6D"/>
    <w:rsid w:val="00C36D85"/>
    <w:rsid w:val="00C3778E"/>
    <w:rsid w:val="00C40C4C"/>
    <w:rsid w:val="00C41796"/>
    <w:rsid w:val="00C41A5D"/>
    <w:rsid w:val="00C41CE9"/>
    <w:rsid w:val="00C42AA0"/>
    <w:rsid w:val="00C42B79"/>
    <w:rsid w:val="00C437B4"/>
    <w:rsid w:val="00C43B71"/>
    <w:rsid w:val="00C443A2"/>
    <w:rsid w:val="00C44742"/>
    <w:rsid w:val="00C45220"/>
    <w:rsid w:val="00C45712"/>
    <w:rsid w:val="00C462BF"/>
    <w:rsid w:val="00C4650C"/>
    <w:rsid w:val="00C46C0E"/>
    <w:rsid w:val="00C46E50"/>
    <w:rsid w:val="00C507AF"/>
    <w:rsid w:val="00C51211"/>
    <w:rsid w:val="00C51721"/>
    <w:rsid w:val="00C5228F"/>
    <w:rsid w:val="00C52903"/>
    <w:rsid w:val="00C52DB6"/>
    <w:rsid w:val="00C53CD8"/>
    <w:rsid w:val="00C53DAF"/>
    <w:rsid w:val="00C54A08"/>
    <w:rsid w:val="00C550F2"/>
    <w:rsid w:val="00C557C1"/>
    <w:rsid w:val="00C5706D"/>
    <w:rsid w:val="00C578C6"/>
    <w:rsid w:val="00C57D57"/>
    <w:rsid w:val="00C6027B"/>
    <w:rsid w:val="00C60339"/>
    <w:rsid w:val="00C604C8"/>
    <w:rsid w:val="00C60B0A"/>
    <w:rsid w:val="00C60F47"/>
    <w:rsid w:val="00C610DB"/>
    <w:rsid w:val="00C6119F"/>
    <w:rsid w:val="00C614CD"/>
    <w:rsid w:val="00C6154A"/>
    <w:rsid w:val="00C61769"/>
    <w:rsid w:val="00C61C2C"/>
    <w:rsid w:val="00C621D6"/>
    <w:rsid w:val="00C633D0"/>
    <w:rsid w:val="00C63468"/>
    <w:rsid w:val="00C64263"/>
    <w:rsid w:val="00C642E2"/>
    <w:rsid w:val="00C64750"/>
    <w:rsid w:val="00C64A7B"/>
    <w:rsid w:val="00C66C16"/>
    <w:rsid w:val="00C6789D"/>
    <w:rsid w:val="00C70C27"/>
    <w:rsid w:val="00C72235"/>
    <w:rsid w:val="00C722A8"/>
    <w:rsid w:val="00C726AF"/>
    <w:rsid w:val="00C727A6"/>
    <w:rsid w:val="00C728FB"/>
    <w:rsid w:val="00C72A29"/>
    <w:rsid w:val="00C73AAC"/>
    <w:rsid w:val="00C73AF0"/>
    <w:rsid w:val="00C73BB0"/>
    <w:rsid w:val="00C74B6C"/>
    <w:rsid w:val="00C75374"/>
    <w:rsid w:val="00C753FC"/>
    <w:rsid w:val="00C762EA"/>
    <w:rsid w:val="00C76C98"/>
    <w:rsid w:val="00C775B1"/>
    <w:rsid w:val="00C77C56"/>
    <w:rsid w:val="00C80182"/>
    <w:rsid w:val="00C80371"/>
    <w:rsid w:val="00C836A5"/>
    <w:rsid w:val="00C8393E"/>
    <w:rsid w:val="00C83E3A"/>
    <w:rsid w:val="00C841AB"/>
    <w:rsid w:val="00C8451A"/>
    <w:rsid w:val="00C85302"/>
    <w:rsid w:val="00C85E1B"/>
    <w:rsid w:val="00C85F99"/>
    <w:rsid w:val="00C86DDB"/>
    <w:rsid w:val="00C87830"/>
    <w:rsid w:val="00C879B8"/>
    <w:rsid w:val="00C914AE"/>
    <w:rsid w:val="00C91CBD"/>
    <w:rsid w:val="00C923E2"/>
    <w:rsid w:val="00C93EB3"/>
    <w:rsid w:val="00C944BA"/>
    <w:rsid w:val="00C9451D"/>
    <w:rsid w:val="00C957EA"/>
    <w:rsid w:val="00C95CB8"/>
    <w:rsid w:val="00C95F57"/>
    <w:rsid w:val="00C9604F"/>
    <w:rsid w:val="00C96273"/>
    <w:rsid w:val="00C9728A"/>
    <w:rsid w:val="00CA06DF"/>
    <w:rsid w:val="00CA074F"/>
    <w:rsid w:val="00CA083D"/>
    <w:rsid w:val="00CA0DEA"/>
    <w:rsid w:val="00CA30AE"/>
    <w:rsid w:val="00CA34FC"/>
    <w:rsid w:val="00CA3C31"/>
    <w:rsid w:val="00CA48A2"/>
    <w:rsid w:val="00CA49DA"/>
    <w:rsid w:val="00CA51EF"/>
    <w:rsid w:val="00CA6986"/>
    <w:rsid w:val="00CA7357"/>
    <w:rsid w:val="00CB1443"/>
    <w:rsid w:val="00CB1665"/>
    <w:rsid w:val="00CB1A03"/>
    <w:rsid w:val="00CB1A5A"/>
    <w:rsid w:val="00CB265A"/>
    <w:rsid w:val="00CB2FA0"/>
    <w:rsid w:val="00CB36F9"/>
    <w:rsid w:val="00CB4EE1"/>
    <w:rsid w:val="00CB534A"/>
    <w:rsid w:val="00CB5D49"/>
    <w:rsid w:val="00CB6178"/>
    <w:rsid w:val="00CB63D1"/>
    <w:rsid w:val="00CB641C"/>
    <w:rsid w:val="00CB6995"/>
    <w:rsid w:val="00CB6B76"/>
    <w:rsid w:val="00CB79B2"/>
    <w:rsid w:val="00CB7AAE"/>
    <w:rsid w:val="00CC0089"/>
    <w:rsid w:val="00CC09C1"/>
    <w:rsid w:val="00CC0AA0"/>
    <w:rsid w:val="00CC0CBC"/>
    <w:rsid w:val="00CC0CED"/>
    <w:rsid w:val="00CC105A"/>
    <w:rsid w:val="00CC180F"/>
    <w:rsid w:val="00CC1B6E"/>
    <w:rsid w:val="00CC1FD9"/>
    <w:rsid w:val="00CC2D34"/>
    <w:rsid w:val="00CC3D3D"/>
    <w:rsid w:val="00CC467C"/>
    <w:rsid w:val="00CC5223"/>
    <w:rsid w:val="00CC5279"/>
    <w:rsid w:val="00CC5BB5"/>
    <w:rsid w:val="00CC5D27"/>
    <w:rsid w:val="00CC6284"/>
    <w:rsid w:val="00CC6A04"/>
    <w:rsid w:val="00CC6A9A"/>
    <w:rsid w:val="00CC6B2A"/>
    <w:rsid w:val="00CC6BE0"/>
    <w:rsid w:val="00CC7AF9"/>
    <w:rsid w:val="00CD04A9"/>
    <w:rsid w:val="00CD08B9"/>
    <w:rsid w:val="00CD0FF1"/>
    <w:rsid w:val="00CD13BA"/>
    <w:rsid w:val="00CD17FB"/>
    <w:rsid w:val="00CD2092"/>
    <w:rsid w:val="00CD22A4"/>
    <w:rsid w:val="00CD264E"/>
    <w:rsid w:val="00CD441B"/>
    <w:rsid w:val="00CD4A55"/>
    <w:rsid w:val="00CD4C91"/>
    <w:rsid w:val="00CD4EAF"/>
    <w:rsid w:val="00CD5A32"/>
    <w:rsid w:val="00CD5B3A"/>
    <w:rsid w:val="00CD6072"/>
    <w:rsid w:val="00CD67D5"/>
    <w:rsid w:val="00CE0709"/>
    <w:rsid w:val="00CE1B0F"/>
    <w:rsid w:val="00CE2002"/>
    <w:rsid w:val="00CE219F"/>
    <w:rsid w:val="00CE23C3"/>
    <w:rsid w:val="00CE23D1"/>
    <w:rsid w:val="00CE254F"/>
    <w:rsid w:val="00CE330D"/>
    <w:rsid w:val="00CE3431"/>
    <w:rsid w:val="00CE38EE"/>
    <w:rsid w:val="00CE3E69"/>
    <w:rsid w:val="00CE4604"/>
    <w:rsid w:val="00CE5C42"/>
    <w:rsid w:val="00CE5CBE"/>
    <w:rsid w:val="00CE69B7"/>
    <w:rsid w:val="00CE6F46"/>
    <w:rsid w:val="00CE74A0"/>
    <w:rsid w:val="00CE7551"/>
    <w:rsid w:val="00CE7B17"/>
    <w:rsid w:val="00CE7B23"/>
    <w:rsid w:val="00CE7B30"/>
    <w:rsid w:val="00CF043B"/>
    <w:rsid w:val="00CF13E9"/>
    <w:rsid w:val="00CF1919"/>
    <w:rsid w:val="00CF1958"/>
    <w:rsid w:val="00CF222B"/>
    <w:rsid w:val="00CF23E3"/>
    <w:rsid w:val="00CF23F1"/>
    <w:rsid w:val="00CF2DC6"/>
    <w:rsid w:val="00CF32A7"/>
    <w:rsid w:val="00CF3B12"/>
    <w:rsid w:val="00CF3E2D"/>
    <w:rsid w:val="00CF3F9A"/>
    <w:rsid w:val="00CF4216"/>
    <w:rsid w:val="00CF4626"/>
    <w:rsid w:val="00CF522D"/>
    <w:rsid w:val="00CF58B5"/>
    <w:rsid w:val="00CF5C22"/>
    <w:rsid w:val="00CF63D4"/>
    <w:rsid w:val="00CF6D79"/>
    <w:rsid w:val="00CF6FE2"/>
    <w:rsid w:val="00D00387"/>
    <w:rsid w:val="00D02459"/>
    <w:rsid w:val="00D02841"/>
    <w:rsid w:val="00D02B75"/>
    <w:rsid w:val="00D04639"/>
    <w:rsid w:val="00D04A61"/>
    <w:rsid w:val="00D0513E"/>
    <w:rsid w:val="00D060D5"/>
    <w:rsid w:val="00D06743"/>
    <w:rsid w:val="00D10425"/>
    <w:rsid w:val="00D10585"/>
    <w:rsid w:val="00D1148F"/>
    <w:rsid w:val="00D11776"/>
    <w:rsid w:val="00D12B9A"/>
    <w:rsid w:val="00D12C71"/>
    <w:rsid w:val="00D1350D"/>
    <w:rsid w:val="00D13556"/>
    <w:rsid w:val="00D1590F"/>
    <w:rsid w:val="00D16C7E"/>
    <w:rsid w:val="00D16FCC"/>
    <w:rsid w:val="00D176AF"/>
    <w:rsid w:val="00D17FDC"/>
    <w:rsid w:val="00D20C5D"/>
    <w:rsid w:val="00D20E26"/>
    <w:rsid w:val="00D21813"/>
    <w:rsid w:val="00D2188B"/>
    <w:rsid w:val="00D21ACE"/>
    <w:rsid w:val="00D21FE9"/>
    <w:rsid w:val="00D22A9D"/>
    <w:rsid w:val="00D23062"/>
    <w:rsid w:val="00D24017"/>
    <w:rsid w:val="00D247A0"/>
    <w:rsid w:val="00D24BC9"/>
    <w:rsid w:val="00D2578A"/>
    <w:rsid w:val="00D2607D"/>
    <w:rsid w:val="00D26623"/>
    <w:rsid w:val="00D30146"/>
    <w:rsid w:val="00D3020C"/>
    <w:rsid w:val="00D3135F"/>
    <w:rsid w:val="00D32EE1"/>
    <w:rsid w:val="00D33433"/>
    <w:rsid w:val="00D337AC"/>
    <w:rsid w:val="00D33BD3"/>
    <w:rsid w:val="00D34E57"/>
    <w:rsid w:val="00D34F11"/>
    <w:rsid w:val="00D368DE"/>
    <w:rsid w:val="00D368DF"/>
    <w:rsid w:val="00D36C13"/>
    <w:rsid w:val="00D37CC2"/>
    <w:rsid w:val="00D40458"/>
    <w:rsid w:val="00D40697"/>
    <w:rsid w:val="00D40B82"/>
    <w:rsid w:val="00D41066"/>
    <w:rsid w:val="00D41F02"/>
    <w:rsid w:val="00D42871"/>
    <w:rsid w:val="00D4414D"/>
    <w:rsid w:val="00D4454F"/>
    <w:rsid w:val="00D44C74"/>
    <w:rsid w:val="00D45094"/>
    <w:rsid w:val="00D45A63"/>
    <w:rsid w:val="00D45C3D"/>
    <w:rsid w:val="00D45F9A"/>
    <w:rsid w:val="00D47486"/>
    <w:rsid w:val="00D47E85"/>
    <w:rsid w:val="00D5039E"/>
    <w:rsid w:val="00D50CA4"/>
    <w:rsid w:val="00D50DFB"/>
    <w:rsid w:val="00D50E7A"/>
    <w:rsid w:val="00D51FF2"/>
    <w:rsid w:val="00D52B16"/>
    <w:rsid w:val="00D52EC1"/>
    <w:rsid w:val="00D53BB8"/>
    <w:rsid w:val="00D54A08"/>
    <w:rsid w:val="00D57516"/>
    <w:rsid w:val="00D575D6"/>
    <w:rsid w:val="00D57B95"/>
    <w:rsid w:val="00D609D6"/>
    <w:rsid w:val="00D60B78"/>
    <w:rsid w:val="00D61445"/>
    <w:rsid w:val="00D61567"/>
    <w:rsid w:val="00D6187B"/>
    <w:rsid w:val="00D61F78"/>
    <w:rsid w:val="00D62264"/>
    <w:rsid w:val="00D62349"/>
    <w:rsid w:val="00D62B5B"/>
    <w:rsid w:val="00D63BE5"/>
    <w:rsid w:val="00D651D4"/>
    <w:rsid w:val="00D65359"/>
    <w:rsid w:val="00D654B4"/>
    <w:rsid w:val="00D6637F"/>
    <w:rsid w:val="00D666BF"/>
    <w:rsid w:val="00D66ADC"/>
    <w:rsid w:val="00D671F1"/>
    <w:rsid w:val="00D67263"/>
    <w:rsid w:val="00D7026D"/>
    <w:rsid w:val="00D71068"/>
    <w:rsid w:val="00D71381"/>
    <w:rsid w:val="00D71B0C"/>
    <w:rsid w:val="00D72340"/>
    <w:rsid w:val="00D72861"/>
    <w:rsid w:val="00D72D1F"/>
    <w:rsid w:val="00D73370"/>
    <w:rsid w:val="00D73FA2"/>
    <w:rsid w:val="00D742A9"/>
    <w:rsid w:val="00D749F2"/>
    <w:rsid w:val="00D74BF8"/>
    <w:rsid w:val="00D75461"/>
    <w:rsid w:val="00D75EE8"/>
    <w:rsid w:val="00D7636C"/>
    <w:rsid w:val="00D766C4"/>
    <w:rsid w:val="00D76D44"/>
    <w:rsid w:val="00D77337"/>
    <w:rsid w:val="00D774A0"/>
    <w:rsid w:val="00D81156"/>
    <w:rsid w:val="00D811C9"/>
    <w:rsid w:val="00D81A52"/>
    <w:rsid w:val="00D81C76"/>
    <w:rsid w:val="00D835C6"/>
    <w:rsid w:val="00D83689"/>
    <w:rsid w:val="00D845CB"/>
    <w:rsid w:val="00D848BE"/>
    <w:rsid w:val="00D84AF4"/>
    <w:rsid w:val="00D84DBF"/>
    <w:rsid w:val="00D85970"/>
    <w:rsid w:val="00D85DD3"/>
    <w:rsid w:val="00D85E5D"/>
    <w:rsid w:val="00D86529"/>
    <w:rsid w:val="00D86C66"/>
    <w:rsid w:val="00D8709F"/>
    <w:rsid w:val="00D870FC"/>
    <w:rsid w:val="00D87AED"/>
    <w:rsid w:val="00D9100D"/>
    <w:rsid w:val="00D91183"/>
    <w:rsid w:val="00D917A3"/>
    <w:rsid w:val="00D92058"/>
    <w:rsid w:val="00D922F0"/>
    <w:rsid w:val="00D92413"/>
    <w:rsid w:val="00D92780"/>
    <w:rsid w:val="00D9375D"/>
    <w:rsid w:val="00D937A0"/>
    <w:rsid w:val="00D93F1D"/>
    <w:rsid w:val="00D945B4"/>
    <w:rsid w:val="00D94831"/>
    <w:rsid w:val="00D94A4D"/>
    <w:rsid w:val="00D954CA"/>
    <w:rsid w:val="00D95A0E"/>
    <w:rsid w:val="00D95F30"/>
    <w:rsid w:val="00D96628"/>
    <w:rsid w:val="00D96FFD"/>
    <w:rsid w:val="00D973F2"/>
    <w:rsid w:val="00D9755A"/>
    <w:rsid w:val="00DA090E"/>
    <w:rsid w:val="00DA0A1A"/>
    <w:rsid w:val="00DA1179"/>
    <w:rsid w:val="00DA40E9"/>
    <w:rsid w:val="00DA4290"/>
    <w:rsid w:val="00DA4A15"/>
    <w:rsid w:val="00DA64F3"/>
    <w:rsid w:val="00DA6A40"/>
    <w:rsid w:val="00DA6B34"/>
    <w:rsid w:val="00DA73AC"/>
    <w:rsid w:val="00DA7928"/>
    <w:rsid w:val="00DB07CA"/>
    <w:rsid w:val="00DB1102"/>
    <w:rsid w:val="00DB1D7C"/>
    <w:rsid w:val="00DB2926"/>
    <w:rsid w:val="00DB2AEA"/>
    <w:rsid w:val="00DB3FAF"/>
    <w:rsid w:val="00DB4861"/>
    <w:rsid w:val="00DB4C9D"/>
    <w:rsid w:val="00DC0028"/>
    <w:rsid w:val="00DC1554"/>
    <w:rsid w:val="00DC1C3E"/>
    <w:rsid w:val="00DC1D03"/>
    <w:rsid w:val="00DC2E5C"/>
    <w:rsid w:val="00DC3094"/>
    <w:rsid w:val="00DC327D"/>
    <w:rsid w:val="00DC3742"/>
    <w:rsid w:val="00DC378C"/>
    <w:rsid w:val="00DC3BB0"/>
    <w:rsid w:val="00DC4294"/>
    <w:rsid w:val="00DC63B2"/>
    <w:rsid w:val="00DC6CDA"/>
    <w:rsid w:val="00DC79BA"/>
    <w:rsid w:val="00DD031A"/>
    <w:rsid w:val="00DD0452"/>
    <w:rsid w:val="00DD0739"/>
    <w:rsid w:val="00DD1DFE"/>
    <w:rsid w:val="00DD2C00"/>
    <w:rsid w:val="00DD330C"/>
    <w:rsid w:val="00DD34A4"/>
    <w:rsid w:val="00DD440A"/>
    <w:rsid w:val="00DD461B"/>
    <w:rsid w:val="00DD4896"/>
    <w:rsid w:val="00DD5702"/>
    <w:rsid w:val="00DD5AB2"/>
    <w:rsid w:val="00DD6D50"/>
    <w:rsid w:val="00DD6EEA"/>
    <w:rsid w:val="00DD6F9F"/>
    <w:rsid w:val="00DD71F1"/>
    <w:rsid w:val="00DD7AA2"/>
    <w:rsid w:val="00DE04C5"/>
    <w:rsid w:val="00DE12C9"/>
    <w:rsid w:val="00DE1459"/>
    <w:rsid w:val="00DE16FD"/>
    <w:rsid w:val="00DE1BE9"/>
    <w:rsid w:val="00DE2270"/>
    <w:rsid w:val="00DE2B6E"/>
    <w:rsid w:val="00DE2F2E"/>
    <w:rsid w:val="00DE3C00"/>
    <w:rsid w:val="00DE5191"/>
    <w:rsid w:val="00DE5CAC"/>
    <w:rsid w:val="00DE7202"/>
    <w:rsid w:val="00DE738B"/>
    <w:rsid w:val="00DF1E4B"/>
    <w:rsid w:val="00DF2C32"/>
    <w:rsid w:val="00DF345E"/>
    <w:rsid w:val="00DF3661"/>
    <w:rsid w:val="00DF370E"/>
    <w:rsid w:val="00DF3AA2"/>
    <w:rsid w:val="00DF4950"/>
    <w:rsid w:val="00DF4DE7"/>
    <w:rsid w:val="00DF5596"/>
    <w:rsid w:val="00DF55ED"/>
    <w:rsid w:val="00DF6FF9"/>
    <w:rsid w:val="00DF75DD"/>
    <w:rsid w:val="00DF7792"/>
    <w:rsid w:val="00DF7FE9"/>
    <w:rsid w:val="00E00A00"/>
    <w:rsid w:val="00E00CA8"/>
    <w:rsid w:val="00E02103"/>
    <w:rsid w:val="00E0212E"/>
    <w:rsid w:val="00E02491"/>
    <w:rsid w:val="00E02716"/>
    <w:rsid w:val="00E02A3C"/>
    <w:rsid w:val="00E03076"/>
    <w:rsid w:val="00E03AF7"/>
    <w:rsid w:val="00E0403F"/>
    <w:rsid w:val="00E0411B"/>
    <w:rsid w:val="00E05FB3"/>
    <w:rsid w:val="00E06761"/>
    <w:rsid w:val="00E07EA1"/>
    <w:rsid w:val="00E07FFE"/>
    <w:rsid w:val="00E10DE1"/>
    <w:rsid w:val="00E13015"/>
    <w:rsid w:val="00E13153"/>
    <w:rsid w:val="00E13577"/>
    <w:rsid w:val="00E13C39"/>
    <w:rsid w:val="00E13CED"/>
    <w:rsid w:val="00E14254"/>
    <w:rsid w:val="00E1465C"/>
    <w:rsid w:val="00E15342"/>
    <w:rsid w:val="00E1644F"/>
    <w:rsid w:val="00E17BCE"/>
    <w:rsid w:val="00E201D8"/>
    <w:rsid w:val="00E20A24"/>
    <w:rsid w:val="00E20D87"/>
    <w:rsid w:val="00E21049"/>
    <w:rsid w:val="00E210DF"/>
    <w:rsid w:val="00E213C3"/>
    <w:rsid w:val="00E22C0F"/>
    <w:rsid w:val="00E2324C"/>
    <w:rsid w:val="00E23A9D"/>
    <w:rsid w:val="00E23F08"/>
    <w:rsid w:val="00E243C1"/>
    <w:rsid w:val="00E24B2C"/>
    <w:rsid w:val="00E24DF6"/>
    <w:rsid w:val="00E25FB2"/>
    <w:rsid w:val="00E2690D"/>
    <w:rsid w:val="00E27166"/>
    <w:rsid w:val="00E27804"/>
    <w:rsid w:val="00E30053"/>
    <w:rsid w:val="00E30CA8"/>
    <w:rsid w:val="00E30FD8"/>
    <w:rsid w:val="00E31087"/>
    <w:rsid w:val="00E31153"/>
    <w:rsid w:val="00E31502"/>
    <w:rsid w:val="00E317D8"/>
    <w:rsid w:val="00E3292D"/>
    <w:rsid w:val="00E331A0"/>
    <w:rsid w:val="00E36187"/>
    <w:rsid w:val="00E365F8"/>
    <w:rsid w:val="00E36CB6"/>
    <w:rsid w:val="00E36D3D"/>
    <w:rsid w:val="00E36EAA"/>
    <w:rsid w:val="00E3770C"/>
    <w:rsid w:val="00E37738"/>
    <w:rsid w:val="00E37A52"/>
    <w:rsid w:val="00E37E1D"/>
    <w:rsid w:val="00E40167"/>
    <w:rsid w:val="00E401A5"/>
    <w:rsid w:val="00E40EE9"/>
    <w:rsid w:val="00E41A03"/>
    <w:rsid w:val="00E42705"/>
    <w:rsid w:val="00E4277E"/>
    <w:rsid w:val="00E4290A"/>
    <w:rsid w:val="00E43293"/>
    <w:rsid w:val="00E43C84"/>
    <w:rsid w:val="00E43F3C"/>
    <w:rsid w:val="00E459C6"/>
    <w:rsid w:val="00E45D0E"/>
    <w:rsid w:val="00E4664D"/>
    <w:rsid w:val="00E46EDC"/>
    <w:rsid w:val="00E4799F"/>
    <w:rsid w:val="00E50263"/>
    <w:rsid w:val="00E50319"/>
    <w:rsid w:val="00E514EE"/>
    <w:rsid w:val="00E52224"/>
    <w:rsid w:val="00E52E51"/>
    <w:rsid w:val="00E52EBA"/>
    <w:rsid w:val="00E534A2"/>
    <w:rsid w:val="00E539D6"/>
    <w:rsid w:val="00E53BD5"/>
    <w:rsid w:val="00E54C6B"/>
    <w:rsid w:val="00E5595D"/>
    <w:rsid w:val="00E601CE"/>
    <w:rsid w:val="00E607D7"/>
    <w:rsid w:val="00E61225"/>
    <w:rsid w:val="00E62BD3"/>
    <w:rsid w:val="00E62C2E"/>
    <w:rsid w:val="00E631E2"/>
    <w:rsid w:val="00E641B3"/>
    <w:rsid w:val="00E644F7"/>
    <w:rsid w:val="00E64509"/>
    <w:rsid w:val="00E64BFC"/>
    <w:rsid w:val="00E65034"/>
    <w:rsid w:val="00E653EE"/>
    <w:rsid w:val="00E65616"/>
    <w:rsid w:val="00E6568A"/>
    <w:rsid w:val="00E65B95"/>
    <w:rsid w:val="00E65F56"/>
    <w:rsid w:val="00E66304"/>
    <w:rsid w:val="00E66D48"/>
    <w:rsid w:val="00E671D4"/>
    <w:rsid w:val="00E67A12"/>
    <w:rsid w:val="00E67B20"/>
    <w:rsid w:val="00E707FF"/>
    <w:rsid w:val="00E71B43"/>
    <w:rsid w:val="00E72181"/>
    <w:rsid w:val="00E73744"/>
    <w:rsid w:val="00E7377F"/>
    <w:rsid w:val="00E73C21"/>
    <w:rsid w:val="00E7407D"/>
    <w:rsid w:val="00E74ED2"/>
    <w:rsid w:val="00E75A5B"/>
    <w:rsid w:val="00E76B0D"/>
    <w:rsid w:val="00E76C35"/>
    <w:rsid w:val="00E77036"/>
    <w:rsid w:val="00E77A60"/>
    <w:rsid w:val="00E77C63"/>
    <w:rsid w:val="00E77D90"/>
    <w:rsid w:val="00E80548"/>
    <w:rsid w:val="00E80F6D"/>
    <w:rsid w:val="00E815A8"/>
    <w:rsid w:val="00E818C8"/>
    <w:rsid w:val="00E82969"/>
    <w:rsid w:val="00E82AD7"/>
    <w:rsid w:val="00E836CF"/>
    <w:rsid w:val="00E84361"/>
    <w:rsid w:val="00E84399"/>
    <w:rsid w:val="00E849C4"/>
    <w:rsid w:val="00E84B35"/>
    <w:rsid w:val="00E855E1"/>
    <w:rsid w:val="00E85812"/>
    <w:rsid w:val="00E85A20"/>
    <w:rsid w:val="00E8655B"/>
    <w:rsid w:val="00E86689"/>
    <w:rsid w:val="00E86C0A"/>
    <w:rsid w:val="00E86F71"/>
    <w:rsid w:val="00E87C01"/>
    <w:rsid w:val="00E87D36"/>
    <w:rsid w:val="00E901DD"/>
    <w:rsid w:val="00E906AA"/>
    <w:rsid w:val="00E90D9A"/>
    <w:rsid w:val="00E90E5E"/>
    <w:rsid w:val="00E912E3"/>
    <w:rsid w:val="00E91443"/>
    <w:rsid w:val="00E91470"/>
    <w:rsid w:val="00E91619"/>
    <w:rsid w:val="00E9169F"/>
    <w:rsid w:val="00E9176C"/>
    <w:rsid w:val="00E91C7B"/>
    <w:rsid w:val="00E92775"/>
    <w:rsid w:val="00E92E8F"/>
    <w:rsid w:val="00E937E6"/>
    <w:rsid w:val="00E94208"/>
    <w:rsid w:val="00E9438C"/>
    <w:rsid w:val="00E947D7"/>
    <w:rsid w:val="00E94AF9"/>
    <w:rsid w:val="00E94CE1"/>
    <w:rsid w:val="00E94FF4"/>
    <w:rsid w:val="00E95C6B"/>
    <w:rsid w:val="00E9603F"/>
    <w:rsid w:val="00E96F02"/>
    <w:rsid w:val="00E974A8"/>
    <w:rsid w:val="00EA042D"/>
    <w:rsid w:val="00EA1F64"/>
    <w:rsid w:val="00EA25C4"/>
    <w:rsid w:val="00EA272E"/>
    <w:rsid w:val="00EA2D60"/>
    <w:rsid w:val="00EA30BD"/>
    <w:rsid w:val="00EA3D6B"/>
    <w:rsid w:val="00EA483E"/>
    <w:rsid w:val="00EA53B8"/>
    <w:rsid w:val="00EA6FD3"/>
    <w:rsid w:val="00EA7411"/>
    <w:rsid w:val="00EA7721"/>
    <w:rsid w:val="00EA778F"/>
    <w:rsid w:val="00EA7A5B"/>
    <w:rsid w:val="00EA7A9D"/>
    <w:rsid w:val="00EB094D"/>
    <w:rsid w:val="00EB13FA"/>
    <w:rsid w:val="00EB645E"/>
    <w:rsid w:val="00EB6A83"/>
    <w:rsid w:val="00EB6C7D"/>
    <w:rsid w:val="00EB706F"/>
    <w:rsid w:val="00EB7644"/>
    <w:rsid w:val="00EB7F02"/>
    <w:rsid w:val="00EC01AC"/>
    <w:rsid w:val="00EC2F3B"/>
    <w:rsid w:val="00EC3956"/>
    <w:rsid w:val="00EC3B21"/>
    <w:rsid w:val="00EC4828"/>
    <w:rsid w:val="00EC48A9"/>
    <w:rsid w:val="00EC4D32"/>
    <w:rsid w:val="00EC5E5A"/>
    <w:rsid w:val="00EC61F2"/>
    <w:rsid w:val="00EC6708"/>
    <w:rsid w:val="00EC6C20"/>
    <w:rsid w:val="00ED0EE9"/>
    <w:rsid w:val="00ED1071"/>
    <w:rsid w:val="00ED1089"/>
    <w:rsid w:val="00ED2676"/>
    <w:rsid w:val="00ED38F4"/>
    <w:rsid w:val="00ED4AB6"/>
    <w:rsid w:val="00ED4FC0"/>
    <w:rsid w:val="00ED5643"/>
    <w:rsid w:val="00ED58C3"/>
    <w:rsid w:val="00ED5C51"/>
    <w:rsid w:val="00ED6263"/>
    <w:rsid w:val="00ED670D"/>
    <w:rsid w:val="00ED7CA7"/>
    <w:rsid w:val="00EE228A"/>
    <w:rsid w:val="00EE2A61"/>
    <w:rsid w:val="00EE4220"/>
    <w:rsid w:val="00EE4EF7"/>
    <w:rsid w:val="00EE5340"/>
    <w:rsid w:val="00EE5C40"/>
    <w:rsid w:val="00EE68EC"/>
    <w:rsid w:val="00EE6E29"/>
    <w:rsid w:val="00EE7A60"/>
    <w:rsid w:val="00EF12E7"/>
    <w:rsid w:val="00EF1587"/>
    <w:rsid w:val="00EF1B0E"/>
    <w:rsid w:val="00EF2232"/>
    <w:rsid w:val="00EF25DF"/>
    <w:rsid w:val="00EF2836"/>
    <w:rsid w:val="00EF2E7E"/>
    <w:rsid w:val="00EF3082"/>
    <w:rsid w:val="00EF4E8C"/>
    <w:rsid w:val="00EF510C"/>
    <w:rsid w:val="00EF55A5"/>
    <w:rsid w:val="00EF5871"/>
    <w:rsid w:val="00EF5E81"/>
    <w:rsid w:val="00EF64A2"/>
    <w:rsid w:val="00EF7229"/>
    <w:rsid w:val="00F01B89"/>
    <w:rsid w:val="00F020F7"/>
    <w:rsid w:val="00F02A67"/>
    <w:rsid w:val="00F036B7"/>
    <w:rsid w:val="00F040E5"/>
    <w:rsid w:val="00F04B11"/>
    <w:rsid w:val="00F052EC"/>
    <w:rsid w:val="00F0609C"/>
    <w:rsid w:val="00F066C2"/>
    <w:rsid w:val="00F06843"/>
    <w:rsid w:val="00F07D7F"/>
    <w:rsid w:val="00F07F36"/>
    <w:rsid w:val="00F10189"/>
    <w:rsid w:val="00F10196"/>
    <w:rsid w:val="00F10610"/>
    <w:rsid w:val="00F1199C"/>
    <w:rsid w:val="00F11A00"/>
    <w:rsid w:val="00F1310D"/>
    <w:rsid w:val="00F13E90"/>
    <w:rsid w:val="00F142C7"/>
    <w:rsid w:val="00F14B34"/>
    <w:rsid w:val="00F14DA5"/>
    <w:rsid w:val="00F15478"/>
    <w:rsid w:val="00F15587"/>
    <w:rsid w:val="00F15990"/>
    <w:rsid w:val="00F1611C"/>
    <w:rsid w:val="00F167CE"/>
    <w:rsid w:val="00F16A52"/>
    <w:rsid w:val="00F16C19"/>
    <w:rsid w:val="00F1795E"/>
    <w:rsid w:val="00F17C2C"/>
    <w:rsid w:val="00F20284"/>
    <w:rsid w:val="00F20490"/>
    <w:rsid w:val="00F20A5B"/>
    <w:rsid w:val="00F20F6C"/>
    <w:rsid w:val="00F2106A"/>
    <w:rsid w:val="00F2158D"/>
    <w:rsid w:val="00F21770"/>
    <w:rsid w:val="00F21AED"/>
    <w:rsid w:val="00F21DD9"/>
    <w:rsid w:val="00F22C8A"/>
    <w:rsid w:val="00F23A55"/>
    <w:rsid w:val="00F24346"/>
    <w:rsid w:val="00F247B6"/>
    <w:rsid w:val="00F24D56"/>
    <w:rsid w:val="00F25644"/>
    <w:rsid w:val="00F256DD"/>
    <w:rsid w:val="00F25B0F"/>
    <w:rsid w:val="00F25ED6"/>
    <w:rsid w:val="00F2629F"/>
    <w:rsid w:val="00F2735C"/>
    <w:rsid w:val="00F2737C"/>
    <w:rsid w:val="00F3048D"/>
    <w:rsid w:val="00F3072B"/>
    <w:rsid w:val="00F3115C"/>
    <w:rsid w:val="00F32075"/>
    <w:rsid w:val="00F32B66"/>
    <w:rsid w:val="00F330E7"/>
    <w:rsid w:val="00F33B44"/>
    <w:rsid w:val="00F33CF1"/>
    <w:rsid w:val="00F34FC0"/>
    <w:rsid w:val="00F35218"/>
    <w:rsid w:val="00F35D88"/>
    <w:rsid w:val="00F35F30"/>
    <w:rsid w:val="00F37F1A"/>
    <w:rsid w:val="00F405FC"/>
    <w:rsid w:val="00F40CE5"/>
    <w:rsid w:val="00F41008"/>
    <w:rsid w:val="00F41014"/>
    <w:rsid w:val="00F42754"/>
    <w:rsid w:val="00F4291E"/>
    <w:rsid w:val="00F42A16"/>
    <w:rsid w:val="00F43021"/>
    <w:rsid w:val="00F43062"/>
    <w:rsid w:val="00F43E32"/>
    <w:rsid w:val="00F447ED"/>
    <w:rsid w:val="00F46A54"/>
    <w:rsid w:val="00F47AF9"/>
    <w:rsid w:val="00F50507"/>
    <w:rsid w:val="00F50797"/>
    <w:rsid w:val="00F50B44"/>
    <w:rsid w:val="00F51243"/>
    <w:rsid w:val="00F51EC4"/>
    <w:rsid w:val="00F51FBD"/>
    <w:rsid w:val="00F522D4"/>
    <w:rsid w:val="00F52925"/>
    <w:rsid w:val="00F52FFC"/>
    <w:rsid w:val="00F534EF"/>
    <w:rsid w:val="00F53525"/>
    <w:rsid w:val="00F538A5"/>
    <w:rsid w:val="00F54B1B"/>
    <w:rsid w:val="00F5569B"/>
    <w:rsid w:val="00F55F88"/>
    <w:rsid w:val="00F57366"/>
    <w:rsid w:val="00F60D6B"/>
    <w:rsid w:val="00F6270A"/>
    <w:rsid w:val="00F62A85"/>
    <w:rsid w:val="00F62C0B"/>
    <w:rsid w:val="00F63983"/>
    <w:rsid w:val="00F63E85"/>
    <w:rsid w:val="00F640C8"/>
    <w:rsid w:val="00F6499D"/>
    <w:rsid w:val="00F65A1E"/>
    <w:rsid w:val="00F65EB6"/>
    <w:rsid w:val="00F6752A"/>
    <w:rsid w:val="00F6752B"/>
    <w:rsid w:val="00F70555"/>
    <w:rsid w:val="00F70BB6"/>
    <w:rsid w:val="00F71729"/>
    <w:rsid w:val="00F71867"/>
    <w:rsid w:val="00F720A5"/>
    <w:rsid w:val="00F72715"/>
    <w:rsid w:val="00F73828"/>
    <w:rsid w:val="00F7398A"/>
    <w:rsid w:val="00F73C0C"/>
    <w:rsid w:val="00F743C6"/>
    <w:rsid w:val="00F744AE"/>
    <w:rsid w:val="00F74D4D"/>
    <w:rsid w:val="00F75058"/>
    <w:rsid w:val="00F7545B"/>
    <w:rsid w:val="00F76373"/>
    <w:rsid w:val="00F76B56"/>
    <w:rsid w:val="00F80AB8"/>
    <w:rsid w:val="00F80C2A"/>
    <w:rsid w:val="00F81E8F"/>
    <w:rsid w:val="00F82971"/>
    <w:rsid w:val="00F82A49"/>
    <w:rsid w:val="00F82FE1"/>
    <w:rsid w:val="00F83714"/>
    <w:rsid w:val="00F84A28"/>
    <w:rsid w:val="00F855E9"/>
    <w:rsid w:val="00F856D2"/>
    <w:rsid w:val="00F8570B"/>
    <w:rsid w:val="00F85D3C"/>
    <w:rsid w:val="00F86002"/>
    <w:rsid w:val="00F871F2"/>
    <w:rsid w:val="00F872A5"/>
    <w:rsid w:val="00F87588"/>
    <w:rsid w:val="00F877BD"/>
    <w:rsid w:val="00F87BC3"/>
    <w:rsid w:val="00F908AC"/>
    <w:rsid w:val="00F90900"/>
    <w:rsid w:val="00F9092E"/>
    <w:rsid w:val="00F90D8D"/>
    <w:rsid w:val="00F91982"/>
    <w:rsid w:val="00F932FD"/>
    <w:rsid w:val="00F93558"/>
    <w:rsid w:val="00F94239"/>
    <w:rsid w:val="00F944C7"/>
    <w:rsid w:val="00F94DF1"/>
    <w:rsid w:val="00F9518B"/>
    <w:rsid w:val="00F964F7"/>
    <w:rsid w:val="00F97518"/>
    <w:rsid w:val="00FA0A90"/>
    <w:rsid w:val="00FA1693"/>
    <w:rsid w:val="00FA22E4"/>
    <w:rsid w:val="00FA3458"/>
    <w:rsid w:val="00FA3806"/>
    <w:rsid w:val="00FA3DD7"/>
    <w:rsid w:val="00FA3EB5"/>
    <w:rsid w:val="00FA4C56"/>
    <w:rsid w:val="00FA5080"/>
    <w:rsid w:val="00FA5307"/>
    <w:rsid w:val="00FA5980"/>
    <w:rsid w:val="00FA5F4A"/>
    <w:rsid w:val="00FA7CEF"/>
    <w:rsid w:val="00FB3516"/>
    <w:rsid w:val="00FB3690"/>
    <w:rsid w:val="00FB39AC"/>
    <w:rsid w:val="00FB3B73"/>
    <w:rsid w:val="00FB5369"/>
    <w:rsid w:val="00FB5945"/>
    <w:rsid w:val="00FB599C"/>
    <w:rsid w:val="00FB62A7"/>
    <w:rsid w:val="00FB7A8A"/>
    <w:rsid w:val="00FC09BA"/>
    <w:rsid w:val="00FC0EFE"/>
    <w:rsid w:val="00FC1930"/>
    <w:rsid w:val="00FC1CE4"/>
    <w:rsid w:val="00FC1E0C"/>
    <w:rsid w:val="00FC2579"/>
    <w:rsid w:val="00FC26C3"/>
    <w:rsid w:val="00FC2986"/>
    <w:rsid w:val="00FC37BF"/>
    <w:rsid w:val="00FC3E27"/>
    <w:rsid w:val="00FC4003"/>
    <w:rsid w:val="00FC421F"/>
    <w:rsid w:val="00FC7534"/>
    <w:rsid w:val="00FC79DF"/>
    <w:rsid w:val="00FC7BDC"/>
    <w:rsid w:val="00FD033A"/>
    <w:rsid w:val="00FD0FA7"/>
    <w:rsid w:val="00FD101C"/>
    <w:rsid w:val="00FD11F6"/>
    <w:rsid w:val="00FD2BA2"/>
    <w:rsid w:val="00FD3239"/>
    <w:rsid w:val="00FD337C"/>
    <w:rsid w:val="00FD3F5D"/>
    <w:rsid w:val="00FD4FFC"/>
    <w:rsid w:val="00FD50C5"/>
    <w:rsid w:val="00FD519A"/>
    <w:rsid w:val="00FD5BC2"/>
    <w:rsid w:val="00FD6176"/>
    <w:rsid w:val="00FD66E5"/>
    <w:rsid w:val="00FD7893"/>
    <w:rsid w:val="00FD7F24"/>
    <w:rsid w:val="00FD7F4E"/>
    <w:rsid w:val="00FE03CD"/>
    <w:rsid w:val="00FE04FB"/>
    <w:rsid w:val="00FE0913"/>
    <w:rsid w:val="00FE0BA3"/>
    <w:rsid w:val="00FE11B2"/>
    <w:rsid w:val="00FE313E"/>
    <w:rsid w:val="00FE3855"/>
    <w:rsid w:val="00FE3F7A"/>
    <w:rsid w:val="00FE428C"/>
    <w:rsid w:val="00FE486F"/>
    <w:rsid w:val="00FE4D2E"/>
    <w:rsid w:val="00FE5D19"/>
    <w:rsid w:val="00FE67D4"/>
    <w:rsid w:val="00FE6A94"/>
    <w:rsid w:val="00FE6DDD"/>
    <w:rsid w:val="00FE7A96"/>
    <w:rsid w:val="00FF04CA"/>
    <w:rsid w:val="00FF131F"/>
    <w:rsid w:val="00FF1A2E"/>
    <w:rsid w:val="00FF1BD3"/>
    <w:rsid w:val="00FF2171"/>
    <w:rsid w:val="00FF21D3"/>
    <w:rsid w:val="00FF2AB6"/>
    <w:rsid w:val="00FF38BC"/>
    <w:rsid w:val="00FF48FC"/>
    <w:rsid w:val="00FF4B31"/>
    <w:rsid w:val="00FF4FF4"/>
    <w:rsid w:val="00FF5B2B"/>
    <w:rsid w:val="00FF6128"/>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DF6FF9"/>
    <w:pPr>
      <w:keepNext/>
      <w:numPr>
        <w:numId w:val="1"/>
      </w:numPr>
      <w:spacing w:before="180" w:after="180" w:line="720" w:lineRule="auto"/>
      <w:outlineLvl w:val="0"/>
    </w:pPr>
    <w:rPr>
      <w:rFonts w:ascii="Arial" w:hAnsi="Arial"/>
      <w:b/>
      <w:bCs/>
      <w:kern w:val="52"/>
      <w:sz w:val="52"/>
      <w:szCs w:val="52"/>
    </w:rPr>
  </w:style>
  <w:style w:type="paragraph" w:styleId="2">
    <w:name w:val="heading 2"/>
    <w:basedOn w:val="a"/>
    <w:next w:val="a"/>
    <w:qFormat/>
    <w:rsid w:val="00DF6FF9"/>
    <w:pPr>
      <w:keepNext/>
      <w:numPr>
        <w:ilvl w:val="1"/>
        <w:numId w:val="1"/>
      </w:numPr>
      <w:spacing w:line="720" w:lineRule="auto"/>
      <w:outlineLvl w:val="1"/>
    </w:pPr>
    <w:rPr>
      <w:rFonts w:ascii="Arial" w:hAnsi="Arial"/>
      <w:b/>
      <w:bCs/>
      <w:sz w:val="48"/>
      <w:szCs w:val="48"/>
    </w:rPr>
  </w:style>
  <w:style w:type="paragraph" w:styleId="3">
    <w:name w:val="heading 3"/>
    <w:basedOn w:val="a"/>
    <w:next w:val="a"/>
    <w:qFormat/>
    <w:rsid w:val="00DF6FF9"/>
    <w:pPr>
      <w:keepNext/>
      <w:numPr>
        <w:ilvl w:val="2"/>
        <w:numId w:val="1"/>
      </w:numPr>
      <w:spacing w:line="720" w:lineRule="auto"/>
      <w:outlineLvl w:val="2"/>
    </w:pPr>
    <w:rPr>
      <w:rFonts w:ascii="Arial" w:hAnsi="Arial"/>
      <w:b/>
      <w:bCs/>
      <w:sz w:val="36"/>
      <w:szCs w:val="36"/>
    </w:rPr>
  </w:style>
  <w:style w:type="paragraph" w:styleId="4">
    <w:name w:val="heading 4"/>
    <w:basedOn w:val="a"/>
    <w:next w:val="a"/>
    <w:link w:val="40"/>
    <w:qFormat/>
    <w:rsid w:val="00DF6FF9"/>
    <w:pPr>
      <w:keepNext/>
      <w:numPr>
        <w:ilvl w:val="3"/>
        <w:numId w:val="1"/>
      </w:numPr>
      <w:spacing w:line="720" w:lineRule="auto"/>
      <w:outlineLvl w:val="3"/>
    </w:pPr>
    <w:rPr>
      <w:rFonts w:ascii="Arial" w:hAnsi="Arial"/>
      <w:sz w:val="36"/>
      <w:szCs w:val="36"/>
    </w:rPr>
  </w:style>
  <w:style w:type="paragraph" w:styleId="5">
    <w:name w:val="heading 5"/>
    <w:basedOn w:val="a"/>
    <w:next w:val="a"/>
    <w:qFormat/>
    <w:rsid w:val="00DF6FF9"/>
    <w:pPr>
      <w:keepNext/>
      <w:numPr>
        <w:ilvl w:val="4"/>
        <w:numId w:val="1"/>
      </w:numPr>
      <w:spacing w:line="720" w:lineRule="auto"/>
      <w:outlineLvl w:val="4"/>
    </w:pPr>
    <w:rPr>
      <w:rFonts w:ascii="Arial" w:hAnsi="Arial"/>
      <w:b/>
      <w:bCs/>
      <w:sz w:val="36"/>
      <w:szCs w:val="36"/>
    </w:rPr>
  </w:style>
  <w:style w:type="paragraph" w:styleId="6">
    <w:name w:val="heading 6"/>
    <w:basedOn w:val="a"/>
    <w:next w:val="a"/>
    <w:qFormat/>
    <w:rsid w:val="00DF6FF9"/>
    <w:pPr>
      <w:keepNext/>
      <w:numPr>
        <w:ilvl w:val="5"/>
        <w:numId w:val="1"/>
      </w:numPr>
      <w:spacing w:line="720" w:lineRule="auto"/>
      <w:outlineLvl w:val="5"/>
    </w:pPr>
    <w:rPr>
      <w:rFonts w:ascii="Arial" w:hAnsi="Arial"/>
      <w:sz w:val="36"/>
      <w:szCs w:val="36"/>
    </w:rPr>
  </w:style>
  <w:style w:type="paragraph" w:styleId="7">
    <w:name w:val="heading 7"/>
    <w:basedOn w:val="a"/>
    <w:next w:val="a"/>
    <w:qFormat/>
    <w:rsid w:val="00DF6FF9"/>
    <w:pPr>
      <w:keepNext/>
      <w:numPr>
        <w:ilvl w:val="6"/>
        <w:numId w:val="1"/>
      </w:numPr>
      <w:spacing w:line="720" w:lineRule="auto"/>
      <w:outlineLvl w:val="6"/>
    </w:pPr>
    <w:rPr>
      <w:rFonts w:ascii="Arial" w:hAnsi="Arial"/>
      <w:b/>
      <w:bCs/>
      <w:sz w:val="36"/>
      <w:szCs w:val="36"/>
    </w:rPr>
  </w:style>
  <w:style w:type="paragraph" w:styleId="8">
    <w:name w:val="heading 8"/>
    <w:basedOn w:val="a"/>
    <w:next w:val="a"/>
    <w:qFormat/>
    <w:rsid w:val="00DF6FF9"/>
    <w:pPr>
      <w:keepNext/>
      <w:numPr>
        <w:ilvl w:val="7"/>
        <w:numId w:val="1"/>
      </w:numPr>
      <w:spacing w:line="720" w:lineRule="auto"/>
      <w:outlineLvl w:val="7"/>
    </w:pPr>
    <w:rPr>
      <w:rFonts w:ascii="Arial" w:hAnsi="Arial"/>
      <w:sz w:val="36"/>
      <w:szCs w:val="36"/>
    </w:rPr>
  </w:style>
  <w:style w:type="paragraph" w:styleId="9">
    <w:name w:val="heading 9"/>
    <w:basedOn w:val="a"/>
    <w:next w:val="a"/>
    <w:qFormat/>
    <w:rsid w:val="00DF6FF9"/>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DF6FF9"/>
    <w:pPr>
      <w:spacing w:after="120"/>
      <w:ind w:leftChars="200" w:left="480"/>
    </w:pPr>
  </w:style>
  <w:style w:type="paragraph" w:styleId="20">
    <w:name w:val="Body Text Indent 2"/>
    <w:basedOn w:val="a"/>
    <w:rsid w:val="00DF6FF9"/>
    <w:pPr>
      <w:spacing w:after="120" w:line="480" w:lineRule="auto"/>
      <w:ind w:leftChars="200" w:left="480"/>
    </w:pPr>
  </w:style>
  <w:style w:type="character" w:styleId="a5">
    <w:name w:val="Hyperlink"/>
    <w:basedOn w:val="a0"/>
    <w:uiPriority w:val="99"/>
    <w:rsid w:val="00DF6FF9"/>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6">
    <w:name w:val="annotation text"/>
    <w:basedOn w:val="a"/>
    <w:semiHidden/>
    <w:rsid w:val="00DF6FF9"/>
  </w:style>
  <w:style w:type="character" w:customStyle="1" w:styleId="a7">
    <w:name w:val="字元 字元"/>
    <w:basedOn w:val="a0"/>
    <w:semiHidden/>
    <w:locked/>
    <w:rsid w:val="00DF6FF9"/>
    <w:rPr>
      <w:rFonts w:eastAsia="新細明體"/>
      <w:kern w:val="2"/>
      <w:sz w:val="24"/>
      <w:szCs w:val="24"/>
      <w:lang w:val="en-US" w:eastAsia="zh-TW" w:bidi="ar-SA"/>
    </w:rPr>
  </w:style>
  <w:style w:type="character" w:customStyle="1" w:styleId="09">
    <w:name w:val="書籤字型09"/>
    <w:basedOn w:val="a0"/>
    <w:rsid w:val="00DF6FF9"/>
    <w:rPr>
      <w:rFonts w:ascii="Book Antiqua" w:eastAsia="標楷體" w:hAnsi="Book Antiqua" w:hint="default"/>
      <w:spacing w:val="0"/>
      <w:w w:val="100"/>
      <w:position w:val="0"/>
      <w:sz w:val="18"/>
    </w:rPr>
  </w:style>
  <w:style w:type="paragraph" w:styleId="a8">
    <w:name w:val="header"/>
    <w:basedOn w:val="a"/>
    <w:rsid w:val="00DF6FF9"/>
    <w:pPr>
      <w:tabs>
        <w:tab w:val="center" w:pos="4153"/>
        <w:tab w:val="right" w:pos="8306"/>
      </w:tabs>
      <w:snapToGrid w:val="0"/>
    </w:pPr>
    <w:rPr>
      <w:sz w:val="20"/>
      <w:szCs w:val="20"/>
    </w:rPr>
  </w:style>
  <w:style w:type="paragraph" w:styleId="a9">
    <w:name w:val="footer"/>
    <w:basedOn w:val="a"/>
    <w:link w:val="aa"/>
    <w:uiPriority w:val="99"/>
    <w:rsid w:val="00DF6FF9"/>
    <w:pPr>
      <w:tabs>
        <w:tab w:val="center" w:pos="4153"/>
        <w:tab w:val="right" w:pos="8306"/>
      </w:tabs>
      <w:snapToGrid w:val="0"/>
    </w:pPr>
    <w:rPr>
      <w:sz w:val="20"/>
      <w:szCs w:val="20"/>
    </w:rPr>
  </w:style>
  <w:style w:type="character" w:styleId="ab">
    <w:name w:val="page number"/>
    <w:basedOn w:val="a0"/>
    <w:rsid w:val="00DF6FF9"/>
  </w:style>
  <w:style w:type="character" w:styleId="ac">
    <w:name w:val="Strong"/>
    <w:basedOn w:val="a0"/>
    <w:qFormat/>
    <w:rsid w:val="00DF6FF9"/>
    <w:rPr>
      <w:b/>
      <w:bCs/>
    </w:rPr>
  </w:style>
  <w:style w:type="paragraph" w:styleId="Web">
    <w:name w:val="Normal (Web)"/>
    <w:basedOn w:val="a"/>
    <w:uiPriority w:val="99"/>
    <w:rsid w:val="00DF6FF9"/>
    <w:pPr>
      <w:widowControl/>
      <w:spacing w:before="100" w:beforeAutospacing="1" w:after="100" w:afterAutospacing="1"/>
    </w:pPr>
    <w:rPr>
      <w:rFonts w:ascii="新細明體" w:hAnsi="新細明體"/>
      <w:kern w:val="0"/>
    </w:rPr>
  </w:style>
  <w:style w:type="paragraph" w:styleId="ad">
    <w:name w:val="Date"/>
    <w:basedOn w:val="a"/>
    <w:next w:val="a"/>
    <w:rsid w:val="00DF6FF9"/>
    <w:pPr>
      <w:jc w:val="right"/>
    </w:pPr>
  </w:style>
  <w:style w:type="paragraph" w:styleId="30">
    <w:name w:val="Body Text Indent 3"/>
    <w:basedOn w:val="a"/>
    <w:rsid w:val="00DF6FF9"/>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DF6FF9"/>
    <w:rPr>
      <w:color w:val="800080"/>
      <w:u w:val="single"/>
    </w:rPr>
  </w:style>
  <w:style w:type="paragraph" w:customStyle="1" w:styleId="aa0">
    <w:name w:val="aa"/>
    <w:basedOn w:val="a"/>
    <w:rsid w:val="00DF6FF9"/>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DF6FF9"/>
  </w:style>
  <w:style w:type="paragraph" w:styleId="21">
    <w:name w:val="index 2"/>
    <w:basedOn w:val="a"/>
    <w:next w:val="a"/>
    <w:autoRedefine/>
    <w:semiHidden/>
    <w:rsid w:val="00DF6FF9"/>
    <w:pPr>
      <w:ind w:leftChars="200" w:left="200"/>
    </w:pPr>
  </w:style>
  <w:style w:type="paragraph" w:styleId="31">
    <w:name w:val="index 3"/>
    <w:basedOn w:val="a"/>
    <w:next w:val="a"/>
    <w:autoRedefine/>
    <w:semiHidden/>
    <w:rsid w:val="00DF6FF9"/>
    <w:pPr>
      <w:ind w:leftChars="400" w:left="400"/>
    </w:pPr>
  </w:style>
  <w:style w:type="paragraph" w:styleId="41">
    <w:name w:val="index 4"/>
    <w:basedOn w:val="a"/>
    <w:next w:val="a"/>
    <w:autoRedefine/>
    <w:semiHidden/>
    <w:rsid w:val="00DF6FF9"/>
    <w:pPr>
      <w:ind w:leftChars="600" w:left="600"/>
    </w:pPr>
  </w:style>
  <w:style w:type="paragraph" w:styleId="50">
    <w:name w:val="index 5"/>
    <w:basedOn w:val="a"/>
    <w:next w:val="a"/>
    <w:autoRedefine/>
    <w:semiHidden/>
    <w:rsid w:val="00DF6FF9"/>
    <w:pPr>
      <w:ind w:leftChars="800" w:left="800"/>
    </w:pPr>
  </w:style>
  <w:style w:type="paragraph" w:styleId="60">
    <w:name w:val="index 6"/>
    <w:basedOn w:val="a"/>
    <w:next w:val="a"/>
    <w:autoRedefine/>
    <w:semiHidden/>
    <w:rsid w:val="00DF6FF9"/>
    <w:pPr>
      <w:ind w:leftChars="1000" w:left="1000"/>
    </w:pPr>
  </w:style>
  <w:style w:type="paragraph" w:styleId="70">
    <w:name w:val="index 7"/>
    <w:basedOn w:val="a"/>
    <w:next w:val="a"/>
    <w:autoRedefine/>
    <w:semiHidden/>
    <w:rsid w:val="00DF6FF9"/>
    <w:pPr>
      <w:ind w:leftChars="1200" w:left="1200"/>
    </w:pPr>
  </w:style>
  <w:style w:type="paragraph" w:styleId="80">
    <w:name w:val="index 8"/>
    <w:basedOn w:val="a"/>
    <w:next w:val="a"/>
    <w:autoRedefine/>
    <w:semiHidden/>
    <w:rsid w:val="00DF6FF9"/>
    <w:pPr>
      <w:ind w:leftChars="1400" w:left="1400"/>
    </w:pPr>
  </w:style>
  <w:style w:type="paragraph" w:styleId="90">
    <w:name w:val="index 9"/>
    <w:basedOn w:val="a"/>
    <w:next w:val="a"/>
    <w:autoRedefine/>
    <w:semiHidden/>
    <w:rsid w:val="00DF6FF9"/>
    <w:pPr>
      <w:ind w:leftChars="1600" w:left="1600"/>
    </w:pPr>
  </w:style>
  <w:style w:type="paragraph" w:styleId="af">
    <w:name w:val="index heading"/>
    <w:basedOn w:val="a"/>
    <w:next w:val="11"/>
    <w:semiHidden/>
    <w:rsid w:val="00DF6FF9"/>
  </w:style>
  <w:style w:type="character" w:styleId="af0">
    <w:name w:val="annotation reference"/>
    <w:basedOn w:val="a0"/>
    <w:semiHidden/>
    <w:rsid w:val="00DF6FF9"/>
    <w:rPr>
      <w:sz w:val="18"/>
      <w:szCs w:val="18"/>
    </w:rPr>
  </w:style>
  <w:style w:type="paragraph" w:styleId="af1">
    <w:name w:val="footnote text"/>
    <w:basedOn w:val="a"/>
    <w:semiHidden/>
    <w:rsid w:val="00DF6FF9"/>
    <w:pPr>
      <w:snapToGrid w:val="0"/>
    </w:pPr>
    <w:rPr>
      <w:sz w:val="20"/>
      <w:szCs w:val="20"/>
    </w:rPr>
  </w:style>
  <w:style w:type="character" w:styleId="af2">
    <w:name w:val="footnote reference"/>
    <w:basedOn w:val="a0"/>
    <w:semiHidden/>
    <w:rsid w:val="00DF6FF9"/>
    <w:rPr>
      <w:vertAlign w:val="superscript"/>
    </w:rPr>
  </w:style>
  <w:style w:type="paragraph" w:styleId="af3">
    <w:name w:val="annotation subject"/>
    <w:basedOn w:val="a6"/>
    <w:next w:val="a6"/>
    <w:semiHidden/>
    <w:rsid w:val="00DF6FF9"/>
    <w:rPr>
      <w:b/>
      <w:bCs/>
    </w:rPr>
  </w:style>
  <w:style w:type="paragraph" w:styleId="af4">
    <w:name w:val="Balloon Text"/>
    <w:basedOn w:val="a"/>
    <w:semiHidden/>
    <w:rsid w:val="00DF6FF9"/>
    <w:rPr>
      <w:rFonts w:ascii="Arial" w:hAnsi="Arial"/>
      <w:sz w:val="18"/>
      <w:szCs w:val="18"/>
    </w:rPr>
  </w:style>
  <w:style w:type="paragraph" w:styleId="32">
    <w:name w:val="Body Text 3"/>
    <w:basedOn w:val="a"/>
    <w:rsid w:val="00DF6FF9"/>
    <w:rPr>
      <w:rFonts w:eastAsia="標楷體"/>
      <w:sz w:val="26"/>
    </w:rPr>
  </w:style>
  <w:style w:type="paragraph" w:styleId="22">
    <w:name w:val="Body Text 2"/>
    <w:basedOn w:val="a"/>
    <w:rsid w:val="00DF6FF9"/>
    <w:pPr>
      <w:spacing w:after="120" w:line="480" w:lineRule="auto"/>
    </w:pPr>
  </w:style>
  <w:style w:type="paragraph" w:styleId="af5">
    <w:name w:val="Body Text"/>
    <w:basedOn w:val="a"/>
    <w:rsid w:val="00DF6FF9"/>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b">
    <w:name w:val="字元"/>
    <w:basedOn w:val="a"/>
    <w:rsid w:val="00517579"/>
    <w:pPr>
      <w:widowControl/>
      <w:spacing w:after="160" w:line="240" w:lineRule="exact"/>
    </w:pPr>
    <w:rPr>
      <w:rFonts w:ascii="Arial" w:eastAsia="Times New Roman" w:hAnsi="Arial" w:cs="Arial"/>
      <w:kern w:val="0"/>
      <w:sz w:val="20"/>
      <w:szCs w:val="20"/>
      <w:lang w:eastAsia="en-US"/>
    </w:rPr>
  </w:style>
  <w:style w:type="table" w:styleId="Web1">
    <w:name w:val="Table Web 1"/>
    <w:basedOn w:val="a1"/>
    <w:rsid w:val="00E13577"/>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3">
    <w:name w:val="Table 3D effects 3"/>
    <w:basedOn w:val="a1"/>
    <w:rsid w:val="00E13577"/>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1"/>
    <w:rsid w:val="00E13577"/>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1">
    <w:name w:val="Table 3D effects 1"/>
    <w:basedOn w:val="a1"/>
    <w:rsid w:val="00E13577"/>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Web2">
    <w:name w:val="Table Web 2"/>
    <w:basedOn w:val="a1"/>
    <w:rsid w:val="00E13577"/>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4">
    <w:name w:val="本文縮排 字元"/>
    <w:basedOn w:val="a0"/>
    <w:link w:val="a3"/>
    <w:rsid w:val="00841F61"/>
    <w:rPr>
      <w:kern w:val="2"/>
      <w:sz w:val="24"/>
      <w:szCs w:val="24"/>
    </w:rPr>
  </w:style>
  <w:style w:type="paragraph" w:customStyle="1" w:styleId="12">
    <w:name w:val="樣式1"/>
    <w:basedOn w:val="a"/>
    <w:link w:val="13"/>
    <w:qFormat/>
    <w:rsid w:val="00EF1587"/>
    <w:pPr>
      <w:widowControl/>
      <w:spacing w:beforeLines="50" w:afterLines="50" w:line="360" w:lineRule="auto"/>
      <w:ind w:leftChars="300" w:left="720" w:firstLineChars="200" w:firstLine="520"/>
      <w:jc w:val="both"/>
    </w:pPr>
    <w:rPr>
      <w:rFonts w:ascii="標楷體" w:eastAsia="標楷體" w:hAnsi="標楷體" w:cs="新細明體"/>
      <w:spacing w:val="19"/>
      <w:kern w:val="0"/>
      <w:sz w:val="26"/>
      <w:szCs w:val="26"/>
    </w:rPr>
  </w:style>
  <w:style w:type="character" w:customStyle="1" w:styleId="13">
    <w:name w:val="樣式1 字元"/>
    <w:basedOn w:val="a0"/>
    <w:link w:val="12"/>
    <w:rsid w:val="00EF1587"/>
    <w:rPr>
      <w:rFonts w:ascii="標楷體" w:eastAsia="標楷體" w:hAnsi="標楷體" w:cs="新細明體"/>
      <w:spacing w:val="19"/>
      <w:sz w:val="26"/>
      <w:szCs w:val="26"/>
    </w:rPr>
  </w:style>
  <w:style w:type="paragraph" w:customStyle="1" w:styleId="TableText8">
    <w:name w:val="Table Text 8"/>
    <w:basedOn w:val="a"/>
    <w:rsid w:val="001428FC"/>
    <w:pPr>
      <w:autoSpaceDE w:val="0"/>
      <w:autoSpaceDN w:val="0"/>
      <w:adjustRightInd w:val="0"/>
    </w:pPr>
    <w:rPr>
      <w:rFonts w:ascii="Arial" w:eastAsiaTheme="minorEastAsia" w:hAnsi="Arial"/>
      <w:noProof/>
      <w:color w:val="000000"/>
      <w:kern w:val="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DF6FF9"/>
    <w:pPr>
      <w:keepNext/>
      <w:numPr>
        <w:numId w:val="1"/>
      </w:numPr>
      <w:spacing w:before="180" w:after="180" w:line="720" w:lineRule="auto"/>
      <w:outlineLvl w:val="0"/>
    </w:pPr>
    <w:rPr>
      <w:rFonts w:ascii="Arial" w:hAnsi="Arial"/>
      <w:b/>
      <w:bCs/>
      <w:kern w:val="52"/>
      <w:sz w:val="52"/>
      <w:szCs w:val="52"/>
    </w:rPr>
  </w:style>
  <w:style w:type="paragraph" w:styleId="2">
    <w:name w:val="heading 2"/>
    <w:basedOn w:val="a"/>
    <w:next w:val="a"/>
    <w:qFormat/>
    <w:rsid w:val="00DF6FF9"/>
    <w:pPr>
      <w:keepNext/>
      <w:numPr>
        <w:ilvl w:val="1"/>
        <w:numId w:val="1"/>
      </w:numPr>
      <w:spacing w:line="720" w:lineRule="auto"/>
      <w:outlineLvl w:val="1"/>
    </w:pPr>
    <w:rPr>
      <w:rFonts w:ascii="Arial" w:hAnsi="Arial"/>
      <w:b/>
      <w:bCs/>
      <w:sz w:val="48"/>
      <w:szCs w:val="48"/>
    </w:rPr>
  </w:style>
  <w:style w:type="paragraph" w:styleId="3">
    <w:name w:val="heading 3"/>
    <w:basedOn w:val="a"/>
    <w:next w:val="a"/>
    <w:qFormat/>
    <w:rsid w:val="00DF6FF9"/>
    <w:pPr>
      <w:keepNext/>
      <w:numPr>
        <w:ilvl w:val="2"/>
        <w:numId w:val="1"/>
      </w:numPr>
      <w:spacing w:line="720" w:lineRule="auto"/>
      <w:outlineLvl w:val="2"/>
    </w:pPr>
    <w:rPr>
      <w:rFonts w:ascii="Arial" w:hAnsi="Arial"/>
      <w:b/>
      <w:bCs/>
      <w:sz w:val="36"/>
      <w:szCs w:val="36"/>
    </w:rPr>
  </w:style>
  <w:style w:type="paragraph" w:styleId="4">
    <w:name w:val="heading 4"/>
    <w:basedOn w:val="a"/>
    <w:next w:val="a"/>
    <w:link w:val="40"/>
    <w:qFormat/>
    <w:rsid w:val="00DF6FF9"/>
    <w:pPr>
      <w:keepNext/>
      <w:numPr>
        <w:ilvl w:val="3"/>
        <w:numId w:val="1"/>
      </w:numPr>
      <w:spacing w:line="720" w:lineRule="auto"/>
      <w:outlineLvl w:val="3"/>
    </w:pPr>
    <w:rPr>
      <w:rFonts w:ascii="Arial" w:hAnsi="Arial"/>
      <w:sz w:val="36"/>
      <w:szCs w:val="36"/>
    </w:rPr>
  </w:style>
  <w:style w:type="paragraph" w:styleId="5">
    <w:name w:val="heading 5"/>
    <w:basedOn w:val="a"/>
    <w:next w:val="a"/>
    <w:qFormat/>
    <w:rsid w:val="00DF6FF9"/>
    <w:pPr>
      <w:keepNext/>
      <w:numPr>
        <w:ilvl w:val="4"/>
        <w:numId w:val="1"/>
      </w:numPr>
      <w:spacing w:line="720" w:lineRule="auto"/>
      <w:outlineLvl w:val="4"/>
    </w:pPr>
    <w:rPr>
      <w:rFonts w:ascii="Arial" w:hAnsi="Arial"/>
      <w:b/>
      <w:bCs/>
      <w:sz w:val="36"/>
      <w:szCs w:val="36"/>
    </w:rPr>
  </w:style>
  <w:style w:type="paragraph" w:styleId="6">
    <w:name w:val="heading 6"/>
    <w:basedOn w:val="a"/>
    <w:next w:val="a"/>
    <w:qFormat/>
    <w:rsid w:val="00DF6FF9"/>
    <w:pPr>
      <w:keepNext/>
      <w:numPr>
        <w:ilvl w:val="5"/>
        <w:numId w:val="1"/>
      </w:numPr>
      <w:spacing w:line="720" w:lineRule="auto"/>
      <w:outlineLvl w:val="5"/>
    </w:pPr>
    <w:rPr>
      <w:rFonts w:ascii="Arial" w:hAnsi="Arial"/>
      <w:sz w:val="36"/>
      <w:szCs w:val="36"/>
    </w:rPr>
  </w:style>
  <w:style w:type="paragraph" w:styleId="7">
    <w:name w:val="heading 7"/>
    <w:basedOn w:val="a"/>
    <w:next w:val="a"/>
    <w:qFormat/>
    <w:rsid w:val="00DF6FF9"/>
    <w:pPr>
      <w:keepNext/>
      <w:numPr>
        <w:ilvl w:val="6"/>
        <w:numId w:val="1"/>
      </w:numPr>
      <w:spacing w:line="720" w:lineRule="auto"/>
      <w:outlineLvl w:val="6"/>
    </w:pPr>
    <w:rPr>
      <w:rFonts w:ascii="Arial" w:hAnsi="Arial"/>
      <w:b/>
      <w:bCs/>
      <w:sz w:val="36"/>
      <w:szCs w:val="36"/>
    </w:rPr>
  </w:style>
  <w:style w:type="paragraph" w:styleId="8">
    <w:name w:val="heading 8"/>
    <w:basedOn w:val="a"/>
    <w:next w:val="a"/>
    <w:qFormat/>
    <w:rsid w:val="00DF6FF9"/>
    <w:pPr>
      <w:keepNext/>
      <w:numPr>
        <w:ilvl w:val="7"/>
        <w:numId w:val="1"/>
      </w:numPr>
      <w:spacing w:line="720" w:lineRule="auto"/>
      <w:outlineLvl w:val="7"/>
    </w:pPr>
    <w:rPr>
      <w:rFonts w:ascii="Arial" w:hAnsi="Arial"/>
      <w:sz w:val="36"/>
      <w:szCs w:val="36"/>
    </w:rPr>
  </w:style>
  <w:style w:type="paragraph" w:styleId="9">
    <w:name w:val="heading 9"/>
    <w:basedOn w:val="a"/>
    <w:next w:val="a"/>
    <w:qFormat/>
    <w:rsid w:val="00DF6FF9"/>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DF6FF9"/>
    <w:pPr>
      <w:spacing w:after="120"/>
      <w:ind w:leftChars="200" w:left="480"/>
    </w:pPr>
  </w:style>
  <w:style w:type="paragraph" w:styleId="20">
    <w:name w:val="Body Text Indent 2"/>
    <w:basedOn w:val="a"/>
    <w:rsid w:val="00DF6FF9"/>
    <w:pPr>
      <w:spacing w:after="120" w:line="480" w:lineRule="auto"/>
      <w:ind w:leftChars="200" w:left="480"/>
    </w:pPr>
  </w:style>
  <w:style w:type="character" w:styleId="a5">
    <w:name w:val="Hyperlink"/>
    <w:basedOn w:val="a0"/>
    <w:uiPriority w:val="99"/>
    <w:rsid w:val="00DF6FF9"/>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6">
    <w:name w:val="annotation text"/>
    <w:basedOn w:val="a"/>
    <w:semiHidden/>
    <w:rsid w:val="00DF6FF9"/>
  </w:style>
  <w:style w:type="character" w:customStyle="1" w:styleId="a7">
    <w:name w:val="字元 字元"/>
    <w:basedOn w:val="a0"/>
    <w:semiHidden/>
    <w:locked/>
    <w:rsid w:val="00DF6FF9"/>
    <w:rPr>
      <w:rFonts w:eastAsia="新細明體"/>
      <w:kern w:val="2"/>
      <w:sz w:val="24"/>
      <w:szCs w:val="24"/>
      <w:lang w:val="en-US" w:eastAsia="zh-TW" w:bidi="ar-SA"/>
    </w:rPr>
  </w:style>
  <w:style w:type="character" w:customStyle="1" w:styleId="09">
    <w:name w:val="書籤字型09"/>
    <w:basedOn w:val="a0"/>
    <w:rsid w:val="00DF6FF9"/>
    <w:rPr>
      <w:rFonts w:ascii="Book Antiqua" w:eastAsia="標楷體" w:hAnsi="Book Antiqua" w:hint="default"/>
      <w:spacing w:val="0"/>
      <w:w w:val="100"/>
      <w:position w:val="0"/>
      <w:sz w:val="18"/>
    </w:rPr>
  </w:style>
  <w:style w:type="paragraph" w:styleId="a8">
    <w:name w:val="header"/>
    <w:basedOn w:val="a"/>
    <w:rsid w:val="00DF6FF9"/>
    <w:pPr>
      <w:tabs>
        <w:tab w:val="center" w:pos="4153"/>
        <w:tab w:val="right" w:pos="8306"/>
      </w:tabs>
      <w:snapToGrid w:val="0"/>
    </w:pPr>
    <w:rPr>
      <w:sz w:val="20"/>
      <w:szCs w:val="20"/>
    </w:rPr>
  </w:style>
  <w:style w:type="paragraph" w:styleId="a9">
    <w:name w:val="footer"/>
    <w:basedOn w:val="a"/>
    <w:link w:val="aa"/>
    <w:uiPriority w:val="99"/>
    <w:rsid w:val="00DF6FF9"/>
    <w:pPr>
      <w:tabs>
        <w:tab w:val="center" w:pos="4153"/>
        <w:tab w:val="right" w:pos="8306"/>
      </w:tabs>
      <w:snapToGrid w:val="0"/>
    </w:pPr>
    <w:rPr>
      <w:sz w:val="20"/>
      <w:szCs w:val="20"/>
    </w:rPr>
  </w:style>
  <w:style w:type="character" w:styleId="ab">
    <w:name w:val="page number"/>
    <w:basedOn w:val="a0"/>
    <w:rsid w:val="00DF6FF9"/>
  </w:style>
  <w:style w:type="character" w:styleId="ac">
    <w:name w:val="Strong"/>
    <w:basedOn w:val="a0"/>
    <w:qFormat/>
    <w:rsid w:val="00DF6FF9"/>
    <w:rPr>
      <w:b/>
      <w:bCs/>
    </w:rPr>
  </w:style>
  <w:style w:type="paragraph" w:styleId="Web">
    <w:name w:val="Normal (Web)"/>
    <w:basedOn w:val="a"/>
    <w:uiPriority w:val="99"/>
    <w:rsid w:val="00DF6FF9"/>
    <w:pPr>
      <w:widowControl/>
      <w:spacing w:before="100" w:beforeAutospacing="1" w:after="100" w:afterAutospacing="1"/>
    </w:pPr>
    <w:rPr>
      <w:rFonts w:ascii="新細明體" w:hAnsi="新細明體"/>
      <w:kern w:val="0"/>
    </w:rPr>
  </w:style>
  <w:style w:type="paragraph" w:styleId="ad">
    <w:name w:val="Date"/>
    <w:basedOn w:val="a"/>
    <w:next w:val="a"/>
    <w:rsid w:val="00DF6FF9"/>
    <w:pPr>
      <w:jc w:val="right"/>
    </w:pPr>
  </w:style>
  <w:style w:type="paragraph" w:styleId="30">
    <w:name w:val="Body Text Indent 3"/>
    <w:basedOn w:val="a"/>
    <w:rsid w:val="00DF6FF9"/>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DF6FF9"/>
    <w:rPr>
      <w:color w:val="800080"/>
      <w:u w:val="single"/>
    </w:rPr>
  </w:style>
  <w:style w:type="paragraph" w:customStyle="1" w:styleId="aa0">
    <w:name w:val="aa"/>
    <w:basedOn w:val="a"/>
    <w:rsid w:val="00DF6FF9"/>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DF6FF9"/>
  </w:style>
  <w:style w:type="paragraph" w:styleId="21">
    <w:name w:val="index 2"/>
    <w:basedOn w:val="a"/>
    <w:next w:val="a"/>
    <w:autoRedefine/>
    <w:semiHidden/>
    <w:rsid w:val="00DF6FF9"/>
    <w:pPr>
      <w:ind w:leftChars="200" w:left="200"/>
    </w:pPr>
  </w:style>
  <w:style w:type="paragraph" w:styleId="31">
    <w:name w:val="index 3"/>
    <w:basedOn w:val="a"/>
    <w:next w:val="a"/>
    <w:autoRedefine/>
    <w:semiHidden/>
    <w:rsid w:val="00DF6FF9"/>
    <w:pPr>
      <w:ind w:leftChars="400" w:left="400"/>
    </w:pPr>
  </w:style>
  <w:style w:type="paragraph" w:styleId="41">
    <w:name w:val="index 4"/>
    <w:basedOn w:val="a"/>
    <w:next w:val="a"/>
    <w:autoRedefine/>
    <w:semiHidden/>
    <w:rsid w:val="00DF6FF9"/>
    <w:pPr>
      <w:ind w:leftChars="600" w:left="600"/>
    </w:pPr>
  </w:style>
  <w:style w:type="paragraph" w:styleId="50">
    <w:name w:val="index 5"/>
    <w:basedOn w:val="a"/>
    <w:next w:val="a"/>
    <w:autoRedefine/>
    <w:semiHidden/>
    <w:rsid w:val="00DF6FF9"/>
    <w:pPr>
      <w:ind w:leftChars="800" w:left="800"/>
    </w:pPr>
  </w:style>
  <w:style w:type="paragraph" w:styleId="60">
    <w:name w:val="index 6"/>
    <w:basedOn w:val="a"/>
    <w:next w:val="a"/>
    <w:autoRedefine/>
    <w:semiHidden/>
    <w:rsid w:val="00DF6FF9"/>
    <w:pPr>
      <w:ind w:leftChars="1000" w:left="1000"/>
    </w:pPr>
  </w:style>
  <w:style w:type="paragraph" w:styleId="70">
    <w:name w:val="index 7"/>
    <w:basedOn w:val="a"/>
    <w:next w:val="a"/>
    <w:autoRedefine/>
    <w:semiHidden/>
    <w:rsid w:val="00DF6FF9"/>
    <w:pPr>
      <w:ind w:leftChars="1200" w:left="1200"/>
    </w:pPr>
  </w:style>
  <w:style w:type="paragraph" w:styleId="80">
    <w:name w:val="index 8"/>
    <w:basedOn w:val="a"/>
    <w:next w:val="a"/>
    <w:autoRedefine/>
    <w:semiHidden/>
    <w:rsid w:val="00DF6FF9"/>
    <w:pPr>
      <w:ind w:leftChars="1400" w:left="1400"/>
    </w:pPr>
  </w:style>
  <w:style w:type="paragraph" w:styleId="90">
    <w:name w:val="index 9"/>
    <w:basedOn w:val="a"/>
    <w:next w:val="a"/>
    <w:autoRedefine/>
    <w:semiHidden/>
    <w:rsid w:val="00DF6FF9"/>
    <w:pPr>
      <w:ind w:leftChars="1600" w:left="1600"/>
    </w:pPr>
  </w:style>
  <w:style w:type="paragraph" w:styleId="af">
    <w:name w:val="index heading"/>
    <w:basedOn w:val="a"/>
    <w:next w:val="11"/>
    <w:semiHidden/>
    <w:rsid w:val="00DF6FF9"/>
  </w:style>
  <w:style w:type="character" w:styleId="af0">
    <w:name w:val="annotation reference"/>
    <w:basedOn w:val="a0"/>
    <w:semiHidden/>
    <w:rsid w:val="00DF6FF9"/>
    <w:rPr>
      <w:sz w:val="18"/>
      <w:szCs w:val="18"/>
    </w:rPr>
  </w:style>
  <w:style w:type="paragraph" w:styleId="af1">
    <w:name w:val="footnote text"/>
    <w:basedOn w:val="a"/>
    <w:semiHidden/>
    <w:rsid w:val="00DF6FF9"/>
    <w:pPr>
      <w:snapToGrid w:val="0"/>
    </w:pPr>
    <w:rPr>
      <w:sz w:val="20"/>
      <w:szCs w:val="20"/>
    </w:rPr>
  </w:style>
  <w:style w:type="character" w:styleId="af2">
    <w:name w:val="footnote reference"/>
    <w:basedOn w:val="a0"/>
    <w:semiHidden/>
    <w:rsid w:val="00DF6FF9"/>
    <w:rPr>
      <w:vertAlign w:val="superscript"/>
    </w:rPr>
  </w:style>
  <w:style w:type="paragraph" w:styleId="af3">
    <w:name w:val="annotation subject"/>
    <w:basedOn w:val="a6"/>
    <w:next w:val="a6"/>
    <w:semiHidden/>
    <w:rsid w:val="00DF6FF9"/>
    <w:rPr>
      <w:b/>
      <w:bCs/>
    </w:rPr>
  </w:style>
  <w:style w:type="paragraph" w:styleId="af4">
    <w:name w:val="Balloon Text"/>
    <w:basedOn w:val="a"/>
    <w:semiHidden/>
    <w:rsid w:val="00DF6FF9"/>
    <w:rPr>
      <w:rFonts w:ascii="Arial" w:hAnsi="Arial"/>
      <w:sz w:val="18"/>
      <w:szCs w:val="18"/>
    </w:rPr>
  </w:style>
  <w:style w:type="paragraph" w:styleId="32">
    <w:name w:val="Body Text 3"/>
    <w:basedOn w:val="a"/>
    <w:rsid w:val="00DF6FF9"/>
    <w:rPr>
      <w:rFonts w:eastAsia="標楷體"/>
      <w:sz w:val="26"/>
    </w:rPr>
  </w:style>
  <w:style w:type="paragraph" w:styleId="22">
    <w:name w:val="Body Text 2"/>
    <w:basedOn w:val="a"/>
    <w:rsid w:val="00DF6FF9"/>
    <w:pPr>
      <w:spacing w:after="120" w:line="480" w:lineRule="auto"/>
    </w:pPr>
  </w:style>
  <w:style w:type="paragraph" w:styleId="af5">
    <w:name w:val="Body Text"/>
    <w:basedOn w:val="a"/>
    <w:rsid w:val="00DF6FF9"/>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b">
    <w:name w:val="字元"/>
    <w:basedOn w:val="a"/>
    <w:rsid w:val="00517579"/>
    <w:pPr>
      <w:widowControl/>
      <w:spacing w:after="160" w:line="240" w:lineRule="exact"/>
    </w:pPr>
    <w:rPr>
      <w:rFonts w:ascii="Arial" w:eastAsia="Times New Roman" w:hAnsi="Arial" w:cs="Arial"/>
      <w:kern w:val="0"/>
      <w:sz w:val="20"/>
      <w:szCs w:val="20"/>
      <w:lang w:eastAsia="en-US"/>
    </w:rPr>
  </w:style>
  <w:style w:type="table" w:styleId="Web1">
    <w:name w:val="Table Web 1"/>
    <w:basedOn w:val="a1"/>
    <w:rsid w:val="00E13577"/>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3">
    <w:name w:val="Table 3D effects 3"/>
    <w:basedOn w:val="a1"/>
    <w:rsid w:val="00E13577"/>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1"/>
    <w:rsid w:val="00E13577"/>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1">
    <w:name w:val="Table 3D effects 1"/>
    <w:basedOn w:val="a1"/>
    <w:rsid w:val="00E13577"/>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Web2">
    <w:name w:val="Table Web 2"/>
    <w:basedOn w:val="a1"/>
    <w:rsid w:val="00E13577"/>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4">
    <w:name w:val="本文縮排 字元"/>
    <w:basedOn w:val="a0"/>
    <w:link w:val="a3"/>
    <w:rsid w:val="00841F61"/>
    <w:rPr>
      <w:kern w:val="2"/>
      <w:sz w:val="24"/>
      <w:szCs w:val="24"/>
    </w:rPr>
  </w:style>
  <w:style w:type="paragraph" w:customStyle="1" w:styleId="12">
    <w:name w:val="樣式1"/>
    <w:basedOn w:val="a"/>
    <w:link w:val="13"/>
    <w:qFormat/>
    <w:rsid w:val="00EF1587"/>
    <w:pPr>
      <w:widowControl/>
      <w:spacing w:beforeLines="50" w:afterLines="50" w:line="360" w:lineRule="auto"/>
      <w:ind w:leftChars="300" w:left="720" w:firstLineChars="200" w:firstLine="520"/>
      <w:jc w:val="both"/>
    </w:pPr>
    <w:rPr>
      <w:rFonts w:ascii="標楷體" w:eastAsia="標楷體" w:hAnsi="標楷體" w:cs="新細明體"/>
      <w:spacing w:val="19"/>
      <w:kern w:val="0"/>
      <w:sz w:val="26"/>
      <w:szCs w:val="26"/>
    </w:rPr>
  </w:style>
  <w:style w:type="character" w:customStyle="1" w:styleId="13">
    <w:name w:val="樣式1 字元"/>
    <w:basedOn w:val="a0"/>
    <w:link w:val="12"/>
    <w:rsid w:val="00EF1587"/>
    <w:rPr>
      <w:rFonts w:ascii="標楷體" w:eastAsia="標楷體" w:hAnsi="標楷體" w:cs="新細明體"/>
      <w:spacing w:val="19"/>
      <w:sz w:val="26"/>
      <w:szCs w:val="26"/>
    </w:rPr>
  </w:style>
  <w:style w:type="paragraph" w:customStyle="1" w:styleId="TableText8">
    <w:name w:val="Table Text 8"/>
    <w:basedOn w:val="a"/>
    <w:rsid w:val="001428FC"/>
    <w:pPr>
      <w:autoSpaceDE w:val="0"/>
      <w:autoSpaceDN w:val="0"/>
      <w:adjustRightInd w:val="0"/>
    </w:pPr>
    <w:rPr>
      <w:rFonts w:ascii="Arial" w:eastAsiaTheme="minorEastAsia" w:hAnsi="Arial"/>
      <w:noProof/>
      <w:color w:val="000000"/>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34629240">
      <w:bodyDiv w:val="1"/>
      <w:marLeft w:val="0"/>
      <w:marRight w:val="0"/>
      <w:marTop w:val="0"/>
      <w:marBottom w:val="0"/>
      <w:divBdr>
        <w:top w:val="none" w:sz="0" w:space="0" w:color="auto"/>
        <w:left w:val="none" w:sz="0" w:space="0" w:color="auto"/>
        <w:bottom w:val="none" w:sz="0" w:space="0" w:color="auto"/>
        <w:right w:val="none" w:sz="0" w:space="0" w:color="auto"/>
      </w:divBdr>
    </w:div>
    <w:div w:id="238367834">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38656504">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06810551">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351889">
      <w:bodyDiv w:val="1"/>
      <w:marLeft w:val="0"/>
      <w:marRight w:val="0"/>
      <w:marTop w:val="0"/>
      <w:marBottom w:val="0"/>
      <w:divBdr>
        <w:top w:val="none" w:sz="0" w:space="0" w:color="auto"/>
        <w:left w:val="none" w:sz="0" w:space="0" w:color="auto"/>
        <w:bottom w:val="none" w:sz="0" w:space="0" w:color="auto"/>
        <w:right w:val="none" w:sz="0" w:space="0" w:color="auto"/>
      </w:divBdr>
    </w:div>
    <w:div w:id="817037852">
      <w:bodyDiv w:val="1"/>
      <w:marLeft w:val="0"/>
      <w:marRight w:val="0"/>
      <w:marTop w:val="0"/>
      <w:marBottom w:val="0"/>
      <w:divBdr>
        <w:top w:val="none" w:sz="0" w:space="0" w:color="auto"/>
        <w:left w:val="none" w:sz="0" w:space="0" w:color="auto"/>
        <w:bottom w:val="none" w:sz="0" w:space="0" w:color="auto"/>
        <w:right w:val="none" w:sz="0" w:space="0" w:color="auto"/>
      </w:divBdr>
    </w:div>
    <w:div w:id="1065907482">
      <w:bodyDiv w:val="1"/>
      <w:marLeft w:val="0"/>
      <w:marRight w:val="0"/>
      <w:marTop w:val="0"/>
      <w:marBottom w:val="0"/>
      <w:divBdr>
        <w:top w:val="none" w:sz="0" w:space="0" w:color="auto"/>
        <w:left w:val="none" w:sz="0" w:space="0" w:color="auto"/>
        <w:bottom w:val="none" w:sz="0" w:space="0" w:color="auto"/>
        <w:right w:val="none" w:sz="0" w:space="0" w:color="auto"/>
      </w:divBdr>
    </w:div>
    <w:div w:id="1174297166">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453279962">
      <w:bodyDiv w:val="1"/>
      <w:marLeft w:val="0"/>
      <w:marRight w:val="0"/>
      <w:marTop w:val="0"/>
      <w:marBottom w:val="0"/>
      <w:divBdr>
        <w:top w:val="none" w:sz="0" w:space="0" w:color="auto"/>
        <w:left w:val="none" w:sz="0" w:space="0" w:color="auto"/>
        <w:bottom w:val="none" w:sz="0" w:space="0" w:color="auto"/>
        <w:right w:val="none" w:sz="0" w:space="0" w:color="auto"/>
      </w:divBdr>
    </w:div>
    <w:div w:id="1550453229">
      <w:bodyDiv w:val="1"/>
      <w:marLeft w:val="0"/>
      <w:marRight w:val="0"/>
      <w:marTop w:val="0"/>
      <w:marBottom w:val="0"/>
      <w:divBdr>
        <w:top w:val="none" w:sz="0" w:space="0" w:color="auto"/>
        <w:left w:val="none" w:sz="0" w:space="0" w:color="auto"/>
        <w:bottom w:val="none" w:sz="0" w:space="0" w:color="auto"/>
        <w:right w:val="none" w:sz="0" w:space="0" w:color="auto"/>
      </w:divBdr>
    </w:div>
    <w:div w:id="1564681450">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641881088">
      <w:bodyDiv w:val="1"/>
      <w:marLeft w:val="0"/>
      <w:marRight w:val="0"/>
      <w:marTop w:val="0"/>
      <w:marBottom w:val="0"/>
      <w:divBdr>
        <w:top w:val="none" w:sz="0" w:space="0" w:color="auto"/>
        <w:left w:val="none" w:sz="0" w:space="0" w:color="auto"/>
        <w:bottom w:val="none" w:sz="0" w:space="0" w:color="auto"/>
        <w:right w:val="none" w:sz="0" w:space="0" w:color="auto"/>
      </w:divBdr>
    </w:div>
    <w:div w:id="1661427164">
      <w:bodyDiv w:val="1"/>
      <w:marLeft w:val="0"/>
      <w:marRight w:val="0"/>
      <w:marTop w:val="0"/>
      <w:marBottom w:val="0"/>
      <w:divBdr>
        <w:top w:val="none" w:sz="0" w:space="0" w:color="auto"/>
        <w:left w:val="none" w:sz="0" w:space="0" w:color="auto"/>
        <w:bottom w:val="none" w:sz="0" w:space="0" w:color="auto"/>
        <w:right w:val="none" w:sz="0" w:space="0" w:color="auto"/>
      </w:divBdr>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028995">
      <w:bodyDiv w:val="1"/>
      <w:marLeft w:val="0"/>
      <w:marRight w:val="0"/>
      <w:marTop w:val="0"/>
      <w:marBottom w:val="0"/>
      <w:divBdr>
        <w:top w:val="none" w:sz="0" w:space="0" w:color="auto"/>
        <w:left w:val="none" w:sz="0" w:space="0" w:color="auto"/>
        <w:bottom w:val="none" w:sz="0" w:space="0" w:color="auto"/>
        <w:right w:val="none" w:sz="0" w:space="0" w:color="auto"/>
      </w:divBdr>
    </w:div>
    <w:div w:id="1986231733">
      <w:bodyDiv w:val="1"/>
      <w:marLeft w:val="0"/>
      <w:marRight w:val="0"/>
      <w:marTop w:val="0"/>
      <w:marBottom w:val="0"/>
      <w:divBdr>
        <w:top w:val="none" w:sz="0" w:space="0" w:color="auto"/>
        <w:left w:val="none" w:sz="0" w:space="0" w:color="auto"/>
        <w:bottom w:val="none" w:sz="0" w:space="0" w:color="auto"/>
        <w:right w:val="none" w:sz="0" w:space="0" w:color="auto"/>
      </w:divBdr>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4.xml"/><Relationship Id="rId39" Type="http://schemas.openxmlformats.org/officeDocument/2006/relationships/header" Target="header16.xml"/><Relationship Id="rId21" Type="http://schemas.openxmlformats.org/officeDocument/2006/relationships/header" Target="header9.xml"/><Relationship Id="rId34" Type="http://schemas.openxmlformats.org/officeDocument/2006/relationships/oleObject" Target="embeddings/oleObject3.bin"/><Relationship Id="rId42"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4.xml"/><Relationship Id="rId29" Type="http://schemas.openxmlformats.org/officeDocument/2006/relationships/image" Target="media/image3.wmf"/><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oleObject" Target="embeddings/oleObject2.bin"/><Relationship Id="rId37" Type="http://schemas.openxmlformats.org/officeDocument/2006/relationships/image" Target="media/image7.wmf"/><Relationship Id="rId40"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11.xml"/><Relationship Id="rId28" Type="http://schemas.openxmlformats.org/officeDocument/2006/relationships/header" Target="header15.xml"/><Relationship Id="rId36" Type="http://schemas.openxmlformats.org/officeDocument/2006/relationships/oleObject" Target="embeddings/oleObject4.bin"/><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image" Target="media/image4.w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oleObject" Target="embeddings/oleObject1.bin"/><Relationship Id="rId35" Type="http://schemas.openxmlformats.org/officeDocument/2006/relationships/image" Target="media/image6.w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image" Target="media/image5.wmf"/><Relationship Id="rId38" Type="http://schemas.openxmlformats.org/officeDocument/2006/relationships/oleObject" Target="embeddings/oleObject5.bin"/></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DF3C4F-612F-48EA-A03D-D0513407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14</TotalTime>
  <Pages>58</Pages>
  <Words>3383</Words>
  <Characters>19287</Characters>
  <Application>Microsoft Office Word</Application>
  <DocSecurity>0</DocSecurity>
  <Lines>160</Lines>
  <Paragraphs>45</Paragraphs>
  <ScaleCrop>false</ScaleCrop>
  <Company/>
  <LinksUpToDate>false</LinksUpToDate>
  <CharactersWithSpaces>22625</CharactersWithSpaces>
  <SharedDoc>false</SharedDoc>
  <HLinks>
    <vt:vector size="54" baseType="variant">
      <vt:variant>
        <vt:i4>1638461</vt:i4>
      </vt:variant>
      <vt:variant>
        <vt:i4>50</vt:i4>
      </vt:variant>
      <vt:variant>
        <vt:i4>0</vt:i4>
      </vt:variant>
      <vt:variant>
        <vt:i4>5</vt:i4>
      </vt:variant>
      <vt:variant>
        <vt:lpwstr/>
      </vt:variant>
      <vt:variant>
        <vt:lpwstr>_Toc359935475</vt:lpwstr>
      </vt:variant>
      <vt:variant>
        <vt:i4>1638461</vt:i4>
      </vt:variant>
      <vt:variant>
        <vt:i4>44</vt:i4>
      </vt:variant>
      <vt:variant>
        <vt:i4>0</vt:i4>
      </vt:variant>
      <vt:variant>
        <vt:i4>5</vt:i4>
      </vt:variant>
      <vt:variant>
        <vt:lpwstr/>
      </vt:variant>
      <vt:variant>
        <vt:lpwstr>_Toc359935474</vt:lpwstr>
      </vt:variant>
      <vt:variant>
        <vt:i4>1638461</vt:i4>
      </vt:variant>
      <vt:variant>
        <vt:i4>38</vt:i4>
      </vt:variant>
      <vt:variant>
        <vt:i4>0</vt:i4>
      </vt:variant>
      <vt:variant>
        <vt:i4>5</vt:i4>
      </vt:variant>
      <vt:variant>
        <vt:lpwstr/>
      </vt:variant>
      <vt:variant>
        <vt:lpwstr>_Toc359935473</vt:lpwstr>
      </vt:variant>
      <vt:variant>
        <vt:i4>1638461</vt:i4>
      </vt:variant>
      <vt:variant>
        <vt:i4>32</vt:i4>
      </vt:variant>
      <vt:variant>
        <vt:i4>0</vt:i4>
      </vt:variant>
      <vt:variant>
        <vt:i4>5</vt:i4>
      </vt:variant>
      <vt:variant>
        <vt:lpwstr/>
      </vt:variant>
      <vt:variant>
        <vt:lpwstr>_Toc359935472</vt:lpwstr>
      </vt:variant>
      <vt:variant>
        <vt:i4>1638461</vt:i4>
      </vt:variant>
      <vt:variant>
        <vt:i4>26</vt:i4>
      </vt:variant>
      <vt:variant>
        <vt:i4>0</vt:i4>
      </vt:variant>
      <vt:variant>
        <vt:i4>5</vt:i4>
      </vt:variant>
      <vt:variant>
        <vt:lpwstr/>
      </vt:variant>
      <vt:variant>
        <vt:lpwstr>_Toc359935471</vt:lpwstr>
      </vt:variant>
      <vt:variant>
        <vt:i4>1638461</vt:i4>
      </vt:variant>
      <vt:variant>
        <vt:i4>20</vt:i4>
      </vt:variant>
      <vt:variant>
        <vt:i4>0</vt:i4>
      </vt:variant>
      <vt:variant>
        <vt:i4>5</vt:i4>
      </vt:variant>
      <vt:variant>
        <vt:lpwstr/>
      </vt:variant>
      <vt:variant>
        <vt:lpwstr>_Toc359935470</vt:lpwstr>
      </vt:variant>
      <vt:variant>
        <vt:i4>1572925</vt:i4>
      </vt:variant>
      <vt:variant>
        <vt:i4>14</vt:i4>
      </vt:variant>
      <vt:variant>
        <vt:i4>0</vt:i4>
      </vt:variant>
      <vt:variant>
        <vt:i4>5</vt:i4>
      </vt:variant>
      <vt:variant>
        <vt:lpwstr/>
      </vt:variant>
      <vt:variant>
        <vt:lpwstr>_Toc359935469</vt:lpwstr>
      </vt:variant>
      <vt:variant>
        <vt:i4>1572925</vt:i4>
      </vt:variant>
      <vt:variant>
        <vt:i4>8</vt:i4>
      </vt:variant>
      <vt:variant>
        <vt:i4>0</vt:i4>
      </vt:variant>
      <vt:variant>
        <vt:i4>5</vt:i4>
      </vt:variant>
      <vt:variant>
        <vt:lpwstr/>
      </vt:variant>
      <vt:variant>
        <vt:lpwstr>_Toc359935468</vt:lpwstr>
      </vt:variant>
      <vt:variant>
        <vt:i4>1572925</vt:i4>
      </vt:variant>
      <vt:variant>
        <vt:i4>2</vt:i4>
      </vt:variant>
      <vt:variant>
        <vt:i4>0</vt:i4>
      </vt:variant>
      <vt:variant>
        <vt:i4>5</vt:i4>
      </vt:variant>
      <vt:variant>
        <vt:lpwstr/>
      </vt:variant>
      <vt:variant>
        <vt:lpwstr>_Toc359935467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9</cp:revision>
  <cp:lastPrinted>2017-05-03T01:35:00Z</cp:lastPrinted>
  <dcterms:created xsi:type="dcterms:W3CDTF">2017-04-25T03:25:00Z</dcterms:created>
  <dcterms:modified xsi:type="dcterms:W3CDTF">2017-06-02T06:57:00Z</dcterms:modified>
</cp:coreProperties>
</file>