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pPr w:leftFromText="180" w:rightFromText="180" w:vertAnchor="text" w:horzAnchor="margin" w:tblpY="481"/>
        <w:tblW w:w="0" w:type="auto"/>
        <w:tblInd w:w="0"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6926"/>
      </w:tblGrid>
      <w:tr w14:paraId="1D223411">
        <w:tc>
          <w:tcPr>
            <w:tcW w:w="1380" w:type="dxa"/>
            <w:tcBorders>
              <w:top w:val="single" w:color="auto" w:sz="4" w:space="0"/>
            </w:tcBorders>
          </w:tcPr>
          <w:p w14:paraId="3140EEA0">
            <w:pPr>
              <w:tabs>
                <w:tab w:val="left" w:pos="1350"/>
              </w:tabs>
              <w:spacing w:line="360" w:lineRule="auto"/>
              <w:jc w:val="left"/>
              <w:rPr>
                <w:rFonts w:ascii="Times New Roman" w:hAnsi="Times New Roman"/>
                <w:sz w:val="22"/>
              </w:rPr>
            </w:pPr>
            <w:r>
              <w:rPr>
                <w:rFonts w:ascii="Times New Roman" w:hAnsi="Times New Roman"/>
                <w:sz w:val="22"/>
              </w:rPr>
              <w:t>No.</w:t>
            </w:r>
          </w:p>
        </w:tc>
        <w:tc>
          <w:tcPr>
            <w:tcW w:w="6926" w:type="dxa"/>
            <w:tcBorders>
              <w:top w:val="single" w:color="auto" w:sz="4" w:space="0"/>
            </w:tcBorders>
          </w:tcPr>
          <w:p w14:paraId="230F4DA3">
            <w:pPr>
              <w:tabs>
                <w:tab w:val="left" w:pos="1350"/>
              </w:tabs>
              <w:spacing w:line="360" w:lineRule="auto"/>
              <w:jc w:val="left"/>
              <w:rPr>
                <w:rFonts w:ascii="Times New Roman" w:hAnsi="Times New Roman"/>
                <w:sz w:val="22"/>
              </w:rPr>
            </w:pPr>
          </w:p>
        </w:tc>
      </w:tr>
      <w:tr w14:paraId="0DBB4B6F">
        <w:tc>
          <w:tcPr>
            <w:tcW w:w="1380" w:type="dxa"/>
          </w:tcPr>
          <w:p w14:paraId="44343F73">
            <w:pPr>
              <w:tabs>
                <w:tab w:val="left" w:pos="1350"/>
              </w:tabs>
              <w:spacing w:line="360" w:lineRule="auto"/>
              <w:jc w:val="left"/>
              <w:rPr>
                <w:rFonts w:ascii="Times New Roman" w:hAnsi="Times New Roman"/>
                <w:sz w:val="22"/>
              </w:rPr>
            </w:pPr>
          </w:p>
        </w:tc>
        <w:tc>
          <w:tcPr>
            <w:tcW w:w="6926" w:type="dxa"/>
          </w:tcPr>
          <w:p w14:paraId="06F831B2">
            <w:pPr>
              <w:tabs>
                <w:tab w:val="left" w:pos="1350"/>
              </w:tabs>
              <w:spacing w:line="360" w:lineRule="auto"/>
              <w:jc w:val="left"/>
              <w:rPr>
                <w:rFonts w:ascii="Times New Roman" w:hAnsi="Times New Roman"/>
                <w:sz w:val="22"/>
              </w:rPr>
            </w:pPr>
          </w:p>
        </w:tc>
      </w:tr>
      <w:tr w14:paraId="5A8490E6">
        <w:tc>
          <w:tcPr>
            <w:tcW w:w="1380" w:type="dxa"/>
          </w:tcPr>
          <w:p w14:paraId="6549A116">
            <w:pPr>
              <w:tabs>
                <w:tab w:val="left" w:pos="1350"/>
              </w:tabs>
              <w:spacing w:line="360" w:lineRule="auto"/>
              <w:jc w:val="left"/>
              <w:rPr>
                <w:rFonts w:ascii="Times New Roman" w:hAnsi="Times New Roman"/>
                <w:sz w:val="22"/>
              </w:rPr>
            </w:pPr>
            <w:r>
              <w:rPr>
                <w:rFonts w:ascii="Times New Roman" w:hAnsi="Times New Roman"/>
                <w:sz w:val="22"/>
              </w:rPr>
              <w:t>Title:</w:t>
            </w:r>
          </w:p>
        </w:tc>
        <w:tc>
          <w:tcPr>
            <w:tcW w:w="6926" w:type="dxa"/>
          </w:tcPr>
          <w:p w14:paraId="05B508DF">
            <w:pPr>
              <w:spacing w:line="240" w:lineRule="auto"/>
              <w:jc w:val="both"/>
              <w:rPr>
                <w:rFonts w:hint="default" w:ascii="Times New Roman Bold" w:hAnsi="Times New Roman Bold" w:eastAsia="宋体" w:cs="Times New Roman Bold"/>
                <w:b/>
                <w:bCs/>
                <w:sz w:val="24"/>
                <w:szCs w:val="24"/>
                <w:lang w:val="en-US" w:eastAsia="zh-CN"/>
              </w:rPr>
            </w:pPr>
            <w:r>
              <w:rPr>
                <w:rFonts w:hint="default" w:ascii="Times New Roman" w:hAnsi="Times New Roman" w:cs="Times New Roman"/>
                <w:b w:val="0"/>
                <w:bCs w:val="0"/>
                <w:sz w:val="24"/>
                <w:szCs w:val="24"/>
                <w:lang w:eastAsia="zh-CN"/>
              </w:rPr>
              <w:t>DCCA-GS</w:t>
            </w:r>
            <w:r>
              <w:rPr>
                <w:rFonts w:hint="default"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rPr>
              <w:t>Decoder-Reproducible</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 xml:space="preserve">Content-Adaptive Compression for Anchor-Hash </w:t>
            </w:r>
            <w:r>
              <w:rPr>
                <w:rFonts w:hint="eastAsia" w:ascii="Times New Roman" w:hAnsi="Times New Roman" w:cs="Times New Roman"/>
                <w:b w:val="0"/>
                <w:bCs w:val="0"/>
                <w:sz w:val="24"/>
                <w:szCs w:val="24"/>
                <w:lang w:val="en-US" w:eastAsia="zh-CN"/>
              </w:rPr>
              <w:t>3DGS</w:t>
            </w:r>
          </w:p>
        </w:tc>
      </w:tr>
      <w:tr w14:paraId="5CB53998">
        <w:tc>
          <w:tcPr>
            <w:tcW w:w="1380" w:type="dxa"/>
          </w:tcPr>
          <w:p w14:paraId="2AB7ACDC">
            <w:pPr>
              <w:tabs>
                <w:tab w:val="left" w:pos="1350"/>
              </w:tabs>
              <w:spacing w:line="360" w:lineRule="auto"/>
              <w:jc w:val="left"/>
              <w:rPr>
                <w:rFonts w:ascii="Times New Roman" w:hAnsi="Times New Roman"/>
                <w:sz w:val="22"/>
              </w:rPr>
            </w:pPr>
            <w:r>
              <w:rPr>
                <w:rFonts w:ascii="Times New Roman" w:hAnsi="Times New Roman"/>
                <w:sz w:val="22"/>
              </w:rPr>
              <w:t>Meeting</w:t>
            </w:r>
          </w:p>
          <w:p w14:paraId="636F3D93">
            <w:pPr>
              <w:tabs>
                <w:tab w:val="left" w:pos="1350"/>
              </w:tabs>
              <w:spacing w:line="360" w:lineRule="auto"/>
              <w:jc w:val="left"/>
              <w:rPr>
                <w:rFonts w:ascii="Times New Roman" w:hAnsi="Times New Roman"/>
                <w:sz w:val="22"/>
              </w:rPr>
            </w:pPr>
            <w:r>
              <w:rPr>
                <w:rFonts w:ascii="Times New Roman" w:hAnsi="Times New Roman"/>
                <w:sz w:val="22"/>
              </w:rPr>
              <w:t>Date/Place:</w:t>
            </w:r>
          </w:p>
        </w:tc>
        <w:tc>
          <w:tcPr>
            <w:tcW w:w="6926" w:type="dxa"/>
          </w:tcPr>
          <w:p w14:paraId="04DE44F9">
            <w:pPr>
              <w:tabs>
                <w:tab w:val="left" w:pos="1350"/>
              </w:tabs>
              <w:spacing w:line="360" w:lineRule="auto"/>
              <w:jc w:val="left"/>
              <w:rPr>
                <w:rFonts w:ascii="Times New Roman" w:hAnsi="Times New Roman"/>
                <w:sz w:val="22"/>
              </w:rPr>
            </w:pPr>
          </w:p>
        </w:tc>
      </w:tr>
    </w:tbl>
    <w:p w14:paraId="2F6F6C9D">
      <w:pPr>
        <w:pStyle w:val="2"/>
        <w:spacing w:before="40" w:after="40"/>
      </w:pPr>
      <w:r>
        <w:t>Abstract</w:t>
      </w:r>
    </w:p>
    <w:p w14:paraId="72C3D97A">
      <w:pPr>
        <w:spacing w:after="120" w:line="240" w:lineRule="auto"/>
        <w:jc w:val="both"/>
        <w:rPr>
          <w:rFonts w:hint="default" w:ascii="Times New Roman" w:hAnsi="Times New Roman" w:eastAsia="宋体" w:cs="Times New Roman"/>
          <w:b w:val="0"/>
          <w:i w:val="0"/>
          <w:strike w:val="0"/>
          <w:color w:val="auto"/>
          <w:sz w:val="24"/>
          <w:u w:val="none"/>
        </w:rPr>
      </w:pPr>
      <w:r>
        <w:t>3D Gaussian Splatting (3DGS) achieves high-quality real-time novel-view rendering with explicit Gaussian primitives, but the per-primitive storage of geometry, covariance, opacity, and appearance grows rapidly with scene scale, making storage and transmission a deployment bottleneck for large-scale UAV and multi-view capture. This contribution describes DCCA-GS (Decoder-Reproducible Content-Adaptive Compression for Anchor-Based 3D Gaussian Splatting), built on the HAC++ anchor-hash entropy-coding framework. DCCA-GS keeps the HAC++ main pipeline (structured anchors, hash-grid context, conditional entropy model, arithmetic coding, G-PCC geometry) and adds four evaluated components: (1) decoder-reproducible content-adaptive formula quantization (I2), in which every quantization step is recomputed on both ends from a 4-dimensional descriptor of decoder-reconstructable structural quantities, so no per-anchor step data is transmitted; (2) a training-only render-sensitivity supervision (I6) that steers the complexity network without changing the bitstream; (3) mixed-precision post-training quantization of the decoder MLPs, with a per-group bit-width assignment derived from per-MLP sensitivity ablations, charged to the reported size; and (4) training-side anchor sparsity with ADMM projection (SPA), which imposes a hard anchor budget during training and re-adapts the surviving anchors under that budget, defining a low-rate operating point (74% size reduction at 0.84 dB PSNR cost on Deep-Blending playroom at 110k). Components (1) and (2) are jointly designed; their interaction is analyzed in the ablation study, where I6 is critical at low-rate SPA points (+0.42 dB). On the 4-28 UAV scene, the 110k-iteration operating point with MLP quantization reaches 28.82 dB PSNR at 5.49 MiB decode-required size, versus 28.31 dB at 6.95 MiB for the paper-reported HAC++ point on the same scene; on Deep Blending, playroom reaches 30.73 dB at 4.22 MiB and drjohnson 30.04 dB at 6.85 MiB. We also report quantitative analyses of codec efficiency (actual/estimated bits close to 1.0), a KL-redundancy lower bound for the scaling field, bitstream composition, rate-distortion behavior over lambda and training steps, and documented negative results (context conditioning below 2.3%, residual coding, and sensitivity side information). All bitstreams pass bit-exact standalone decoding verification.</w:t>
      </w:r>
    </w:p>
    <w:p w14:paraId="6FC3B2BD">
      <w:pPr>
        <w:pStyle w:val="2"/>
        <w:numPr>
          <w:ilvl w:val="0"/>
          <w:numId w:val="6"/>
        </w:numPr>
        <w:spacing w:before="40" w:after="40"/>
      </w:pPr>
      <w:r>
        <w:rPr>
          <w:rFonts w:hint="eastAsia"/>
        </w:rPr>
        <w:t>Introduction</w:t>
      </w:r>
    </w:p>
    <w:p w14:paraId="3BEDF5F0">
      <w:pPr>
        <w:rPr>
          <w:rFonts w:hint="default" w:ascii="Times New Roman" w:hAnsi="Times New Roman" w:cs="Times New Roman"/>
          <w:sz w:val="24"/>
          <w:szCs w:val="24"/>
        </w:rPr>
      </w:pPr>
      <w:r>
        <w:rPr>
          <w:rFonts w:hint="default" w:ascii="Times New Roman" w:hAnsi="Times New Roman" w:cs="Times New Roman"/>
          <w:b w:val="0"/>
          <w:i w:val="0"/>
          <w:sz w:val="24"/>
          <w:szCs w:val="24"/>
        </w:rPr>
        <w:t>3DGS represents a scene with a large number of anisotropic Gaussian primitives and renders them through a visibility-aware splatting pipeline. The explicit attribute storage makes model size grow quickly with scene scale. UAV aerial surveys, indoor multi-view captures, and museum-scale reconstructions all exhibit large spatial extent combined with fine local detail, which is exactly the regime in which storage and bandwidth dominate deployment cost. Beyond compression ratio, a practical solution must be decoder-self-contained, bit-exactly reproducible, and efficient at inference time.</w:t>
      </w:r>
    </w:p>
    <w:p w14:paraId="6DFCABC8">
      <w:pPr>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Anchor-based representations such as Scaffold-GS generate view-adaptive Gaussians from sparse anchors and remove inter-primitive redundancy. HAC and HAC++ go further: they model the joint distribution of anchor attributes with a conditional entropy model built on a multi-resolution hash grid and entropy-code the quantized symbols. HAC++ is the reference framework of this contribution. </w:t>
      </w:r>
      <w:r>
        <w:rPr>
          <w:rFonts w:hint="eastAsia" w:ascii="Times New Roman" w:hAnsi="Times New Roman" w:cs="Times New Roman"/>
          <w:b w:val="0"/>
          <w:i w:val="0"/>
          <w:sz w:val="24"/>
          <w:szCs w:val="24"/>
          <w:lang w:eastAsia="zh-CN"/>
        </w:rPr>
        <w:t>DCCA-GS</w:t>
      </w:r>
      <w:r>
        <w:rPr>
          <w:rFonts w:hint="default" w:ascii="Times New Roman" w:hAnsi="Times New Roman" w:cs="Times New Roman"/>
          <w:b w:val="0"/>
          <w:i w:val="0"/>
          <w:sz w:val="24"/>
          <w:szCs w:val="24"/>
        </w:rPr>
        <w:t xml:space="preserve"> keeps the Anchor-Hash main pipeline and its mask-aware probability factorization, and concentrates changes on three surfaces with separable effects: the quantization step, the training objective, and the transmitted model itself.</w:t>
      </w:r>
    </w:p>
    <w:p w14:paraId="4C07BF06">
      <w:pPr>
        <w:rPr>
          <w:rFonts w:hint="default" w:ascii="Times New Roman" w:hAnsi="Times New Roman" w:cs="Times New Roman"/>
          <w:b w:val="0"/>
          <w:i w:val="0"/>
          <w:sz w:val="24"/>
          <w:szCs w:val="24"/>
        </w:rPr>
      </w:pPr>
    </w:p>
    <w:p>
      <w:r>
        <w:t>The two training-side modules are labeled I2 and I6 following our internal development taxonomy (I1 hierarchical context and I5 VQ were explored and are not part of the recommended configuration); the numbering is historical, and only the retained modules are described here.</w:t>
      </w:r>
    </w:p>
    <w:p>
      <w:r>
        <w:t>Our contributions are as follows.</w:t>
      </w:r>
    </w:p>
    <w:p>
      <w:r>
        <w:t>1. Decoder-reproducible content-adaptive formula quantization (I2). Quantization steps are generated on the fly from a 4-dimensional descriptor of decoder-reconstructable structural quantities—local anchor density, predicted scaling anisotropy, predicted offset energy, and active mask ratio. The bitstream carries no per-anchor step array, and training uses a straight-through estimator so that training, encoding, and decoding share the same quantization path. I2 is most effective when combined with I6 (Section 3.4); isolated-I2 conclusions are avoided at low-rate SPA operating points.</w:t>
      </w:r>
    </w:p>
    <w:p>
      <w:r>
        <w:t>2. Render-sensitivity supervision (I6). The complexity network is trained to match a bounded, exponentially smoothed target derived from render-loss gradient norms; this affects training only and adds zero side information. Its high-rate gain is modest (about 0.1 dB), but it becomes critical in the low-rate SPA regime, where removing it reduces PSNR by 0.42 dB (see Section 3.4).</w:t>
      </w:r>
    </w:p>
    <w:p>
      <w:r>
        <w:t>3. Mixed-precision MLP weight quantization. We apply per-output-channel symmetric post-training quantization with static arithmetic coding. The bit-width assignment is not uniform: the complexity and deform networks are quantized to 8 bits, while the opacity, covariance, color, and grid networks remain at 16 bits. This assignment is derived from per-MLP sensitivity ablation: 8-bit opacity directly degrades rendering, and 8-bit grid degrades the entropy model and increases attribute rate, whereas complexity/deform tolerate 8 bits with negligible loss.</w:t>
      </w:r>
    </w:p>
    <w:p>
      <w:r>
        <w:t>4. Training-side anchor sparsity (SPA). Unlike encode-side top-k pruning, SPA imposes a hard anchor budget during training via ADMM projection and a linear budget ramp anchored to the historical maximum anchor count, allowing surviving anchors to re-adapt under the budget. At equal anchor count it outperforms encode-side top-k pruning by 5.5 dB, and the resulting operating point trades 0.84 dB PSNR for a 74% size reduction relative to the non-SPA model (see Section 3.4).</w:t>
      </w:r>
    </w:p>
    <w:p>
      <w:r>
        <w:t>In the implementation and experiments, components (1) and (2) are referred to as I2 and I6, respectively; they are jointly designed, and their interaction is analyzed in the ablation study. All experiments follow a strict bitstream contract with standalone decoding verification and quantitative analyses of where the bits go and how much redundancy remains; this constitutes the evaluation protocol of this work rather than a separate technical contribution.</w:t>
      </w:r>
    </w:p>
    <w:p w14:paraId="7B36D14E">
      <w:pPr>
        <w:pStyle w:val="2"/>
        <w:numPr>
          <w:ilvl w:val="0"/>
          <w:numId w:val="6"/>
        </w:numPr>
        <w:bidi w:val="0"/>
      </w:pPr>
      <w:r>
        <w:t>Method Description</w:t>
      </w:r>
    </w:p>
    <w:p w14:paraId="7BAE7DFC">
      <w:pPr>
        <w:rPr>
          <w:rFonts w:hint="eastAsia" w:eastAsia="宋体"/>
          <w:lang w:eastAsia="zh-CN"/>
        </w:rPr>
      </w:pPr>
    </w:p>
    <w:p w14:paraId="28B81E7F">
      <w:pPr>
        <w:pStyle w:val="3"/>
        <w:rPr>
          <w:rFonts w:ascii="Times New Roman" w:hAnsi="Times New Roman"/>
          <w:b/>
          <w:bCs/>
          <w:sz w:val="28"/>
          <w:szCs w:val="28"/>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371475</wp:posOffset>
            </wp:positionH>
            <wp:positionV relativeFrom="page">
              <wp:posOffset>1238250</wp:posOffset>
            </wp:positionV>
            <wp:extent cx="4438015" cy="3860800"/>
            <wp:effectExtent l="0" t="0" r="6985" b="0"/>
            <wp:wrapTopAndBottom/>
            <wp:docPr id="2" name="图片 2" descr="论文画图(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论文画图(1)_01"/>
                    <pic:cNvPicPr>
                      <a:picLocks noChangeAspect="1"/>
                    </pic:cNvPicPr>
                  </pic:nvPicPr>
                  <pic:blipFill>
                    <a:blip r:embed="rId6"/>
                    <a:stretch>
                      <a:fillRect/>
                    </a:stretch>
                  </pic:blipFill>
                  <pic:spPr>
                    <a:xfrm>
                      <a:off x="0" y="0"/>
                      <a:ext cx="4438015" cy="3860800"/>
                    </a:xfrm>
                    <a:prstGeom prst="rect">
                      <a:avLst/>
                    </a:prstGeom>
                  </pic:spPr>
                </pic:pic>
              </a:graphicData>
            </a:graphic>
          </wp:anchor>
        </w:drawing>
      </w:r>
      <w:r>
        <w:rPr>
          <w:rFonts w:hint="eastAsia" w:ascii="Times New Roman" w:hAnsi="Times New Roman"/>
          <w:b/>
          <w:bCs/>
          <w:sz w:val="28"/>
          <w:szCs w:val="28"/>
        </w:rPr>
        <w:t xml:space="preserve">2.1 </w:t>
      </w:r>
      <w:r>
        <w:rPr>
          <w:rFonts w:hint="default" w:ascii="Times New Roman Bold" w:hAnsi="Times New Roman Bold" w:cs="Times New Roman Bold"/>
          <w:b/>
          <w:bCs w:val="0"/>
          <w:sz w:val="28"/>
          <w:szCs w:val="28"/>
        </w:rPr>
        <w:t>Baseline: HAC++ Anchor-Hash Codec</w:t>
      </w:r>
    </w:p>
    <w:p w14:paraId="1483A38C">
      <w:pPr>
        <w:rPr>
          <w:rFonts w:hint="default" w:ascii="Times New Roman" w:hAnsi="Times New Roman" w:cs="Times New Roman"/>
          <w:sz w:val="22"/>
          <w:szCs w:val="24"/>
        </w:rPr>
      </w:pPr>
      <w:r>
        <w:rPr>
          <w:rFonts w:hint="default" w:ascii="Times New Roman" w:hAnsi="Times New Roman" w:cs="Times New Roman"/>
          <w:b w:val="0"/>
          <w:i w:val="0"/>
          <w:sz w:val="22"/>
          <w:szCs w:val="24"/>
        </w:rPr>
        <w:t>For the i-th anchor, x(i) denotes its position, f(i) its feature, s(i) its scaling, and o(i,k), m(i,k) denote the k-th candidate offset and its learned mask, with K = 10 offsets per anchor and feature dimension 50. The mask-aware entropy model factorizes the attribute joint distribution so that masked offset dimensions are not coded. The probability of a quantized symbol is obtained by integrating the modeled density over its quantization cell; an integer-CDF arithmetic coder writes the symbols. Anchor coordinates are coded with G-PCC (tmc3); hash-grid parameters are STE-binarized and coded with a Bernoulli model. The conditioning vector is produced by a multi-resolution hash grid followed by mlp_grid, which predicts per-field mean, scale, mixture weight, and base quantization logits qa/qs/qo.</w:t>
      </w:r>
    </w:p>
    <w:p w14:paraId="2232EBDD">
      <w:pPr>
        <w:rPr>
          <w:rFonts w:hint="default" w:ascii="Times New Roman" w:hAnsi="Times New Roman" w:cs="Times New Roman"/>
          <w:b w:val="0"/>
          <w:i w:val="0"/>
          <w:sz w:val="22"/>
          <w:szCs w:val="24"/>
        </w:rPr>
      </w:pPr>
      <w:r>
        <w:rPr>
          <w:rFonts w:hint="default" w:ascii="Times New Roman" w:hAnsi="Times New Roman" w:cs="Times New Roman"/>
          <w:b w:val="0"/>
          <w:i w:val="0"/>
          <w:sz w:val="22"/>
          <w:szCs w:val="24"/>
        </w:rPr>
        <w:t xml:space="preserve">The training objective is </w:t>
      </w:r>
    </w:p>
    <w:p w14:paraId="3CC27B7E">
      <w:pPr>
        <w:rPr>
          <w:rFonts w:hint="default" w:hAnsi="DejaVu Math TeX Gyre" w:eastAsia="Times NR MT Pro Medium" w:cs="Times New Roman"/>
          <w:i/>
          <w:sz w:val="22"/>
        </w:rPr>
      </w:pPr>
    </w:p>
    <w:p w14:paraId="1FF4F816">
      <w:pPr>
        <w:rPr>
          <w:rFonts w:hint="default" w:hAnsi="Times New Roman" w:eastAsia="Times NR MT Pro Medium" w:cs="Times New Roman"/>
          <w:i/>
          <w:kern w:val="2"/>
          <w:sz w:val="22"/>
          <w:szCs w:val="22"/>
          <w:lang w:val="en-US" w:eastAsia="zh-CN" w:bidi="ar-SA"/>
        </w:rPr>
      </w:pPr>
      <m:oMathPara>
        <m:oMath>
          <m:r>
            <m:rPr>
              <m:nor/>
            </m:rPr>
            <w:rPr>
              <w:rFonts w:hint="default" w:ascii="Times New Roman" w:hAnsi="Times New Roman" w:eastAsia="Times NR MT Pro Medium" w:cs="Times New Roman"/>
              <w:i/>
              <w:sz w:val="22"/>
            </w:rPr>
            <m:t>L</m:t>
          </m:r>
          <m:r>
            <m:rPr>
              <m:nor/>
              <m:sty m:val="p"/>
            </m:rPr>
            <w:rPr>
              <w:rFonts w:hint="default" w:ascii="Times New Roman" w:hAnsi="Times New Roman" w:eastAsia="Times NR MT Pro Medium" w:cs="Times New Roman"/>
              <w:b w:val="0"/>
              <w:i w:val="0"/>
              <w:sz w:val="22"/>
            </w:rPr>
            <m:t> = (1−</m:t>
          </m:r>
          <m:r>
            <m:rPr>
              <m:nor/>
            </m:rPr>
            <w:rPr>
              <w:rFonts w:hint="default" w:ascii="Times New Roman" w:hAnsi="Times New Roman" w:eastAsia="Times NR MT Pro Medium" w:cs="Times New Roman"/>
              <w:i/>
              <w:sz w:val="22"/>
            </w:rPr>
            <m:t>β</m:t>
          </m:r>
          <m:r>
            <m:rPr>
              <m:nor/>
              <m:sty m:val="p"/>
            </m:rPr>
            <w:rPr>
              <w:rFonts w:hint="default" w:ascii="Times New Roman" w:hAnsi="Times New Roman" w:eastAsia="Times NR MT Pro Medium" w:cs="Times New Roman"/>
              <w:b w:val="0"/>
              <w:i w:val="0"/>
              <w:sz w:val="22"/>
            </w:rPr>
            <m:t>) </m:t>
          </m:r>
          <m:r>
            <m:rPr>
              <m:nor/>
            </m:rPr>
            <w:rPr>
              <w:rFonts w:hint="default" w:ascii="Times New Roman" w:hAnsi="Times New Roman" w:eastAsia="Times NR MT Pro Medium" w:cs="Times New Roman"/>
              <w:i/>
              <w:sz w:val="22"/>
            </w:rPr>
            <m:t>L</m:t>
          </m:r>
          <m:r>
            <m:rPr>
              <m:nor/>
              <m:sty m:val="p"/>
            </m:rPr>
            <w:rPr>
              <w:rFonts w:hint="default" w:ascii="Times New Roman" w:hAnsi="Times New Roman" w:eastAsia="Times NR MT Pro Medium" w:cs="Times New Roman"/>
              <w:b w:val="0"/>
              <w:i w:val="0"/>
              <w:sz w:val="22"/>
            </w:rPr>
            <m:t>1 + </m:t>
          </m:r>
          <m:r>
            <m:rPr>
              <m:nor/>
            </m:rPr>
            <w:rPr>
              <w:rFonts w:hint="default" w:ascii="Times New Roman" w:hAnsi="Times New Roman" w:eastAsia="Times NR MT Pro Medium" w:cs="Times New Roman"/>
              <w:i/>
              <w:sz w:val="22"/>
            </w:rPr>
            <m:t>β</m:t>
          </m:r>
          <m:r>
            <m:rPr>
              <m:nor/>
              <m:sty m:val="p"/>
            </m:rPr>
            <w:rPr>
              <w:rFonts w:hint="default" w:ascii="Times New Roman" w:hAnsi="Times New Roman" w:eastAsia="Times NR MT Pro Medium" w:cs="Times New Roman"/>
              <w:b w:val="0"/>
              <w:i w:val="0"/>
              <w:sz w:val="22"/>
            </w:rPr>
            <m:t> (1−</m:t>
          </m:r>
          <m:r>
            <m:rPr>
              <m:nor/>
            </m:rPr>
            <w:rPr>
              <w:rFonts w:hint="default" w:ascii="Times New Roman" w:hAnsi="Times New Roman" w:eastAsia="Times NR MT Pro Medium" w:cs="Times New Roman"/>
              <w:i/>
              <w:sz w:val="22"/>
            </w:rPr>
            <m:t>SSIM</m:t>
          </m:r>
          <m:r>
            <m:rPr>
              <m:nor/>
              <m:sty m:val="p"/>
            </m:rPr>
            <w:rPr>
              <w:rFonts w:hint="default" w:ascii="Times New Roman" w:hAnsi="Times New Roman" w:eastAsia="Times NR MT Pro Medium" w:cs="Times New Roman"/>
              <w:b w:val="0"/>
              <w:i w:val="0"/>
              <w:sz w:val="22"/>
            </w:rPr>
            <m:t>) + </m:t>
          </m:r>
          <m:r>
            <m:rPr>
              <m:nor/>
            </m:rPr>
            <w:rPr>
              <w:rFonts w:hint="default" w:ascii="Times New Roman" w:hAnsi="Times New Roman" w:eastAsia="Times NR MT Pro Medium" w:cs="Times New Roman"/>
              <w:i/>
              <w:sz w:val="22"/>
            </w:rPr>
            <m:t>η</m:t>
          </m:r>
          <m:r>
            <m:rPr>
              <m:nor/>
              <m:sty m:val="p"/>
            </m:rPr>
            <w:rPr>
              <w:rFonts w:hint="default" w:ascii="Times New Roman" w:hAnsi="Times New Roman" w:eastAsia="Times NR MT Pro Medium" w:cs="Times New Roman"/>
              <w:b w:val="0"/>
              <w:i w:val="0"/>
              <w:sz w:val="22"/>
            </w:rPr>
            <m:t>  ⋅</m:t>
          </m:r>
          <m:r>
            <m:rPr>
              <m:nor/>
            </m:rPr>
            <w:rPr>
              <w:rFonts w:hint="default" w:ascii="Times New Roman" w:hAnsi="Times New Roman" w:eastAsia="Times NR MT Pro Medium" w:cs="Times New Roman"/>
              <w:i/>
              <w:sz w:val="22"/>
            </w:rPr>
            <m:t>scalereg</m:t>
          </m:r>
          <m:r>
            <m:rPr>
              <m:nor/>
              <m:sty m:val="p"/>
            </m:rPr>
            <w:rPr>
              <w:rFonts w:hint="default" w:ascii="Times New Roman" w:hAnsi="Times New Roman" w:eastAsia="Times NR MT Pro Medium" w:cs="Times New Roman"/>
              <w:b w:val="0"/>
              <w:i w:val="0"/>
              <w:sz w:val="22"/>
            </w:rPr>
            <m:t> + </m:t>
          </m:r>
          <m:r>
            <m:rPr>
              <m:nor/>
            </m:rPr>
            <w:rPr>
              <w:rFonts w:hint="default" w:ascii="Times New Roman" w:hAnsi="Times New Roman" w:eastAsia="Times NR MT Pro Medium" w:cs="Times New Roman"/>
              <w:i/>
              <w:sz w:val="22"/>
            </w:rPr>
            <m:t>λ</m:t>
          </m:r>
          <m:r>
            <m:rPr>
              <m:nor/>
              <m:sty m:val="p"/>
            </m:rPr>
            <w:rPr>
              <w:rFonts w:hint="default" w:ascii="Times New Roman" w:hAnsi="Times New Roman" w:eastAsia="Times NR MT Pro Medium" w:cs="Times New Roman"/>
              <w:b w:val="0"/>
              <w:i w:val="0"/>
              <w:sz w:val="22"/>
            </w:rPr>
            <m:t> </m:t>
          </m:r>
          <m:f>
            <m:fPr>
              <m:ctrlPr>
                <w:rPr>
                  <w:rFonts w:hint="default" w:ascii="DejaVu Math TeX Gyre" w:hAnsi="DejaVu Math TeX Gyre" w:eastAsia="Times NR MT Pro Medium" w:cs="Times New Roman"/>
                  <w:sz w:val="22"/>
                </w:rPr>
              </m:ctrlPr>
            </m:fPr>
            <m:num>
              <m:r>
                <m:rPr>
                  <m:nor/>
                </m:rPr>
                <w:rPr>
                  <w:rFonts w:hint="default" w:ascii="Times New Roman" w:hAnsi="Times New Roman" w:eastAsia="Times NR MT Pro Medium" w:cs="Times New Roman"/>
                  <w:i/>
                  <w:sz w:val="22"/>
                </w:rPr>
                <m:t>R</m:t>
              </m:r>
              <m:ctrlPr>
                <w:rPr>
                  <w:rFonts w:hint="default" w:ascii="DejaVu Math TeX Gyre" w:hAnsi="DejaVu Math TeX Gyre" w:eastAsia="Times NR MT Pro Medium" w:cs="Times New Roman"/>
                  <w:sz w:val="22"/>
                </w:rPr>
              </m:ctrlPr>
            </m:num>
            <m:den>
              <m:r>
                <m:rPr>
                  <m:nor/>
                </m:rPr>
                <w:rPr>
                  <w:rFonts w:hint="default" w:ascii="Times New Roman" w:hAnsi="Times New Roman" w:eastAsia="Times NR MT Pro Medium" w:cs="Times New Roman"/>
                  <w:i/>
                  <w:sz w:val="22"/>
                </w:rPr>
                <m:t>Nθ</m:t>
              </m:r>
              <m:ctrlPr>
                <w:rPr>
                  <w:rFonts w:hint="default" w:ascii="DejaVu Math TeX Gyre" w:hAnsi="DejaVu Math TeX Gyre" w:eastAsia="Times NR MT Pro Medium" w:cs="Times New Roman"/>
                  <w:sz w:val="22"/>
                </w:rPr>
              </m:ctrlPr>
            </m:den>
          </m:f>
        </m:oMath>
      </m:oMathPara>
    </w:p>
    <w:p w14:paraId="5F331EA6">
      <w:pPr>
        <w:rPr>
          <w:rFonts w:hint="default" w:hAnsi="DejaVu Math TeX Gyre" w:eastAsia="Times NR MT Pro Medium" w:cs="Times New Roman"/>
          <w:i/>
          <w:sz w:val="22"/>
        </w:rPr>
      </w:pPr>
    </w:p>
    <w:p w14:paraId="5BCE5F11">
      <w:pPr>
        <w:rPr>
          <w:rFonts w:hint="default" w:hAnsi="Times New Roman" w:eastAsia="Times NR MT Pro Medium" w:cs="Times New Roman"/>
          <w:i w:val="0"/>
          <w:sz w:val="22"/>
          <w:lang w:val="en-US" w:eastAsia="zh-CN"/>
        </w:rPr>
      </w:pPr>
      <m:oMathPara>
        <m:oMath>
          <m:r>
            <m:rPr>
              <m:nor/>
            </m:rPr>
            <w:rPr>
              <w:rFonts w:hint="default" w:ascii="Times New Roman" w:hAnsi="Times New Roman" w:eastAsia="Times NR MT Pro Medium" w:cs="Times New Roman"/>
              <w:i/>
              <w:sz w:val="22"/>
            </w:rPr>
            <m:t>wit</m:t>
          </m:r>
          <m:r>
            <m:rPr>
              <m:nor/>
              <m:sty m:val="p"/>
            </m:rPr>
            <w:rPr>
              <w:rFonts w:hint="default" w:ascii="Times New Roman" w:hAnsi="Times New Roman" w:eastAsia="Times NR MT Pro Medium" w:cs="Times New Roman"/>
              <w:b w:val="0"/>
              <w:i w:val="0"/>
              <w:sz w:val="22"/>
            </w:rPr>
            <m:t>h </m:t>
          </m:r>
          <m:r>
            <m:rPr>
              <m:nor/>
            </m:rPr>
            <w:rPr>
              <w:rFonts w:hint="default" w:ascii="Times New Roman" w:hAnsi="Times New Roman" w:eastAsia="Times NR MT Pro Medium" w:cs="Times New Roman"/>
              <w:i/>
              <w:sz w:val="22"/>
            </w:rPr>
            <m:t>β</m:t>
          </m:r>
          <m:r>
            <m:rPr>
              <m:nor/>
              <m:sty m:val="p"/>
            </m:rPr>
            <w:rPr>
              <w:rFonts w:hint="default" w:ascii="Times New Roman" w:hAnsi="Times New Roman" w:eastAsia="Times NR MT Pro Medium" w:cs="Times New Roman"/>
              <w:b w:val="0"/>
              <w:i w:val="0"/>
              <w:sz w:val="22"/>
            </w:rPr>
            <m:t>=0.2 </m:t>
          </m:r>
          <m:r>
            <m:rPr>
              <m:nor/>
            </m:rPr>
            <w:rPr>
              <w:rFonts w:hint="default" w:ascii="Times New Roman" w:hAnsi="Times New Roman" w:eastAsia="Times NR MT Pro Medium" w:cs="Times New Roman"/>
              <w:i/>
              <w:sz w:val="22"/>
            </w:rPr>
            <m:t>and</m:t>
          </m:r>
          <m:r>
            <m:rPr>
              <m:nor/>
              <m:sty m:val="p"/>
            </m:rPr>
            <w:rPr>
              <w:rFonts w:hint="default" w:ascii="Times New Roman" w:hAnsi="Times New Roman" w:eastAsia="Times NR MT Pro Medium" w:cs="Times New Roman"/>
              <w:b w:val="0"/>
              <w:i w:val="0"/>
              <w:sz w:val="22"/>
            </w:rPr>
            <m:t> </m:t>
          </m:r>
          <m:r>
            <m:rPr>
              <m:nor/>
            </m:rPr>
            <w:rPr>
              <w:rFonts w:hint="default" w:ascii="Times New Roman" w:hAnsi="Times New Roman" w:eastAsia="Times NR MT Pro Medium" w:cs="Times New Roman"/>
              <w:i/>
              <w:sz w:val="22"/>
            </w:rPr>
            <m:t>η</m:t>
          </m:r>
          <m:r>
            <m:rPr>
              <m:nor/>
              <m:sty m:val="p"/>
            </m:rPr>
            <w:rPr>
              <w:rFonts w:hint="default" w:ascii="Times New Roman" w:hAnsi="Times New Roman" w:eastAsia="Times NR MT Pro Medium" w:cs="Times New Roman"/>
              <w:b w:val="0"/>
              <w:i w:val="0"/>
              <w:sz w:val="22"/>
            </w:rPr>
            <m:t>=0.01</m:t>
          </m:r>
        </m:oMath>
      </m:oMathPara>
    </w:p>
    <w:p w14:paraId="0E9252D7">
      <w:pPr>
        <w:rPr>
          <w:rFonts w:hint="default" w:ascii="Times New Roman Regular" w:hAnsi="Times New Roman Regular" w:cs="Times New Roman Regular"/>
          <w:b w:val="0"/>
          <w:i w:val="0"/>
          <w:sz w:val="22"/>
          <w:szCs w:val="24"/>
        </w:rPr>
      </w:pPr>
    </w:p>
    <w:p w14:paraId="0AF40BD7">
      <w:pPr>
        <w:rPr>
          <w:rFonts w:hint="default" w:ascii="Times New Roman" w:hAnsi="Times New Roman" w:cs="Times New Roman"/>
          <w:sz w:val="22"/>
          <w:szCs w:val="24"/>
        </w:rPr>
      </w:pPr>
      <w:r>
        <w:rPr>
          <w:rFonts w:hint="default" w:ascii="Times New Roman" w:hAnsi="Times New Roman" w:cs="Times New Roman"/>
          <w:b w:val="0"/>
          <w:i w:val="0"/>
          <w:sz w:val="22"/>
          <w:szCs w:val="24"/>
        </w:rPr>
        <w:t>lambda controls the rate-distortion trade-off. Training, encoding, and decoding share the same conditional model and quantization path, which is the basis of bit-exact reproducibility.</w:t>
      </w:r>
    </w:p>
    <w:p w14:paraId="37838532">
      <w:pPr>
        <w:spacing w:after="120" w:line="259" w:lineRule="auto"/>
        <w:rPr>
          <w:rFonts w:ascii="Times New Roman" w:hAnsi="Times New Roman"/>
        </w:rPr>
      </w:pPr>
    </w:p>
    <w:p w14:paraId="3E3630B8">
      <w:pPr>
        <w:pStyle w:val="15"/>
        <w:autoSpaceDE w:val="0"/>
        <w:adjustRightInd w:val="0"/>
        <w:jc w:val="both"/>
        <w:rPr>
          <w:rFonts w:hint="default" w:ascii="Times New Roman Bold" w:hAnsi="Times New Roman Bold" w:cs="Times New Roman Bold"/>
          <w:b/>
          <w:bCs/>
          <w:sz w:val="28"/>
          <w:szCs w:val="28"/>
        </w:rPr>
      </w:pPr>
      <w:r>
        <w:rPr>
          <w:rFonts w:hint="eastAsia" w:ascii="Times New Roman" w:hAnsi="Times New Roman"/>
          <w:b/>
          <w:bCs/>
          <w:sz w:val="28"/>
          <w:szCs w:val="28"/>
        </w:rPr>
        <w:t xml:space="preserve">2.2 </w:t>
      </w:r>
      <w:r>
        <w:rPr>
          <w:rFonts w:hint="default" w:ascii="Times New Roman Bold" w:hAnsi="Times New Roman Bold" w:cs="Times New Roman Bold"/>
          <w:b/>
          <w:bCs/>
          <w:sz w:val="28"/>
          <w:szCs w:val="28"/>
        </w:rPr>
        <w:t>Decoder-Reproducible Content-Adaptive Formula Quantization</w:t>
      </w:r>
    </w:p>
    <w:p w14:paraId="76A62333">
      <w:pPr>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Uniform quantization cannot serve flat and detailed regions equally. </w:t>
      </w:r>
      <w:r>
        <w:rPr>
          <w:rFonts w:hint="eastAsia" w:ascii="Times New Roman Regular" w:hAnsi="Times New Roman Regular" w:cs="Times New Roman Regular"/>
          <w:b w:val="0"/>
          <w:i w:val="0"/>
          <w:sz w:val="24"/>
          <w:szCs w:val="24"/>
          <w:lang w:eastAsia="zh-CN"/>
        </w:rPr>
        <w:t>DCCA-GS</w:t>
      </w:r>
      <w:r>
        <w:rPr>
          <w:rFonts w:hint="default" w:ascii="Times New Roman Regular" w:hAnsi="Times New Roman Regular" w:cs="Times New Roman Regular"/>
          <w:b w:val="0"/>
          <w:i w:val="0"/>
          <w:sz w:val="24"/>
          <w:szCs w:val="24"/>
        </w:rPr>
        <w:t xml:space="preserve"> computes the step for field t as</w:t>
      </w:r>
    </w:p>
    <w:p w14:paraId="6D812315">
      <w:pPr>
        <w:rPr>
          <w:rFonts w:hint="default" w:ascii="Times New Roman Regular" w:hAnsi="Times New Roman Regular" w:cs="Times New Roman Regular"/>
          <w:b w:val="0"/>
          <w:i w:val="0"/>
          <w:sz w:val="24"/>
          <w:szCs w:val="24"/>
        </w:rPr>
      </w:pPr>
    </w:p>
    <w:p w14:paraId="71D78128">
      <w:pPr>
        <w:rPr>
          <w:rFonts w:hint="default" w:ascii="Times New Roman Regular" w:hAnsi="Times New Roman Regular" w:eastAsia="宋体" w:cs="Times New Roman Regular"/>
          <w:b w:val="0"/>
          <w:i/>
          <w:kern w:val="2"/>
          <w:sz w:val="24"/>
          <w:szCs w:val="24"/>
          <w:lang w:val="en-US" w:eastAsia="zh-CN" w:bidi="ar-SA"/>
        </w:rPr>
      </w:pPr>
      <m:oMathPara>
        <m:oMath>
          <m:sSub>
            <m:sSubPr>
              <m:ctrlPr>
                <w:rPr>
                  <w:rFonts w:hint="default" w:ascii="DejaVu Math TeX Gyre" w:hAnsi="DejaVu Math TeX Gyre" w:eastAsia="宋体" w:cs="Times New Roman"/>
                  <w:i w:val="0"/>
                  <w:sz w:val="24"/>
                  <w:szCs w:val="24"/>
                </w:rPr>
              </m:ctrlPr>
            </m:sSubPr>
            <m:e>
              <m:r>
                <m:rPr>
                  <m:nor/>
                  <m:sty m:val="p"/>
                </m:rPr>
                <w:rPr>
                  <w:rFonts w:hint="default" w:ascii="Times New Roman" w:hAnsi="Times New Roman" w:eastAsia="宋体" w:cs="Times New Roman"/>
                  <w:b w:val="0"/>
                  <w:i w:val="0"/>
                  <w:sz w:val="24"/>
                  <w:szCs w:val="24"/>
                </w:rPr>
                <m:t>Q</m:t>
              </m:r>
              <m:ctrlPr>
                <w:rPr>
                  <w:rFonts w:hint="default" w:ascii="DejaVu Math TeX Gyre" w:hAnsi="DejaVu Math TeX Gyre" w:eastAsia="宋体" w:cs="Times New Roman"/>
                  <w:i w:val="0"/>
                  <w:sz w:val="24"/>
                  <w:szCs w:val="24"/>
                </w:rPr>
              </m:ctrlPr>
            </m:e>
            <m:sub>
              <m:r>
                <m:rPr>
                  <m:nor/>
                  <m:sty m:val="p"/>
                </m:rPr>
                <w:rPr>
                  <w:rFonts w:hint="default" w:ascii="Times New Roman" w:hAnsi="Times New Roman" w:eastAsia="宋体" w:cs="Times New Roman"/>
                  <w:b w:val="0"/>
                  <w:i w:val="0"/>
                  <w:sz w:val="24"/>
                  <w:szCs w:val="24"/>
                </w:rPr>
                <m:t>t</m:t>
              </m:r>
              <m:ctrlPr>
                <w:rPr>
                  <w:rFonts w:hint="default" w:ascii="DejaVu Math TeX Gyre" w:hAnsi="DejaVu Math TeX Gyre" w:eastAsia="宋体" w:cs="Times New Roman"/>
                  <w:i w:val="0"/>
                  <w:sz w:val="24"/>
                  <w:szCs w:val="24"/>
                </w:rPr>
              </m:ctrlPr>
            </m:sub>
          </m:sSub>
          <m:r>
            <m:rPr>
              <m:nor/>
              <m:sty m:val="p"/>
            </m:rPr>
            <w:rPr>
              <w:rFonts w:hint="default" w:ascii="Times New Roman" w:hAnsi="Times New Roman" w:eastAsia="宋体" w:cs="Times New Roman"/>
              <w:b w:val="0"/>
              <w:i w:val="0"/>
              <w:sz w:val="24"/>
              <w:szCs w:val="24"/>
            </w:rPr>
            <m:t>=</m:t>
          </m:r>
          <m:sSub>
            <m:sSubPr>
              <m:ctrlPr>
                <w:rPr>
                  <w:rFonts w:hint="default" w:ascii="DejaVu Math TeX Gyre" w:hAnsi="DejaVu Math TeX Gyre" w:eastAsia="宋体" w:cs="Times New Roman"/>
                  <w:i w:val="0"/>
                  <w:sz w:val="24"/>
                  <w:szCs w:val="24"/>
                </w:rPr>
              </m:ctrlPr>
            </m:sSubPr>
            <m:e>
              <m:r>
                <m:rPr>
                  <m:nor/>
                  <m:sty m:val="p"/>
                </m:rPr>
                <w:rPr>
                  <w:rFonts w:hint="default" w:ascii="Times New Roman" w:hAnsi="Times New Roman" w:eastAsia="宋体" w:cs="Times New Roman"/>
                  <w:b w:val="0"/>
                  <w:i w:val="0"/>
                  <w:sz w:val="24"/>
                  <w:szCs w:val="24"/>
                </w:rPr>
                <m:t>Q</m:t>
              </m:r>
              <m:ctrlPr>
                <w:rPr>
                  <w:rFonts w:hint="default" w:ascii="DejaVu Math TeX Gyre" w:hAnsi="DejaVu Math TeX Gyre" w:eastAsia="宋体" w:cs="Times New Roman"/>
                  <w:i w:val="0"/>
                  <w:sz w:val="24"/>
                  <w:szCs w:val="24"/>
                </w:rPr>
              </m:ctrlPr>
            </m:e>
            <m:sub>
              <m:r>
                <m:rPr>
                  <m:nor/>
                  <m:sty m:val="p"/>
                </m:rPr>
                <w:rPr>
                  <w:rFonts w:hint="default" w:ascii="Times New Roman" w:hAnsi="Times New Roman" w:eastAsia="宋体" w:cs="Times New Roman"/>
                  <w:b w:val="0"/>
                  <w:i w:val="0"/>
                  <w:sz w:val="24"/>
                  <w:szCs w:val="24"/>
                </w:rPr>
                <m:t>0,t</m:t>
              </m:r>
              <m:ctrlPr>
                <w:rPr>
                  <w:rFonts w:hint="default" w:ascii="DejaVu Math TeX Gyre" w:hAnsi="DejaVu Math TeX Gyre" w:eastAsia="宋体" w:cs="Times New Roman"/>
                  <w:i w:val="0"/>
                  <w:sz w:val="24"/>
                  <w:szCs w:val="24"/>
                </w:rPr>
              </m:ctrlPr>
            </m:sub>
          </m:sSub>
          <m:r>
            <m:rPr>
              <m:nor/>
              <m:sty m:val="p"/>
            </m:rPr>
            <w:rPr>
              <w:rFonts w:hint="default" w:ascii="Times New Roman" w:hAnsi="Times New Roman" w:eastAsia="宋体" w:cs="Times New Roman"/>
              <w:b w:val="0"/>
              <w:i w:val="0"/>
              <w:sz w:val="24"/>
              <w:szCs w:val="24"/>
            </w:rPr>
            <m:t>⋅(1+</m:t>
          </m:r>
          <m:func>
            <m:funcPr>
              <m:ctrlPr>
                <w:rPr>
                  <w:rFonts w:hint="default" w:ascii="DejaVu Math TeX Gyre" w:hAnsi="DejaVu Math TeX Gyre" w:eastAsia="宋体" w:cs="Times New Roman"/>
                  <w:i w:val="0"/>
                  <w:sz w:val="24"/>
                  <w:szCs w:val="24"/>
                </w:rPr>
              </m:ctrlPr>
            </m:funcPr>
            <m:fName>
              <m:r>
                <m:rPr>
                  <m:nor/>
                  <m:sty m:val="p"/>
                </m:rPr>
                <w:rPr>
                  <w:rFonts w:hint="default" w:ascii="Times New Roman" w:hAnsi="Times New Roman" w:eastAsia="宋体" w:cs="Times New Roman"/>
                  <w:b w:val="0"/>
                  <w:i w:val="0"/>
                  <w:sz w:val="24"/>
                  <w:szCs w:val="24"/>
                </w:rPr>
                <m:t>tanh</m:t>
              </m:r>
              <m:ctrlPr>
                <w:rPr>
                  <w:rFonts w:hint="default" w:ascii="DejaVu Math TeX Gyre" w:hAnsi="DejaVu Math TeX Gyre" w:eastAsia="宋体" w:cs="Times New Roman"/>
                  <w:i w:val="0"/>
                  <w:sz w:val="24"/>
                  <w:szCs w:val="24"/>
                </w:rPr>
              </m:ctrlPr>
            </m:fName>
            <m:e>
              <m:r>
                <m:rPr>
                  <m:nor/>
                  <m:sty m:val="p"/>
                </m:rPr>
                <w:rPr>
                  <w:rFonts w:hint="default" w:ascii="Times New Roman" w:hAnsi="Times New Roman" w:eastAsia="宋体" w:cs="Times New Roman"/>
                  <w:b w:val="0"/>
                  <w:i w:val="0"/>
                  <w:sz w:val="24"/>
                  <w:szCs w:val="24"/>
                </w:rPr>
                <m:t>(</m:t>
              </m:r>
              <m:ctrlPr>
                <w:rPr>
                  <w:rFonts w:hint="default" w:ascii="DejaVu Math TeX Gyre" w:hAnsi="DejaVu Math TeX Gyre" w:eastAsia="宋体" w:cs="Times New Roman"/>
                  <w:i w:val="0"/>
                  <w:sz w:val="24"/>
                  <w:szCs w:val="24"/>
                </w:rPr>
              </m:ctrlPr>
            </m:e>
          </m:func>
          <m:sSub>
            <m:sSubPr>
              <m:ctrlPr>
                <w:rPr>
                  <w:rFonts w:hint="default" w:ascii="DejaVu Math TeX Gyre" w:hAnsi="DejaVu Math TeX Gyre" w:eastAsia="宋体" w:cs="Times New Roman"/>
                  <w:i w:val="0"/>
                  <w:sz w:val="24"/>
                  <w:szCs w:val="24"/>
                </w:rPr>
              </m:ctrlPr>
            </m:sSubPr>
            <m:e>
              <m:r>
                <m:rPr>
                  <m:nor/>
                  <m:sty m:val="p"/>
                </m:rPr>
                <w:rPr>
                  <w:rFonts w:hint="default" w:ascii="Times New Roman" w:hAnsi="Times New Roman" w:eastAsia="宋体" w:cs="Times New Roman"/>
                  <w:b w:val="0"/>
                  <w:i w:val="0"/>
                  <w:sz w:val="24"/>
                  <w:szCs w:val="24"/>
                </w:rPr>
                <m:t>z</m:t>
              </m:r>
              <m:ctrlPr>
                <w:rPr>
                  <w:rFonts w:hint="default" w:ascii="DejaVu Math TeX Gyre" w:hAnsi="DejaVu Math TeX Gyre" w:eastAsia="宋体" w:cs="Times New Roman"/>
                  <w:i w:val="0"/>
                  <w:sz w:val="24"/>
                  <w:szCs w:val="24"/>
                </w:rPr>
              </m:ctrlPr>
            </m:e>
            <m:sub>
              <m:r>
                <m:rPr>
                  <m:nor/>
                  <m:sty m:val="p"/>
                </m:rPr>
                <w:rPr>
                  <w:rFonts w:hint="default" w:ascii="Times New Roman" w:hAnsi="Times New Roman" w:eastAsia="宋体" w:cs="Times New Roman"/>
                  <w:b w:val="0"/>
                  <w:i w:val="0"/>
                  <w:sz w:val="24"/>
                  <w:szCs w:val="24"/>
                </w:rPr>
                <m:t>t</m:t>
              </m:r>
              <m:ctrlPr>
                <w:rPr>
                  <w:rFonts w:hint="default" w:ascii="DejaVu Math TeX Gyre" w:hAnsi="DejaVu Math TeX Gyre" w:eastAsia="宋体" w:cs="Times New Roman"/>
                  <w:i w:val="0"/>
                  <w:sz w:val="24"/>
                  <w:szCs w:val="24"/>
                </w:rPr>
              </m:ctrlPr>
            </m:sub>
          </m:sSub>
          <m:r>
            <m:rPr>
              <m:nor/>
              <m:sty m:val="p"/>
            </m:rPr>
            <w:rPr>
              <w:rFonts w:hint="default" w:ascii="Times New Roman" w:hAnsi="Times New Roman" w:eastAsia="宋体" w:cs="Times New Roman"/>
              <w:b w:val="0"/>
              <w:i w:val="0"/>
              <w:sz w:val="24"/>
              <w:szCs w:val="24"/>
            </w:rPr>
            <m:t>)⋅α)</m:t>
          </m:r>
        </m:oMath>
      </m:oMathPara>
    </w:p>
    <w:p w14:paraId="4D2749E4">
      <w:pPr>
        <w:rPr>
          <w:rFonts w:hint="default" w:ascii="Times New Roman Regular" w:hAnsi="Times New Roman Regular" w:cs="Times New Roman Regular"/>
          <w:b w:val="0"/>
          <w:i w:val="0"/>
          <w:sz w:val="24"/>
          <w:szCs w:val="24"/>
        </w:rPr>
      </w:pPr>
      <m:oMathPara>
        <m:oMath>
          <m:r>
            <m:rPr>
              <m:nor/>
              <m:sty m:val="p"/>
            </m:rPr>
            <w:rPr>
              <w:rFonts w:hint="default" w:ascii="Times New Roman" w:hAnsi="Times New Roman" w:eastAsia="宋体" w:cs="Times New Roman"/>
              <w:b w:val="0"/>
              <w:i w:val="0"/>
              <w:kern w:val="2"/>
              <w:sz w:val="24"/>
              <w:szCs w:val="24"/>
              <w:lang w:val="en-US" w:eastAsia="zh-CN" w:bidi="ar-SA"/>
            </w:rPr>
            <m:t>Q_0 = (1.0, 0.001, 0.2).</m:t>
          </m:r>
        </m:oMath>
      </m:oMathPara>
    </w:p>
    <w:p w14:paraId="79BF8E35">
      <w:pPr>
        <w:rPr>
          <w:rFonts w:hint="default" w:ascii="Times New Roman Regular" w:hAnsi="Times New Roman Regular" w:cs="Times New Roman Regular"/>
          <w:b w:val="0"/>
          <w:i w:val="0"/>
          <w:sz w:val="24"/>
          <w:szCs w:val="24"/>
        </w:rPr>
      </w:pPr>
    </w:p>
    <w:p w14:paraId="12210FD4">
      <w:pPr>
        <w:rPr>
          <w:rFonts w:hint="default" w:ascii="Times New Roman Regular" w:hAnsi="Times New Roman Regular" w:cs="Times New Roman Regular"/>
          <w:sz w:val="24"/>
          <w:szCs w:val="24"/>
        </w:rPr>
      </w:pPr>
      <w:r>
        <w:rPr>
          <w:rFonts w:hint="default" w:ascii="Times New Roman Regular" w:hAnsi="Times New Roman Regular" w:cs="Times New Roman Regular"/>
          <w:b w:val="0"/>
          <w:i w:val="0"/>
          <w:sz w:val="24"/>
          <w:szCs w:val="24"/>
        </w:rPr>
        <w:t xml:space="preserve">for feature, scaling, and offset, and alpha = 0.35. The logits z_t come from a small complexity network mlp_complexity whose input is an </w:t>
      </w:r>
      <w:r>
        <w:rPr>
          <w:rFonts w:hint="eastAsia" w:ascii="Times New Roman Regular" w:hAnsi="Times New Roman Regular" w:cs="Times New Roman Regular"/>
          <w:b w:val="0"/>
          <w:i w:val="0"/>
          <w:sz w:val="24"/>
          <w:szCs w:val="24"/>
          <w:lang w:val="en-US" w:eastAsia="zh-CN"/>
        </w:rPr>
        <w:t>4</w:t>
      </w:r>
      <w:r>
        <w:rPr>
          <w:rFonts w:hint="default" w:ascii="Times New Roman Regular" w:hAnsi="Times New Roman Regular" w:cs="Times New Roman Regular"/>
          <w:b w:val="0"/>
          <w:i w:val="0"/>
          <w:sz w:val="24"/>
          <w:szCs w:val="24"/>
        </w:rPr>
        <w:t>-dimensional descriptor: local anchor density, predicted scaling anisotropy, predicted offset energy</w:t>
      </w:r>
      <w:r>
        <w:rPr>
          <w:rFonts w:hint="eastAsia" w:ascii="Times New Roman Regular" w:hAnsi="Times New Roman Regular" w:cs="Times New Roman Regular"/>
          <w:b w:val="0"/>
          <w:i w:val="0"/>
          <w:sz w:val="24"/>
          <w:szCs w:val="24"/>
          <w:lang w:val="en-US" w:eastAsia="zh-CN"/>
        </w:rPr>
        <w:t xml:space="preserve"> and</w:t>
      </w:r>
      <w:r>
        <w:rPr>
          <w:rFonts w:hint="default" w:ascii="Times New Roman Regular" w:hAnsi="Times New Roman Regular" w:cs="Times New Roman Regular"/>
          <w:b w:val="0"/>
          <w:i w:val="0"/>
          <w:sz w:val="24"/>
          <w:szCs w:val="24"/>
        </w:rPr>
        <w:t xml:space="preserve"> active mask ratio. All four structural quantities are recomputed by the decoder from anchor coordinates, mlp_grid outputs, and already-decoded masks; therefore the steps are bit-exactly reproducible and the bitstream contains no per-anchor step array. Formula quantization is enabled after iteration 20,000 and ramped over the following 10,000 iterations; quantization uses a straight-through estimator during training. The best network width is 32 with one hidden layer (h32); the h25 variant is 0.018 dB worse on 4-28 at 90k iterations (28.637 vs 28.655 dB).</w:t>
      </w:r>
    </w:p>
    <w:p w14:paraId="2B59398F">
      <w:pPr>
        <w:widowControl/>
        <w:wordWrap w:val="0"/>
        <w:autoSpaceDE w:val="0"/>
        <w:adjustRightInd w:val="0"/>
        <w:rPr>
          <w:rFonts w:hint="eastAsia" w:ascii="Times New Roman" w:hAnsi="Times New Roman"/>
          <w:b/>
          <w:bCs/>
          <w:sz w:val="28"/>
          <w:szCs w:val="28"/>
        </w:rPr>
      </w:pPr>
    </w:p>
    <w:p w14:paraId="01A1FC9C">
      <w:pPr>
        <w:widowControl/>
        <w:wordWrap w:val="0"/>
        <w:autoSpaceDE w:val="0"/>
        <w:adjustRightInd w:val="0"/>
        <w:rPr>
          <w:rFonts w:ascii="Times New Roman" w:hAnsi="Times New Roman"/>
          <w:b/>
          <w:bCs/>
          <w:sz w:val="28"/>
          <w:szCs w:val="28"/>
        </w:rPr>
      </w:pPr>
      <w:r>
        <w:rPr>
          <w:rFonts w:hint="eastAsia" w:ascii="Times New Roman" w:hAnsi="Times New Roman"/>
          <w:b/>
          <w:bCs/>
          <w:sz w:val="28"/>
          <w:szCs w:val="28"/>
        </w:rPr>
        <w:t xml:space="preserve">2.3 </w:t>
      </w:r>
      <w:r>
        <w:rPr>
          <w:rFonts w:hint="default" w:ascii="Times New Roman Bold" w:hAnsi="Times New Roman Bold" w:cs="Times New Roman Bold"/>
          <w:b/>
          <w:bCs/>
          <w:sz w:val="28"/>
          <w:szCs w:val="28"/>
        </w:rPr>
        <w:t>Render-Sensitivity Supervision</w:t>
      </w:r>
    </w:p>
    <w:p w14:paraId="213D5DE7">
      <w:pPr>
        <w:widowControl/>
        <w:wordWrap w:val="0"/>
        <w:autoSpaceDE w:val="0"/>
        <w:adjustRightInd w:val="0"/>
        <w:rPr>
          <w:rFonts w:hint="default" w:ascii="Times New Roman" w:hAnsi="Times New Roman" w:eastAsia="宋体" w:cs="Times New Roman"/>
          <w:b w:val="0"/>
          <w:i w:val="0"/>
          <w:kern w:val="2"/>
          <w:sz w:val="24"/>
          <w:szCs w:val="24"/>
          <w:lang w:val="en-US" w:eastAsia="zh-CN" w:bidi="ar-SA"/>
        </w:rPr>
      </w:pPr>
      <w:r>
        <w:rPr>
          <w:rFonts w:hint="default" w:ascii="Times New Roman Regular" w:hAnsi="Times New Roman Regular" w:cs="Times New Roman Regular"/>
          <w:b w:val="0"/>
          <w:i w:val="0"/>
          <w:sz w:val="24"/>
          <w:szCs w:val="24"/>
        </w:rPr>
        <w:t xml:space="preserve">The multiplier target for the complexity network is derived from per-anchor render-loss gradient norms accumulated with an exponential moving average </w:t>
      </w:r>
      <m:oMath>
        <m:r>
          <m:rPr>
            <m:nor/>
            <m:sty m:val="p"/>
          </m:rPr>
          <w:rPr>
            <w:rFonts w:hint="default" w:ascii="Times New Roman" w:hAnsi="Times New Roman" w:cs="Times New Roman"/>
            <w:b w:val="0"/>
            <w:i w:val="0"/>
            <w:sz w:val="24"/>
            <w:szCs w:val="24"/>
          </w:rPr>
          <m:t>EMA(α=0.99)</m:t>
        </m:r>
      </m:oMath>
      <w:r>
        <w:rPr>
          <w:rFonts w:hint="eastAsia" w:hAnsi="DejaVu Math TeX Gyre" w:cs="Times New Roman Regular"/>
          <w:i w:val="0"/>
          <w:sz w:val="24"/>
          <w:szCs w:val="24"/>
          <w:lang w:val="en-US" w:eastAsia="zh-CN"/>
        </w:rPr>
        <w:t>.</w:t>
      </w:r>
      <w:r>
        <w:rPr>
          <w:rFonts w:hint="default" w:ascii="Times New Roman Regular" w:hAnsi="Times New Roman Regular" w:cs="Times New Roman Regular"/>
          <w:b w:val="0"/>
          <w:i w:val="0"/>
          <w:sz w:val="24"/>
          <w:szCs w:val="24"/>
        </w:rPr>
        <w:t>The normalized target is</w:t>
      </w:r>
      <w:r>
        <w:rPr>
          <w:rFonts w:hint="eastAsia" w:ascii="Times New Roman Regular" w:hAnsi="Times New Roman Regular" w:cs="Times New Roman Regular"/>
          <w:b w:val="0"/>
          <w:i w:val="0"/>
          <w:sz w:val="24"/>
          <w:szCs w:val="24"/>
          <w:lang w:val="en-US" w:eastAsia="zh-CN"/>
        </w:rPr>
        <w:t xml:space="preserve"> </w:t>
      </w:r>
      <m:oMath>
        <m:r>
          <m:rPr>
            <m:nor/>
            <m:sty m:val="p"/>
          </m:rPr>
          <w:rPr>
            <w:rFonts w:hint="default" w:ascii="Times New Roman" w:hAnsi="Times New Roman" w:cs="Times New Roman"/>
            <w:b w:val="0"/>
            <w:i w:val="0"/>
            <w:sz w:val="24"/>
          </w:rPr>
          <m:t>(1+strength·tanh(−</m:t>
        </m:r>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z</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score</m:t>
            </m:r>
            <m:ctrlPr>
              <w:rPr>
                <w:rFonts w:hint="default" w:ascii="DejaVu Math TeX Gyre" w:hAnsi="DejaVu Math TeX Gyre" w:cs="Times New Roman"/>
                <w:i w:val="0"/>
                <w:sz w:val="24"/>
              </w:rPr>
            </m:ctrlPr>
          </m:sub>
        </m:sSub>
        <m:r>
          <m:rPr>
            <m:nor/>
            <m:sty m:val="p"/>
          </m:rPr>
          <w:rPr>
            <w:rFonts w:hint="default" w:ascii="Times New Roman" w:hAnsi="Times New Roman" w:cs="Times New Roman"/>
            <w:b w:val="0"/>
            <w:i w:val="0"/>
            <w:kern w:val="2"/>
            <w:sz w:val="24"/>
            <w:szCs w:val="24"/>
            <w:lang w:val="en-US" w:eastAsia="zh-CN" w:bidi="ar-SA"/>
          </w:rPr>
          <m:t>))</m:t>
        </m:r>
      </m:oMath>
    </w:p>
    <w:p w14:paraId="4BD31381">
      <w:pPr>
        <w:keepNext w:val="0"/>
        <w:keepLines w:val="0"/>
        <w:widowControl/>
        <w:suppressLineNumbers w:val="0"/>
        <w:wordWrap w:val="0"/>
        <w:autoSpaceDE w:val="0"/>
        <w:adjustRightInd w:val="0"/>
        <w:jc w:val="left"/>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 where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z</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score</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b w:val="0"/>
          <w:i w:val="0"/>
          <w:sz w:val="24"/>
          <w:szCs w:val="24"/>
        </w:rPr>
        <w:t xml:space="preserve"> uses relative normalization </w:t>
      </w:r>
    </w:p>
    <w:p w14:paraId="720DAE6E">
      <w:pPr>
        <w:keepNext w:val="0"/>
        <w:keepLines w:val="0"/>
        <w:widowControl/>
        <w:suppressLineNumbers w:val="0"/>
        <w:wordWrap w:val="0"/>
        <w:autoSpaceDE w:val="0"/>
        <w:adjustRightInd w:val="0"/>
        <w:jc w:val="left"/>
        <w:rPr>
          <w:rFonts w:hint="default" w:hAnsi="Times New Roman" w:eastAsia="Times New Roman" w:cs="Times New Roman"/>
          <w:i w:val="0"/>
          <w:iCs w:val="0"/>
          <w:caps w:val="0"/>
          <w:color w:val="0F1115"/>
          <w:spacing w:val="0"/>
          <w:kern w:val="0"/>
          <w:sz w:val="29"/>
          <w:szCs w:val="29"/>
          <w:shd w:val="clear" w:fill="FFFFFF"/>
          <w:lang w:val="en-US" w:eastAsia="zh-CN" w:bidi="ar"/>
        </w:rPr>
      </w:pPr>
      <m:oMathPara>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z</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score</m:t>
              </m:r>
              <m:ctrlPr>
                <w:rPr>
                  <w:rFonts w:hint="default" w:ascii="DejaVu Math TeX Gyre" w:hAnsi="DejaVu Math TeX Gyre" w:cs="Times New Roman"/>
                  <w:i w:val="0"/>
                  <w:sz w:val="24"/>
                </w:rPr>
              </m:ctrlPr>
            </m:sub>
          </m:sSub>
          <m:r>
            <m:rPr>
              <m:nor/>
              <m:sty m:val="p"/>
            </m:rPr>
            <w:rPr>
              <w:rFonts w:hint="default" w:ascii="Times New Roman" w:hAnsi="Times New Roman" w:cs="Times New Roman"/>
              <w:b w:val="0"/>
              <w:i w:val="0"/>
              <w:sz w:val="24"/>
            </w:rPr>
            <m:t>=clamp(</m:t>
          </m:r>
          <m:f>
            <m:fPr>
              <m:ctrlPr>
                <w:rPr>
                  <w:rFonts w:hint="default" w:ascii="DejaVu Math TeX Gyre" w:hAnsi="DejaVu Math TeX Gyre" w:cs="Times New Roman"/>
                  <w:i w:val="0"/>
                  <w:sz w:val="24"/>
                </w:rPr>
              </m:ctrlPr>
            </m:fPr>
            <m:num>
              <m:r>
                <m:rPr>
                  <m:nor/>
                  <m:sty m:val="p"/>
                </m:rPr>
                <w:rPr>
                  <w:rFonts w:hint="default" w:ascii="Times New Roman" w:hAnsi="Times New Roman" w:cs="Times New Roman"/>
                  <w:b w:val="0"/>
                  <w:i w:val="0"/>
                  <w:sz w:val="24"/>
                </w:rPr>
                <m:t>EMA−mean</m:t>
              </m:r>
              <m:ctrlPr>
                <w:rPr>
                  <w:rFonts w:hint="default" w:ascii="DejaVu Math TeX Gyre" w:hAnsi="DejaVu Math TeX Gyre" w:cs="Times New Roman"/>
                  <w:i w:val="0"/>
                  <w:sz w:val="24"/>
                </w:rPr>
              </m:ctrlPr>
            </m:num>
            <m:den>
              <m:r>
                <m:rPr>
                  <m:nor/>
                  <m:sty m:val="p"/>
                </m:rPr>
                <w:rPr>
                  <w:rFonts w:hint="default" w:ascii="Times New Roman" w:hAnsi="Times New Roman" w:cs="Times New Roman"/>
                  <w:b w:val="0"/>
                  <w:i w:val="0"/>
                  <w:sz w:val="24"/>
                </w:rPr>
                <m:t>mean</m:t>
              </m:r>
              <m:ctrlPr>
                <w:rPr>
                  <w:rFonts w:hint="default" w:ascii="DejaVu Math TeX Gyre" w:hAnsi="DejaVu Math TeX Gyre" w:cs="Times New Roman"/>
                  <w:i w:val="0"/>
                  <w:sz w:val="24"/>
                </w:rPr>
              </m:ctrlPr>
            </m:den>
          </m:f>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 </m:t>
          </m:r>
          <m:sSub>
            <m:sSubPr>
              <m:ctrlPr>
                <w:rPr>
                  <w:rFonts w:hint="default" w:ascii="DejaVu Math TeX Gyre" w:hAnsi="DejaVu Math TeX Gyre" w:eastAsia="Times New Roman" w:cs="Times New Roman"/>
                  <w:i w:val="0"/>
                  <w:sz w:val="29"/>
                </w:rPr>
              </m:ctrlPr>
            </m:sSubPr>
            <m:e>
              <m:r>
                <m:rPr>
                  <m:nor/>
                  <m:sty m:val="p"/>
                </m:rPr>
                <w:rPr>
                  <w:rFonts w:hint="default" w:ascii="Times New Roman" w:hAnsi="Times New Roman" w:eastAsia="Times New Roman" w:cs="Times New Roman"/>
                  <w:b w:val="0"/>
                  <w:i w:val="0"/>
                  <w:sz w:val="29"/>
                </w:rPr>
                <m:t>z</m:t>
              </m:r>
              <m:ctrlPr>
                <w:rPr>
                  <w:rFonts w:hint="default" w:ascii="DejaVu Math TeX Gyre" w:hAnsi="DejaVu Math TeX Gyre" w:eastAsia="Times New Roman" w:cs="Times New Roman"/>
                  <w:i w:val="0"/>
                  <w:sz w:val="29"/>
                </w:rPr>
              </m:ctrlPr>
            </m:e>
            <m:sub>
              <m:r>
                <m:rPr>
                  <m:nor/>
                  <m:sty m:val="p"/>
                </m:rPr>
                <w:rPr>
                  <w:rFonts w:hint="default" w:ascii="Times New Roman" w:hAnsi="Times New Roman" w:eastAsia="Times New Roman" w:cs="Times New Roman"/>
                  <w:b w:val="0"/>
                  <w:i w:val="0"/>
                  <w:sz w:val="29"/>
                </w:rPr>
                <m:t>score</m:t>
              </m:r>
              <m:ctrlPr>
                <w:rPr>
                  <w:rFonts w:hint="default" w:ascii="DejaVu Math TeX Gyre" w:hAnsi="DejaVu Math TeX Gyre" w:eastAsia="Times New Roman" w:cs="Times New Roman"/>
                  <w:i w:val="0"/>
                  <w:sz w:val="29"/>
                </w:rPr>
              </m:ctrlPr>
            </m:sub>
          </m:sSub>
          <m:r>
            <m:rPr>
              <m:nor/>
              <m:sty m:val="p"/>
            </m:rPr>
            <w:rPr>
              <w:rFonts w:hint="default" w:ascii="Times New Roman" w:hAnsi="Times New Roman" w:eastAsia="Times New Roman" w:cs="Times New Roman"/>
              <w:b w:val="0"/>
              <w:i w:val="0"/>
              <w:sz w:val="29"/>
            </w:rPr>
            <m:t>∈{0.1,2.0}</m:t>
          </m:r>
        </m:oMath>
      </m:oMathPara>
    </w:p>
    <w:p w14:paraId="60FC8D46">
      <w:pPr>
        <w:keepNext w:val="0"/>
        <w:keepLines w:val="0"/>
        <w:widowControl/>
        <w:suppressLineNumbers w:val="0"/>
        <w:wordWrap w:val="0"/>
        <w:autoSpaceDE w:val="0"/>
        <w:adjustRightInd w:val="0"/>
        <w:jc w:val="left"/>
        <w:rPr>
          <w:rFonts w:hint="default" w:ascii="Times New Roman Regular" w:hAnsi="Times New Roman Regular" w:cs="Times New Roman Regular"/>
          <w:b w:val="0"/>
          <w:i w:val="0"/>
          <w:sz w:val="24"/>
          <w:szCs w:val="24"/>
        </w:rPr>
      </w:pPr>
      <m:oMath>
        <m:r>
          <m:rPr>
            <m:nor/>
            <m:sty m:val="p"/>
          </m:rPr>
          <w:rPr>
            <w:rFonts w:hint="default" w:ascii="Times New Roman" w:hAnsi="Times New Roman" w:cs="Times New Roman"/>
            <w:b w:val="0"/>
            <w:i w:val="0"/>
            <w:kern w:val="2"/>
            <w:sz w:val="24"/>
            <w:szCs w:val="24"/>
            <w:lang w:val="en-US" w:eastAsia="zh-CN" w:bidi="ar-SA"/>
          </w:rPr>
          <m:t>strength=1.0</m:t>
        </m:r>
      </m:oMath>
      <w:r>
        <w:rPr>
          <w:rFonts w:hint="eastAsia" w:hAnsi="DejaVu Math TeX Gyre" w:cs="Times New Roman Regular"/>
          <w:b w:val="0"/>
          <w:i w:val="0"/>
          <w:kern w:val="2"/>
          <w:sz w:val="24"/>
          <w:szCs w:val="24"/>
          <w:lang w:val="en-US" w:eastAsia="zh-CN" w:bidi="ar-SA"/>
        </w:rPr>
        <w:t xml:space="preserve"> </w:t>
      </w:r>
      <w:r>
        <w:rPr>
          <w:rFonts w:hint="default" w:ascii="Times New Roman Regular" w:hAnsi="Times New Roman Regular" w:cs="Times New Roman Regular"/>
          <w:b w:val="0"/>
          <w:i w:val="0"/>
          <w:sz w:val="24"/>
          <w:szCs w:val="24"/>
        </w:rPr>
        <w:t xml:space="preserve">and the supervision weight is </w:t>
      </w:r>
      <m:oMath>
        <m:r>
          <m:rPr/>
          <w:rPr>
            <w:rFonts w:hint="default" w:ascii="DejaVu Math TeX Gyre" w:hAnsi="DejaVu Math TeX Gyre"/>
            <w:sz w:val="24"/>
          </w:rPr>
          <m:t>0.001</m:t>
        </m:r>
      </m:oMath>
      <w:r>
        <w:rPr>
          <w:rFonts w:hint="default" w:ascii="Times New Roman Regular" w:hAnsi="Times New Roman Regular" w:cs="Times New Roman Regular"/>
          <w:b w:val="0"/>
          <w:i w:val="0"/>
          <w:sz w:val="24"/>
          <w:szCs w:val="24"/>
        </w:rPr>
        <w:t xml:space="preserve">. The supervision starts at iteration </w:t>
      </w:r>
      <w:r>
        <w:rPr>
          <w:rFonts w:hint="eastAsia" w:ascii="Times New Roman Regular" w:hAnsi="Times New Roman Regular" w:cs="Times New Roman Regular"/>
          <w:b w:val="0"/>
          <w:i w:val="0"/>
          <w:sz w:val="24"/>
          <w:szCs w:val="24"/>
          <w:lang w:val="en-US" w:eastAsia="zh-CN"/>
        </w:rPr>
        <w:t>20000</w:t>
      </w:r>
      <w:r>
        <w:rPr>
          <w:rFonts w:hint="default" w:ascii="Times New Roman Regular" w:hAnsi="Times New Roman Regular" w:cs="Times New Roman Regular"/>
          <w:b w:val="0"/>
          <w:i w:val="0"/>
          <w:sz w:val="24"/>
          <w:szCs w:val="24"/>
        </w:rPr>
        <w:t xml:space="preserve">. I6 changes only the training objective; encode and decode still follow the I2 formula path, so no bitstream field is added. In recorded experiments, I6 contributes approximately </w:t>
      </w:r>
      <w:r>
        <w:rPr>
          <w:rFonts w:hint="eastAsia" w:ascii="Times New Roman Regular" w:hAnsi="Times New Roman Regular" w:cs="Times New Roman Regular"/>
          <w:b w:val="0"/>
          <w:i w:val="0"/>
          <w:sz w:val="24"/>
          <w:szCs w:val="24"/>
          <w:lang w:val="en-US" w:eastAsia="zh-CN"/>
        </w:rPr>
        <w:t xml:space="preserve">0.09~0.10 </w:t>
      </w:r>
      <w:r>
        <w:rPr>
          <w:rFonts w:hint="default" w:ascii="Times New Roman Regular" w:hAnsi="Times New Roman Regular" w:cs="Times New Roman Regular"/>
          <w:b w:val="0"/>
          <w:i w:val="0"/>
          <w:sz w:val="24"/>
          <w:szCs w:val="24"/>
        </w:rPr>
        <w:t xml:space="preserve">dB on 4-28 </w:t>
      </w:r>
      <w:r>
        <w:rPr>
          <w:rFonts w:hint="eastAsia" w:ascii="Times New Roman Regular" w:hAnsi="Times New Roman Regular" w:cs="Times New Roman Regular"/>
          <w:b w:val="0"/>
          <w:i w:val="0"/>
          <w:sz w:val="24"/>
          <w:szCs w:val="24"/>
          <w:lang w:val="en-US" w:eastAsia="zh-CN"/>
        </w:rPr>
        <w:t xml:space="preserve">sence </w:t>
      </w:r>
      <w:r>
        <w:rPr>
          <w:rFonts w:hint="default" w:ascii="Times New Roman Regular" w:hAnsi="Times New Roman Regular" w:cs="Times New Roman Regular"/>
          <w:b w:val="0"/>
          <w:i w:val="0"/>
          <w:sz w:val="24"/>
          <w:szCs w:val="24"/>
        </w:rPr>
        <w:t>while leaving the bitstream unchanged.</w:t>
      </w:r>
    </w:p>
    <w:p w14:paraId="78E7CEC0">
      <w:pPr>
        <w:widowControl/>
        <w:wordWrap w:val="0"/>
        <w:autoSpaceDE w:val="0"/>
        <w:adjustRightInd w:val="0"/>
        <w:rPr>
          <w:rFonts w:ascii="Times New Roman" w:hAnsi="Times New Roman"/>
          <w:b/>
          <w:bCs/>
          <w:sz w:val="28"/>
          <w:szCs w:val="28"/>
        </w:rPr>
      </w:pPr>
      <w:r>
        <w:rPr>
          <w:rFonts w:hint="eastAsia" w:ascii="Times New Roman" w:hAnsi="Times New Roman"/>
          <w:b/>
          <w:bCs/>
          <w:sz w:val="28"/>
          <w:szCs w:val="28"/>
        </w:rPr>
        <w:t xml:space="preserve">2.4 </w:t>
      </w:r>
      <w:r>
        <w:rPr>
          <w:rFonts w:hint="default" w:ascii="Times New Roman Bold" w:hAnsi="Times New Roman Bold" w:cs="Times New Roman Bold"/>
          <w:b/>
          <w:bCs/>
          <w:sz w:val="28"/>
          <w:szCs w:val="32"/>
        </w:rPr>
        <w:t>Mixed-Precision MLP Weight Quantization</w:t>
      </w:r>
    </w:p>
    <w:p w14:paraId="699F11A3">
      <w:pPr>
        <w:rPr>
          <w:rFonts w:hint="default" w:ascii="Times New Roman" w:hAnsi="Times New Roman" w:cs="Times New Roman"/>
          <w:b w:val="0"/>
          <w:i w:val="0"/>
          <w:sz w:val="24"/>
          <w:szCs w:val="28"/>
        </w:rPr>
      </w:pPr>
      <w:r>
        <w:rPr>
          <w:rFonts w:hint="default" w:ascii="Times New Roman" w:hAnsi="Times New Roman" w:cs="Times New Roman"/>
          <w:b w:val="0"/>
          <w:i w:val="0"/>
          <w:sz w:val="24"/>
          <w:szCs w:val="28"/>
        </w:rPr>
        <w:t xml:space="preserve">Decoder MLPs participate in the entropy model (mlp_grid, mlp_deform, mlp_complexity) and in rendering (mlp_opacity, mlp_cov, mlp_color). </w:t>
      </w:r>
      <w:r>
        <w:rPr>
          <w:rFonts w:hint="eastAsia" w:ascii="Times New Roman" w:hAnsi="Times New Roman" w:cs="Times New Roman"/>
          <w:b w:val="0"/>
          <w:i w:val="0"/>
          <w:sz w:val="24"/>
          <w:szCs w:val="28"/>
          <w:lang w:eastAsia="zh-CN"/>
        </w:rPr>
        <w:t>DCCA-GS</w:t>
      </w:r>
      <w:r>
        <w:rPr>
          <w:rFonts w:hint="default" w:ascii="Times New Roman" w:hAnsi="Times New Roman" w:cs="Times New Roman"/>
          <w:b w:val="0"/>
          <w:i w:val="0"/>
          <w:sz w:val="24"/>
          <w:szCs w:val="28"/>
        </w:rPr>
        <w:t xml:space="preserve"> quantizes each parameter tensor per output channel with a symmetric scale</w:t>
      </w:r>
    </w:p>
    <w:p w14:paraId="36434318">
      <w:pPr>
        <w:rPr>
          <w:rFonts w:hint="default" w:ascii="Times New Roman" w:hAnsi="Times New Roman" w:cs="Times New Roman"/>
          <w:b w:val="0"/>
          <w:i w:val="0"/>
          <w:sz w:val="24"/>
          <w:szCs w:val="28"/>
        </w:rPr>
      </w:pPr>
      <m:oMathPara>
        <m:oMath>
          <m:r>
            <m:rPr>
              <m:nor/>
              <m:sty m:val="p"/>
            </m:rPr>
            <w:rPr>
              <w:rFonts w:hint="eastAsia" w:ascii="Times New Roman" w:hAnsi="Times New Roman" w:cs="Times New Roman"/>
              <w:b w:val="0"/>
              <w:i w:val="0"/>
              <w:sz w:val="24"/>
              <w:lang w:val="en-US" w:eastAsia="zh-CN"/>
            </w:rPr>
            <m:t>Q</m:t>
          </m:r>
          <m:r>
            <m:rPr>
              <m:nor/>
              <m:sty m:val="p"/>
            </m:rPr>
            <w:rPr>
              <w:rFonts w:hint="default" w:ascii="Times New Roman" w:hAnsi="Times New Roman" w:cs="Times New Roman"/>
              <w:b w:val="0"/>
              <w:i w:val="0"/>
              <w:sz w:val="24"/>
            </w:rPr>
            <m:t>=round</m:t>
          </m:r>
          <m:d>
            <m:dPr>
              <m:ctrlPr>
                <w:rPr>
                  <w:rFonts w:hint="default" w:ascii="DejaVu Math TeX Gyre" w:hAnsi="DejaVu Math TeX Gyre" w:cs="Times New Roman"/>
                  <w:i w:val="0"/>
                  <w:sz w:val="24"/>
                </w:rPr>
              </m:ctrlPr>
            </m:dPr>
            <m:e>
              <m:f>
                <m:fPr>
                  <m:ctrlPr>
                    <w:rPr>
                      <w:rFonts w:hint="default" w:ascii="DejaVu Math TeX Gyre" w:hAnsi="DejaVu Math TeX Gyre" w:cs="Times New Roman"/>
                      <w:i w:val="0"/>
                      <w:sz w:val="24"/>
                    </w:rPr>
                  </m:ctrlPr>
                </m:fPr>
                <m:num>
                  <m:r>
                    <m:rPr>
                      <m:nor/>
                      <m:sty m:val="p"/>
                    </m:rPr>
                    <w:rPr>
                      <w:rFonts w:hint="default" w:ascii="Times New Roman" w:hAnsi="Times New Roman" w:cs="Times New Roman"/>
                      <w:b w:val="0"/>
                      <w:i w:val="0"/>
                      <w:sz w:val="24"/>
                    </w:rPr>
                    <m:t>w</m:t>
                  </m:r>
                  <m:ctrlPr>
                    <w:rPr>
                      <w:rFonts w:hint="default" w:ascii="DejaVu Math TeX Gyre" w:hAnsi="DejaVu Math TeX Gyre" w:cs="Times New Roman"/>
                      <w:i w:val="0"/>
                      <w:sz w:val="24"/>
                    </w:rPr>
                  </m:ctrlPr>
                </m:num>
                <m:den>
                  <m:r>
                    <m:rPr>
                      <m:nor/>
                      <m:sty m:val="p"/>
                    </m:rPr>
                    <w:rPr>
                      <w:rFonts w:hint="default" w:ascii="Times New Roman" w:hAnsi="Times New Roman" w:cs="Times New Roman"/>
                      <w:b w:val="0"/>
                      <w:i w:val="0"/>
                      <w:sz w:val="24"/>
                    </w:rPr>
                    <m:t>scale</m:t>
                  </m:r>
                  <m:ctrlPr>
                    <w:rPr>
                      <w:rFonts w:hint="default" w:ascii="DejaVu Math TeX Gyre" w:hAnsi="DejaVu Math TeX Gyre" w:cs="Times New Roman"/>
                      <w:i w:val="0"/>
                      <w:sz w:val="24"/>
                    </w:rPr>
                  </m:ctrlPr>
                </m:den>
              </m:f>
              <m:ctrlPr>
                <w:rPr>
                  <w:rFonts w:hint="default" w:ascii="DejaVu Math TeX Gyre" w:hAnsi="DejaVu Math TeX Gyre" w:cs="Times New Roman"/>
                  <w:i w:val="0"/>
                  <w:sz w:val="24"/>
                </w:rPr>
              </m:ctrlPr>
            </m:e>
          </m:d>
          <m:r>
            <m:rPr>
              <m:sty m:val="p"/>
            </m:rPr>
            <w:rPr>
              <w:rFonts w:hint="default" w:ascii="DejaVu Math TeX Gyre" w:hAnsi="DejaVu Math TeX Gyre" w:cs="Times New Roman"/>
              <w:kern w:val="2"/>
              <w:sz w:val="24"/>
              <w:szCs w:val="28"/>
              <w:lang w:val="en-US" w:bidi="ar-SA"/>
            </w:rPr>
            <m:t xml:space="preserve"> </m:t>
          </m:r>
        </m:oMath>
      </m:oMathPara>
    </w:p>
    <w:p w14:paraId="74A1B7F2">
      <w:pPr>
        <w:rPr>
          <w:rFonts w:hint="default" w:ascii="Times New Roman" w:hAnsi="Times New Roman" w:cs="Times New Roman"/>
          <w:b w:val="0"/>
          <w:i w:val="0"/>
          <w:sz w:val="24"/>
          <w:szCs w:val="28"/>
        </w:rPr>
      </w:pPr>
      <m:oMathPara>
        <m:oMath>
          <m:r>
            <m:rPr>
              <m:nor/>
              <m:sty m:val="p"/>
            </m:rPr>
            <w:rPr>
              <w:rFonts w:hint="default" w:ascii="Times New Roman" w:hAnsi="Times New Roman" w:cs="Times New Roman"/>
              <w:b w:val="0"/>
              <w:i w:val="0"/>
              <w:sz w:val="24"/>
            </w:rPr>
            <m:t>scale=</m:t>
          </m:r>
          <m:f>
            <m:fPr>
              <m:ctrlPr>
                <w:rPr>
                  <w:rFonts w:hint="default" w:ascii="DejaVu Math TeX Gyre" w:hAnsi="DejaVu Math TeX Gyre" w:cs="Times New Roman"/>
                  <w:i w:val="0"/>
                  <w:sz w:val="24"/>
                </w:rPr>
              </m:ctrlPr>
            </m:fPr>
            <m:num>
              <m:func>
                <m:funcPr>
                  <m:ctrlPr>
                    <w:rPr>
                      <w:rFonts w:hint="default" w:ascii="DejaVu Math TeX Gyre" w:hAnsi="DejaVu Math TeX Gyre" w:cs="Times New Roman"/>
                      <w:i w:val="0"/>
                      <w:sz w:val="24"/>
                    </w:rPr>
                  </m:ctrlPr>
                </m:funcPr>
                <m:fName>
                  <m:r>
                    <m:rPr>
                      <m:nor/>
                      <m:sty m:val="p"/>
                    </m:rPr>
                    <w:rPr>
                      <w:rFonts w:hint="default" w:ascii="Times New Roman" w:hAnsi="Times New Roman" w:cs="Times New Roman"/>
                      <w:b w:val="0"/>
                      <w:i w:val="0"/>
                      <w:sz w:val="24"/>
                      <w:lang w:val="en-US" w:eastAsia="zh-CN"/>
                    </w:rPr>
                    <m:t>max</m:t>
                  </m:r>
                  <m:ctrlPr>
                    <w:rPr>
                      <w:rFonts w:hint="default" w:ascii="DejaVu Math TeX Gyre" w:hAnsi="DejaVu Math TeX Gyre" w:cs="Times New Roman"/>
                      <w:i w:val="0"/>
                      <w:sz w:val="24"/>
                    </w:rPr>
                  </m:ctrlPr>
                </m:fName>
                <m:e>
                  <m:r>
                    <m:rPr>
                      <m:nor/>
                      <m:sty m:val="p"/>
                    </m:rPr>
                    <w:rPr>
                      <w:rFonts w:hint="default" w:ascii="Times New Roman" w:hAnsi="Times New Roman" w:cs="Times New Roman"/>
                      <w:b w:val="0"/>
                      <w:i w:val="0"/>
                      <w:sz w:val="24"/>
                    </w:rPr>
                    <m:t>|</m:t>
                  </m:r>
                  <m:ctrlPr>
                    <w:rPr>
                      <w:rFonts w:hint="default" w:ascii="DejaVu Math TeX Gyre" w:hAnsi="DejaVu Math TeX Gyre" w:cs="Times New Roman"/>
                      <w:i w:val="0"/>
                      <w:sz w:val="24"/>
                    </w:rPr>
                  </m:ctrlPr>
                </m:e>
              </m:func>
              <m:r>
                <m:rPr>
                  <m:nor/>
                  <m:sty m:val="p"/>
                </m:rPr>
                <w:rPr>
                  <w:rFonts w:hint="default" w:ascii="Times New Roman" w:hAnsi="Times New Roman" w:cs="Times New Roman"/>
                  <w:b w:val="0"/>
                  <w:i w:val="0"/>
                  <w:sz w:val="24"/>
                </w:rPr>
                <m:t>w|</m:t>
              </m:r>
              <m:ctrlPr>
                <w:rPr>
                  <w:rFonts w:hint="default" w:ascii="DejaVu Math TeX Gyre" w:hAnsi="DejaVu Math TeX Gyre" w:cs="Times New Roman"/>
                  <w:i w:val="0"/>
                  <w:sz w:val="24"/>
                </w:rPr>
              </m:ctrlPr>
            </m:num>
            <m:den>
              <m:sSup>
                <m:sSupPr>
                  <m:ctrlPr>
                    <w:rPr>
                      <w:rFonts w:hint="default" w:ascii="DejaVu Math TeX Gyre" w:hAnsi="DejaVu Math TeX Gyre" w:cs="Times New Roman"/>
                      <w:i w:val="0"/>
                      <w:sz w:val="24"/>
                    </w:rPr>
                  </m:ctrlPr>
                </m:sSupPr>
                <m:e>
                  <m:r>
                    <m:rPr>
                      <m:nor/>
                      <m:sty m:val="p"/>
                    </m:rPr>
                    <w:rPr>
                      <w:rFonts w:hint="default" w:ascii="Times New Roman" w:hAnsi="Times New Roman" w:cs="Times New Roman"/>
                      <w:b w:val="0"/>
                      <w:i w:val="0"/>
                      <w:sz w:val="24"/>
                    </w:rPr>
                    <m:t>2</m:t>
                  </m:r>
                  <m:ctrlPr>
                    <w:rPr>
                      <w:rFonts w:hint="default" w:ascii="DejaVu Math TeX Gyre" w:hAnsi="DejaVu Math TeX Gyre" w:cs="Times New Roman"/>
                      <w:i w:val="0"/>
                      <w:sz w:val="24"/>
                    </w:rPr>
                  </m:ctrlPr>
                </m:e>
                <m:sup>
                  <m:r>
                    <m:rPr>
                      <m:nor/>
                      <m:sty m:val="p"/>
                    </m:rPr>
                    <w:rPr>
                      <w:rFonts w:hint="default" w:ascii="Times New Roman" w:hAnsi="Times New Roman" w:cs="Times New Roman"/>
                      <w:b w:val="0"/>
                      <w:i w:val="0"/>
                      <w:sz w:val="24"/>
                    </w:rPr>
                    <m:t>b−1</m:t>
                  </m:r>
                  <m:ctrlPr>
                    <w:rPr>
                      <w:rFonts w:hint="default" w:ascii="DejaVu Math TeX Gyre" w:hAnsi="DejaVu Math TeX Gyre" w:cs="Times New Roman"/>
                      <w:i w:val="0"/>
                      <w:sz w:val="24"/>
                    </w:rPr>
                  </m:ctrlPr>
                </m:sup>
              </m:sSup>
              <m:r>
                <m:rPr>
                  <m:nor/>
                  <m:sty m:val="p"/>
                </m:rPr>
                <w:rPr>
                  <w:rFonts w:hint="default" w:ascii="Times New Roman" w:hAnsi="Times New Roman" w:cs="Times New Roman"/>
                  <w:b w:val="0"/>
                  <w:i w:val="0"/>
                  <w:sz w:val="24"/>
                  <w:lang w:val="en-US" w:eastAsia="zh-CN"/>
                </w:rPr>
                <m:t>−1</m:t>
              </m:r>
              <m:ctrlPr>
                <w:rPr>
                  <w:rFonts w:hint="default" w:ascii="DejaVu Math TeX Gyre" w:hAnsi="DejaVu Math TeX Gyre" w:cs="Times New Roman"/>
                  <w:i w:val="0"/>
                  <w:sz w:val="24"/>
                </w:rPr>
              </m:ctrlPr>
            </m:den>
          </m:f>
        </m:oMath>
      </m:oMathPara>
    </w:p>
    <w:p w14:paraId="7968996D">
      <w:pPr>
        <w:rPr>
          <w:rFonts w:hint="default" w:ascii="Times New Roman" w:hAnsi="Times New Roman" w:cs="Times New Roman"/>
          <w:b w:val="0"/>
          <w:i w:val="0"/>
          <w:sz w:val="24"/>
          <w:szCs w:val="28"/>
        </w:rPr>
      </w:pPr>
      <w:r>
        <w:rPr>
          <w:rFonts w:hint="default" w:ascii="Times New Roman" w:hAnsi="Times New Roman" w:cs="Times New Roman"/>
          <w:b w:val="0"/>
          <w:i w:val="0"/>
          <w:sz w:val="24"/>
          <w:szCs w:val="28"/>
        </w:rPr>
        <w:t>, and compresses the integer indices with a static 32-bit arithmetic coder (raw int16 for 16-bit groups). The recommended map is complexity and deform at 8 bit and the remaining groups at 16 bit. Because the dequantized weights are used by the codec on both ends, the attribute bitstream is regenerated after quantization and the compressed MLP payload replaces the float32 accounting in the reported size.</w:t>
      </w:r>
    </w:p>
    <w:p w14:paraId="54A97DD8">
      <w:pPr>
        <w:rPr>
          <w:rFonts w:hint="default" w:ascii="Times New Roman" w:hAnsi="Times New Roman" w:cs="Times New Roman"/>
          <w:b w:val="0"/>
          <w:i w:val="0"/>
          <w:sz w:val="24"/>
          <w:szCs w:val="28"/>
        </w:rPr>
      </w:pPr>
    </w:p>
    <w:p w14:paraId="6A80EB74">
      <w:pPr>
        <w:pStyle w:val="3"/>
      </w:pPr>
      <w:r>
        <w:rPr>
          <w:rFonts w:hint="eastAsia" w:ascii="Times New Roman" w:hAnsi="Times New Roman"/>
          <w:b/>
          <w:bCs/>
          <w:sz w:val="28"/>
          <w:szCs w:val="28"/>
        </w:rPr>
        <w:t>2.</w:t>
      </w:r>
      <w:r>
        <w:rPr>
          <w:rFonts w:hint="eastAsia" w:ascii="Times New Roman" w:hAnsi="Times New Roman"/>
          <w:b/>
          <w:bCs/>
          <w:sz w:val="28"/>
          <w:szCs w:val="28"/>
          <w:lang w:val="en-US" w:eastAsia="zh-CN"/>
        </w:rPr>
        <w:t>5</w:t>
      </w:r>
      <w:r>
        <w:rPr>
          <w:rFonts w:hint="eastAsia" w:ascii="Times New Roman" w:hAnsi="Times New Roman"/>
          <w:b/>
          <w:bCs/>
          <w:sz w:val="28"/>
          <w:szCs w:val="28"/>
        </w:rPr>
        <w:t xml:space="preserve"> </w:t>
      </w:r>
      <w:r>
        <w:rPr>
          <w:rFonts w:hint="default" w:ascii="Times New Roman Bold" w:hAnsi="Times New Roman Bold" w:cs="Times New Roman Bold"/>
          <w:b/>
          <w:bCs w:val="0"/>
        </w:rPr>
        <w:t>Training-Side Anchor Sparsity with ADMM Budget</w:t>
      </w:r>
    </w:p>
    <w:p w14:paraId="489CC5F5">
      <w:r>
        <w:rPr>
          <w:rFonts w:hint="eastAsia"/>
          <w:b w:val="0"/>
          <w:i w:val="0"/>
          <w:lang w:eastAsia="zh-CN"/>
        </w:rPr>
        <w:t>DCCA-GS</w:t>
      </w:r>
      <w:r>
        <w:rPr>
          <w:b w:val="0"/>
          <w:i w:val="0"/>
        </w:rPr>
        <w:t xml:space="preserve">'s anchor mask provides a soft per-anchor score </w:t>
      </w:r>
      <m:oMath>
        <m:r>
          <m:rPr>
            <m:sty m:val="p"/>
          </m:rPr>
          <w:rPr>
            <w:rFonts w:ascii="DejaVu Math TeX Gyre" w:hAnsi="DejaVu Math TeX Gyre" w:cs="Times New Roman"/>
            <w:kern w:val="2"/>
            <w:sz w:val="21"/>
            <w:szCs w:val="22"/>
            <w:lang w:val="en-US" w:bidi="ar-SA"/>
          </w:rPr>
          <m:t>a = mean(mask)</m:t>
        </m:r>
      </m:oMath>
      <w:r>
        <w:rPr>
          <w:b w:val="0"/>
          <w:i w:val="0"/>
        </w:rPr>
        <w:t xml:space="preserve">. SPA adds two training-only tensors, a binary hard mask z and a multiplier u, and every 100 iterations performs the ADMM update </w:t>
      </w:r>
      <m:oMath>
        <m:r>
          <m:rPr>
            <m:nor/>
            <m:sty m:val="p"/>
          </m:rPr>
          <w:rPr>
            <w:rFonts w:hint="default" w:ascii="Times New Roman" w:hAnsi="Times New Roman" w:cs="Times New Roman"/>
            <w:b w:val="0"/>
            <w:i w:val="0"/>
            <w:sz w:val="21"/>
          </w:rPr>
          <m:t>z=TopK(a+u,κ)</m:t>
        </m:r>
      </m:oMath>
      <w:r>
        <w:rPr>
          <w:b w:val="0"/>
          <w:i w:val="0"/>
        </w:rPr>
        <w:t xml:space="preserve">, </w:t>
      </w:r>
      <m:oMath>
        <m:r>
          <m:rPr>
            <m:nor/>
            <m:sty m:val="p"/>
          </m:rPr>
          <w:rPr>
            <w:rFonts w:hint="default" w:ascii="Times New Roman" w:hAnsi="Times New Roman" w:cs="Times New Roman"/>
            <w:b w:val="0"/>
            <w:i w:val="0"/>
            <w:kern w:val="2"/>
            <w:sz w:val="21"/>
            <w:szCs w:val="22"/>
            <w:lang w:val="en-US" w:bidi="ar-SA"/>
          </w:rPr>
          <m:t>u = clamp(u + a - z, -1, 1)</m:t>
        </m:r>
      </m:oMath>
      <w:r>
        <w:rPr>
          <w:b w:val="0"/>
          <w:i w:val="0"/>
        </w:rPr>
        <w:t xml:space="preserve">. The budget is </w:t>
      </w:r>
      <m:oMath>
        <m:r>
          <m:rPr>
            <m:nor/>
            <m:sty m:val="p"/>
          </m:rPr>
          <w:rPr>
            <w:rFonts w:hint="default" w:ascii="Times New Roman" w:hAnsi="Times New Roman" w:cs="Times New Roman"/>
            <w:b w:val="0"/>
            <w:i w:val="0"/>
          </w:rPr>
          <m:t>κ=round(max(</m:t>
        </m:r>
        <m:sSub>
          <m:sSubPr>
            <m:ctrlPr>
              <w:rPr>
                <w:rFonts w:hint="default" w:ascii="DejaVu Math TeX Gyre" w:hAnsi="DejaVu Math TeX Gyre" w:cs="Times New Roman"/>
                <w:i w:val="0"/>
              </w:rPr>
            </m:ctrlPr>
          </m:sSubPr>
          <m:e>
            <m:r>
              <m:rPr>
                <m:nor/>
                <m:sty m:val="p"/>
              </m:rPr>
              <w:rPr>
                <w:rFonts w:hint="default" w:ascii="Times New Roman" w:hAnsi="Times New Roman" w:cs="Times New Roman"/>
                <w:b w:val="0"/>
                <w:i w:val="0"/>
              </w:rPr>
              <m:t>N</m:t>
            </m:r>
            <m:ctrlPr>
              <w:rPr>
                <w:rFonts w:hint="default" w:ascii="DejaVu Math TeX Gyre" w:hAnsi="DejaVu Math TeX Gyre" w:cs="Times New Roman"/>
                <w:i w:val="0"/>
              </w:rPr>
            </m:ctrlPr>
          </m:e>
          <m:sub>
            <m:r>
              <m:rPr>
                <m:nor/>
                <m:sty m:val="p"/>
              </m:rPr>
              <w:rPr>
                <w:rFonts w:hint="default" w:ascii="Times New Roman" w:hAnsi="Times New Roman" w:cs="Times New Roman"/>
                <w:b w:val="0"/>
                <w:i w:val="0"/>
              </w:rPr>
              <m:t>r</m:t>
            </m:r>
            <m:r>
              <m:rPr>
                <m:nor/>
                <m:sty m:val="p"/>
              </m:rPr>
              <w:rPr>
                <w:rFonts w:hint="default" w:ascii="Times New Roman" w:hAnsi="Times New Roman" w:cs="Times New Roman"/>
                <w:b w:val="0"/>
                <w:i w:val="0"/>
                <w:lang w:val="en-US" w:eastAsia="zh-CN"/>
              </w:rPr>
              <m:t>ef</m:t>
            </m:r>
            <m:ctrlPr>
              <w:rPr>
                <w:rFonts w:hint="default" w:ascii="DejaVu Math TeX Gyre" w:hAnsi="DejaVu Math TeX Gyre" w:cs="Times New Roman"/>
                <w:i w:val="0"/>
              </w:rPr>
            </m:ctrlPr>
          </m:sub>
        </m:sSub>
        <m:r>
          <m:rPr>
            <m:nor/>
            <m:sty m:val="p"/>
          </m:rPr>
          <w:rPr>
            <w:rFonts w:hint="default" w:ascii="Times New Roman" w:hAnsi="Times New Roman" w:cs="Times New Roman"/>
            <w:b w:val="0"/>
            <w:i w:val="0"/>
          </w:rPr>
          <m:t>)∗rati</m:t>
        </m:r>
        <m:sSub>
          <m:sSubPr>
            <m:ctrlPr>
              <w:rPr>
                <w:rFonts w:hint="default" w:ascii="DejaVu Math TeX Gyre" w:hAnsi="DejaVu Math TeX Gyre" w:cs="Times New Roman"/>
                <w:i w:val="0"/>
              </w:rPr>
            </m:ctrlPr>
          </m:sSubPr>
          <m:e>
            <m:r>
              <m:rPr>
                <m:nor/>
                <m:sty m:val="p"/>
              </m:rPr>
              <w:rPr>
                <w:rFonts w:hint="default" w:ascii="Times New Roman" w:hAnsi="Times New Roman" w:cs="Times New Roman"/>
                <w:b w:val="0"/>
                <w:i w:val="0"/>
              </w:rPr>
              <m:t>o</m:t>
            </m:r>
            <m:ctrlPr>
              <w:rPr>
                <w:rFonts w:hint="default" w:ascii="DejaVu Math TeX Gyre" w:hAnsi="DejaVu Math TeX Gyre" w:cs="Times New Roman"/>
                <w:i w:val="0"/>
              </w:rPr>
            </m:ctrlPr>
          </m:e>
          <m:sub>
            <m:r>
              <m:rPr>
                <m:nor/>
                <m:sty m:val="p"/>
              </m:rPr>
              <w:rPr>
                <w:rFonts w:hint="default" w:ascii="Times New Roman" w:hAnsi="Times New Roman" w:cs="Times New Roman"/>
                <w:b w:val="0"/>
                <w:i w:val="0"/>
              </w:rPr>
              <m:t>t</m:t>
            </m:r>
            <m:ctrlPr>
              <w:rPr>
                <w:rFonts w:hint="default" w:ascii="DejaVu Math TeX Gyre" w:hAnsi="DejaVu Math TeX Gyre" w:cs="Times New Roman"/>
                <w:i w:val="0"/>
              </w:rPr>
            </m:ctrlPr>
          </m:sub>
        </m:sSub>
        <m:r>
          <m:rPr>
            <m:nor/>
            <m:sty m:val="p"/>
          </m:rPr>
          <w:rPr>
            <w:rFonts w:hint="default" w:ascii="Times New Roman" w:hAnsi="Times New Roman" w:cs="Times New Roman"/>
            <w:b w:val="0"/>
            <w:i w:val="0"/>
          </w:rPr>
          <m:t>)</m:t>
        </m:r>
      </m:oMath>
      <w:r>
        <w:rPr>
          <w:rFonts w:hint="eastAsia" w:hAnsi="DejaVu Math TeX Gyre"/>
          <w:i w:val="0"/>
          <w:lang w:val="en-US" w:eastAsia="zh-CN"/>
        </w:rPr>
        <w:t>,</w:t>
      </w:r>
      <w:r>
        <w:rPr>
          <w:b w:val="0"/>
          <w:i w:val="0"/>
        </w:rPr>
        <w:t xml:space="preserve">with </w:t>
      </w:r>
      <m:oMath>
        <m:r>
          <m:rPr>
            <m:nor/>
            <m:sty m:val="p"/>
          </m:rPr>
          <w:rPr>
            <w:rFonts w:hint="default" w:ascii="Times New Roman" w:hAnsi="Times New Roman" w:cs="Times New Roman"/>
            <w:b w:val="0"/>
            <w:i w:val="0"/>
            <w:sz w:val="21"/>
          </w:rPr>
          <m:t>rati</m:t>
        </m:r>
        <m:sSub>
          <m:sSubPr>
            <m:ctrlPr>
              <w:rPr>
                <w:rFonts w:hint="default" w:ascii="DejaVu Math TeX Gyre" w:hAnsi="DejaVu Math TeX Gyre" w:cs="Times New Roman"/>
                <w:i w:val="0"/>
                <w:sz w:val="21"/>
              </w:rPr>
            </m:ctrlPr>
          </m:sSubPr>
          <m:e>
            <m:r>
              <m:rPr>
                <m:nor/>
                <m:sty m:val="p"/>
              </m:rPr>
              <w:rPr>
                <w:rFonts w:hint="default" w:ascii="Times New Roman" w:hAnsi="Times New Roman" w:cs="Times New Roman"/>
                <w:b w:val="0"/>
                <w:i w:val="0"/>
                <w:sz w:val="21"/>
              </w:rPr>
              <m:t>o</m:t>
            </m:r>
            <m:ctrlPr>
              <w:rPr>
                <w:rFonts w:hint="default" w:ascii="DejaVu Math TeX Gyre" w:hAnsi="DejaVu Math TeX Gyre" w:cs="Times New Roman"/>
                <w:i w:val="0"/>
                <w:sz w:val="21"/>
              </w:rPr>
            </m:ctrlPr>
          </m:e>
          <m:sub>
            <m:r>
              <m:rPr>
                <m:nor/>
                <m:sty m:val="p"/>
              </m:rPr>
              <w:rPr>
                <w:rFonts w:hint="default" w:ascii="Times New Roman" w:hAnsi="Times New Roman" w:cs="Times New Roman"/>
                <w:b w:val="0"/>
                <w:i w:val="0"/>
                <w:sz w:val="21"/>
              </w:rPr>
              <m:t>t</m:t>
            </m:r>
            <m:ctrlPr>
              <w:rPr>
                <w:rFonts w:hint="default" w:ascii="DejaVu Math TeX Gyre" w:hAnsi="DejaVu Math TeX Gyre" w:cs="Times New Roman"/>
                <w:i w:val="0"/>
                <w:sz w:val="21"/>
              </w:rPr>
            </m:ctrlPr>
          </m:sub>
        </m:sSub>
      </m:oMath>
      <w:r>
        <w:rPr>
          <w:b w:val="0"/>
          <w:i w:val="0"/>
        </w:rPr>
        <w:t xml:space="preserve"> ramping linearly from 1.0 to the target ratio (e.g., 0.5) between the growth start and update_until; anchoring the budget to the maximum anchor count observed prevents the geometric collapse of a </w:t>
      </w:r>
      <m:oMath>
        <m:r>
          <m:rPr>
            <m:nor/>
          </m:rPr>
          <w:rPr>
            <w:rFonts w:hint="default" w:ascii="Times New Roman" w:hAnsi="Times New Roman" w:cs="Times New Roman"/>
            <w:i/>
            <w:sz w:val="21"/>
          </w:rPr>
          <m:t>ratio</m:t>
        </m:r>
        <m:r>
          <m:rPr>
            <m:nor/>
            <m:sty m:val="p"/>
          </m:rPr>
          <w:rPr>
            <w:rFonts w:hint="default" w:ascii="Times New Roman" w:hAnsi="Times New Roman" w:cs="Times New Roman"/>
            <w:b w:val="0"/>
            <w:i w:val="0"/>
            <w:sz w:val="21"/>
          </w:rPr>
          <m:t>∗</m:t>
        </m:r>
        <m:sSub>
          <m:sSubPr>
            <m:ctrlPr>
              <w:rPr>
                <w:rFonts w:hint="default" w:ascii="DejaVu Math TeX Gyre" w:hAnsi="DejaVu Math TeX Gyre" w:cs="Times New Roman"/>
                <w:sz w:val="21"/>
              </w:rPr>
            </m:ctrlPr>
          </m:sSubPr>
          <m:e>
            <m:r>
              <m:rPr>
                <m:nor/>
              </m:rPr>
              <w:rPr>
                <w:rFonts w:hint="default" w:ascii="Times New Roman" w:hAnsi="Times New Roman" w:cs="Times New Roman"/>
                <w:i/>
                <w:sz w:val="21"/>
              </w:rPr>
              <m:t>N</m:t>
            </m:r>
            <m:ctrlPr>
              <w:rPr>
                <w:rFonts w:hint="default" w:ascii="DejaVu Math TeX Gyre" w:hAnsi="DejaVu Math TeX Gyre" w:cs="Times New Roman"/>
                <w:sz w:val="21"/>
              </w:rPr>
            </m:ctrlPr>
          </m:e>
          <m:sub>
            <m:r>
              <m:rPr>
                <m:nor/>
              </m:rPr>
              <w:rPr>
                <w:rFonts w:hint="default" w:ascii="Times New Roman" w:hAnsi="Times New Roman" w:cs="Times New Roman"/>
                <w:i/>
                <w:sz w:val="21"/>
              </w:rPr>
              <m:t>t</m:t>
            </m:r>
            <m:ctrlPr>
              <w:rPr>
                <w:rFonts w:hint="default" w:ascii="DejaVu Math TeX Gyre" w:hAnsi="DejaVu Math TeX Gyre" w:cs="Times New Roman"/>
                <w:sz w:val="21"/>
              </w:rPr>
            </m:ctrlPr>
          </m:sub>
        </m:sSub>
      </m:oMath>
      <w:r>
        <w:rPr>
          <w:rFonts w:hint="eastAsia" w:hAnsi="DejaVu Math TeX Gyre" w:cs="Times New Roman"/>
          <w:i w:val="0"/>
          <w:sz w:val="21"/>
          <w:lang w:val="en-US" w:eastAsia="zh-CN"/>
        </w:rPr>
        <w:t xml:space="preserve"> </w:t>
      </w:r>
      <w:r>
        <w:rPr>
          <w:b w:val="0"/>
          <w:i w:val="0"/>
        </w:rPr>
        <w:t>schedule. The augmented loss term</w:t>
      </w:r>
      <m:oMath>
        <m:r>
          <m:rPr>
            <m:nor/>
            <m:sty m:val="p"/>
          </m:rPr>
          <w:rPr>
            <w:rFonts w:hint="default" w:ascii="Times New Roman" w:hAnsi="Times New Roman" w:cs="Times New Roman"/>
            <w:b w:val="0"/>
            <w:i w:val="0"/>
            <w:kern w:val="2"/>
            <w:sz w:val="21"/>
            <w:szCs w:val="22"/>
            <w:lang w:val="en-US" w:bidi="ar-SA"/>
          </w:rPr>
          <m:t xml:space="preserve"> ρ/2·‖a-z+u‖²</m:t>
        </m:r>
      </m:oMath>
      <w:r>
        <w:rPr>
          <w:rFonts w:hint="default" w:ascii="Times New Roman Regular" w:hAnsi="Times New Roman Regular" w:cs="Times New Roman Regular"/>
          <w:b w:val="0"/>
          <w:i w:val="0"/>
        </w:rPr>
        <w:t xml:space="preserve">（ρ=1e-3） </w:t>
      </w:r>
      <w:r>
        <w:rPr>
          <w:b w:val="0"/>
          <w:i w:val="0"/>
        </w:rPr>
        <w:t>is added to the training loss, and z replaces the heuristic opacity pruning while SPA is enabled. SPA state is never written to the bitstream.</w:t>
      </w:r>
    </w:p>
    <w:p w14:paraId="08459A6E">
      <w:pPr>
        <w:rPr>
          <w:rFonts w:hint="default" w:ascii="Times New Roman" w:hAnsi="Times New Roman" w:cs="Times New Roman"/>
          <w:b w:val="0"/>
          <w:i w:val="0"/>
          <w:sz w:val="24"/>
          <w:szCs w:val="28"/>
        </w:rPr>
      </w:pPr>
    </w:p>
    <w:p w14:paraId="3614BFA8">
      <w:pPr>
        <w:pStyle w:val="2"/>
        <w:numPr>
          <w:ilvl w:val="0"/>
          <w:numId w:val="7"/>
        </w:numPr>
        <w:bidi w:val="0"/>
      </w:pPr>
      <w:r>
        <w:t>Experimental Results and Analysis</w:t>
      </w:r>
    </w:p>
    <w:p w14:paraId="550952CB">
      <w:pPr>
        <w:pStyle w:val="2"/>
        <w:bidi w:val="0"/>
        <w:rPr>
          <w:rFonts w:hint="default"/>
          <w:lang w:val="en-US" w:eastAsia="zh-CN"/>
        </w:rPr>
      </w:pPr>
      <w:r>
        <w:rPr>
          <w:rFonts w:hint="eastAsia"/>
        </w:rPr>
        <w:t xml:space="preserve">3.1 </w:t>
      </w:r>
      <w:r>
        <w:t>Datasets</w:t>
      </w:r>
      <w:r>
        <w:rPr>
          <w:rFonts w:hint="eastAsia"/>
          <w:lang w:val="en-US" w:eastAsia="zh-CN"/>
        </w:rPr>
        <w:t xml:space="preserve"> &amp; Configuration</w:t>
      </w:r>
    </w:p>
    <w:p w14:paraId="7292A180">
      <w:pPr>
        <w:widowControl w:val="0"/>
        <w:jc w:val="both"/>
        <w:rPr>
          <w:rFonts w:hint="default" w:ascii="Times New Roman" w:hAnsi="Times New Roman" w:eastAsia="宋体" w:cs="Times New Roman"/>
          <w:b w:val="0"/>
          <w:bCs/>
          <w:kern w:val="2"/>
          <w:sz w:val="24"/>
          <w:szCs w:val="28"/>
          <w:lang w:val="en-US" w:eastAsia="zh-CN" w:bidi="ar-SA"/>
        </w:rPr>
      </w:pPr>
      <w:r>
        <w:rPr>
          <w:rFonts w:hint="default" w:ascii="Times New Roman" w:hAnsi="Times New Roman" w:eastAsia="宋体" w:cs="Times New Roman"/>
          <w:b w:val="0"/>
          <w:bCs/>
          <w:i w:val="0"/>
          <w:kern w:val="2"/>
          <w:sz w:val="24"/>
          <w:szCs w:val="28"/>
          <w:lang w:val="en-US" w:eastAsia="zh-CN" w:bidi="ar-SA"/>
        </w:rPr>
        <w:t>Datasets. 4-28 is a large-scale UAV scene (1,200 images, 150 validation views under test_every = 8). Deep Blending provides playroom (225 images, 29 validation views) and drjohnson (263 images, 33 validation views), covering a different capture modality (hand-held, indoor, object-centric). Evaluation is performed on decoded bitstreams at 1600-pixel width with data_factor = 1 and test_every = 8. Metrics are PSNR, SSIM, and VGG-LPIPS. Sizes are decode-required payload in MiB.</w:t>
      </w:r>
    </w:p>
    <w:p w14:paraId="56089146">
      <w:pPr>
        <w:widowControl w:val="0"/>
        <w:ind w:leftChars="0"/>
        <w:jc w:val="both"/>
        <w:rPr>
          <w:rFonts w:hint="default" w:ascii="Times New Roman" w:hAnsi="Times New Roman" w:eastAsia="宋体" w:cs="Times New Roman"/>
          <w:b w:val="0"/>
          <w:bCs/>
          <w:kern w:val="2"/>
          <w:sz w:val="24"/>
          <w:szCs w:val="28"/>
          <w:lang w:val="en-US" w:eastAsia="zh-CN" w:bidi="ar-SA"/>
        </w:rPr>
      </w:pPr>
      <w:r>
        <w:rPr>
          <w:rFonts w:hint="default" w:ascii="Times New Roman" w:hAnsi="Times New Roman" w:eastAsia="宋体" w:cs="Times New Roman"/>
          <w:b w:val="0"/>
          <w:bCs/>
          <w:i w:val="0"/>
          <w:kern w:val="2"/>
          <w:sz w:val="24"/>
          <w:szCs w:val="28"/>
          <w:lang w:val="en-US" w:eastAsia="zh-CN" w:bidi="ar-SA"/>
        </w:rPr>
        <w:t>Training protocol. The recommended configuration is I2 + I6, feature dimension 50, complexity hidden 32, voxel size 0.001, 10 offsets, appearance dimension 0, and 110,000 iterations with anchor growth stopped after 45,000. We report λ in {0.001, 0.002, 0.004}. Every result below is the decoded-view metric of the actual bitstream; the quantized column additionally applies the mixed-precision MLP quantization of Section 2.4.</w:t>
      </w:r>
    </w:p>
    <w:p w14:paraId="390BE9A4">
      <w:pPr>
        <w:pStyle w:val="2"/>
        <w:bidi w:val="0"/>
        <w:rPr>
          <w:rFonts w:hint="default"/>
          <w:lang w:val="en-US" w:eastAsia="zh-CN"/>
        </w:rPr>
      </w:pPr>
      <w:r>
        <w:rPr>
          <w:rFonts w:hint="eastAsia"/>
        </w:rPr>
        <w:t>3.</w:t>
      </w:r>
      <w:r>
        <w:t>2</w:t>
      </w:r>
      <w:r>
        <w:rPr>
          <w:rFonts w:hint="eastAsia"/>
        </w:rPr>
        <w:t xml:space="preserve"> </w:t>
      </w:r>
      <w:r>
        <w:rPr>
          <w:rFonts w:hint="eastAsia"/>
          <w:lang w:val="en-US" w:eastAsia="zh-CN"/>
        </w:rPr>
        <w:t>Main Result</w:t>
      </w:r>
    </w:p>
    <w:p w14:paraId="7A5C3D44">
      <w:pPr>
        <w:widowControl/>
        <w:wordWrap w:val="0"/>
        <w:autoSpaceDE w:val="0"/>
        <w:adjustRightInd w:val="0"/>
        <w:spacing w:after="120" w:line="240" w:lineRule="auto"/>
        <w:rPr>
          <w:rFonts w:ascii="Times New Roman" w:hAnsi="Times New Roman" w:eastAsia="黑体"/>
          <w:b w:val="0"/>
          <w:bCs w:val="0"/>
          <w:kern w:val="1"/>
          <w:sz w:val="24"/>
          <w:szCs w:val="24"/>
        </w:rPr>
      </w:pPr>
      <w:r>
        <w:rPr>
          <w:rFonts w:hint="default" w:ascii="Times New Roman Bold" w:hAnsi="Times New Roman Bold" w:eastAsia="黑体" w:cs="Times New Roman Bold"/>
          <w:b/>
          <w:bCs/>
          <w:kern w:val="1"/>
          <w:sz w:val="24"/>
          <w:szCs w:val="24"/>
        </w:rPr>
        <w:t>4-28 UAV scene.</w:t>
      </w:r>
      <w:r>
        <w:rPr>
          <w:rFonts w:hint="eastAsia" w:ascii="Times New Roman" w:hAnsi="Times New Roman" w:eastAsia="黑体"/>
          <w:b w:val="0"/>
          <w:bCs w:val="0"/>
          <w:kern w:val="1"/>
          <w:sz w:val="24"/>
          <w:szCs w:val="24"/>
        </w:rPr>
        <w:t xml:space="preserve"> Table 1 presents the decoded-view comparison on the 4-28 UAV scene. DCCA-GS achieves the highest PSNR of 28.82 dB among all methods and the best average rank of 3.50. Compared with the same-framework baseline HAC++ (28.31 dB, 6.95 MB), DCCA-GS improves PSNR by 0.51 dB while reducing the required size by about 21%, demonstrating simultaneous gains in quality and compactness. Relative to uncompressed representations (3DGS and gsplat, about 612 MB), DCCA-GS attains roughly 111× compression while keeping SSIM (0.89) and perceptual quality (LPIPS 0.28) at the forefront of mainstream methods, with a footprint well below those of ContextGS (8.65 MB) and HAC (9.39 MB) in the same quality range, reflecting favorable rate–distortion performance and deployment efficiency.3.3 </w:t>
      </w:r>
      <w:r>
        <w:rPr>
          <w:rFonts w:ascii="Times New Roman" w:hAnsi="Times New Roman" w:eastAsia="黑体"/>
          <w:b w:val="0"/>
          <w:bCs w:val="0"/>
          <w:kern w:val="1"/>
          <w:sz w:val="24"/>
          <w:szCs w:val="24"/>
        </w:rPr>
        <w:t>Experimental Results</w:t>
      </w:r>
    </w:p>
    <w:p w14:paraId="39962F0C">
      <w:pPr>
        <w:keepNext w:val="0"/>
        <w:keepLines w:val="0"/>
        <w:widowControl/>
        <w:suppressLineNumbers w:val="0"/>
        <w:jc w:val="center"/>
        <w:rPr>
          <w:rFonts w:ascii="Times New Roman" w:hAnsi="Times New Roman" w:eastAsia="黑体"/>
          <w:b/>
          <w:bCs/>
          <w:kern w:val="1"/>
          <w:sz w:val="28"/>
          <w:szCs w:val="28"/>
        </w:rPr>
      </w:pPr>
      <w:r>
        <w:rPr>
          <w:rFonts w:ascii="Times New Roman" w:hAnsi="Times New Roman"/>
          <w:kern w:val="0"/>
          <w:sz w:val="24"/>
          <w:szCs w:val="24"/>
        </w:rPr>
        <w:t>T</w:t>
      </w:r>
      <w:r>
        <w:rPr>
          <w:rFonts w:hint="eastAsia" w:ascii="Times New Roman" w:hAnsi="Times New Roman"/>
          <w:kern w:val="0"/>
          <w:sz w:val="24"/>
          <w:szCs w:val="24"/>
        </w:rPr>
        <w:t xml:space="preserve">able </w:t>
      </w:r>
      <w:r>
        <w:rPr>
          <w:rFonts w:hint="eastAsia" w:ascii="Times New Roman" w:hAnsi="Times New Roman"/>
          <w:kern w:val="0"/>
          <w:sz w:val="24"/>
          <w:szCs w:val="24"/>
          <w:lang w:val="en-US" w:eastAsia="zh-CN"/>
        </w:rPr>
        <w:t>1.</w:t>
      </w:r>
      <w:r>
        <w:rPr>
          <w:rFonts w:hint="default" w:ascii="Times New Roman" w:hAnsi="Times New Roman" w:eastAsia="宋体" w:cs="Times New Roman"/>
          <w:kern w:val="0"/>
          <w:sz w:val="24"/>
          <w:szCs w:val="24"/>
          <w:lang w:val="en-US" w:eastAsia="zh-CN" w:bidi="ar"/>
        </w:rPr>
        <w:t>Decoded-view comparison on the 4-28 UAV scene (1,200 training images, 150 validation views at 1600-pixel width).</w:t>
      </w:r>
    </w:p>
    <w:tbl>
      <w:tblPr>
        <w:tblStyle w:val="18"/>
        <w:tblW w:w="827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00"/>
        <w:gridCol w:w="1027"/>
        <w:gridCol w:w="965"/>
        <w:gridCol w:w="919"/>
        <w:gridCol w:w="996"/>
        <w:gridCol w:w="2072"/>
      </w:tblGrid>
      <w:tr w14:paraId="41E37A5E">
        <w:trPr>
          <w:trHeight w:val="336" w:hRule="atLeast"/>
        </w:trPr>
        <w:tc>
          <w:tcPr>
            <w:tcW w:w="2300" w:type="dxa"/>
            <w:vMerge w:val="restart"/>
            <w:tcBorders>
              <w:top w:val="single" w:color="000000" w:sz="4" w:space="0"/>
              <w:left w:val="nil"/>
              <w:bottom w:val="single" w:color="000000" w:sz="4" w:space="0"/>
              <w:right w:val="nil"/>
            </w:tcBorders>
            <w:shd w:val="clear" w:color="auto" w:fill="auto"/>
            <w:noWrap/>
            <w:vAlign w:val="center"/>
          </w:tcPr>
          <w:p w14:paraId="4373C058">
            <w:pPr>
              <w:keepNext w:val="0"/>
              <w:keepLines w:val="0"/>
              <w:widowControl/>
              <w:suppressLineNumbers w:val="0"/>
              <w:jc w:val="center"/>
              <w:textAlignment w:val="center"/>
              <w:rPr>
                <w:rFonts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Method</w:t>
            </w:r>
          </w:p>
        </w:tc>
        <w:tc>
          <w:tcPr>
            <w:tcW w:w="1027" w:type="dxa"/>
            <w:vMerge w:val="restart"/>
            <w:tcBorders>
              <w:top w:val="single" w:color="000000" w:sz="4" w:space="0"/>
              <w:left w:val="nil"/>
              <w:bottom w:val="single" w:color="000000" w:sz="4" w:space="0"/>
              <w:right w:val="nil"/>
            </w:tcBorders>
            <w:shd w:val="clear" w:color="auto" w:fill="auto"/>
            <w:noWrap/>
            <w:vAlign w:val="center"/>
          </w:tcPr>
          <w:p w14:paraId="37471D1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Rank</w:t>
            </w:r>
          </w:p>
        </w:tc>
        <w:tc>
          <w:tcPr>
            <w:tcW w:w="4952" w:type="dxa"/>
            <w:gridSpan w:val="4"/>
            <w:tcBorders>
              <w:top w:val="single" w:color="000000" w:sz="4" w:space="0"/>
              <w:left w:val="nil"/>
              <w:bottom w:val="nil"/>
              <w:right w:val="nil"/>
            </w:tcBorders>
            <w:shd w:val="clear" w:color="auto" w:fill="auto"/>
            <w:noWrap/>
            <w:vAlign w:val="center"/>
          </w:tcPr>
          <w:p w14:paraId="29BE5B3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4-28</w:t>
            </w:r>
          </w:p>
        </w:tc>
      </w:tr>
      <w:tr w14:paraId="7BEFD5F3">
        <w:trPr>
          <w:trHeight w:val="336" w:hRule="atLeast"/>
        </w:trPr>
        <w:tc>
          <w:tcPr>
            <w:tcW w:w="2300" w:type="dxa"/>
            <w:vMerge w:val="continue"/>
            <w:tcBorders>
              <w:top w:val="single" w:color="000000" w:sz="4" w:space="0"/>
              <w:left w:val="nil"/>
              <w:bottom w:val="single" w:color="000000" w:sz="4" w:space="0"/>
              <w:right w:val="nil"/>
            </w:tcBorders>
            <w:shd w:val="clear" w:color="auto" w:fill="auto"/>
            <w:noWrap/>
            <w:vAlign w:val="center"/>
          </w:tcPr>
          <w:p w14:paraId="65E3795F">
            <w:pPr>
              <w:jc w:val="center"/>
              <w:rPr>
                <w:rFonts w:hint="default" w:ascii="Times New Roman Regular" w:hAnsi="Times New Roman Regular" w:eastAsia="Times New Roman Regular" w:cs="Times New Roman Regular"/>
                <w:i w:val="0"/>
                <w:iCs w:val="0"/>
                <w:color w:val="000000"/>
                <w:sz w:val="22"/>
                <w:szCs w:val="22"/>
                <w:u w:val="none"/>
              </w:rPr>
            </w:pPr>
          </w:p>
        </w:tc>
        <w:tc>
          <w:tcPr>
            <w:tcW w:w="1027" w:type="dxa"/>
            <w:vMerge w:val="continue"/>
            <w:tcBorders>
              <w:top w:val="single" w:color="000000" w:sz="4" w:space="0"/>
              <w:left w:val="nil"/>
              <w:bottom w:val="single" w:color="000000" w:sz="4" w:space="0"/>
              <w:right w:val="nil"/>
            </w:tcBorders>
            <w:shd w:val="clear" w:color="auto" w:fill="auto"/>
            <w:noWrap/>
            <w:vAlign w:val="center"/>
          </w:tcPr>
          <w:p w14:paraId="36732FC8">
            <w:pPr>
              <w:jc w:val="center"/>
              <w:rPr>
                <w:rFonts w:hint="default" w:ascii="Times New Roman Regular" w:hAnsi="Times New Roman Regular" w:eastAsia="Times New Roman Regular" w:cs="Times New Roman Regular"/>
                <w:i w:val="0"/>
                <w:iCs w:val="0"/>
                <w:color w:val="000000"/>
                <w:sz w:val="22"/>
                <w:szCs w:val="22"/>
                <w:u w:val="none"/>
              </w:rPr>
            </w:pPr>
          </w:p>
        </w:tc>
        <w:tc>
          <w:tcPr>
            <w:tcW w:w="0" w:type="auto"/>
            <w:tcBorders>
              <w:top w:val="nil"/>
              <w:left w:val="nil"/>
              <w:bottom w:val="single" w:color="000000" w:sz="4" w:space="0"/>
              <w:right w:val="nil"/>
            </w:tcBorders>
            <w:shd w:val="clear" w:color="auto" w:fill="auto"/>
            <w:noWrap/>
            <w:vAlign w:val="center"/>
          </w:tcPr>
          <w:p w14:paraId="1644AF4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PSNR</w:t>
            </w:r>
          </w:p>
        </w:tc>
        <w:tc>
          <w:tcPr>
            <w:tcW w:w="0" w:type="auto"/>
            <w:tcBorders>
              <w:top w:val="nil"/>
              <w:left w:val="nil"/>
              <w:bottom w:val="single" w:color="000000" w:sz="4" w:space="0"/>
              <w:right w:val="nil"/>
            </w:tcBorders>
            <w:shd w:val="clear" w:color="auto" w:fill="auto"/>
            <w:noWrap/>
            <w:vAlign w:val="center"/>
          </w:tcPr>
          <w:p w14:paraId="30532F3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SSIM</w:t>
            </w:r>
          </w:p>
        </w:tc>
        <w:tc>
          <w:tcPr>
            <w:tcW w:w="0" w:type="auto"/>
            <w:tcBorders>
              <w:top w:val="nil"/>
              <w:left w:val="nil"/>
              <w:bottom w:val="single" w:color="000000" w:sz="4" w:space="0"/>
              <w:right w:val="nil"/>
            </w:tcBorders>
            <w:shd w:val="clear" w:color="auto" w:fill="auto"/>
            <w:noWrap/>
            <w:vAlign w:val="center"/>
          </w:tcPr>
          <w:p w14:paraId="3233DBF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LPIPS</w:t>
            </w:r>
          </w:p>
        </w:tc>
        <w:tc>
          <w:tcPr>
            <w:tcW w:w="1646" w:type="dxa"/>
            <w:tcBorders>
              <w:top w:val="nil"/>
              <w:left w:val="nil"/>
              <w:bottom w:val="single" w:color="000000" w:sz="4" w:space="0"/>
              <w:right w:val="nil"/>
            </w:tcBorders>
            <w:shd w:val="clear" w:color="auto" w:fill="auto"/>
            <w:noWrap/>
            <w:vAlign w:val="center"/>
          </w:tcPr>
          <w:p w14:paraId="19CD8FF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Size [MB]</w:t>
            </w:r>
          </w:p>
        </w:tc>
      </w:tr>
      <w:tr w14:paraId="6739FEB7">
        <w:trPr>
          <w:trHeight w:val="336" w:hRule="atLeast"/>
        </w:trPr>
        <w:tc>
          <w:tcPr>
            <w:tcW w:w="0" w:type="auto"/>
            <w:tcBorders>
              <w:top w:val="nil"/>
              <w:left w:val="nil"/>
              <w:bottom w:val="nil"/>
              <w:right w:val="nil"/>
            </w:tcBorders>
            <w:shd w:val="clear" w:color="auto" w:fill="auto"/>
            <w:noWrap/>
            <w:vAlign w:val="center"/>
          </w:tcPr>
          <w:p w14:paraId="050C017E">
            <w:pPr>
              <w:keepNext w:val="0"/>
              <w:keepLines w:val="0"/>
              <w:widowControl/>
              <w:suppressLineNumbers w:val="0"/>
              <w:jc w:val="center"/>
              <w:textAlignment w:val="center"/>
              <w:rPr>
                <w:rFonts w:hint="default" w:ascii="Times New Roman Bold" w:hAnsi="Times New Roman Bold" w:eastAsia="Times New Roman Regular" w:cs="Times New Roman Bold"/>
                <w:b/>
                <w:bCs/>
                <w:i w:val="0"/>
                <w:iCs w:val="0"/>
                <w:color w:val="000000"/>
                <w:sz w:val="22"/>
                <w:szCs w:val="22"/>
                <w:u w:val="none"/>
                <w:lang w:val="en-US"/>
              </w:rPr>
            </w:pPr>
            <w:r>
              <w:rPr>
                <w:rFonts w:hint="default" w:ascii="Times New Roman Bold" w:hAnsi="Times New Roman Bold" w:eastAsia="Times New Roman Regular" w:cs="Times New Roman Bold"/>
                <w:b/>
                <w:bCs/>
                <w:i w:val="0"/>
                <w:iCs w:val="0"/>
                <w:color w:val="000000"/>
                <w:kern w:val="0"/>
                <w:sz w:val="22"/>
                <w:szCs w:val="22"/>
                <w:u w:val="none"/>
                <w:lang w:val="en-US" w:eastAsia="zh-CN" w:bidi="ar"/>
              </w:rPr>
              <w:t>ours</w:t>
            </w:r>
            <w:r>
              <w:rPr>
                <w:rFonts w:hint="eastAsia" w:ascii="Times New Roman Bold" w:hAnsi="Times New Roman Bold" w:eastAsia="Times New Roman Regular" w:cs="Times New Roman Bold"/>
                <w:b/>
                <w:bCs/>
                <w:i w:val="0"/>
                <w:iCs w:val="0"/>
                <w:color w:val="000000"/>
                <w:kern w:val="0"/>
                <w:sz w:val="22"/>
                <w:szCs w:val="22"/>
                <w:u w:val="none"/>
                <w:lang w:val="en-US" w:eastAsia="zh-CN" w:bidi="ar"/>
              </w:rPr>
              <w:t>(w Spa)</w:t>
            </w:r>
          </w:p>
        </w:tc>
        <w:tc>
          <w:tcPr>
            <w:tcW w:w="0" w:type="auto"/>
            <w:tcBorders>
              <w:top w:val="nil"/>
              <w:left w:val="nil"/>
              <w:bottom w:val="nil"/>
              <w:right w:val="nil"/>
            </w:tcBorders>
            <w:shd w:val="clear" w:color="auto" w:fill="auto"/>
            <w:noWrap/>
            <w:vAlign w:val="center"/>
          </w:tcPr>
          <w:p w14:paraId="7E778958">
            <w:pPr>
              <w:keepNext w:val="0"/>
              <w:keepLines w:val="0"/>
              <w:widowControl/>
              <w:suppressLineNumbers w:val="0"/>
              <w:jc w:val="center"/>
              <w:textAlignment w:val="center"/>
              <w:rPr>
                <w:rFonts w:hint="default" w:ascii="Times New Roman Bold" w:hAnsi="Times New Roman Bold" w:eastAsia="Times New Roman Regular" w:cs="Times New Roman Bold"/>
                <w:b/>
                <w:bCs/>
                <w:i w:val="0"/>
                <w:iCs w:val="0"/>
                <w:color w:val="000000"/>
                <w:sz w:val="22"/>
                <w:szCs w:val="22"/>
                <w:u w:val="single"/>
              </w:rPr>
            </w:pPr>
            <w:r>
              <w:rPr>
                <w:rFonts w:hint="default" w:ascii="Times New Roman Bold" w:hAnsi="Times New Roman Bold" w:eastAsia="Times New Roman Regular" w:cs="Times New Roman Bold"/>
                <w:b/>
                <w:bCs/>
                <w:i w:val="0"/>
                <w:iCs w:val="0"/>
                <w:color w:val="000000"/>
                <w:kern w:val="0"/>
                <w:sz w:val="22"/>
                <w:szCs w:val="22"/>
                <w:u w:val="single"/>
                <w:lang w:val="en-US" w:eastAsia="zh-CN" w:bidi="ar"/>
              </w:rPr>
              <w:t xml:space="preserve">3.50 </w:t>
            </w:r>
          </w:p>
        </w:tc>
        <w:tc>
          <w:tcPr>
            <w:tcW w:w="0" w:type="auto"/>
            <w:tcBorders>
              <w:top w:val="nil"/>
              <w:left w:val="nil"/>
              <w:bottom w:val="nil"/>
              <w:right w:val="nil"/>
            </w:tcBorders>
            <w:shd w:val="clear" w:color="auto" w:fill="auto"/>
            <w:noWrap/>
            <w:vAlign w:val="center"/>
          </w:tcPr>
          <w:p w14:paraId="6F245DF9">
            <w:pPr>
              <w:keepNext w:val="0"/>
              <w:keepLines w:val="0"/>
              <w:widowControl/>
              <w:suppressLineNumbers w:val="0"/>
              <w:jc w:val="center"/>
              <w:textAlignment w:val="center"/>
              <w:rPr>
                <w:rFonts w:hint="default" w:ascii="Times New Roman Bold" w:hAnsi="Times New Roman Bold" w:eastAsia="Times New Roman Regular" w:cs="Times New Roman Bold"/>
                <w:b/>
                <w:bCs/>
                <w:i w:val="0"/>
                <w:iCs w:val="0"/>
                <w:color w:val="000000"/>
                <w:sz w:val="22"/>
                <w:szCs w:val="22"/>
                <w:u w:val="single"/>
              </w:rPr>
            </w:pPr>
            <w:r>
              <w:rPr>
                <w:rFonts w:hint="default" w:ascii="Times New Roman Bold" w:hAnsi="Times New Roman Bold" w:eastAsia="Times New Roman Regular" w:cs="Times New Roman Bold"/>
                <w:b/>
                <w:bCs/>
                <w:i w:val="0"/>
                <w:iCs w:val="0"/>
                <w:color w:val="000000"/>
                <w:kern w:val="0"/>
                <w:sz w:val="22"/>
                <w:szCs w:val="22"/>
                <w:u w:val="single"/>
                <w:lang w:val="en-US" w:eastAsia="zh-CN" w:bidi="ar"/>
              </w:rPr>
              <w:t xml:space="preserve">28.82 </w:t>
            </w:r>
          </w:p>
        </w:tc>
        <w:tc>
          <w:tcPr>
            <w:tcW w:w="0" w:type="auto"/>
            <w:tcBorders>
              <w:top w:val="nil"/>
              <w:left w:val="nil"/>
              <w:bottom w:val="nil"/>
              <w:right w:val="nil"/>
            </w:tcBorders>
            <w:shd w:val="clear" w:color="auto" w:fill="auto"/>
            <w:noWrap/>
            <w:vAlign w:val="center"/>
          </w:tcPr>
          <w:p w14:paraId="6CBF5F6E">
            <w:pPr>
              <w:keepNext w:val="0"/>
              <w:keepLines w:val="0"/>
              <w:widowControl/>
              <w:suppressLineNumbers w:val="0"/>
              <w:jc w:val="center"/>
              <w:textAlignment w:val="center"/>
              <w:rPr>
                <w:rFonts w:hint="default" w:ascii="Times New Roman Bold" w:hAnsi="Times New Roman Bold" w:eastAsia="Times New Roman Regular" w:cs="Times New Roman Bold"/>
                <w:b/>
                <w:bCs/>
                <w:i w:val="0"/>
                <w:iCs w:val="0"/>
                <w:color w:val="000000"/>
                <w:sz w:val="22"/>
                <w:szCs w:val="22"/>
                <w:u w:val="none"/>
              </w:rPr>
            </w:pPr>
            <w:r>
              <w:rPr>
                <w:rFonts w:hint="default" w:ascii="Times New Roman Bold" w:hAnsi="Times New Roman Bold" w:eastAsia="Times New Roman Regular" w:cs="Times New Roman Bold"/>
                <w:b/>
                <w:bCs/>
                <w:i w:val="0"/>
                <w:iCs w:val="0"/>
                <w:color w:val="000000"/>
                <w:kern w:val="0"/>
                <w:sz w:val="22"/>
                <w:szCs w:val="22"/>
                <w:u w:val="none"/>
                <w:lang w:val="en-US" w:eastAsia="zh-CN" w:bidi="ar"/>
              </w:rPr>
              <w:t xml:space="preserve">0.89 </w:t>
            </w:r>
          </w:p>
        </w:tc>
        <w:tc>
          <w:tcPr>
            <w:tcW w:w="0" w:type="auto"/>
            <w:tcBorders>
              <w:top w:val="nil"/>
              <w:left w:val="nil"/>
              <w:bottom w:val="nil"/>
              <w:right w:val="nil"/>
            </w:tcBorders>
            <w:shd w:val="clear" w:color="auto" w:fill="auto"/>
            <w:noWrap/>
            <w:vAlign w:val="center"/>
          </w:tcPr>
          <w:p w14:paraId="41567E2F">
            <w:pPr>
              <w:keepNext w:val="0"/>
              <w:keepLines w:val="0"/>
              <w:widowControl/>
              <w:suppressLineNumbers w:val="0"/>
              <w:jc w:val="center"/>
              <w:textAlignment w:val="center"/>
              <w:rPr>
                <w:rFonts w:hint="default" w:ascii="Times New Roman Bold" w:hAnsi="Times New Roman Bold" w:eastAsia="Times New Roman Regular" w:cs="Times New Roman Bold"/>
                <w:b/>
                <w:bCs/>
                <w:i w:val="0"/>
                <w:iCs w:val="0"/>
                <w:color w:val="000000"/>
                <w:sz w:val="22"/>
                <w:szCs w:val="22"/>
                <w:u w:val="none"/>
              </w:rPr>
            </w:pPr>
            <w:r>
              <w:rPr>
                <w:rFonts w:hint="default" w:ascii="Times New Roman Bold" w:hAnsi="Times New Roman Bold" w:eastAsia="Times New Roman Regular" w:cs="Times New Roman Bold"/>
                <w:b/>
                <w:bCs/>
                <w:i w:val="0"/>
                <w:iCs w:val="0"/>
                <w:color w:val="000000"/>
                <w:kern w:val="0"/>
                <w:sz w:val="22"/>
                <w:szCs w:val="22"/>
                <w:u w:val="none"/>
                <w:lang w:val="en-US" w:eastAsia="zh-CN" w:bidi="ar"/>
              </w:rPr>
              <w:t xml:space="preserve">0.28 </w:t>
            </w:r>
          </w:p>
        </w:tc>
        <w:tc>
          <w:tcPr>
            <w:tcW w:w="1646" w:type="dxa"/>
            <w:tcBorders>
              <w:top w:val="nil"/>
              <w:left w:val="nil"/>
              <w:bottom w:val="nil"/>
              <w:right w:val="nil"/>
            </w:tcBorders>
            <w:shd w:val="clear" w:color="auto" w:fill="auto"/>
            <w:noWrap/>
            <w:vAlign w:val="center"/>
          </w:tcPr>
          <w:p w14:paraId="1EEFCDD5">
            <w:pPr>
              <w:keepNext w:val="0"/>
              <w:keepLines w:val="0"/>
              <w:widowControl/>
              <w:suppressLineNumbers w:val="0"/>
              <w:jc w:val="center"/>
              <w:textAlignment w:val="center"/>
              <w:rPr>
                <w:rFonts w:hint="default" w:ascii="Times New Roman Bold" w:hAnsi="Times New Roman Bold" w:eastAsia="Times New Roman Regular" w:cs="Times New Roman Bold"/>
                <w:b/>
                <w:bCs/>
                <w:i w:val="0"/>
                <w:iCs w:val="0"/>
                <w:color w:val="000000"/>
                <w:sz w:val="22"/>
                <w:szCs w:val="22"/>
                <w:u w:val="none"/>
              </w:rPr>
            </w:pPr>
            <w:r>
              <w:rPr>
                <w:rFonts w:hint="default" w:ascii="Times New Roman Bold" w:hAnsi="Times New Roman Bold" w:eastAsia="Times New Roman Regular" w:cs="Times New Roman Bold"/>
                <w:b/>
                <w:bCs/>
                <w:i w:val="0"/>
                <w:iCs w:val="0"/>
                <w:color w:val="000000"/>
                <w:kern w:val="0"/>
                <w:sz w:val="22"/>
                <w:szCs w:val="22"/>
                <w:u w:val="none"/>
                <w:lang w:val="en-US" w:eastAsia="zh-CN" w:bidi="ar"/>
              </w:rPr>
              <w:t xml:space="preserve">5.49 </w:t>
            </w:r>
          </w:p>
        </w:tc>
      </w:tr>
      <w:tr w14:paraId="30679F30">
        <w:trPr>
          <w:trHeight w:val="336" w:hRule="atLeast"/>
        </w:trPr>
        <w:tc>
          <w:tcPr>
            <w:tcW w:w="0" w:type="auto"/>
            <w:tcBorders>
              <w:top w:val="nil"/>
              <w:left w:val="nil"/>
              <w:bottom w:val="nil"/>
              <w:right w:val="nil"/>
            </w:tcBorders>
            <w:shd w:val="clear" w:color="auto" w:fill="auto"/>
            <w:noWrap/>
            <w:vAlign w:val="center"/>
          </w:tcPr>
          <w:p w14:paraId="702B346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CAT</w:t>
            </w:r>
          </w:p>
        </w:tc>
        <w:tc>
          <w:tcPr>
            <w:tcW w:w="0" w:type="auto"/>
            <w:tcBorders>
              <w:top w:val="nil"/>
              <w:left w:val="nil"/>
              <w:bottom w:val="nil"/>
              <w:right w:val="nil"/>
            </w:tcBorders>
            <w:shd w:val="clear" w:color="auto" w:fill="auto"/>
            <w:noWrap/>
            <w:vAlign w:val="center"/>
          </w:tcPr>
          <w:p w14:paraId="2DBA4ED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4.17 </w:t>
            </w:r>
          </w:p>
        </w:tc>
        <w:tc>
          <w:tcPr>
            <w:tcW w:w="0" w:type="auto"/>
            <w:tcBorders>
              <w:top w:val="nil"/>
              <w:left w:val="nil"/>
              <w:bottom w:val="nil"/>
              <w:right w:val="nil"/>
            </w:tcBorders>
            <w:shd w:val="clear" w:color="auto" w:fill="auto"/>
            <w:noWrap/>
            <w:vAlign w:val="center"/>
          </w:tcPr>
          <w:p w14:paraId="27C8D5A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27.47 </w:t>
            </w:r>
          </w:p>
        </w:tc>
        <w:tc>
          <w:tcPr>
            <w:tcW w:w="0" w:type="auto"/>
            <w:tcBorders>
              <w:top w:val="nil"/>
              <w:left w:val="nil"/>
              <w:bottom w:val="nil"/>
              <w:right w:val="nil"/>
            </w:tcBorders>
            <w:shd w:val="clear" w:color="auto" w:fill="auto"/>
            <w:noWrap/>
            <w:vAlign w:val="center"/>
          </w:tcPr>
          <w:p w14:paraId="66B531D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0.89 </w:t>
            </w:r>
          </w:p>
        </w:tc>
        <w:tc>
          <w:tcPr>
            <w:tcW w:w="0" w:type="auto"/>
            <w:tcBorders>
              <w:top w:val="nil"/>
              <w:left w:val="nil"/>
              <w:bottom w:val="nil"/>
              <w:right w:val="nil"/>
            </w:tcBorders>
            <w:shd w:val="clear" w:color="auto" w:fill="auto"/>
            <w:noWrap/>
            <w:vAlign w:val="center"/>
          </w:tcPr>
          <w:p w14:paraId="05BB454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single"/>
              </w:rPr>
            </w:pPr>
            <w:r>
              <w:rPr>
                <w:rFonts w:hint="default" w:ascii="Times New Roman Regular" w:hAnsi="Times New Roman Regular" w:eastAsia="Times New Roman Regular" w:cs="Times New Roman Regular"/>
                <w:i w:val="0"/>
                <w:iCs w:val="0"/>
                <w:color w:val="000000"/>
                <w:kern w:val="0"/>
                <w:sz w:val="22"/>
                <w:szCs w:val="22"/>
                <w:u w:val="single"/>
                <w:lang w:val="en-US" w:eastAsia="zh-CN" w:bidi="ar"/>
              </w:rPr>
              <w:t xml:space="preserve">0.18 </w:t>
            </w:r>
          </w:p>
        </w:tc>
        <w:tc>
          <w:tcPr>
            <w:tcW w:w="1646" w:type="dxa"/>
            <w:tcBorders>
              <w:top w:val="nil"/>
              <w:left w:val="nil"/>
              <w:bottom w:val="nil"/>
              <w:right w:val="nil"/>
            </w:tcBorders>
            <w:shd w:val="clear" w:color="auto" w:fill="auto"/>
            <w:noWrap/>
            <w:vAlign w:val="center"/>
          </w:tcPr>
          <w:p w14:paraId="561FA2A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5.26 </w:t>
            </w:r>
          </w:p>
        </w:tc>
      </w:tr>
      <w:tr w14:paraId="7D92E3C6">
        <w:trPr>
          <w:trHeight w:val="336" w:hRule="atLeast"/>
        </w:trPr>
        <w:tc>
          <w:tcPr>
            <w:tcW w:w="0" w:type="auto"/>
            <w:tcBorders>
              <w:top w:val="nil"/>
              <w:left w:val="nil"/>
              <w:bottom w:val="nil"/>
              <w:right w:val="nil"/>
            </w:tcBorders>
            <w:shd w:val="clear" w:color="auto" w:fill="auto"/>
            <w:noWrap/>
            <w:vAlign w:val="center"/>
          </w:tcPr>
          <w:p w14:paraId="30179FC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PC-GS</w:t>
            </w:r>
          </w:p>
        </w:tc>
        <w:tc>
          <w:tcPr>
            <w:tcW w:w="0" w:type="auto"/>
            <w:tcBorders>
              <w:top w:val="nil"/>
              <w:left w:val="nil"/>
              <w:bottom w:val="nil"/>
              <w:right w:val="nil"/>
            </w:tcBorders>
            <w:shd w:val="clear" w:color="auto" w:fill="auto"/>
            <w:noWrap/>
            <w:vAlign w:val="center"/>
          </w:tcPr>
          <w:p w14:paraId="1BA2D48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5.33 </w:t>
            </w:r>
          </w:p>
        </w:tc>
        <w:tc>
          <w:tcPr>
            <w:tcW w:w="0" w:type="auto"/>
            <w:tcBorders>
              <w:top w:val="nil"/>
              <w:left w:val="nil"/>
              <w:bottom w:val="nil"/>
              <w:right w:val="nil"/>
            </w:tcBorders>
            <w:shd w:val="clear" w:color="auto" w:fill="auto"/>
            <w:noWrap/>
            <w:vAlign w:val="center"/>
          </w:tcPr>
          <w:p w14:paraId="53E2A86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27.32 </w:t>
            </w:r>
          </w:p>
        </w:tc>
        <w:tc>
          <w:tcPr>
            <w:tcW w:w="0" w:type="auto"/>
            <w:tcBorders>
              <w:top w:val="nil"/>
              <w:left w:val="nil"/>
              <w:bottom w:val="nil"/>
              <w:right w:val="nil"/>
            </w:tcBorders>
            <w:shd w:val="clear" w:color="auto" w:fill="auto"/>
            <w:noWrap/>
            <w:vAlign w:val="center"/>
          </w:tcPr>
          <w:p w14:paraId="53CE01C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0.89 </w:t>
            </w:r>
          </w:p>
        </w:tc>
        <w:tc>
          <w:tcPr>
            <w:tcW w:w="0" w:type="auto"/>
            <w:tcBorders>
              <w:top w:val="nil"/>
              <w:left w:val="nil"/>
              <w:bottom w:val="nil"/>
              <w:right w:val="nil"/>
            </w:tcBorders>
            <w:shd w:val="clear" w:color="auto" w:fill="auto"/>
            <w:noWrap/>
            <w:vAlign w:val="center"/>
          </w:tcPr>
          <w:p w14:paraId="1B432C6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0.30 </w:t>
            </w:r>
          </w:p>
        </w:tc>
        <w:tc>
          <w:tcPr>
            <w:tcW w:w="1646" w:type="dxa"/>
            <w:tcBorders>
              <w:top w:val="nil"/>
              <w:left w:val="nil"/>
              <w:bottom w:val="nil"/>
              <w:right w:val="nil"/>
            </w:tcBorders>
            <w:shd w:val="clear" w:color="auto" w:fill="auto"/>
            <w:noWrap/>
            <w:vAlign w:val="center"/>
          </w:tcPr>
          <w:p w14:paraId="47FDAD6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5.04 </w:t>
            </w:r>
          </w:p>
        </w:tc>
      </w:tr>
      <w:tr w14:paraId="16D7640B">
        <w:trPr>
          <w:trHeight w:val="336" w:hRule="atLeast"/>
        </w:trPr>
        <w:tc>
          <w:tcPr>
            <w:tcW w:w="0" w:type="auto"/>
            <w:tcBorders>
              <w:top w:val="nil"/>
              <w:left w:val="nil"/>
              <w:bottom w:val="nil"/>
              <w:right w:val="nil"/>
            </w:tcBorders>
            <w:shd w:val="clear" w:color="auto" w:fill="auto"/>
            <w:noWrap/>
            <w:vAlign w:val="center"/>
          </w:tcPr>
          <w:p w14:paraId="1C58AE8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HAC++</w:t>
            </w:r>
          </w:p>
        </w:tc>
        <w:tc>
          <w:tcPr>
            <w:tcW w:w="0" w:type="auto"/>
            <w:tcBorders>
              <w:top w:val="nil"/>
              <w:left w:val="nil"/>
              <w:bottom w:val="nil"/>
              <w:right w:val="nil"/>
            </w:tcBorders>
            <w:shd w:val="clear" w:color="auto" w:fill="auto"/>
            <w:noWrap/>
            <w:vAlign w:val="center"/>
          </w:tcPr>
          <w:p w14:paraId="79A056B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5.50 </w:t>
            </w:r>
          </w:p>
        </w:tc>
        <w:tc>
          <w:tcPr>
            <w:tcW w:w="0" w:type="auto"/>
            <w:tcBorders>
              <w:top w:val="nil"/>
              <w:left w:val="nil"/>
              <w:bottom w:val="nil"/>
              <w:right w:val="nil"/>
            </w:tcBorders>
            <w:shd w:val="clear" w:color="auto" w:fill="auto"/>
            <w:noWrap/>
            <w:vAlign w:val="center"/>
          </w:tcPr>
          <w:p w14:paraId="372ED7F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28.31 </w:t>
            </w:r>
          </w:p>
        </w:tc>
        <w:tc>
          <w:tcPr>
            <w:tcW w:w="0" w:type="auto"/>
            <w:tcBorders>
              <w:top w:val="nil"/>
              <w:left w:val="nil"/>
              <w:bottom w:val="nil"/>
              <w:right w:val="nil"/>
            </w:tcBorders>
            <w:shd w:val="clear" w:color="auto" w:fill="auto"/>
            <w:noWrap/>
            <w:vAlign w:val="center"/>
          </w:tcPr>
          <w:p w14:paraId="1FCC937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0.89 </w:t>
            </w:r>
          </w:p>
        </w:tc>
        <w:tc>
          <w:tcPr>
            <w:tcW w:w="0" w:type="auto"/>
            <w:tcBorders>
              <w:top w:val="nil"/>
              <w:left w:val="nil"/>
              <w:bottom w:val="nil"/>
              <w:right w:val="nil"/>
            </w:tcBorders>
            <w:shd w:val="clear" w:color="auto" w:fill="auto"/>
            <w:noWrap/>
            <w:vAlign w:val="center"/>
          </w:tcPr>
          <w:p w14:paraId="3B13C3C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0.29 </w:t>
            </w:r>
          </w:p>
        </w:tc>
        <w:tc>
          <w:tcPr>
            <w:tcW w:w="1646" w:type="dxa"/>
            <w:tcBorders>
              <w:top w:val="nil"/>
              <w:left w:val="nil"/>
              <w:bottom w:val="nil"/>
              <w:right w:val="nil"/>
            </w:tcBorders>
            <w:shd w:val="clear" w:color="auto" w:fill="auto"/>
            <w:noWrap/>
            <w:vAlign w:val="center"/>
          </w:tcPr>
          <w:p w14:paraId="418F4DE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6.95 </w:t>
            </w:r>
          </w:p>
        </w:tc>
      </w:tr>
      <w:tr w14:paraId="4C45891E">
        <w:trPr>
          <w:trHeight w:val="336" w:hRule="atLeast"/>
        </w:trPr>
        <w:tc>
          <w:tcPr>
            <w:tcW w:w="0" w:type="auto"/>
            <w:tcBorders>
              <w:top w:val="nil"/>
              <w:left w:val="nil"/>
              <w:bottom w:val="nil"/>
              <w:right w:val="nil"/>
            </w:tcBorders>
            <w:shd w:val="clear" w:color="auto" w:fill="auto"/>
            <w:noWrap/>
            <w:vAlign w:val="center"/>
          </w:tcPr>
          <w:p w14:paraId="13E42B9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contextgs</w:t>
            </w:r>
          </w:p>
        </w:tc>
        <w:tc>
          <w:tcPr>
            <w:tcW w:w="0" w:type="auto"/>
            <w:tcBorders>
              <w:top w:val="nil"/>
              <w:left w:val="nil"/>
              <w:bottom w:val="nil"/>
              <w:right w:val="nil"/>
            </w:tcBorders>
            <w:shd w:val="clear" w:color="auto" w:fill="auto"/>
            <w:noWrap/>
            <w:vAlign w:val="center"/>
          </w:tcPr>
          <w:p w14:paraId="67204F3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6.33 </w:t>
            </w:r>
          </w:p>
        </w:tc>
        <w:tc>
          <w:tcPr>
            <w:tcW w:w="0" w:type="auto"/>
            <w:tcBorders>
              <w:top w:val="nil"/>
              <w:left w:val="nil"/>
              <w:bottom w:val="nil"/>
              <w:right w:val="nil"/>
            </w:tcBorders>
            <w:shd w:val="clear" w:color="auto" w:fill="auto"/>
            <w:noWrap/>
            <w:vAlign w:val="center"/>
          </w:tcPr>
          <w:p w14:paraId="40D1334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27.60 </w:t>
            </w:r>
          </w:p>
        </w:tc>
        <w:tc>
          <w:tcPr>
            <w:tcW w:w="0" w:type="auto"/>
            <w:tcBorders>
              <w:top w:val="nil"/>
              <w:left w:val="nil"/>
              <w:bottom w:val="nil"/>
              <w:right w:val="nil"/>
            </w:tcBorders>
            <w:shd w:val="clear" w:color="auto" w:fill="auto"/>
            <w:noWrap/>
            <w:vAlign w:val="center"/>
          </w:tcPr>
          <w:p w14:paraId="6517402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0.89 </w:t>
            </w:r>
          </w:p>
        </w:tc>
        <w:tc>
          <w:tcPr>
            <w:tcW w:w="0" w:type="auto"/>
            <w:tcBorders>
              <w:top w:val="nil"/>
              <w:left w:val="nil"/>
              <w:bottom w:val="nil"/>
              <w:right w:val="nil"/>
            </w:tcBorders>
            <w:shd w:val="clear" w:color="auto" w:fill="auto"/>
            <w:noWrap/>
            <w:vAlign w:val="center"/>
          </w:tcPr>
          <w:p w14:paraId="15F0205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0.29 </w:t>
            </w:r>
          </w:p>
        </w:tc>
        <w:tc>
          <w:tcPr>
            <w:tcW w:w="1646" w:type="dxa"/>
            <w:tcBorders>
              <w:top w:val="nil"/>
              <w:left w:val="nil"/>
              <w:bottom w:val="nil"/>
              <w:right w:val="nil"/>
            </w:tcBorders>
            <w:shd w:val="clear" w:color="auto" w:fill="auto"/>
            <w:noWrap/>
            <w:vAlign w:val="center"/>
          </w:tcPr>
          <w:p w14:paraId="6245896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8.65 </w:t>
            </w:r>
          </w:p>
        </w:tc>
      </w:tr>
      <w:tr w14:paraId="1BB1553C">
        <w:trPr>
          <w:trHeight w:val="336" w:hRule="atLeast"/>
        </w:trPr>
        <w:tc>
          <w:tcPr>
            <w:tcW w:w="0" w:type="auto"/>
            <w:tcBorders>
              <w:top w:val="nil"/>
              <w:left w:val="nil"/>
              <w:bottom w:val="nil"/>
              <w:right w:val="nil"/>
            </w:tcBorders>
            <w:shd w:val="clear" w:color="auto" w:fill="auto"/>
            <w:noWrap/>
            <w:vAlign w:val="center"/>
          </w:tcPr>
          <w:p w14:paraId="0D0B39D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HAC</w:t>
            </w:r>
          </w:p>
        </w:tc>
        <w:tc>
          <w:tcPr>
            <w:tcW w:w="0" w:type="auto"/>
            <w:tcBorders>
              <w:top w:val="nil"/>
              <w:left w:val="nil"/>
              <w:bottom w:val="nil"/>
              <w:right w:val="nil"/>
            </w:tcBorders>
            <w:shd w:val="clear" w:color="auto" w:fill="auto"/>
            <w:noWrap/>
            <w:vAlign w:val="center"/>
          </w:tcPr>
          <w:p w14:paraId="5628672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7.67 </w:t>
            </w:r>
          </w:p>
        </w:tc>
        <w:tc>
          <w:tcPr>
            <w:tcW w:w="0" w:type="auto"/>
            <w:tcBorders>
              <w:top w:val="nil"/>
              <w:left w:val="nil"/>
              <w:bottom w:val="nil"/>
              <w:right w:val="nil"/>
            </w:tcBorders>
            <w:shd w:val="clear" w:color="auto" w:fill="auto"/>
            <w:noWrap/>
            <w:vAlign w:val="center"/>
          </w:tcPr>
          <w:p w14:paraId="141F0DA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27.60 </w:t>
            </w:r>
          </w:p>
        </w:tc>
        <w:tc>
          <w:tcPr>
            <w:tcW w:w="0" w:type="auto"/>
            <w:tcBorders>
              <w:top w:val="nil"/>
              <w:left w:val="nil"/>
              <w:bottom w:val="nil"/>
              <w:right w:val="nil"/>
            </w:tcBorders>
            <w:shd w:val="clear" w:color="auto" w:fill="auto"/>
            <w:noWrap/>
            <w:vAlign w:val="center"/>
          </w:tcPr>
          <w:p w14:paraId="60D6FBA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0.89 </w:t>
            </w:r>
          </w:p>
        </w:tc>
        <w:tc>
          <w:tcPr>
            <w:tcW w:w="0" w:type="auto"/>
            <w:tcBorders>
              <w:top w:val="nil"/>
              <w:left w:val="nil"/>
              <w:bottom w:val="nil"/>
              <w:right w:val="nil"/>
            </w:tcBorders>
            <w:shd w:val="clear" w:color="auto" w:fill="auto"/>
            <w:noWrap/>
            <w:vAlign w:val="center"/>
          </w:tcPr>
          <w:p w14:paraId="630DA1A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0.29 </w:t>
            </w:r>
          </w:p>
        </w:tc>
        <w:tc>
          <w:tcPr>
            <w:tcW w:w="1646" w:type="dxa"/>
            <w:tcBorders>
              <w:top w:val="nil"/>
              <w:left w:val="nil"/>
              <w:bottom w:val="nil"/>
              <w:right w:val="nil"/>
            </w:tcBorders>
            <w:shd w:val="clear" w:color="auto" w:fill="auto"/>
            <w:noWrap/>
            <w:vAlign w:val="center"/>
          </w:tcPr>
          <w:p w14:paraId="025557C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9.39 </w:t>
            </w:r>
          </w:p>
        </w:tc>
      </w:tr>
      <w:tr w14:paraId="41C04E7F">
        <w:trPr>
          <w:trHeight w:val="336" w:hRule="atLeast"/>
        </w:trPr>
        <w:tc>
          <w:tcPr>
            <w:tcW w:w="0" w:type="auto"/>
            <w:tcBorders>
              <w:top w:val="nil"/>
              <w:left w:val="nil"/>
              <w:bottom w:val="nil"/>
              <w:right w:val="nil"/>
            </w:tcBorders>
            <w:shd w:val="clear" w:color="auto" w:fill="auto"/>
            <w:noWrap/>
            <w:vAlign w:val="center"/>
          </w:tcPr>
          <w:p w14:paraId="52B03B6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TC-GS</w:t>
            </w:r>
          </w:p>
        </w:tc>
        <w:tc>
          <w:tcPr>
            <w:tcW w:w="0" w:type="auto"/>
            <w:tcBorders>
              <w:top w:val="nil"/>
              <w:left w:val="nil"/>
              <w:bottom w:val="nil"/>
              <w:right w:val="nil"/>
            </w:tcBorders>
            <w:shd w:val="clear" w:color="auto" w:fill="auto"/>
            <w:noWrap/>
            <w:vAlign w:val="center"/>
          </w:tcPr>
          <w:p w14:paraId="21F4D99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8.17 </w:t>
            </w:r>
          </w:p>
        </w:tc>
        <w:tc>
          <w:tcPr>
            <w:tcW w:w="0" w:type="auto"/>
            <w:tcBorders>
              <w:top w:val="nil"/>
              <w:left w:val="nil"/>
              <w:bottom w:val="nil"/>
              <w:right w:val="nil"/>
            </w:tcBorders>
            <w:shd w:val="clear" w:color="auto" w:fill="auto"/>
            <w:noWrap/>
            <w:vAlign w:val="center"/>
          </w:tcPr>
          <w:p w14:paraId="4FECCFD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27.30 </w:t>
            </w:r>
          </w:p>
        </w:tc>
        <w:tc>
          <w:tcPr>
            <w:tcW w:w="0" w:type="auto"/>
            <w:tcBorders>
              <w:top w:val="nil"/>
              <w:left w:val="nil"/>
              <w:bottom w:val="nil"/>
              <w:right w:val="nil"/>
            </w:tcBorders>
            <w:shd w:val="clear" w:color="auto" w:fill="auto"/>
            <w:noWrap/>
            <w:vAlign w:val="center"/>
          </w:tcPr>
          <w:p w14:paraId="34AAB37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0.88 </w:t>
            </w:r>
          </w:p>
        </w:tc>
        <w:tc>
          <w:tcPr>
            <w:tcW w:w="0" w:type="auto"/>
            <w:tcBorders>
              <w:top w:val="nil"/>
              <w:left w:val="nil"/>
              <w:bottom w:val="nil"/>
              <w:right w:val="nil"/>
            </w:tcBorders>
            <w:shd w:val="clear" w:color="auto" w:fill="auto"/>
            <w:noWrap/>
            <w:vAlign w:val="center"/>
          </w:tcPr>
          <w:p w14:paraId="1765873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0.30 </w:t>
            </w:r>
          </w:p>
        </w:tc>
        <w:tc>
          <w:tcPr>
            <w:tcW w:w="1646" w:type="dxa"/>
            <w:tcBorders>
              <w:top w:val="nil"/>
              <w:left w:val="nil"/>
              <w:bottom w:val="nil"/>
              <w:right w:val="nil"/>
            </w:tcBorders>
            <w:shd w:val="clear" w:color="auto" w:fill="auto"/>
            <w:noWrap/>
            <w:vAlign w:val="center"/>
          </w:tcPr>
          <w:p w14:paraId="30B7698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7.33 </w:t>
            </w:r>
          </w:p>
        </w:tc>
      </w:tr>
      <w:tr w14:paraId="322181A9">
        <w:trPr>
          <w:trHeight w:val="336" w:hRule="atLeast"/>
        </w:trPr>
        <w:tc>
          <w:tcPr>
            <w:tcW w:w="0" w:type="auto"/>
            <w:tcBorders>
              <w:top w:val="nil"/>
              <w:left w:val="nil"/>
              <w:bottom w:val="nil"/>
              <w:right w:val="nil"/>
            </w:tcBorders>
            <w:shd w:val="clear" w:color="auto" w:fill="auto"/>
            <w:noWrap/>
            <w:vAlign w:val="center"/>
          </w:tcPr>
          <w:p w14:paraId="6D50378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RDO-gaussian</w:t>
            </w:r>
          </w:p>
        </w:tc>
        <w:tc>
          <w:tcPr>
            <w:tcW w:w="0" w:type="auto"/>
            <w:tcBorders>
              <w:top w:val="nil"/>
              <w:left w:val="nil"/>
              <w:bottom w:val="nil"/>
              <w:right w:val="nil"/>
            </w:tcBorders>
            <w:shd w:val="clear" w:color="auto" w:fill="auto"/>
            <w:noWrap/>
            <w:vAlign w:val="center"/>
          </w:tcPr>
          <w:p w14:paraId="3862CFB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8.67 </w:t>
            </w:r>
          </w:p>
        </w:tc>
        <w:tc>
          <w:tcPr>
            <w:tcW w:w="0" w:type="auto"/>
            <w:tcBorders>
              <w:top w:val="nil"/>
              <w:left w:val="nil"/>
              <w:bottom w:val="nil"/>
              <w:right w:val="nil"/>
            </w:tcBorders>
            <w:shd w:val="clear" w:color="auto" w:fill="auto"/>
            <w:noWrap/>
            <w:vAlign w:val="center"/>
          </w:tcPr>
          <w:p w14:paraId="21471F7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25.42 </w:t>
            </w:r>
          </w:p>
        </w:tc>
        <w:tc>
          <w:tcPr>
            <w:tcW w:w="0" w:type="auto"/>
            <w:tcBorders>
              <w:top w:val="nil"/>
              <w:left w:val="nil"/>
              <w:bottom w:val="nil"/>
              <w:right w:val="nil"/>
            </w:tcBorders>
            <w:shd w:val="clear" w:color="auto" w:fill="auto"/>
            <w:noWrap/>
            <w:vAlign w:val="center"/>
          </w:tcPr>
          <w:p w14:paraId="7346DAF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0.86 </w:t>
            </w:r>
          </w:p>
        </w:tc>
        <w:tc>
          <w:tcPr>
            <w:tcW w:w="0" w:type="auto"/>
            <w:tcBorders>
              <w:top w:val="nil"/>
              <w:left w:val="nil"/>
              <w:bottom w:val="nil"/>
              <w:right w:val="nil"/>
            </w:tcBorders>
            <w:shd w:val="clear" w:color="auto" w:fill="auto"/>
            <w:noWrap/>
            <w:vAlign w:val="center"/>
          </w:tcPr>
          <w:p w14:paraId="3D57232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0.32 </w:t>
            </w:r>
          </w:p>
        </w:tc>
        <w:tc>
          <w:tcPr>
            <w:tcW w:w="1646" w:type="dxa"/>
            <w:tcBorders>
              <w:top w:val="nil"/>
              <w:left w:val="nil"/>
              <w:bottom w:val="nil"/>
              <w:right w:val="nil"/>
            </w:tcBorders>
            <w:shd w:val="clear" w:color="auto" w:fill="auto"/>
            <w:noWrap/>
            <w:vAlign w:val="center"/>
          </w:tcPr>
          <w:p w14:paraId="430560D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single"/>
              </w:rPr>
            </w:pPr>
            <w:r>
              <w:rPr>
                <w:rFonts w:hint="default" w:ascii="Times New Roman Regular" w:hAnsi="Times New Roman Regular" w:eastAsia="Times New Roman Regular" w:cs="Times New Roman Regular"/>
                <w:i w:val="0"/>
                <w:iCs w:val="0"/>
                <w:color w:val="000000"/>
                <w:kern w:val="0"/>
                <w:sz w:val="22"/>
                <w:szCs w:val="22"/>
                <w:u w:val="single"/>
                <w:lang w:val="en-US" w:eastAsia="zh-CN" w:bidi="ar"/>
              </w:rPr>
              <w:t xml:space="preserve">2.97 </w:t>
            </w:r>
          </w:p>
        </w:tc>
      </w:tr>
      <w:tr w14:paraId="3B852BE2">
        <w:trPr>
          <w:trHeight w:val="336" w:hRule="atLeast"/>
        </w:trPr>
        <w:tc>
          <w:tcPr>
            <w:tcW w:w="0" w:type="auto"/>
            <w:tcBorders>
              <w:top w:val="nil"/>
              <w:left w:val="nil"/>
              <w:bottom w:val="nil"/>
              <w:right w:val="nil"/>
            </w:tcBorders>
            <w:shd w:val="clear" w:color="auto" w:fill="auto"/>
            <w:noWrap/>
            <w:vAlign w:val="center"/>
          </w:tcPr>
          <w:p w14:paraId="6E3AE17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Scaffold-gs</w:t>
            </w:r>
          </w:p>
        </w:tc>
        <w:tc>
          <w:tcPr>
            <w:tcW w:w="0" w:type="auto"/>
            <w:tcBorders>
              <w:top w:val="nil"/>
              <w:left w:val="nil"/>
              <w:bottom w:val="nil"/>
              <w:right w:val="nil"/>
            </w:tcBorders>
            <w:shd w:val="clear" w:color="auto" w:fill="auto"/>
            <w:noWrap/>
            <w:vAlign w:val="center"/>
          </w:tcPr>
          <w:p w14:paraId="1FAB0C3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9.50 </w:t>
            </w:r>
          </w:p>
        </w:tc>
        <w:tc>
          <w:tcPr>
            <w:tcW w:w="0" w:type="auto"/>
            <w:tcBorders>
              <w:top w:val="nil"/>
              <w:left w:val="nil"/>
              <w:bottom w:val="nil"/>
              <w:right w:val="nil"/>
            </w:tcBorders>
            <w:shd w:val="clear" w:color="auto" w:fill="auto"/>
            <w:noWrap/>
            <w:vAlign w:val="center"/>
          </w:tcPr>
          <w:p w14:paraId="4AABFA3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27.68 </w:t>
            </w:r>
          </w:p>
        </w:tc>
        <w:tc>
          <w:tcPr>
            <w:tcW w:w="0" w:type="auto"/>
            <w:tcBorders>
              <w:top w:val="nil"/>
              <w:left w:val="nil"/>
              <w:bottom w:val="nil"/>
              <w:right w:val="nil"/>
            </w:tcBorders>
            <w:shd w:val="clear" w:color="auto" w:fill="auto"/>
            <w:noWrap/>
            <w:vAlign w:val="center"/>
          </w:tcPr>
          <w:p w14:paraId="7B469E8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single"/>
              </w:rPr>
            </w:pPr>
            <w:r>
              <w:rPr>
                <w:rFonts w:hint="default" w:ascii="Times New Roman Regular" w:hAnsi="Times New Roman Regular" w:eastAsia="Times New Roman Regular" w:cs="Times New Roman Regular"/>
                <w:i w:val="0"/>
                <w:iCs w:val="0"/>
                <w:color w:val="000000"/>
                <w:kern w:val="0"/>
                <w:sz w:val="22"/>
                <w:szCs w:val="22"/>
                <w:u w:val="single"/>
                <w:lang w:val="en-US" w:eastAsia="zh-CN" w:bidi="ar"/>
              </w:rPr>
              <w:t xml:space="preserve">0.90 </w:t>
            </w:r>
          </w:p>
        </w:tc>
        <w:tc>
          <w:tcPr>
            <w:tcW w:w="0" w:type="auto"/>
            <w:tcBorders>
              <w:top w:val="nil"/>
              <w:left w:val="nil"/>
              <w:bottom w:val="nil"/>
              <w:right w:val="nil"/>
            </w:tcBorders>
            <w:shd w:val="clear" w:color="auto" w:fill="auto"/>
            <w:noWrap/>
            <w:vAlign w:val="center"/>
          </w:tcPr>
          <w:p w14:paraId="321F807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0.28 </w:t>
            </w:r>
          </w:p>
        </w:tc>
        <w:tc>
          <w:tcPr>
            <w:tcW w:w="1646" w:type="dxa"/>
            <w:tcBorders>
              <w:top w:val="nil"/>
              <w:left w:val="nil"/>
              <w:bottom w:val="nil"/>
              <w:right w:val="nil"/>
            </w:tcBorders>
            <w:shd w:val="clear" w:color="auto" w:fill="auto"/>
            <w:noWrap/>
            <w:vAlign w:val="center"/>
          </w:tcPr>
          <w:p w14:paraId="290D3AE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132.52 </w:t>
            </w:r>
          </w:p>
        </w:tc>
      </w:tr>
      <w:tr w14:paraId="5F3EF649">
        <w:trPr>
          <w:trHeight w:val="336" w:hRule="atLeast"/>
        </w:trPr>
        <w:tc>
          <w:tcPr>
            <w:tcW w:w="0" w:type="auto"/>
            <w:tcBorders>
              <w:top w:val="nil"/>
              <w:left w:val="nil"/>
              <w:bottom w:val="nil"/>
              <w:right w:val="nil"/>
            </w:tcBorders>
            <w:shd w:val="clear" w:color="auto" w:fill="auto"/>
            <w:noWrap/>
            <w:vAlign w:val="center"/>
          </w:tcPr>
          <w:p w14:paraId="2D28AD8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compact3d</w:t>
            </w:r>
          </w:p>
        </w:tc>
        <w:tc>
          <w:tcPr>
            <w:tcW w:w="0" w:type="auto"/>
            <w:tcBorders>
              <w:top w:val="nil"/>
              <w:left w:val="nil"/>
              <w:bottom w:val="nil"/>
              <w:right w:val="nil"/>
            </w:tcBorders>
            <w:shd w:val="clear" w:color="auto" w:fill="auto"/>
            <w:noWrap/>
            <w:vAlign w:val="center"/>
          </w:tcPr>
          <w:p w14:paraId="30CFD11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10.67 </w:t>
            </w:r>
          </w:p>
        </w:tc>
        <w:tc>
          <w:tcPr>
            <w:tcW w:w="0" w:type="auto"/>
            <w:tcBorders>
              <w:top w:val="nil"/>
              <w:left w:val="nil"/>
              <w:bottom w:val="nil"/>
              <w:right w:val="nil"/>
            </w:tcBorders>
            <w:shd w:val="clear" w:color="auto" w:fill="auto"/>
            <w:noWrap/>
            <w:vAlign w:val="center"/>
          </w:tcPr>
          <w:p w14:paraId="23266ED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25.87 </w:t>
            </w:r>
          </w:p>
        </w:tc>
        <w:tc>
          <w:tcPr>
            <w:tcW w:w="0" w:type="auto"/>
            <w:tcBorders>
              <w:top w:val="nil"/>
              <w:left w:val="nil"/>
              <w:bottom w:val="nil"/>
              <w:right w:val="nil"/>
            </w:tcBorders>
            <w:shd w:val="clear" w:color="auto" w:fill="auto"/>
            <w:noWrap/>
            <w:vAlign w:val="center"/>
          </w:tcPr>
          <w:p w14:paraId="36B4388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0.88 </w:t>
            </w:r>
          </w:p>
        </w:tc>
        <w:tc>
          <w:tcPr>
            <w:tcW w:w="0" w:type="auto"/>
            <w:tcBorders>
              <w:top w:val="nil"/>
              <w:left w:val="nil"/>
              <w:bottom w:val="nil"/>
              <w:right w:val="nil"/>
            </w:tcBorders>
            <w:shd w:val="clear" w:color="auto" w:fill="auto"/>
            <w:noWrap/>
            <w:vAlign w:val="center"/>
          </w:tcPr>
          <w:p w14:paraId="1463231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0.31 </w:t>
            </w:r>
          </w:p>
        </w:tc>
        <w:tc>
          <w:tcPr>
            <w:tcW w:w="1646" w:type="dxa"/>
            <w:tcBorders>
              <w:top w:val="nil"/>
              <w:left w:val="nil"/>
              <w:bottom w:val="nil"/>
              <w:right w:val="nil"/>
            </w:tcBorders>
            <w:shd w:val="clear" w:color="auto" w:fill="auto"/>
            <w:noWrap/>
            <w:vAlign w:val="center"/>
          </w:tcPr>
          <w:p w14:paraId="380F27C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8.51 </w:t>
            </w:r>
          </w:p>
        </w:tc>
      </w:tr>
      <w:tr w14:paraId="5AC6525A">
        <w:trPr>
          <w:trHeight w:val="336" w:hRule="atLeast"/>
        </w:trPr>
        <w:tc>
          <w:tcPr>
            <w:tcW w:w="0" w:type="auto"/>
            <w:tcBorders>
              <w:top w:val="nil"/>
              <w:left w:val="nil"/>
              <w:bottom w:val="nil"/>
              <w:right w:val="nil"/>
            </w:tcBorders>
            <w:shd w:val="clear" w:color="auto" w:fill="auto"/>
            <w:noWrap/>
            <w:vAlign w:val="center"/>
          </w:tcPr>
          <w:p w14:paraId="579F560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3DGS</w:t>
            </w:r>
          </w:p>
        </w:tc>
        <w:tc>
          <w:tcPr>
            <w:tcW w:w="0" w:type="auto"/>
            <w:tcBorders>
              <w:top w:val="nil"/>
              <w:left w:val="nil"/>
              <w:bottom w:val="nil"/>
              <w:right w:val="nil"/>
            </w:tcBorders>
            <w:shd w:val="clear" w:color="auto" w:fill="auto"/>
            <w:noWrap/>
            <w:vAlign w:val="center"/>
          </w:tcPr>
          <w:p w14:paraId="266DDEB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11.00 </w:t>
            </w:r>
          </w:p>
        </w:tc>
        <w:tc>
          <w:tcPr>
            <w:tcW w:w="0" w:type="auto"/>
            <w:tcBorders>
              <w:top w:val="nil"/>
              <w:left w:val="nil"/>
              <w:bottom w:val="nil"/>
              <w:right w:val="nil"/>
            </w:tcBorders>
            <w:shd w:val="clear" w:color="auto" w:fill="auto"/>
            <w:noWrap/>
            <w:vAlign w:val="center"/>
          </w:tcPr>
          <w:p w14:paraId="42B3C44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26.98 </w:t>
            </w:r>
          </w:p>
        </w:tc>
        <w:tc>
          <w:tcPr>
            <w:tcW w:w="0" w:type="auto"/>
            <w:tcBorders>
              <w:top w:val="nil"/>
              <w:left w:val="nil"/>
              <w:bottom w:val="nil"/>
              <w:right w:val="nil"/>
            </w:tcBorders>
            <w:shd w:val="clear" w:color="auto" w:fill="auto"/>
            <w:noWrap/>
            <w:vAlign w:val="center"/>
          </w:tcPr>
          <w:p w14:paraId="619BCE1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0.90 </w:t>
            </w:r>
          </w:p>
        </w:tc>
        <w:tc>
          <w:tcPr>
            <w:tcW w:w="0" w:type="auto"/>
            <w:tcBorders>
              <w:top w:val="nil"/>
              <w:left w:val="nil"/>
              <w:bottom w:val="nil"/>
              <w:right w:val="nil"/>
            </w:tcBorders>
            <w:shd w:val="clear" w:color="auto" w:fill="auto"/>
            <w:noWrap/>
            <w:vAlign w:val="center"/>
          </w:tcPr>
          <w:p w14:paraId="33AF43C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0.28 </w:t>
            </w:r>
          </w:p>
        </w:tc>
        <w:tc>
          <w:tcPr>
            <w:tcW w:w="1646" w:type="dxa"/>
            <w:tcBorders>
              <w:top w:val="nil"/>
              <w:left w:val="nil"/>
              <w:bottom w:val="nil"/>
              <w:right w:val="nil"/>
            </w:tcBorders>
            <w:shd w:val="clear" w:color="auto" w:fill="auto"/>
            <w:noWrap/>
            <w:vAlign w:val="center"/>
          </w:tcPr>
          <w:p w14:paraId="39C2BCC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612.00 </w:t>
            </w:r>
          </w:p>
        </w:tc>
      </w:tr>
      <w:tr w14:paraId="46DCFBE6">
        <w:trPr>
          <w:trHeight w:val="336" w:hRule="atLeast"/>
        </w:trPr>
        <w:tc>
          <w:tcPr>
            <w:tcW w:w="0" w:type="auto"/>
            <w:tcBorders>
              <w:top w:val="nil"/>
              <w:left w:val="nil"/>
              <w:bottom w:val="nil"/>
              <w:right w:val="nil"/>
            </w:tcBorders>
            <w:shd w:val="clear" w:color="auto" w:fill="auto"/>
            <w:noWrap/>
            <w:vAlign w:val="center"/>
          </w:tcPr>
          <w:p w14:paraId="2AB5385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Minisplatting</w:t>
            </w:r>
          </w:p>
        </w:tc>
        <w:tc>
          <w:tcPr>
            <w:tcW w:w="0" w:type="auto"/>
            <w:tcBorders>
              <w:top w:val="nil"/>
              <w:left w:val="nil"/>
              <w:bottom w:val="nil"/>
              <w:right w:val="nil"/>
            </w:tcBorders>
            <w:shd w:val="clear" w:color="auto" w:fill="auto"/>
            <w:noWrap/>
            <w:vAlign w:val="center"/>
          </w:tcPr>
          <w:p w14:paraId="54BAB2A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11.50 </w:t>
            </w:r>
          </w:p>
        </w:tc>
        <w:tc>
          <w:tcPr>
            <w:tcW w:w="0" w:type="auto"/>
            <w:tcBorders>
              <w:top w:val="nil"/>
              <w:left w:val="nil"/>
              <w:bottom w:val="nil"/>
              <w:right w:val="nil"/>
            </w:tcBorders>
            <w:shd w:val="clear" w:color="auto" w:fill="auto"/>
            <w:noWrap/>
            <w:vAlign w:val="center"/>
          </w:tcPr>
          <w:p w14:paraId="0FD4659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25.96 </w:t>
            </w:r>
          </w:p>
        </w:tc>
        <w:tc>
          <w:tcPr>
            <w:tcW w:w="0" w:type="auto"/>
            <w:tcBorders>
              <w:top w:val="nil"/>
              <w:left w:val="nil"/>
              <w:bottom w:val="nil"/>
              <w:right w:val="nil"/>
            </w:tcBorders>
            <w:shd w:val="clear" w:color="auto" w:fill="auto"/>
            <w:noWrap/>
            <w:vAlign w:val="center"/>
          </w:tcPr>
          <w:p w14:paraId="37B4A68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0.88 </w:t>
            </w:r>
          </w:p>
        </w:tc>
        <w:tc>
          <w:tcPr>
            <w:tcW w:w="0" w:type="auto"/>
            <w:tcBorders>
              <w:top w:val="nil"/>
              <w:left w:val="nil"/>
              <w:bottom w:val="nil"/>
              <w:right w:val="nil"/>
            </w:tcBorders>
            <w:shd w:val="clear" w:color="auto" w:fill="auto"/>
            <w:noWrap/>
            <w:vAlign w:val="center"/>
          </w:tcPr>
          <w:p w14:paraId="4FD7438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0.30 </w:t>
            </w:r>
          </w:p>
        </w:tc>
        <w:tc>
          <w:tcPr>
            <w:tcW w:w="1646" w:type="dxa"/>
            <w:tcBorders>
              <w:top w:val="nil"/>
              <w:left w:val="nil"/>
              <w:bottom w:val="nil"/>
              <w:right w:val="nil"/>
            </w:tcBorders>
            <w:shd w:val="clear" w:color="auto" w:fill="auto"/>
            <w:noWrap/>
            <w:vAlign w:val="center"/>
          </w:tcPr>
          <w:p w14:paraId="2B74AEB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11.91 </w:t>
            </w:r>
          </w:p>
        </w:tc>
      </w:tr>
      <w:tr w14:paraId="73511D42">
        <w:trPr>
          <w:trHeight w:val="336" w:hRule="atLeast"/>
        </w:trPr>
        <w:tc>
          <w:tcPr>
            <w:tcW w:w="0" w:type="auto"/>
            <w:tcBorders>
              <w:top w:val="nil"/>
              <w:left w:val="nil"/>
              <w:bottom w:val="nil"/>
              <w:right w:val="nil"/>
            </w:tcBorders>
            <w:shd w:val="clear" w:color="auto" w:fill="auto"/>
            <w:noWrap/>
            <w:vAlign w:val="center"/>
          </w:tcPr>
          <w:p w14:paraId="005DE8D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gsplat</w:t>
            </w:r>
          </w:p>
        </w:tc>
        <w:tc>
          <w:tcPr>
            <w:tcW w:w="0" w:type="auto"/>
            <w:tcBorders>
              <w:top w:val="nil"/>
              <w:left w:val="nil"/>
              <w:bottom w:val="nil"/>
              <w:right w:val="nil"/>
            </w:tcBorders>
            <w:shd w:val="clear" w:color="auto" w:fill="auto"/>
            <w:noWrap/>
            <w:vAlign w:val="center"/>
          </w:tcPr>
          <w:p w14:paraId="10F6FCE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11.83 </w:t>
            </w:r>
          </w:p>
        </w:tc>
        <w:tc>
          <w:tcPr>
            <w:tcW w:w="0" w:type="auto"/>
            <w:tcBorders>
              <w:top w:val="nil"/>
              <w:left w:val="nil"/>
              <w:bottom w:val="nil"/>
              <w:right w:val="nil"/>
            </w:tcBorders>
            <w:shd w:val="clear" w:color="auto" w:fill="auto"/>
            <w:noWrap/>
            <w:vAlign w:val="center"/>
          </w:tcPr>
          <w:p w14:paraId="38F1D7D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26.75 </w:t>
            </w:r>
          </w:p>
        </w:tc>
        <w:tc>
          <w:tcPr>
            <w:tcW w:w="0" w:type="auto"/>
            <w:tcBorders>
              <w:top w:val="nil"/>
              <w:left w:val="nil"/>
              <w:bottom w:val="nil"/>
              <w:right w:val="nil"/>
            </w:tcBorders>
            <w:shd w:val="clear" w:color="auto" w:fill="auto"/>
            <w:noWrap/>
            <w:vAlign w:val="center"/>
          </w:tcPr>
          <w:p w14:paraId="2D885D6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0.90 </w:t>
            </w:r>
          </w:p>
        </w:tc>
        <w:tc>
          <w:tcPr>
            <w:tcW w:w="0" w:type="auto"/>
            <w:tcBorders>
              <w:top w:val="nil"/>
              <w:left w:val="nil"/>
              <w:bottom w:val="nil"/>
              <w:right w:val="nil"/>
            </w:tcBorders>
            <w:shd w:val="clear" w:color="auto" w:fill="auto"/>
            <w:noWrap/>
            <w:vAlign w:val="center"/>
          </w:tcPr>
          <w:p w14:paraId="1D48315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0.29 </w:t>
            </w:r>
          </w:p>
        </w:tc>
        <w:tc>
          <w:tcPr>
            <w:tcW w:w="1646" w:type="dxa"/>
            <w:tcBorders>
              <w:top w:val="nil"/>
              <w:left w:val="nil"/>
              <w:bottom w:val="nil"/>
              <w:right w:val="nil"/>
            </w:tcBorders>
            <w:shd w:val="clear" w:color="auto" w:fill="auto"/>
            <w:noWrap/>
            <w:vAlign w:val="center"/>
          </w:tcPr>
          <w:p w14:paraId="15DFD4E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612.00 </w:t>
            </w:r>
          </w:p>
        </w:tc>
      </w:tr>
      <w:tr w14:paraId="3315C986">
        <w:trPr>
          <w:trHeight w:val="336" w:hRule="atLeast"/>
        </w:trPr>
        <w:tc>
          <w:tcPr>
            <w:tcW w:w="0" w:type="auto"/>
            <w:tcBorders>
              <w:top w:val="nil"/>
              <w:left w:val="nil"/>
              <w:bottom w:val="nil"/>
              <w:right w:val="nil"/>
            </w:tcBorders>
            <w:shd w:val="clear" w:color="auto" w:fill="auto"/>
            <w:noWrap/>
            <w:vAlign w:val="center"/>
          </w:tcPr>
          <w:p w14:paraId="33C3845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gaussianspa</w:t>
            </w:r>
          </w:p>
        </w:tc>
        <w:tc>
          <w:tcPr>
            <w:tcW w:w="0" w:type="auto"/>
            <w:tcBorders>
              <w:top w:val="nil"/>
              <w:left w:val="nil"/>
              <w:bottom w:val="nil"/>
              <w:right w:val="nil"/>
            </w:tcBorders>
            <w:shd w:val="clear" w:color="auto" w:fill="auto"/>
            <w:noWrap/>
            <w:vAlign w:val="center"/>
          </w:tcPr>
          <w:p w14:paraId="24C788B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12.17 </w:t>
            </w:r>
          </w:p>
        </w:tc>
        <w:tc>
          <w:tcPr>
            <w:tcW w:w="0" w:type="auto"/>
            <w:tcBorders>
              <w:top w:val="nil"/>
              <w:left w:val="nil"/>
              <w:bottom w:val="nil"/>
              <w:right w:val="nil"/>
            </w:tcBorders>
            <w:shd w:val="clear" w:color="auto" w:fill="auto"/>
            <w:noWrap/>
            <w:vAlign w:val="center"/>
          </w:tcPr>
          <w:p w14:paraId="4542FBD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26.49 </w:t>
            </w:r>
          </w:p>
        </w:tc>
        <w:tc>
          <w:tcPr>
            <w:tcW w:w="0" w:type="auto"/>
            <w:tcBorders>
              <w:top w:val="nil"/>
              <w:left w:val="nil"/>
              <w:bottom w:val="nil"/>
              <w:right w:val="nil"/>
            </w:tcBorders>
            <w:shd w:val="clear" w:color="auto" w:fill="auto"/>
            <w:noWrap/>
            <w:vAlign w:val="center"/>
          </w:tcPr>
          <w:p w14:paraId="43BDEA7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0.89 </w:t>
            </w:r>
          </w:p>
        </w:tc>
        <w:tc>
          <w:tcPr>
            <w:tcW w:w="0" w:type="auto"/>
            <w:tcBorders>
              <w:top w:val="nil"/>
              <w:left w:val="nil"/>
              <w:bottom w:val="nil"/>
              <w:right w:val="nil"/>
            </w:tcBorders>
            <w:shd w:val="clear" w:color="auto" w:fill="auto"/>
            <w:noWrap/>
            <w:vAlign w:val="center"/>
          </w:tcPr>
          <w:p w14:paraId="71540C2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0.29 </w:t>
            </w:r>
          </w:p>
        </w:tc>
        <w:tc>
          <w:tcPr>
            <w:tcW w:w="1646" w:type="dxa"/>
            <w:tcBorders>
              <w:top w:val="nil"/>
              <w:left w:val="nil"/>
              <w:bottom w:val="nil"/>
              <w:right w:val="nil"/>
            </w:tcBorders>
            <w:shd w:val="clear" w:color="auto" w:fill="auto"/>
            <w:noWrap/>
            <w:vAlign w:val="center"/>
          </w:tcPr>
          <w:p w14:paraId="002E23F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107.09 </w:t>
            </w:r>
          </w:p>
        </w:tc>
      </w:tr>
      <w:tr w14:paraId="5A90ADAA">
        <w:trPr>
          <w:trHeight w:val="336" w:hRule="atLeast"/>
        </w:trPr>
        <w:tc>
          <w:tcPr>
            <w:tcW w:w="0" w:type="auto"/>
            <w:tcBorders>
              <w:top w:val="nil"/>
              <w:left w:val="nil"/>
              <w:bottom w:val="nil"/>
              <w:right w:val="nil"/>
            </w:tcBorders>
            <w:shd w:val="clear" w:color="auto" w:fill="auto"/>
            <w:noWrap/>
            <w:vAlign w:val="center"/>
          </w:tcPr>
          <w:p w14:paraId="2B35D63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FC-GS</w:t>
            </w:r>
          </w:p>
        </w:tc>
        <w:tc>
          <w:tcPr>
            <w:tcW w:w="0" w:type="auto"/>
            <w:tcBorders>
              <w:top w:val="nil"/>
              <w:left w:val="nil"/>
              <w:bottom w:val="nil"/>
              <w:right w:val="nil"/>
            </w:tcBorders>
            <w:shd w:val="clear" w:color="auto" w:fill="auto"/>
            <w:noWrap/>
            <w:vAlign w:val="center"/>
          </w:tcPr>
          <w:p w14:paraId="1AF4D9B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12.83 </w:t>
            </w:r>
          </w:p>
        </w:tc>
        <w:tc>
          <w:tcPr>
            <w:tcW w:w="0" w:type="auto"/>
            <w:tcBorders>
              <w:top w:val="nil"/>
              <w:left w:val="nil"/>
              <w:bottom w:val="nil"/>
              <w:right w:val="nil"/>
            </w:tcBorders>
            <w:shd w:val="clear" w:color="auto" w:fill="auto"/>
            <w:noWrap/>
            <w:vAlign w:val="center"/>
          </w:tcPr>
          <w:p w14:paraId="7229B1A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20.57 </w:t>
            </w:r>
          </w:p>
        </w:tc>
        <w:tc>
          <w:tcPr>
            <w:tcW w:w="0" w:type="auto"/>
            <w:tcBorders>
              <w:top w:val="nil"/>
              <w:left w:val="nil"/>
              <w:bottom w:val="nil"/>
              <w:right w:val="nil"/>
            </w:tcBorders>
            <w:shd w:val="clear" w:color="auto" w:fill="auto"/>
            <w:noWrap/>
            <w:vAlign w:val="center"/>
          </w:tcPr>
          <w:p w14:paraId="79C5B79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0.81 </w:t>
            </w:r>
          </w:p>
        </w:tc>
        <w:tc>
          <w:tcPr>
            <w:tcW w:w="0" w:type="auto"/>
            <w:tcBorders>
              <w:top w:val="nil"/>
              <w:left w:val="nil"/>
              <w:bottom w:val="nil"/>
              <w:right w:val="nil"/>
            </w:tcBorders>
            <w:shd w:val="clear" w:color="auto" w:fill="auto"/>
            <w:noWrap/>
            <w:vAlign w:val="center"/>
          </w:tcPr>
          <w:p w14:paraId="1845268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0.22 </w:t>
            </w:r>
          </w:p>
        </w:tc>
        <w:tc>
          <w:tcPr>
            <w:tcW w:w="1646" w:type="dxa"/>
            <w:tcBorders>
              <w:top w:val="nil"/>
              <w:left w:val="nil"/>
              <w:bottom w:val="nil"/>
              <w:right w:val="nil"/>
            </w:tcBorders>
            <w:shd w:val="clear" w:color="auto" w:fill="auto"/>
            <w:noWrap/>
            <w:vAlign w:val="center"/>
          </w:tcPr>
          <w:p w14:paraId="7A79EAE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38.37 </w:t>
            </w:r>
          </w:p>
        </w:tc>
      </w:tr>
      <w:tr w14:paraId="67B69CB8">
        <w:trPr>
          <w:trHeight w:val="336" w:hRule="atLeast"/>
        </w:trPr>
        <w:tc>
          <w:tcPr>
            <w:tcW w:w="0" w:type="auto"/>
            <w:tcBorders>
              <w:top w:val="nil"/>
              <w:left w:val="nil"/>
              <w:bottom w:val="nil"/>
              <w:right w:val="nil"/>
            </w:tcBorders>
            <w:shd w:val="clear" w:color="auto" w:fill="auto"/>
            <w:noWrap/>
            <w:vAlign w:val="center"/>
          </w:tcPr>
          <w:p w14:paraId="57EC811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compact3dgs</w:t>
            </w:r>
          </w:p>
        </w:tc>
        <w:tc>
          <w:tcPr>
            <w:tcW w:w="0" w:type="auto"/>
            <w:tcBorders>
              <w:top w:val="nil"/>
              <w:left w:val="nil"/>
              <w:bottom w:val="nil"/>
              <w:right w:val="nil"/>
            </w:tcBorders>
            <w:shd w:val="clear" w:color="auto" w:fill="auto"/>
            <w:noWrap/>
            <w:vAlign w:val="center"/>
          </w:tcPr>
          <w:p w14:paraId="16B28FC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13.33 </w:t>
            </w:r>
          </w:p>
        </w:tc>
        <w:tc>
          <w:tcPr>
            <w:tcW w:w="0" w:type="auto"/>
            <w:tcBorders>
              <w:top w:val="nil"/>
              <w:left w:val="nil"/>
              <w:bottom w:val="nil"/>
              <w:right w:val="nil"/>
            </w:tcBorders>
            <w:shd w:val="clear" w:color="auto" w:fill="auto"/>
            <w:noWrap/>
            <w:vAlign w:val="center"/>
          </w:tcPr>
          <w:p w14:paraId="6203585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25.98 </w:t>
            </w:r>
          </w:p>
        </w:tc>
        <w:tc>
          <w:tcPr>
            <w:tcW w:w="0" w:type="auto"/>
            <w:tcBorders>
              <w:top w:val="nil"/>
              <w:left w:val="nil"/>
              <w:bottom w:val="nil"/>
              <w:right w:val="nil"/>
            </w:tcBorders>
            <w:shd w:val="clear" w:color="auto" w:fill="auto"/>
            <w:noWrap/>
            <w:vAlign w:val="center"/>
          </w:tcPr>
          <w:p w14:paraId="22576C8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0.87 </w:t>
            </w:r>
          </w:p>
        </w:tc>
        <w:tc>
          <w:tcPr>
            <w:tcW w:w="0" w:type="auto"/>
            <w:tcBorders>
              <w:top w:val="nil"/>
              <w:left w:val="nil"/>
              <w:bottom w:val="nil"/>
              <w:right w:val="nil"/>
            </w:tcBorders>
            <w:shd w:val="clear" w:color="auto" w:fill="auto"/>
            <w:noWrap/>
            <w:vAlign w:val="center"/>
          </w:tcPr>
          <w:p w14:paraId="0A3B894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0.31 </w:t>
            </w:r>
          </w:p>
        </w:tc>
        <w:tc>
          <w:tcPr>
            <w:tcW w:w="1646" w:type="dxa"/>
            <w:tcBorders>
              <w:top w:val="nil"/>
              <w:left w:val="nil"/>
              <w:bottom w:val="nil"/>
              <w:right w:val="nil"/>
            </w:tcBorders>
            <w:shd w:val="clear" w:color="auto" w:fill="auto"/>
            <w:noWrap/>
            <w:vAlign w:val="center"/>
          </w:tcPr>
          <w:p w14:paraId="23290B8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32.37 </w:t>
            </w:r>
          </w:p>
        </w:tc>
      </w:tr>
      <w:tr w14:paraId="260943CD">
        <w:trPr>
          <w:trHeight w:val="336" w:hRule="atLeast"/>
        </w:trPr>
        <w:tc>
          <w:tcPr>
            <w:tcW w:w="0" w:type="auto"/>
            <w:tcBorders>
              <w:top w:val="nil"/>
              <w:left w:val="nil"/>
              <w:bottom w:val="nil"/>
              <w:right w:val="nil"/>
            </w:tcBorders>
            <w:shd w:val="clear" w:color="auto" w:fill="auto"/>
            <w:noWrap/>
            <w:vAlign w:val="center"/>
          </w:tcPr>
          <w:p w14:paraId="522F3D2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Lightgaussian</w:t>
            </w:r>
          </w:p>
        </w:tc>
        <w:tc>
          <w:tcPr>
            <w:tcW w:w="0" w:type="auto"/>
            <w:tcBorders>
              <w:top w:val="nil"/>
              <w:left w:val="nil"/>
              <w:bottom w:val="nil"/>
              <w:right w:val="nil"/>
            </w:tcBorders>
            <w:shd w:val="clear" w:color="auto" w:fill="auto"/>
            <w:noWrap/>
            <w:vAlign w:val="center"/>
          </w:tcPr>
          <w:p w14:paraId="10960A9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14.17 </w:t>
            </w:r>
          </w:p>
        </w:tc>
        <w:tc>
          <w:tcPr>
            <w:tcW w:w="0" w:type="auto"/>
            <w:tcBorders>
              <w:top w:val="nil"/>
              <w:left w:val="nil"/>
              <w:bottom w:val="nil"/>
              <w:right w:val="nil"/>
            </w:tcBorders>
            <w:shd w:val="clear" w:color="auto" w:fill="auto"/>
            <w:noWrap/>
            <w:vAlign w:val="center"/>
          </w:tcPr>
          <w:p w14:paraId="706F41B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26.04 </w:t>
            </w:r>
          </w:p>
        </w:tc>
        <w:tc>
          <w:tcPr>
            <w:tcW w:w="0" w:type="auto"/>
            <w:tcBorders>
              <w:top w:val="nil"/>
              <w:left w:val="nil"/>
              <w:bottom w:val="nil"/>
              <w:right w:val="nil"/>
            </w:tcBorders>
            <w:shd w:val="clear" w:color="auto" w:fill="auto"/>
            <w:noWrap/>
            <w:vAlign w:val="center"/>
          </w:tcPr>
          <w:p w14:paraId="24DBCA1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0.88 </w:t>
            </w:r>
          </w:p>
        </w:tc>
        <w:tc>
          <w:tcPr>
            <w:tcW w:w="0" w:type="auto"/>
            <w:tcBorders>
              <w:top w:val="nil"/>
              <w:left w:val="nil"/>
              <w:bottom w:val="nil"/>
              <w:right w:val="nil"/>
            </w:tcBorders>
            <w:shd w:val="clear" w:color="auto" w:fill="auto"/>
            <w:noWrap/>
            <w:vAlign w:val="center"/>
          </w:tcPr>
          <w:p w14:paraId="2AFFF68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0.31 </w:t>
            </w:r>
          </w:p>
        </w:tc>
        <w:tc>
          <w:tcPr>
            <w:tcW w:w="1646" w:type="dxa"/>
            <w:tcBorders>
              <w:top w:val="nil"/>
              <w:left w:val="nil"/>
              <w:bottom w:val="nil"/>
              <w:right w:val="nil"/>
            </w:tcBorders>
            <w:shd w:val="clear" w:color="auto" w:fill="auto"/>
            <w:noWrap/>
            <w:vAlign w:val="center"/>
          </w:tcPr>
          <w:p w14:paraId="0C4E407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119.24 </w:t>
            </w:r>
          </w:p>
        </w:tc>
      </w:tr>
      <w:tr w14:paraId="0FC31125">
        <w:trPr>
          <w:trHeight w:val="336" w:hRule="atLeast"/>
        </w:trPr>
        <w:tc>
          <w:tcPr>
            <w:tcW w:w="0" w:type="auto"/>
            <w:tcBorders>
              <w:top w:val="nil"/>
              <w:left w:val="nil"/>
              <w:bottom w:val="single" w:color="000000" w:sz="4" w:space="0"/>
              <w:right w:val="nil"/>
            </w:tcBorders>
            <w:shd w:val="clear" w:color="auto" w:fill="auto"/>
            <w:noWrap/>
            <w:vAlign w:val="center"/>
          </w:tcPr>
          <w:p w14:paraId="57F3FB7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Octree-GS</w:t>
            </w:r>
          </w:p>
        </w:tc>
        <w:tc>
          <w:tcPr>
            <w:tcW w:w="0" w:type="auto"/>
            <w:tcBorders>
              <w:top w:val="nil"/>
              <w:left w:val="nil"/>
              <w:bottom w:val="single" w:color="000000" w:sz="4" w:space="0"/>
              <w:right w:val="nil"/>
            </w:tcBorders>
            <w:shd w:val="clear" w:color="auto" w:fill="auto"/>
            <w:noWrap/>
            <w:vAlign w:val="center"/>
          </w:tcPr>
          <w:p w14:paraId="03399EA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14.17 </w:t>
            </w:r>
          </w:p>
        </w:tc>
        <w:tc>
          <w:tcPr>
            <w:tcW w:w="0" w:type="auto"/>
            <w:tcBorders>
              <w:top w:val="nil"/>
              <w:left w:val="nil"/>
              <w:bottom w:val="single" w:color="000000" w:sz="4" w:space="0"/>
              <w:right w:val="nil"/>
            </w:tcBorders>
            <w:shd w:val="clear" w:color="auto" w:fill="auto"/>
            <w:noWrap/>
            <w:vAlign w:val="center"/>
          </w:tcPr>
          <w:p w14:paraId="4DAA930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25.20 </w:t>
            </w:r>
          </w:p>
        </w:tc>
        <w:tc>
          <w:tcPr>
            <w:tcW w:w="0" w:type="auto"/>
            <w:tcBorders>
              <w:top w:val="nil"/>
              <w:left w:val="nil"/>
              <w:bottom w:val="single" w:color="000000" w:sz="4" w:space="0"/>
              <w:right w:val="nil"/>
            </w:tcBorders>
            <w:shd w:val="clear" w:color="auto" w:fill="auto"/>
            <w:noWrap/>
            <w:vAlign w:val="center"/>
          </w:tcPr>
          <w:p w14:paraId="40F1551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0.85 </w:t>
            </w:r>
          </w:p>
        </w:tc>
        <w:tc>
          <w:tcPr>
            <w:tcW w:w="0" w:type="auto"/>
            <w:tcBorders>
              <w:top w:val="nil"/>
              <w:left w:val="nil"/>
              <w:bottom w:val="single" w:color="000000" w:sz="4" w:space="0"/>
              <w:right w:val="nil"/>
            </w:tcBorders>
            <w:shd w:val="clear" w:color="auto" w:fill="auto"/>
            <w:noWrap/>
            <w:vAlign w:val="center"/>
          </w:tcPr>
          <w:p w14:paraId="7672351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0.35 </w:t>
            </w:r>
          </w:p>
        </w:tc>
        <w:tc>
          <w:tcPr>
            <w:tcW w:w="1646" w:type="dxa"/>
            <w:tcBorders>
              <w:top w:val="nil"/>
              <w:left w:val="nil"/>
              <w:bottom w:val="single" w:color="000000" w:sz="4" w:space="0"/>
              <w:right w:val="nil"/>
            </w:tcBorders>
            <w:shd w:val="clear" w:color="auto" w:fill="auto"/>
            <w:noWrap/>
            <w:vAlign w:val="center"/>
          </w:tcPr>
          <w:p w14:paraId="7B30773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 xml:space="preserve">13.34 </w:t>
            </w:r>
          </w:p>
        </w:tc>
      </w:tr>
    </w:tbl>
    <w:p w14:paraId="7C062EB1">
      <w:pPr>
        <w:keepNext w:val="0"/>
        <w:keepLines w:val="0"/>
        <w:widowControl/>
        <w:suppressLineNumbers w:val="0"/>
        <w:jc w:val="left"/>
        <w:rPr>
          <w:rFonts w:hint="default" w:ascii="Times New Roman" w:hAnsi="Times New Roman" w:eastAsia="宋体" w:cs="Times New Roman"/>
          <w:b w:val="0"/>
          <w:bCs/>
          <w:kern w:val="0"/>
          <w:sz w:val="24"/>
          <w:szCs w:val="24"/>
          <w:lang w:val="en-US" w:eastAsia="zh-CN" w:bidi="ar"/>
        </w:rPr>
      </w:pPr>
    </w:p>
    <w:p w14:paraId="1D3DC839">
      <w:pPr>
        <w:keepNext w:val="0"/>
        <w:keepLines w:val="0"/>
        <w:widowControl/>
        <w:suppressLineNumbers w:val="0"/>
        <w:jc w:val="both"/>
        <w:rPr>
          <w:rFonts w:hint="default" w:ascii="Times New Roman" w:hAnsi="Times New Roman" w:eastAsia="sans-serif" w:cs="Times New Roman"/>
          <w:b w:val="0"/>
          <w:bCs/>
          <w:i w:val="0"/>
          <w:iCs w:val="0"/>
          <w:caps w:val="0"/>
          <w:color w:val="0E0E0E"/>
          <w:spacing w:val="0"/>
          <w:kern w:val="0"/>
          <w:sz w:val="24"/>
          <w:szCs w:val="24"/>
          <w:lang w:val="en-US" w:eastAsia="zh-CN" w:bidi="ar"/>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Deep Blending benchmark.</w:t>
      </w:r>
      <w:r>
        <w:rPr>
          <w:rFonts w:hint="default" w:ascii="Times New Roman Bold" w:hAnsi="Times New Roman Bold" w:eastAsia="sans-serif" w:cs="Times New Roman Bold"/>
          <w:b/>
          <w:bCs w:val="0"/>
          <w:i w:val="0"/>
          <w:iCs w:val="0"/>
          <w:caps w:val="0"/>
          <w:color w:val="0E0E0E"/>
          <w:spacing w:val="0"/>
          <w:kern w:val="0"/>
          <w:sz w:val="24"/>
          <w:szCs w:val="24"/>
          <w:lang w:val="en-US" w:eastAsia="zh-CN" w:bidi="ar"/>
        </w:rPr>
        <w:t xml:space="preserve"> </w:t>
      </w:r>
      <w:r>
        <w:rPr>
          <w:rFonts w:hint="default" w:ascii="Times New Roman" w:hAnsi="Times New Roman" w:eastAsia="sans-serif" w:cs="Times New Roman"/>
          <w:b w:val="0"/>
          <w:bCs/>
          <w:i w:val="0"/>
          <w:iCs w:val="0"/>
          <w:caps w:val="0"/>
          <w:color w:val="0E0E0E"/>
          <w:spacing w:val="0"/>
          <w:kern w:val="0"/>
          <w:sz w:val="24"/>
          <w:szCs w:val="24"/>
          <w:lang w:val="en-US" w:eastAsia="zh-CN" w:bidi="ar"/>
        </w:rPr>
        <w:t>Table 2 reports the cross-method comparison on Deep Blending. To make the comparison unambiguous, DCCA-GS is shown at two operating points: the high-quality point (I2 + I6 + MLP quantization, without SPA) reaches 30.73 dB PSNR, 0.913 SSIM, and 4.22 MB; the low-bitrate SPA point reaches 29.90 dB PSNR and 0.96 MB. Compared with HAC++ highrate (30.93 dB, 4.56 MB), the high-quality point achieves nearly identical quality while reducing the size by about 7.5%; compared with ContextGS highrate (30.93 dB, 5.67 MB), it is about 25.5% smaller at comparable quality. The low-bitrate SPA point extends the operating range to sub-1 MiB while remaining competitive with low-bitrate baselines. Note that Table 3 in Section 3.3 reports DCCA-GS’s own λ sweep on Deep Blending, whereas Table 2 is the cross-method comparison; the two tables should be read together but serve different purposes.</w:t>
      </w:r>
    </w:p>
    <w:p w14:paraId="7E73BA36">
      <w:pPr>
        <w:keepNext w:val="0"/>
        <w:keepLines w:val="0"/>
        <w:widowControl/>
        <w:suppressLineNumbers w:val="0"/>
        <w:jc w:val="both"/>
        <w:rPr>
          <w:rFonts w:hint="default" w:ascii="Times New Roman" w:hAnsi="Times New Roman" w:eastAsia="sans-serif" w:cs="Times New Roman"/>
          <w:b w:val="0"/>
          <w:bCs/>
          <w:i w:val="0"/>
          <w:iCs w:val="0"/>
          <w:caps w:val="0"/>
          <w:color w:val="0E0E0E"/>
          <w:spacing w:val="0"/>
          <w:kern w:val="0"/>
          <w:sz w:val="24"/>
          <w:szCs w:val="24"/>
          <w:lang w:val="en-US" w:eastAsia="zh-CN" w:bidi="ar"/>
        </w:rPr>
      </w:pPr>
    </w:p>
    <w:p w14:paraId="42482119">
      <w:pPr>
        <w:keepNext w:val="0"/>
        <w:keepLines w:val="0"/>
        <w:widowControl/>
        <w:suppressLineNumbers w:val="0"/>
        <w:jc w:val="center"/>
        <w:rPr>
          <w:rFonts w:hint="default" w:ascii="Times New Roman" w:hAnsi="Times New Roman" w:eastAsia="sans-serif" w:cs="Times New Roman"/>
          <w:b w:val="0"/>
          <w:bCs/>
          <w:i w:val="0"/>
          <w:iCs w:val="0"/>
          <w:caps w:val="0"/>
          <w:color w:val="0E0E0E"/>
          <w:spacing w:val="0"/>
          <w:kern w:val="0"/>
          <w:sz w:val="24"/>
          <w:szCs w:val="24"/>
          <w:lang w:val="en-US" w:eastAsia="zh-CN" w:bidi="ar"/>
        </w:rPr>
      </w:pPr>
      <w:r>
        <w:rPr>
          <w:rFonts w:hint="default" w:ascii="Times New Roman" w:hAnsi="Times New Roman" w:eastAsia="sans-serif" w:cs="Times New Roman"/>
          <w:b w:val="0"/>
          <w:bCs w:val="0"/>
          <w:i w:val="0"/>
          <w:iCs w:val="0"/>
          <w:caps w:val="0"/>
          <w:color w:val="000000"/>
          <w:spacing w:val="0"/>
          <w:kern w:val="0"/>
          <w:sz w:val="24"/>
          <w:szCs w:val="24"/>
          <w:lang w:val="en-US" w:eastAsia="zh-CN" w:bidi="ar"/>
        </w:rPr>
        <w:t>Table 2.</w:t>
      </w:r>
      <w:r>
        <w:rPr>
          <w:rFonts w:hint="default" w:ascii="Times New Roman" w:hAnsi="Times New Roman" w:eastAsia="sans-serif" w:cs="Times New Roman"/>
          <w:b w:val="0"/>
          <w:bCs w:val="0"/>
          <w:i w:val="0"/>
          <w:iCs w:val="0"/>
          <w:caps w:val="0"/>
          <w:color w:val="0E0E0E"/>
          <w:spacing w:val="0"/>
          <w:kern w:val="0"/>
          <w:sz w:val="24"/>
          <w:szCs w:val="24"/>
          <w:lang w:val="en-US" w:eastAsia="zh-CN" w:bidi="ar"/>
        </w:rPr>
        <w:t xml:space="preserve"> Generalization study: comparison with state-of-the-art methods on Deep Blending. Sizes are decode-required payload in MiB. DCCA-GS is reported at both its high-quality operating point (I2+I6 + MLP quantization, without SPA) and low-bitrate operating point (I2+I6 + MLP quantization + SPA).</w:t>
      </w:r>
    </w:p>
    <w:tbl>
      <w:tblPr>
        <w:tblW w:w="831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887"/>
        <w:gridCol w:w="1126"/>
        <w:gridCol w:w="995"/>
        <w:gridCol w:w="995"/>
        <w:gridCol w:w="1314"/>
      </w:tblGrid>
      <w:tr w14:paraId="6A0D2487">
        <w:trPr>
          <w:trHeight w:val="336" w:hRule="atLeast"/>
        </w:trPr>
        <w:tc>
          <w:tcPr>
            <w:tcW w:w="3887" w:type="dxa"/>
            <w:tcBorders>
              <w:top w:val="single" w:color="000000" w:sz="4" w:space="0"/>
              <w:left w:val="nil"/>
              <w:bottom w:val="single" w:color="000000" w:sz="4" w:space="0"/>
              <w:right w:val="nil"/>
            </w:tcBorders>
            <w:shd w:val="clear"/>
            <w:noWrap/>
            <w:vAlign w:val="center"/>
          </w:tcPr>
          <w:p w14:paraId="5855EF28">
            <w:pPr>
              <w:keepNext w:val="0"/>
              <w:keepLines w:val="0"/>
              <w:widowControl/>
              <w:suppressLineNumbers w:val="0"/>
              <w:jc w:val="center"/>
              <w:textAlignment w:val="center"/>
              <w:rPr>
                <w:rFonts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Method</w:t>
            </w:r>
          </w:p>
        </w:tc>
        <w:tc>
          <w:tcPr>
            <w:tcW w:w="1126" w:type="dxa"/>
            <w:tcBorders>
              <w:top w:val="single" w:color="000000" w:sz="4" w:space="0"/>
              <w:left w:val="nil"/>
              <w:bottom w:val="single" w:color="000000" w:sz="4" w:space="0"/>
              <w:right w:val="nil"/>
            </w:tcBorders>
            <w:shd w:val="clear"/>
            <w:noWrap/>
            <w:vAlign w:val="center"/>
          </w:tcPr>
          <w:p w14:paraId="376FE50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PSNR</w:t>
            </w:r>
          </w:p>
        </w:tc>
        <w:tc>
          <w:tcPr>
            <w:tcW w:w="995" w:type="dxa"/>
            <w:tcBorders>
              <w:top w:val="single" w:color="000000" w:sz="4" w:space="0"/>
              <w:left w:val="nil"/>
              <w:bottom w:val="single" w:color="000000" w:sz="4" w:space="0"/>
              <w:right w:val="nil"/>
            </w:tcBorders>
            <w:shd w:val="clear"/>
            <w:noWrap/>
            <w:vAlign w:val="center"/>
          </w:tcPr>
          <w:p w14:paraId="2A4507F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SSIM</w:t>
            </w:r>
          </w:p>
        </w:tc>
        <w:tc>
          <w:tcPr>
            <w:tcW w:w="995" w:type="dxa"/>
            <w:tcBorders>
              <w:top w:val="single" w:color="000000" w:sz="4" w:space="0"/>
              <w:left w:val="nil"/>
              <w:bottom w:val="single" w:color="000000" w:sz="4" w:space="0"/>
              <w:right w:val="nil"/>
            </w:tcBorders>
            <w:shd w:val="clear"/>
            <w:noWrap/>
            <w:vAlign w:val="center"/>
          </w:tcPr>
          <w:p w14:paraId="6357CB9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LPIPS</w:t>
            </w:r>
          </w:p>
        </w:tc>
        <w:tc>
          <w:tcPr>
            <w:tcW w:w="1314" w:type="dxa"/>
            <w:tcBorders>
              <w:top w:val="single" w:color="000000" w:sz="4" w:space="0"/>
              <w:left w:val="nil"/>
              <w:bottom w:val="single" w:color="000000" w:sz="4" w:space="0"/>
              <w:right w:val="nil"/>
            </w:tcBorders>
            <w:shd w:val="clear"/>
            <w:noWrap/>
            <w:vAlign w:val="center"/>
          </w:tcPr>
          <w:p w14:paraId="03CC088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Size (MB)</w:t>
            </w:r>
          </w:p>
        </w:tc>
      </w:tr>
      <w:tr w14:paraId="36D6A6B3">
        <w:trPr>
          <w:trHeight w:val="336" w:hRule="atLeast"/>
        </w:trPr>
        <w:tc>
          <w:tcPr>
            <w:tcW w:w="0" w:type="auto"/>
            <w:tcBorders>
              <w:top w:val="nil"/>
              <w:left w:val="nil"/>
              <w:bottom w:val="nil"/>
              <w:right w:val="nil"/>
            </w:tcBorders>
            <w:shd w:val="clear"/>
            <w:noWrap/>
            <w:vAlign w:val="center"/>
          </w:tcPr>
          <w:p w14:paraId="31F10FD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DCCA-GS (ours, high-rate)</w:t>
            </w:r>
          </w:p>
        </w:tc>
        <w:tc>
          <w:tcPr>
            <w:tcW w:w="0" w:type="auto"/>
            <w:tcBorders>
              <w:top w:val="nil"/>
              <w:left w:val="nil"/>
              <w:bottom w:val="nil"/>
              <w:right w:val="nil"/>
            </w:tcBorders>
            <w:shd w:val="clear"/>
            <w:noWrap/>
            <w:vAlign w:val="center"/>
          </w:tcPr>
          <w:p w14:paraId="2AC9CCB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30.73 </w:t>
            </w:r>
          </w:p>
        </w:tc>
        <w:tc>
          <w:tcPr>
            <w:tcW w:w="0" w:type="auto"/>
            <w:tcBorders>
              <w:top w:val="nil"/>
              <w:left w:val="nil"/>
              <w:bottom w:val="nil"/>
              <w:right w:val="nil"/>
            </w:tcBorders>
            <w:shd w:val="clear"/>
            <w:noWrap/>
            <w:vAlign w:val="center"/>
          </w:tcPr>
          <w:p w14:paraId="69929C2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 </w:t>
            </w:r>
          </w:p>
        </w:tc>
        <w:tc>
          <w:tcPr>
            <w:tcW w:w="0" w:type="auto"/>
            <w:tcBorders>
              <w:top w:val="nil"/>
              <w:left w:val="nil"/>
              <w:bottom w:val="nil"/>
              <w:right w:val="nil"/>
            </w:tcBorders>
            <w:shd w:val="clear"/>
            <w:noWrap/>
            <w:vAlign w:val="center"/>
          </w:tcPr>
          <w:p w14:paraId="21D8143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0.26 </w:t>
            </w:r>
          </w:p>
        </w:tc>
        <w:tc>
          <w:tcPr>
            <w:tcW w:w="0" w:type="auto"/>
            <w:tcBorders>
              <w:top w:val="nil"/>
              <w:left w:val="nil"/>
              <w:bottom w:val="nil"/>
              <w:right w:val="nil"/>
            </w:tcBorders>
            <w:shd w:val="clear"/>
            <w:noWrap/>
            <w:vAlign w:val="center"/>
          </w:tcPr>
          <w:p w14:paraId="78DE1E8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4.22 </w:t>
            </w:r>
          </w:p>
        </w:tc>
      </w:tr>
      <w:tr w14:paraId="7E4C2B62">
        <w:trPr>
          <w:trHeight w:val="336" w:hRule="atLeast"/>
        </w:trPr>
        <w:tc>
          <w:tcPr>
            <w:tcW w:w="0" w:type="auto"/>
            <w:tcBorders>
              <w:top w:val="nil"/>
              <w:left w:val="nil"/>
              <w:bottom w:val="nil"/>
              <w:right w:val="nil"/>
            </w:tcBorders>
            <w:shd w:val="clear"/>
            <w:noWrap/>
            <w:vAlign w:val="center"/>
          </w:tcPr>
          <w:p w14:paraId="4AB06C5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DCCA-GS (ours, low-rate SPA)</w:t>
            </w:r>
          </w:p>
        </w:tc>
        <w:tc>
          <w:tcPr>
            <w:tcW w:w="0" w:type="auto"/>
            <w:tcBorders>
              <w:top w:val="nil"/>
              <w:left w:val="nil"/>
              <w:bottom w:val="nil"/>
              <w:right w:val="nil"/>
            </w:tcBorders>
            <w:shd w:val="clear"/>
            <w:noWrap/>
            <w:vAlign w:val="center"/>
          </w:tcPr>
          <w:p w14:paraId="5D768D5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29.90 </w:t>
            </w:r>
          </w:p>
        </w:tc>
        <w:tc>
          <w:tcPr>
            <w:tcW w:w="0" w:type="auto"/>
            <w:tcBorders>
              <w:top w:val="nil"/>
              <w:left w:val="nil"/>
              <w:bottom w:val="nil"/>
              <w:right w:val="nil"/>
            </w:tcBorders>
            <w:shd w:val="clear"/>
            <w:noWrap/>
            <w:vAlign w:val="center"/>
          </w:tcPr>
          <w:p w14:paraId="690C86A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0.90 </w:t>
            </w:r>
          </w:p>
        </w:tc>
        <w:tc>
          <w:tcPr>
            <w:tcW w:w="0" w:type="auto"/>
            <w:tcBorders>
              <w:top w:val="nil"/>
              <w:left w:val="nil"/>
              <w:bottom w:val="nil"/>
              <w:right w:val="nil"/>
            </w:tcBorders>
            <w:shd w:val="clear"/>
            <w:noWrap/>
            <w:vAlign w:val="center"/>
          </w:tcPr>
          <w:p w14:paraId="54244C8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0.31 </w:t>
            </w:r>
          </w:p>
        </w:tc>
        <w:tc>
          <w:tcPr>
            <w:tcW w:w="0" w:type="auto"/>
            <w:tcBorders>
              <w:top w:val="nil"/>
              <w:left w:val="nil"/>
              <w:bottom w:val="nil"/>
              <w:right w:val="nil"/>
            </w:tcBorders>
            <w:shd w:val="clear"/>
            <w:noWrap/>
            <w:vAlign w:val="center"/>
          </w:tcPr>
          <w:p w14:paraId="21448FF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0.96 </w:t>
            </w:r>
          </w:p>
        </w:tc>
      </w:tr>
      <w:tr w14:paraId="44E989AF">
        <w:trPr>
          <w:trHeight w:val="336" w:hRule="atLeast"/>
        </w:trPr>
        <w:tc>
          <w:tcPr>
            <w:tcW w:w="0" w:type="auto"/>
            <w:tcBorders>
              <w:top w:val="nil"/>
              <w:left w:val="nil"/>
              <w:bottom w:val="nil"/>
              <w:right w:val="nil"/>
            </w:tcBorders>
            <w:shd w:val="clear"/>
            <w:noWrap/>
            <w:vAlign w:val="center"/>
          </w:tcPr>
          <w:p w14:paraId="2340763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HAC++ highrate</w:t>
            </w:r>
          </w:p>
        </w:tc>
        <w:tc>
          <w:tcPr>
            <w:tcW w:w="0" w:type="auto"/>
            <w:tcBorders>
              <w:top w:val="nil"/>
              <w:left w:val="nil"/>
              <w:bottom w:val="nil"/>
              <w:right w:val="nil"/>
            </w:tcBorders>
            <w:shd w:val="clear"/>
            <w:noWrap/>
            <w:vAlign w:val="center"/>
          </w:tcPr>
          <w:p w14:paraId="7196E07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30.93 </w:t>
            </w:r>
          </w:p>
        </w:tc>
        <w:tc>
          <w:tcPr>
            <w:tcW w:w="0" w:type="auto"/>
            <w:tcBorders>
              <w:top w:val="nil"/>
              <w:left w:val="nil"/>
              <w:bottom w:val="nil"/>
              <w:right w:val="nil"/>
            </w:tcBorders>
            <w:shd w:val="clear"/>
            <w:noWrap/>
            <w:vAlign w:val="center"/>
          </w:tcPr>
          <w:p w14:paraId="74B7D82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 </w:t>
            </w:r>
          </w:p>
        </w:tc>
        <w:tc>
          <w:tcPr>
            <w:tcW w:w="0" w:type="auto"/>
            <w:tcBorders>
              <w:top w:val="nil"/>
              <w:left w:val="nil"/>
              <w:bottom w:val="nil"/>
              <w:right w:val="nil"/>
            </w:tcBorders>
            <w:shd w:val="clear"/>
            <w:noWrap/>
            <w:vAlign w:val="center"/>
          </w:tcPr>
          <w:p w14:paraId="3BC4078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0.26 </w:t>
            </w:r>
          </w:p>
        </w:tc>
        <w:tc>
          <w:tcPr>
            <w:tcW w:w="0" w:type="auto"/>
            <w:tcBorders>
              <w:top w:val="nil"/>
              <w:left w:val="nil"/>
              <w:bottom w:val="nil"/>
              <w:right w:val="nil"/>
            </w:tcBorders>
            <w:shd w:val="clear"/>
            <w:noWrap/>
            <w:vAlign w:val="center"/>
          </w:tcPr>
          <w:p w14:paraId="42D8C0F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4.56 </w:t>
            </w:r>
          </w:p>
        </w:tc>
      </w:tr>
      <w:tr w14:paraId="3D2D7CFD">
        <w:trPr>
          <w:trHeight w:val="336" w:hRule="atLeast"/>
        </w:trPr>
        <w:tc>
          <w:tcPr>
            <w:tcW w:w="0" w:type="auto"/>
            <w:tcBorders>
              <w:top w:val="nil"/>
              <w:left w:val="nil"/>
              <w:bottom w:val="nil"/>
              <w:right w:val="nil"/>
            </w:tcBorders>
            <w:shd w:val="clear"/>
            <w:noWrap/>
            <w:vAlign w:val="center"/>
          </w:tcPr>
          <w:p w14:paraId="1B33E93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HAC++ lowrate</w:t>
            </w:r>
          </w:p>
        </w:tc>
        <w:tc>
          <w:tcPr>
            <w:tcW w:w="0" w:type="auto"/>
            <w:tcBorders>
              <w:top w:val="nil"/>
              <w:left w:val="nil"/>
              <w:bottom w:val="nil"/>
              <w:right w:val="nil"/>
            </w:tcBorders>
            <w:shd w:val="clear"/>
            <w:noWrap/>
            <w:vAlign w:val="center"/>
          </w:tcPr>
          <w:p w14:paraId="44AC2A9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30.69 </w:t>
            </w:r>
          </w:p>
        </w:tc>
        <w:tc>
          <w:tcPr>
            <w:tcW w:w="0" w:type="auto"/>
            <w:tcBorders>
              <w:top w:val="nil"/>
              <w:left w:val="nil"/>
              <w:bottom w:val="nil"/>
              <w:right w:val="nil"/>
            </w:tcBorders>
            <w:shd w:val="clear"/>
            <w:noWrap/>
            <w:vAlign w:val="center"/>
          </w:tcPr>
          <w:p w14:paraId="368C7EA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 </w:t>
            </w:r>
          </w:p>
        </w:tc>
        <w:tc>
          <w:tcPr>
            <w:tcW w:w="0" w:type="auto"/>
            <w:tcBorders>
              <w:top w:val="nil"/>
              <w:left w:val="nil"/>
              <w:bottom w:val="nil"/>
              <w:right w:val="nil"/>
            </w:tcBorders>
            <w:shd w:val="clear"/>
            <w:noWrap/>
            <w:vAlign w:val="center"/>
          </w:tcPr>
          <w:p w14:paraId="7F152A5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0.27 </w:t>
            </w:r>
          </w:p>
        </w:tc>
        <w:tc>
          <w:tcPr>
            <w:tcW w:w="0" w:type="auto"/>
            <w:tcBorders>
              <w:top w:val="nil"/>
              <w:left w:val="nil"/>
              <w:bottom w:val="nil"/>
              <w:right w:val="nil"/>
            </w:tcBorders>
            <w:shd w:val="clear"/>
            <w:noWrap/>
            <w:vAlign w:val="center"/>
          </w:tcPr>
          <w:p w14:paraId="5FE77CF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2.54 </w:t>
            </w:r>
          </w:p>
        </w:tc>
      </w:tr>
      <w:tr w14:paraId="591A1D95">
        <w:trPr>
          <w:trHeight w:val="336" w:hRule="atLeast"/>
        </w:trPr>
        <w:tc>
          <w:tcPr>
            <w:tcW w:w="0" w:type="auto"/>
            <w:tcBorders>
              <w:top w:val="nil"/>
              <w:left w:val="nil"/>
              <w:bottom w:val="nil"/>
              <w:right w:val="nil"/>
            </w:tcBorders>
            <w:shd w:val="clear"/>
            <w:noWrap/>
            <w:vAlign w:val="center"/>
          </w:tcPr>
          <w:p w14:paraId="28287AB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HAC highrate</w:t>
            </w:r>
          </w:p>
        </w:tc>
        <w:tc>
          <w:tcPr>
            <w:tcW w:w="0" w:type="auto"/>
            <w:tcBorders>
              <w:top w:val="nil"/>
              <w:left w:val="nil"/>
              <w:bottom w:val="nil"/>
              <w:right w:val="nil"/>
            </w:tcBorders>
            <w:shd w:val="clear"/>
            <w:noWrap/>
            <w:vAlign w:val="center"/>
          </w:tcPr>
          <w:p w14:paraId="74286B6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30.84 </w:t>
            </w:r>
          </w:p>
        </w:tc>
        <w:tc>
          <w:tcPr>
            <w:tcW w:w="0" w:type="auto"/>
            <w:tcBorders>
              <w:top w:val="nil"/>
              <w:left w:val="nil"/>
              <w:bottom w:val="nil"/>
              <w:right w:val="nil"/>
            </w:tcBorders>
            <w:shd w:val="clear"/>
            <w:noWrap/>
            <w:vAlign w:val="center"/>
          </w:tcPr>
          <w:p w14:paraId="64431AD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 </w:t>
            </w:r>
          </w:p>
        </w:tc>
        <w:tc>
          <w:tcPr>
            <w:tcW w:w="0" w:type="auto"/>
            <w:tcBorders>
              <w:top w:val="nil"/>
              <w:left w:val="nil"/>
              <w:bottom w:val="nil"/>
              <w:right w:val="nil"/>
            </w:tcBorders>
            <w:shd w:val="clear"/>
            <w:noWrap/>
            <w:vAlign w:val="center"/>
          </w:tcPr>
          <w:p w14:paraId="517A48D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0.26 </w:t>
            </w:r>
          </w:p>
        </w:tc>
        <w:tc>
          <w:tcPr>
            <w:tcW w:w="0" w:type="auto"/>
            <w:tcBorders>
              <w:top w:val="nil"/>
              <w:left w:val="nil"/>
              <w:bottom w:val="nil"/>
              <w:right w:val="nil"/>
            </w:tcBorders>
            <w:shd w:val="clear"/>
            <w:noWrap/>
            <w:vAlign w:val="center"/>
          </w:tcPr>
          <w:p w14:paraId="2AF6292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5.28 </w:t>
            </w:r>
          </w:p>
        </w:tc>
      </w:tr>
      <w:tr w14:paraId="6CF00253">
        <w:trPr>
          <w:trHeight w:val="336" w:hRule="atLeast"/>
        </w:trPr>
        <w:tc>
          <w:tcPr>
            <w:tcW w:w="0" w:type="auto"/>
            <w:tcBorders>
              <w:top w:val="nil"/>
              <w:left w:val="nil"/>
              <w:bottom w:val="nil"/>
              <w:right w:val="nil"/>
            </w:tcBorders>
            <w:shd w:val="clear"/>
            <w:noWrap/>
            <w:vAlign w:val="center"/>
          </w:tcPr>
          <w:p w14:paraId="1C6CC44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HAC lowrate</w:t>
            </w:r>
          </w:p>
        </w:tc>
        <w:tc>
          <w:tcPr>
            <w:tcW w:w="0" w:type="auto"/>
            <w:tcBorders>
              <w:top w:val="nil"/>
              <w:left w:val="nil"/>
              <w:bottom w:val="nil"/>
              <w:right w:val="nil"/>
            </w:tcBorders>
            <w:shd w:val="clear"/>
            <w:noWrap/>
            <w:vAlign w:val="center"/>
          </w:tcPr>
          <w:p w14:paraId="6843E0E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30.44 </w:t>
            </w:r>
          </w:p>
        </w:tc>
        <w:tc>
          <w:tcPr>
            <w:tcW w:w="0" w:type="auto"/>
            <w:tcBorders>
              <w:top w:val="nil"/>
              <w:left w:val="nil"/>
              <w:bottom w:val="nil"/>
              <w:right w:val="nil"/>
            </w:tcBorders>
            <w:shd w:val="clear"/>
            <w:noWrap/>
            <w:vAlign w:val="center"/>
          </w:tcPr>
          <w:p w14:paraId="07B4DA4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0.90 </w:t>
            </w:r>
          </w:p>
        </w:tc>
        <w:tc>
          <w:tcPr>
            <w:tcW w:w="0" w:type="auto"/>
            <w:tcBorders>
              <w:top w:val="nil"/>
              <w:left w:val="nil"/>
              <w:bottom w:val="nil"/>
              <w:right w:val="nil"/>
            </w:tcBorders>
            <w:shd w:val="clear"/>
            <w:noWrap/>
            <w:vAlign w:val="center"/>
          </w:tcPr>
          <w:p w14:paraId="1E00E97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0.27 </w:t>
            </w:r>
          </w:p>
        </w:tc>
        <w:tc>
          <w:tcPr>
            <w:tcW w:w="0" w:type="auto"/>
            <w:tcBorders>
              <w:top w:val="nil"/>
              <w:left w:val="nil"/>
              <w:bottom w:val="nil"/>
              <w:right w:val="nil"/>
            </w:tcBorders>
            <w:shd w:val="clear"/>
            <w:noWrap/>
            <w:vAlign w:val="center"/>
          </w:tcPr>
          <w:p w14:paraId="1209531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3.31 </w:t>
            </w:r>
          </w:p>
        </w:tc>
      </w:tr>
      <w:tr w14:paraId="4DE38D3F">
        <w:trPr>
          <w:trHeight w:val="336" w:hRule="atLeast"/>
        </w:trPr>
        <w:tc>
          <w:tcPr>
            <w:tcW w:w="0" w:type="auto"/>
            <w:tcBorders>
              <w:top w:val="nil"/>
              <w:left w:val="nil"/>
              <w:bottom w:val="nil"/>
              <w:right w:val="nil"/>
            </w:tcBorders>
            <w:shd w:val="clear"/>
            <w:noWrap/>
            <w:vAlign w:val="center"/>
          </w:tcPr>
          <w:p w14:paraId="6F4F804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ContextGS highrate</w:t>
            </w:r>
          </w:p>
        </w:tc>
        <w:tc>
          <w:tcPr>
            <w:tcW w:w="0" w:type="auto"/>
            <w:tcBorders>
              <w:top w:val="nil"/>
              <w:left w:val="nil"/>
              <w:bottom w:val="nil"/>
              <w:right w:val="nil"/>
            </w:tcBorders>
            <w:shd w:val="clear"/>
            <w:noWrap/>
            <w:vAlign w:val="center"/>
          </w:tcPr>
          <w:p w14:paraId="1D710FF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30.93 </w:t>
            </w:r>
          </w:p>
        </w:tc>
        <w:tc>
          <w:tcPr>
            <w:tcW w:w="0" w:type="auto"/>
            <w:tcBorders>
              <w:top w:val="nil"/>
              <w:left w:val="nil"/>
              <w:bottom w:val="nil"/>
              <w:right w:val="nil"/>
            </w:tcBorders>
            <w:shd w:val="clear"/>
            <w:noWrap/>
            <w:vAlign w:val="center"/>
          </w:tcPr>
          <w:p w14:paraId="5C3A082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 </w:t>
            </w:r>
          </w:p>
        </w:tc>
        <w:tc>
          <w:tcPr>
            <w:tcW w:w="0" w:type="auto"/>
            <w:tcBorders>
              <w:top w:val="nil"/>
              <w:left w:val="nil"/>
              <w:bottom w:val="nil"/>
              <w:right w:val="nil"/>
            </w:tcBorders>
            <w:shd w:val="clear"/>
            <w:noWrap/>
            <w:vAlign w:val="center"/>
          </w:tcPr>
          <w:p w14:paraId="5ACF45E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0.27 </w:t>
            </w:r>
          </w:p>
        </w:tc>
        <w:tc>
          <w:tcPr>
            <w:tcW w:w="0" w:type="auto"/>
            <w:tcBorders>
              <w:top w:val="nil"/>
              <w:left w:val="nil"/>
              <w:bottom w:val="nil"/>
              <w:right w:val="nil"/>
            </w:tcBorders>
            <w:shd w:val="clear"/>
            <w:noWrap/>
            <w:vAlign w:val="center"/>
          </w:tcPr>
          <w:p w14:paraId="20AF893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5.67 </w:t>
            </w:r>
          </w:p>
        </w:tc>
      </w:tr>
      <w:tr w14:paraId="69852C84">
        <w:trPr>
          <w:trHeight w:val="336" w:hRule="atLeast"/>
        </w:trPr>
        <w:tc>
          <w:tcPr>
            <w:tcW w:w="0" w:type="auto"/>
            <w:tcBorders>
              <w:top w:val="nil"/>
              <w:left w:val="nil"/>
              <w:bottom w:val="nil"/>
              <w:right w:val="nil"/>
            </w:tcBorders>
            <w:shd w:val="clear"/>
            <w:noWrap/>
            <w:vAlign w:val="center"/>
          </w:tcPr>
          <w:p w14:paraId="1650E91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ContextGS lowrate</w:t>
            </w:r>
          </w:p>
        </w:tc>
        <w:tc>
          <w:tcPr>
            <w:tcW w:w="0" w:type="auto"/>
            <w:tcBorders>
              <w:top w:val="nil"/>
              <w:left w:val="nil"/>
              <w:bottom w:val="nil"/>
              <w:right w:val="nil"/>
            </w:tcBorders>
            <w:shd w:val="clear"/>
            <w:noWrap/>
            <w:vAlign w:val="center"/>
          </w:tcPr>
          <w:p w14:paraId="7F84C4E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30.51 </w:t>
            </w:r>
          </w:p>
        </w:tc>
        <w:tc>
          <w:tcPr>
            <w:tcW w:w="0" w:type="auto"/>
            <w:tcBorders>
              <w:top w:val="nil"/>
              <w:left w:val="nil"/>
              <w:bottom w:val="nil"/>
              <w:right w:val="nil"/>
            </w:tcBorders>
            <w:shd w:val="clear"/>
            <w:noWrap/>
            <w:vAlign w:val="center"/>
          </w:tcPr>
          <w:p w14:paraId="6C422EB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 </w:t>
            </w:r>
          </w:p>
        </w:tc>
        <w:tc>
          <w:tcPr>
            <w:tcW w:w="0" w:type="auto"/>
            <w:tcBorders>
              <w:top w:val="nil"/>
              <w:left w:val="nil"/>
              <w:bottom w:val="nil"/>
              <w:right w:val="nil"/>
            </w:tcBorders>
            <w:shd w:val="clear"/>
            <w:noWrap/>
            <w:vAlign w:val="center"/>
          </w:tcPr>
          <w:p w14:paraId="24F9F6F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0.27 </w:t>
            </w:r>
          </w:p>
        </w:tc>
        <w:tc>
          <w:tcPr>
            <w:tcW w:w="0" w:type="auto"/>
            <w:tcBorders>
              <w:top w:val="nil"/>
              <w:left w:val="nil"/>
              <w:bottom w:val="nil"/>
              <w:right w:val="nil"/>
            </w:tcBorders>
            <w:shd w:val="clear"/>
            <w:noWrap/>
            <w:vAlign w:val="center"/>
          </w:tcPr>
          <w:p w14:paraId="55DF2A9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3.13 </w:t>
            </w:r>
          </w:p>
        </w:tc>
      </w:tr>
      <w:tr w14:paraId="664C3F3D">
        <w:trPr>
          <w:trHeight w:val="336" w:hRule="atLeast"/>
        </w:trPr>
        <w:tc>
          <w:tcPr>
            <w:tcW w:w="0" w:type="auto"/>
            <w:tcBorders>
              <w:top w:val="nil"/>
              <w:left w:val="nil"/>
              <w:bottom w:val="nil"/>
              <w:right w:val="nil"/>
            </w:tcBorders>
            <w:shd w:val="clear"/>
            <w:noWrap/>
            <w:vAlign w:val="center"/>
          </w:tcPr>
          <w:p w14:paraId="43E10F3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Smol-GS large</w:t>
            </w:r>
          </w:p>
        </w:tc>
        <w:tc>
          <w:tcPr>
            <w:tcW w:w="0" w:type="auto"/>
            <w:tcBorders>
              <w:top w:val="nil"/>
              <w:left w:val="nil"/>
              <w:bottom w:val="nil"/>
              <w:right w:val="nil"/>
            </w:tcBorders>
            <w:shd w:val="clear"/>
            <w:noWrap/>
            <w:vAlign w:val="center"/>
          </w:tcPr>
          <w:p w14:paraId="3B9C383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30.67 </w:t>
            </w:r>
          </w:p>
        </w:tc>
        <w:tc>
          <w:tcPr>
            <w:tcW w:w="0" w:type="auto"/>
            <w:tcBorders>
              <w:top w:val="nil"/>
              <w:left w:val="nil"/>
              <w:bottom w:val="nil"/>
              <w:right w:val="nil"/>
            </w:tcBorders>
            <w:shd w:val="clear"/>
            <w:noWrap/>
            <w:vAlign w:val="center"/>
          </w:tcPr>
          <w:p w14:paraId="045E585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 </w:t>
            </w:r>
          </w:p>
        </w:tc>
        <w:tc>
          <w:tcPr>
            <w:tcW w:w="0" w:type="auto"/>
            <w:tcBorders>
              <w:top w:val="nil"/>
              <w:left w:val="nil"/>
              <w:bottom w:val="nil"/>
              <w:right w:val="nil"/>
            </w:tcBorders>
            <w:shd w:val="clear"/>
            <w:noWrap/>
            <w:vAlign w:val="center"/>
          </w:tcPr>
          <w:p w14:paraId="107E341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0.26 </w:t>
            </w:r>
          </w:p>
        </w:tc>
        <w:tc>
          <w:tcPr>
            <w:tcW w:w="0" w:type="auto"/>
            <w:tcBorders>
              <w:top w:val="nil"/>
              <w:left w:val="nil"/>
              <w:bottom w:val="nil"/>
              <w:right w:val="nil"/>
            </w:tcBorders>
            <w:shd w:val="clear"/>
            <w:noWrap/>
            <w:vAlign w:val="center"/>
          </w:tcPr>
          <w:p w14:paraId="1187AAC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2.96 </w:t>
            </w:r>
          </w:p>
        </w:tc>
      </w:tr>
      <w:tr w14:paraId="0CA9749C">
        <w:trPr>
          <w:trHeight w:val="336" w:hRule="atLeast"/>
        </w:trPr>
        <w:tc>
          <w:tcPr>
            <w:tcW w:w="0" w:type="auto"/>
            <w:tcBorders>
              <w:top w:val="nil"/>
              <w:left w:val="nil"/>
              <w:bottom w:val="nil"/>
              <w:right w:val="nil"/>
            </w:tcBorders>
            <w:shd w:val="clear"/>
            <w:noWrap/>
            <w:vAlign w:val="center"/>
          </w:tcPr>
          <w:p w14:paraId="2D25918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Smol-GS base</w:t>
            </w:r>
          </w:p>
        </w:tc>
        <w:tc>
          <w:tcPr>
            <w:tcW w:w="0" w:type="auto"/>
            <w:tcBorders>
              <w:top w:val="nil"/>
              <w:left w:val="nil"/>
              <w:bottom w:val="nil"/>
              <w:right w:val="nil"/>
            </w:tcBorders>
            <w:shd w:val="clear"/>
            <w:noWrap/>
            <w:vAlign w:val="center"/>
          </w:tcPr>
          <w:p w14:paraId="3C4547C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30.62 </w:t>
            </w:r>
          </w:p>
        </w:tc>
        <w:tc>
          <w:tcPr>
            <w:tcW w:w="0" w:type="auto"/>
            <w:tcBorders>
              <w:top w:val="nil"/>
              <w:left w:val="nil"/>
              <w:bottom w:val="nil"/>
              <w:right w:val="nil"/>
            </w:tcBorders>
            <w:shd w:val="clear"/>
            <w:noWrap/>
            <w:vAlign w:val="center"/>
          </w:tcPr>
          <w:p w14:paraId="7C43A98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 </w:t>
            </w:r>
          </w:p>
        </w:tc>
        <w:tc>
          <w:tcPr>
            <w:tcW w:w="0" w:type="auto"/>
            <w:tcBorders>
              <w:top w:val="nil"/>
              <w:left w:val="nil"/>
              <w:bottom w:val="nil"/>
              <w:right w:val="nil"/>
            </w:tcBorders>
            <w:shd w:val="clear"/>
            <w:noWrap/>
            <w:vAlign w:val="center"/>
          </w:tcPr>
          <w:p w14:paraId="165DCCA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0.26 </w:t>
            </w:r>
          </w:p>
        </w:tc>
        <w:tc>
          <w:tcPr>
            <w:tcW w:w="0" w:type="auto"/>
            <w:tcBorders>
              <w:top w:val="nil"/>
              <w:left w:val="nil"/>
              <w:bottom w:val="nil"/>
              <w:right w:val="nil"/>
            </w:tcBorders>
            <w:shd w:val="clear"/>
            <w:noWrap/>
            <w:vAlign w:val="center"/>
          </w:tcPr>
          <w:p w14:paraId="159E71E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2.39 </w:t>
            </w:r>
          </w:p>
        </w:tc>
      </w:tr>
      <w:tr w14:paraId="09320127">
        <w:trPr>
          <w:trHeight w:val="336" w:hRule="atLeast"/>
        </w:trPr>
        <w:tc>
          <w:tcPr>
            <w:tcW w:w="0" w:type="auto"/>
            <w:tcBorders>
              <w:top w:val="nil"/>
              <w:left w:val="nil"/>
              <w:bottom w:val="single" w:color="000000" w:sz="4" w:space="0"/>
              <w:right w:val="nil"/>
            </w:tcBorders>
            <w:shd w:val="clear"/>
            <w:noWrap/>
            <w:vAlign w:val="center"/>
          </w:tcPr>
          <w:p w14:paraId="04D208C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CompGS</w:t>
            </w:r>
          </w:p>
        </w:tc>
        <w:tc>
          <w:tcPr>
            <w:tcW w:w="0" w:type="auto"/>
            <w:tcBorders>
              <w:top w:val="nil"/>
              <w:left w:val="nil"/>
              <w:bottom w:val="single" w:color="000000" w:sz="4" w:space="0"/>
              <w:right w:val="nil"/>
            </w:tcBorders>
            <w:shd w:val="clear"/>
            <w:noWrap/>
            <w:vAlign w:val="center"/>
          </w:tcPr>
          <w:p w14:paraId="4009203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29.61 </w:t>
            </w:r>
          </w:p>
        </w:tc>
        <w:tc>
          <w:tcPr>
            <w:tcW w:w="0" w:type="auto"/>
            <w:tcBorders>
              <w:top w:val="nil"/>
              <w:left w:val="nil"/>
              <w:bottom w:val="single" w:color="000000" w:sz="4" w:space="0"/>
              <w:right w:val="nil"/>
            </w:tcBorders>
            <w:shd w:val="clear"/>
            <w:noWrap/>
            <w:vAlign w:val="center"/>
          </w:tcPr>
          <w:p w14:paraId="795048E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0.89 </w:t>
            </w:r>
          </w:p>
        </w:tc>
        <w:tc>
          <w:tcPr>
            <w:tcW w:w="0" w:type="auto"/>
            <w:tcBorders>
              <w:top w:val="nil"/>
              <w:left w:val="nil"/>
              <w:bottom w:val="single" w:color="000000" w:sz="4" w:space="0"/>
              <w:right w:val="nil"/>
            </w:tcBorders>
            <w:shd w:val="clear"/>
            <w:noWrap/>
            <w:vAlign w:val="center"/>
          </w:tcPr>
          <w:p w14:paraId="0E5AB34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0.31 </w:t>
            </w:r>
          </w:p>
        </w:tc>
        <w:tc>
          <w:tcPr>
            <w:tcW w:w="0" w:type="auto"/>
            <w:tcBorders>
              <w:top w:val="nil"/>
              <w:left w:val="nil"/>
              <w:bottom w:val="single" w:color="000000" w:sz="4" w:space="0"/>
              <w:right w:val="nil"/>
            </w:tcBorders>
            <w:shd w:val="clear"/>
            <w:noWrap/>
            <w:vAlign w:val="center"/>
          </w:tcPr>
          <w:p w14:paraId="4574F0D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5.30 </w:t>
            </w:r>
          </w:p>
        </w:tc>
      </w:tr>
    </w:tbl>
    <w:p w14:paraId="7B7DA6B5">
      <w:pPr>
        <w:pStyle w:val="2"/>
        <w:bidi w:val="0"/>
        <w:rPr>
          <w:rFonts w:hint="default" w:ascii="Times New Roman Regular" w:hAnsi="Times New Roman Regular" w:cs="Times New Roman Regular"/>
          <w:kern w:val="0"/>
          <w:sz w:val="24"/>
          <w:szCs w:val="24"/>
        </w:rPr>
      </w:pPr>
      <w:r>
        <w:rPr>
          <w:rFonts w:hint="default"/>
        </w:rPr>
        <w:t>3.3 Rate-Distortion and Lambda Analysis</w:t>
      </w:r>
    </w:p>
    <w:p w14:paraId="75A1562F">
      <w:pPr>
        <w:widowControl/>
        <w:autoSpaceDE w:val="0"/>
        <w:adjustRightInd w:val="0"/>
        <w:spacing w:beforeAutospacing="1" w:afterAutospacing="1" w:line="60" w:lineRule="atLeast"/>
        <w:jc w:val="cente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kern w:val="0"/>
          <w:sz w:val="24"/>
          <w:szCs w:val="24"/>
        </w:rPr>
        <w:t xml:space="preserve">Table </w:t>
      </w:r>
      <w:r>
        <w:rPr>
          <w:rFonts w:hint="eastAsia" w:ascii="Times New Roman Regular" w:hAnsi="Times New Roman Regular" w:cs="Times New Roman Regular"/>
          <w:kern w:val="0"/>
          <w:sz w:val="24"/>
          <w:szCs w:val="24"/>
          <w:lang w:val="en-US" w:eastAsia="zh-CN"/>
        </w:rPr>
        <w:t>3.</w:t>
      </w:r>
      <w:r>
        <w:rPr>
          <w:rFonts w:hint="default" w:ascii="Times New Roman Regular" w:hAnsi="Times New Roman Regular" w:eastAsia="宋体" w:cs="Times New Roman Regular"/>
          <w:kern w:val="0"/>
          <w:sz w:val="24"/>
          <w:szCs w:val="24"/>
          <w:lang w:val="en-US" w:eastAsia="zh-CN" w:bidi="ar"/>
        </w:rPr>
        <w:t xml:space="preserve">Decoded-view results of </w:t>
      </w:r>
      <w:r>
        <w:rPr>
          <w:rFonts w:hint="eastAsia" w:ascii="Times New Roman Regular" w:hAnsi="Times New Roman Regular" w:cs="Times New Roman Regular"/>
          <w:kern w:val="0"/>
          <w:sz w:val="24"/>
          <w:szCs w:val="24"/>
          <w:lang w:val="en-US" w:eastAsia="zh-CN" w:bidi="ar"/>
        </w:rPr>
        <w:t>DCCA-GS</w:t>
      </w:r>
      <w:r>
        <w:rPr>
          <w:rFonts w:hint="default" w:ascii="Times New Roman Regular" w:hAnsi="Times New Roman Regular" w:eastAsia="宋体" w:cs="Times New Roman Regular"/>
          <w:kern w:val="0"/>
          <w:sz w:val="24"/>
          <w:szCs w:val="24"/>
          <w:lang w:val="en-US" w:eastAsia="zh-CN" w:bidi="ar"/>
        </w:rPr>
        <w:t xml:space="preserve"> on Deep Blending under different rate–distortion trade-off parameters λ.</w:t>
      </w:r>
    </w:p>
    <w:tbl>
      <w:tblPr>
        <w:tblStyle w:val="18"/>
        <w:tblW w:w="827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9"/>
        <w:gridCol w:w="1348"/>
        <w:gridCol w:w="1348"/>
        <w:gridCol w:w="1348"/>
        <w:gridCol w:w="1348"/>
        <w:gridCol w:w="1348"/>
      </w:tblGrid>
      <w:tr w14:paraId="63BFF262">
        <w:trPr>
          <w:trHeight w:val="370" w:hRule="atLeast"/>
        </w:trPr>
        <w:tc>
          <w:tcPr>
            <w:tcW w:w="1539" w:type="dxa"/>
            <w:tcBorders>
              <w:top w:val="single" w:color="000000" w:sz="4" w:space="0"/>
              <w:left w:val="nil"/>
              <w:bottom w:val="single" w:color="000000" w:sz="4" w:space="0"/>
              <w:right w:val="nil"/>
            </w:tcBorders>
            <w:shd w:val="clear" w:color="auto" w:fill="auto"/>
            <w:noWrap/>
            <w:vAlign w:val="center"/>
          </w:tcPr>
          <w:p w14:paraId="52C976DD">
            <w:pPr>
              <w:keepNext w:val="0"/>
              <w:keepLines w:val="0"/>
              <w:widowControl/>
              <w:suppressLineNumbers w:val="0"/>
              <w:jc w:val="center"/>
              <w:textAlignment w:val="center"/>
              <w:rPr>
                <w:rFonts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Scene</w:t>
            </w:r>
          </w:p>
        </w:tc>
        <w:tc>
          <w:tcPr>
            <w:tcW w:w="1348" w:type="dxa"/>
            <w:tcBorders>
              <w:top w:val="single" w:color="000000" w:sz="4" w:space="0"/>
              <w:left w:val="nil"/>
              <w:bottom w:val="single" w:color="000000" w:sz="4" w:space="0"/>
              <w:right w:val="nil"/>
            </w:tcBorders>
            <w:shd w:val="clear" w:color="auto" w:fill="auto"/>
            <w:noWrap/>
            <w:vAlign w:val="center"/>
          </w:tcPr>
          <w:p w14:paraId="3DFC5D5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lambda</w:t>
            </w:r>
          </w:p>
        </w:tc>
        <w:tc>
          <w:tcPr>
            <w:tcW w:w="1348" w:type="dxa"/>
            <w:tcBorders>
              <w:top w:val="single" w:color="000000" w:sz="4" w:space="0"/>
              <w:left w:val="nil"/>
              <w:bottom w:val="single" w:color="000000" w:sz="4" w:space="0"/>
              <w:right w:val="nil"/>
            </w:tcBorders>
            <w:shd w:val="clear" w:color="auto" w:fill="auto"/>
            <w:noWrap/>
            <w:vAlign w:val="center"/>
          </w:tcPr>
          <w:p w14:paraId="63D1330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PSNR</w:t>
            </w:r>
          </w:p>
        </w:tc>
        <w:tc>
          <w:tcPr>
            <w:tcW w:w="1348" w:type="dxa"/>
            <w:tcBorders>
              <w:top w:val="single" w:color="000000" w:sz="4" w:space="0"/>
              <w:left w:val="nil"/>
              <w:bottom w:val="single" w:color="000000" w:sz="4" w:space="0"/>
              <w:right w:val="nil"/>
            </w:tcBorders>
            <w:shd w:val="clear" w:color="auto" w:fill="auto"/>
            <w:noWrap/>
            <w:vAlign w:val="center"/>
          </w:tcPr>
          <w:p w14:paraId="1E05494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SSIM</w:t>
            </w:r>
          </w:p>
        </w:tc>
        <w:tc>
          <w:tcPr>
            <w:tcW w:w="1348" w:type="dxa"/>
            <w:tcBorders>
              <w:top w:val="single" w:color="000000" w:sz="4" w:space="0"/>
              <w:left w:val="nil"/>
              <w:bottom w:val="single" w:color="000000" w:sz="4" w:space="0"/>
              <w:right w:val="nil"/>
            </w:tcBorders>
            <w:shd w:val="clear" w:color="auto" w:fill="auto"/>
            <w:noWrap/>
            <w:vAlign w:val="center"/>
          </w:tcPr>
          <w:p w14:paraId="0D01F4C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LPIPS</w:t>
            </w:r>
          </w:p>
        </w:tc>
        <w:tc>
          <w:tcPr>
            <w:tcW w:w="1348" w:type="dxa"/>
            <w:tcBorders>
              <w:top w:val="single" w:color="000000" w:sz="4" w:space="0"/>
              <w:left w:val="nil"/>
              <w:bottom w:val="single" w:color="000000" w:sz="4" w:space="0"/>
              <w:right w:val="nil"/>
            </w:tcBorders>
            <w:shd w:val="clear" w:color="auto" w:fill="auto"/>
            <w:noWrap/>
            <w:vAlign w:val="center"/>
          </w:tcPr>
          <w:p w14:paraId="50F4EF1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Size</w:t>
            </w:r>
          </w:p>
        </w:tc>
      </w:tr>
      <w:tr w14:paraId="3752950D">
        <w:trPr>
          <w:trHeight w:val="370" w:hRule="atLeast"/>
        </w:trPr>
        <w:tc>
          <w:tcPr>
            <w:tcW w:w="0" w:type="auto"/>
            <w:tcBorders>
              <w:top w:val="nil"/>
              <w:left w:val="nil"/>
              <w:bottom w:val="nil"/>
              <w:right w:val="nil"/>
            </w:tcBorders>
            <w:shd w:val="clear" w:color="auto" w:fill="auto"/>
            <w:noWrap/>
            <w:vAlign w:val="center"/>
          </w:tcPr>
          <w:p w14:paraId="5885696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playroom</w:t>
            </w:r>
          </w:p>
        </w:tc>
        <w:tc>
          <w:tcPr>
            <w:tcW w:w="0" w:type="auto"/>
            <w:tcBorders>
              <w:top w:val="nil"/>
              <w:left w:val="nil"/>
              <w:bottom w:val="nil"/>
              <w:right w:val="nil"/>
            </w:tcBorders>
            <w:shd w:val="clear" w:color="auto" w:fill="auto"/>
            <w:noWrap/>
            <w:vAlign w:val="center"/>
          </w:tcPr>
          <w:p w14:paraId="4EC0C2F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0.001</w:t>
            </w:r>
          </w:p>
        </w:tc>
        <w:tc>
          <w:tcPr>
            <w:tcW w:w="0" w:type="auto"/>
            <w:tcBorders>
              <w:top w:val="nil"/>
              <w:left w:val="nil"/>
              <w:bottom w:val="nil"/>
              <w:right w:val="nil"/>
            </w:tcBorders>
            <w:shd w:val="clear" w:color="auto" w:fill="auto"/>
            <w:noWrap/>
            <w:vAlign w:val="center"/>
          </w:tcPr>
          <w:p w14:paraId="43056D7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30.6624</w:t>
            </w:r>
          </w:p>
        </w:tc>
        <w:tc>
          <w:tcPr>
            <w:tcW w:w="0" w:type="auto"/>
            <w:tcBorders>
              <w:top w:val="nil"/>
              <w:left w:val="nil"/>
              <w:bottom w:val="nil"/>
              <w:right w:val="nil"/>
            </w:tcBorders>
            <w:shd w:val="clear" w:color="auto" w:fill="auto"/>
            <w:noWrap/>
            <w:vAlign w:val="center"/>
          </w:tcPr>
          <w:p w14:paraId="0319AD9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0.9137</w:t>
            </w:r>
          </w:p>
        </w:tc>
        <w:tc>
          <w:tcPr>
            <w:tcW w:w="0" w:type="auto"/>
            <w:tcBorders>
              <w:top w:val="nil"/>
              <w:left w:val="nil"/>
              <w:bottom w:val="nil"/>
              <w:right w:val="nil"/>
            </w:tcBorders>
            <w:shd w:val="clear" w:color="auto" w:fill="auto"/>
            <w:noWrap/>
            <w:vAlign w:val="center"/>
          </w:tcPr>
          <w:p w14:paraId="4CF17AC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0.2531</w:t>
            </w:r>
          </w:p>
        </w:tc>
        <w:tc>
          <w:tcPr>
            <w:tcW w:w="0" w:type="auto"/>
            <w:tcBorders>
              <w:top w:val="nil"/>
              <w:left w:val="nil"/>
              <w:bottom w:val="nil"/>
              <w:right w:val="nil"/>
            </w:tcBorders>
            <w:shd w:val="clear" w:color="auto" w:fill="auto"/>
            <w:noWrap/>
            <w:vAlign w:val="center"/>
          </w:tcPr>
          <w:p w14:paraId="5F44731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5.8024</w:t>
            </w:r>
          </w:p>
        </w:tc>
      </w:tr>
      <w:tr w14:paraId="2BC5A121">
        <w:trPr>
          <w:trHeight w:val="349" w:hRule="atLeast"/>
        </w:trPr>
        <w:tc>
          <w:tcPr>
            <w:tcW w:w="0" w:type="auto"/>
            <w:tcBorders>
              <w:top w:val="nil"/>
              <w:left w:val="nil"/>
              <w:bottom w:val="nil"/>
              <w:right w:val="nil"/>
            </w:tcBorders>
            <w:shd w:val="clear" w:color="auto" w:fill="auto"/>
            <w:noWrap/>
            <w:vAlign w:val="center"/>
          </w:tcPr>
          <w:p w14:paraId="7A785B0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playroom</w:t>
            </w:r>
          </w:p>
        </w:tc>
        <w:tc>
          <w:tcPr>
            <w:tcW w:w="0" w:type="auto"/>
            <w:tcBorders>
              <w:top w:val="nil"/>
              <w:left w:val="nil"/>
              <w:bottom w:val="nil"/>
              <w:right w:val="nil"/>
            </w:tcBorders>
            <w:shd w:val="clear" w:color="auto" w:fill="auto"/>
            <w:noWrap/>
            <w:vAlign w:val="center"/>
          </w:tcPr>
          <w:p w14:paraId="5F5AA91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0.002</w:t>
            </w:r>
          </w:p>
        </w:tc>
        <w:tc>
          <w:tcPr>
            <w:tcW w:w="0" w:type="auto"/>
            <w:tcBorders>
              <w:top w:val="nil"/>
              <w:left w:val="nil"/>
              <w:bottom w:val="nil"/>
              <w:right w:val="nil"/>
            </w:tcBorders>
            <w:shd w:val="clear" w:color="auto" w:fill="auto"/>
            <w:noWrap/>
            <w:vAlign w:val="center"/>
          </w:tcPr>
          <w:p w14:paraId="473EACF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30.7288</w:t>
            </w:r>
          </w:p>
        </w:tc>
        <w:tc>
          <w:tcPr>
            <w:tcW w:w="0" w:type="auto"/>
            <w:tcBorders>
              <w:top w:val="nil"/>
              <w:left w:val="nil"/>
              <w:bottom w:val="nil"/>
              <w:right w:val="nil"/>
            </w:tcBorders>
            <w:shd w:val="clear" w:color="auto" w:fill="auto"/>
            <w:noWrap/>
            <w:vAlign w:val="center"/>
          </w:tcPr>
          <w:p w14:paraId="770922D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0.913</w:t>
            </w:r>
          </w:p>
        </w:tc>
        <w:tc>
          <w:tcPr>
            <w:tcW w:w="0" w:type="auto"/>
            <w:tcBorders>
              <w:top w:val="nil"/>
              <w:left w:val="nil"/>
              <w:bottom w:val="nil"/>
              <w:right w:val="nil"/>
            </w:tcBorders>
            <w:shd w:val="clear" w:color="auto" w:fill="auto"/>
            <w:noWrap/>
            <w:vAlign w:val="center"/>
          </w:tcPr>
          <w:p w14:paraId="608C2A3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0.2575</w:t>
            </w:r>
          </w:p>
        </w:tc>
        <w:tc>
          <w:tcPr>
            <w:tcW w:w="0" w:type="auto"/>
            <w:tcBorders>
              <w:top w:val="nil"/>
              <w:left w:val="nil"/>
              <w:bottom w:val="nil"/>
              <w:right w:val="nil"/>
            </w:tcBorders>
            <w:shd w:val="clear" w:color="auto" w:fill="auto"/>
            <w:noWrap/>
            <w:vAlign w:val="center"/>
          </w:tcPr>
          <w:p w14:paraId="55F88CF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4.2231</w:t>
            </w:r>
          </w:p>
        </w:tc>
      </w:tr>
      <w:tr w14:paraId="6ACBCF74">
        <w:trPr>
          <w:trHeight w:val="349" w:hRule="atLeast"/>
        </w:trPr>
        <w:tc>
          <w:tcPr>
            <w:tcW w:w="0" w:type="auto"/>
            <w:tcBorders>
              <w:top w:val="nil"/>
              <w:left w:val="nil"/>
              <w:bottom w:val="nil"/>
              <w:right w:val="nil"/>
            </w:tcBorders>
            <w:shd w:val="clear" w:color="auto" w:fill="auto"/>
            <w:noWrap/>
            <w:vAlign w:val="center"/>
          </w:tcPr>
          <w:p w14:paraId="5A15E43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playroom</w:t>
            </w:r>
          </w:p>
        </w:tc>
        <w:tc>
          <w:tcPr>
            <w:tcW w:w="0" w:type="auto"/>
            <w:tcBorders>
              <w:top w:val="nil"/>
              <w:left w:val="nil"/>
              <w:bottom w:val="nil"/>
              <w:right w:val="nil"/>
            </w:tcBorders>
            <w:shd w:val="clear" w:color="auto" w:fill="auto"/>
            <w:noWrap/>
            <w:vAlign w:val="center"/>
          </w:tcPr>
          <w:p w14:paraId="116002E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0.004</w:t>
            </w:r>
          </w:p>
        </w:tc>
        <w:tc>
          <w:tcPr>
            <w:tcW w:w="0" w:type="auto"/>
            <w:tcBorders>
              <w:top w:val="nil"/>
              <w:left w:val="nil"/>
              <w:bottom w:val="nil"/>
              <w:right w:val="nil"/>
            </w:tcBorders>
            <w:shd w:val="clear" w:color="auto" w:fill="auto"/>
            <w:noWrap/>
            <w:vAlign w:val="center"/>
          </w:tcPr>
          <w:p w14:paraId="37987E3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30.619</w:t>
            </w:r>
          </w:p>
        </w:tc>
        <w:tc>
          <w:tcPr>
            <w:tcW w:w="0" w:type="auto"/>
            <w:tcBorders>
              <w:top w:val="nil"/>
              <w:left w:val="nil"/>
              <w:bottom w:val="nil"/>
              <w:right w:val="nil"/>
            </w:tcBorders>
            <w:shd w:val="clear" w:color="auto" w:fill="auto"/>
            <w:noWrap/>
            <w:vAlign w:val="center"/>
          </w:tcPr>
          <w:p w14:paraId="58F5E3A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0.9103</w:t>
            </w:r>
          </w:p>
        </w:tc>
        <w:tc>
          <w:tcPr>
            <w:tcW w:w="0" w:type="auto"/>
            <w:tcBorders>
              <w:top w:val="nil"/>
              <w:left w:val="nil"/>
              <w:bottom w:val="nil"/>
              <w:right w:val="nil"/>
            </w:tcBorders>
            <w:shd w:val="clear" w:color="auto" w:fill="auto"/>
            <w:noWrap/>
            <w:vAlign w:val="center"/>
          </w:tcPr>
          <w:p w14:paraId="510003F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0.2632</w:t>
            </w:r>
          </w:p>
        </w:tc>
        <w:tc>
          <w:tcPr>
            <w:tcW w:w="0" w:type="auto"/>
            <w:tcBorders>
              <w:top w:val="nil"/>
              <w:left w:val="nil"/>
              <w:bottom w:val="nil"/>
              <w:right w:val="nil"/>
            </w:tcBorders>
            <w:shd w:val="clear" w:color="auto" w:fill="auto"/>
            <w:noWrap/>
            <w:vAlign w:val="center"/>
          </w:tcPr>
          <w:p w14:paraId="5EACA10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3.0072</w:t>
            </w:r>
          </w:p>
        </w:tc>
      </w:tr>
      <w:tr w14:paraId="0711DF74">
        <w:trPr>
          <w:trHeight w:val="349" w:hRule="atLeast"/>
        </w:trPr>
        <w:tc>
          <w:tcPr>
            <w:tcW w:w="0" w:type="auto"/>
            <w:tcBorders>
              <w:top w:val="nil"/>
              <w:left w:val="nil"/>
              <w:bottom w:val="nil"/>
              <w:right w:val="nil"/>
            </w:tcBorders>
            <w:shd w:val="clear" w:color="auto" w:fill="auto"/>
            <w:noWrap/>
            <w:vAlign w:val="center"/>
          </w:tcPr>
          <w:p w14:paraId="260C52F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drjohnson</w:t>
            </w:r>
          </w:p>
        </w:tc>
        <w:tc>
          <w:tcPr>
            <w:tcW w:w="0" w:type="auto"/>
            <w:tcBorders>
              <w:top w:val="nil"/>
              <w:left w:val="nil"/>
              <w:bottom w:val="nil"/>
              <w:right w:val="nil"/>
            </w:tcBorders>
            <w:shd w:val="clear" w:color="auto" w:fill="auto"/>
            <w:noWrap/>
            <w:vAlign w:val="center"/>
          </w:tcPr>
          <w:p w14:paraId="68244D6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0.001</w:t>
            </w:r>
          </w:p>
        </w:tc>
        <w:tc>
          <w:tcPr>
            <w:tcW w:w="0" w:type="auto"/>
            <w:tcBorders>
              <w:top w:val="nil"/>
              <w:left w:val="nil"/>
              <w:bottom w:val="nil"/>
              <w:right w:val="nil"/>
            </w:tcBorders>
            <w:shd w:val="clear" w:color="auto" w:fill="auto"/>
            <w:noWrap/>
            <w:vAlign w:val="center"/>
          </w:tcPr>
          <w:p w14:paraId="6659F27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30.0934</w:t>
            </w:r>
          </w:p>
        </w:tc>
        <w:tc>
          <w:tcPr>
            <w:tcW w:w="0" w:type="auto"/>
            <w:tcBorders>
              <w:top w:val="nil"/>
              <w:left w:val="nil"/>
              <w:bottom w:val="nil"/>
              <w:right w:val="nil"/>
            </w:tcBorders>
            <w:shd w:val="clear" w:color="auto" w:fill="auto"/>
            <w:noWrap/>
            <w:vAlign w:val="center"/>
          </w:tcPr>
          <w:p w14:paraId="290115C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0.9124</w:t>
            </w:r>
          </w:p>
        </w:tc>
        <w:tc>
          <w:tcPr>
            <w:tcW w:w="0" w:type="auto"/>
            <w:tcBorders>
              <w:top w:val="nil"/>
              <w:left w:val="nil"/>
              <w:bottom w:val="nil"/>
              <w:right w:val="nil"/>
            </w:tcBorders>
            <w:shd w:val="clear" w:color="auto" w:fill="auto"/>
            <w:noWrap/>
            <w:vAlign w:val="center"/>
          </w:tcPr>
          <w:p w14:paraId="1C4AA94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0.2409</w:t>
            </w:r>
          </w:p>
        </w:tc>
        <w:tc>
          <w:tcPr>
            <w:tcW w:w="0" w:type="auto"/>
            <w:tcBorders>
              <w:top w:val="nil"/>
              <w:left w:val="nil"/>
              <w:bottom w:val="nil"/>
              <w:right w:val="nil"/>
            </w:tcBorders>
            <w:shd w:val="clear" w:color="auto" w:fill="auto"/>
            <w:noWrap/>
            <w:vAlign w:val="center"/>
          </w:tcPr>
          <w:p w14:paraId="5858F6E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9.6294</w:t>
            </w:r>
          </w:p>
        </w:tc>
      </w:tr>
      <w:tr w14:paraId="62443279">
        <w:trPr>
          <w:trHeight w:val="349" w:hRule="atLeast"/>
        </w:trPr>
        <w:tc>
          <w:tcPr>
            <w:tcW w:w="0" w:type="auto"/>
            <w:tcBorders>
              <w:top w:val="nil"/>
              <w:left w:val="nil"/>
              <w:bottom w:val="nil"/>
              <w:right w:val="nil"/>
            </w:tcBorders>
            <w:shd w:val="clear" w:color="auto" w:fill="auto"/>
            <w:noWrap/>
            <w:vAlign w:val="center"/>
          </w:tcPr>
          <w:p w14:paraId="20E988A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drjohnson</w:t>
            </w:r>
          </w:p>
        </w:tc>
        <w:tc>
          <w:tcPr>
            <w:tcW w:w="0" w:type="auto"/>
            <w:tcBorders>
              <w:top w:val="nil"/>
              <w:left w:val="nil"/>
              <w:bottom w:val="nil"/>
              <w:right w:val="nil"/>
            </w:tcBorders>
            <w:shd w:val="clear" w:color="auto" w:fill="auto"/>
            <w:noWrap/>
            <w:vAlign w:val="center"/>
          </w:tcPr>
          <w:p w14:paraId="2F8D881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0.002</w:t>
            </w:r>
          </w:p>
        </w:tc>
        <w:tc>
          <w:tcPr>
            <w:tcW w:w="0" w:type="auto"/>
            <w:tcBorders>
              <w:top w:val="nil"/>
              <w:left w:val="nil"/>
              <w:bottom w:val="nil"/>
              <w:right w:val="nil"/>
            </w:tcBorders>
            <w:shd w:val="clear" w:color="auto" w:fill="auto"/>
            <w:noWrap/>
            <w:vAlign w:val="center"/>
          </w:tcPr>
          <w:p w14:paraId="5107D24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30.0376</w:t>
            </w:r>
          </w:p>
        </w:tc>
        <w:tc>
          <w:tcPr>
            <w:tcW w:w="0" w:type="auto"/>
            <w:tcBorders>
              <w:top w:val="nil"/>
              <w:left w:val="nil"/>
              <w:bottom w:val="nil"/>
              <w:right w:val="nil"/>
            </w:tcBorders>
            <w:shd w:val="clear" w:color="auto" w:fill="auto"/>
            <w:noWrap/>
            <w:vAlign w:val="center"/>
          </w:tcPr>
          <w:p w14:paraId="6830D04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0.9112</w:t>
            </w:r>
          </w:p>
        </w:tc>
        <w:tc>
          <w:tcPr>
            <w:tcW w:w="0" w:type="auto"/>
            <w:tcBorders>
              <w:top w:val="nil"/>
              <w:left w:val="nil"/>
              <w:bottom w:val="nil"/>
              <w:right w:val="nil"/>
            </w:tcBorders>
            <w:shd w:val="clear" w:color="auto" w:fill="auto"/>
            <w:noWrap/>
            <w:vAlign w:val="center"/>
          </w:tcPr>
          <w:p w14:paraId="18B6B4A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0.2459</w:t>
            </w:r>
          </w:p>
        </w:tc>
        <w:tc>
          <w:tcPr>
            <w:tcW w:w="0" w:type="auto"/>
            <w:tcBorders>
              <w:top w:val="nil"/>
              <w:left w:val="nil"/>
              <w:bottom w:val="nil"/>
              <w:right w:val="nil"/>
            </w:tcBorders>
            <w:shd w:val="clear" w:color="auto" w:fill="auto"/>
            <w:noWrap/>
            <w:vAlign w:val="center"/>
          </w:tcPr>
          <w:p w14:paraId="342BA3C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6.8549</w:t>
            </w:r>
          </w:p>
        </w:tc>
      </w:tr>
      <w:tr w14:paraId="1F684F7E">
        <w:trPr>
          <w:trHeight w:val="370" w:hRule="atLeast"/>
        </w:trPr>
        <w:tc>
          <w:tcPr>
            <w:tcW w:w="0" w:type="auto"/>
            <w:tcBorders>
              <w:top w:val="nil"/>
              <w:left w:val="nil"/>
              <w:bottom w:val="single" w:color="000000" w:sz="4" w:space="0"/>
              <w:right w:val="nil"/>
            </w:tcBorders>
            <w:shd w:val="clear" w:color="auto" w:fill="auto"/>
            <w:noWrap/>
            <w:vAlign w:val="center"/>
          </w:tcPr>
          <w:p w14:paraId="2116551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drjohnson</w:t>
            </w:r>
          </w:p>
        </w:tc>
        <w:tc>
          <w:tcPr>
            <w:tcW w:w="0" w:type="auto"/>
            <w:tcBorders>
              <w:top w:val="nil"/>
              <w:left w:val="nil"/>
              <w:bottom w:val="single" w:color="000000" w:sz="4" w:space="0"/>
              <w:right w:val="nil"/>
            </w:tcBorders>
            <w:shd w:val="clear" w:color="auto" w:fill="auto"/>
            <w:noWrap/>
            <w:vAlign w:val="center"/>
          </w:tcPr>
          <w:p w14:paraId="0B18C71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0.004</w:t>
            </w:r>
          </w:p>
        </w:tc>
        <w:tc>
          <w:tcPr>
            <w:tcW w:w="0" w:type="auto"/>
            <w:tcBorders>
              <w:top w:val="nil"/>
              <w:left w:val="nil"/>
              <w:bottom w:val="single" w:color="000000" w:sz="4" w:space="0"/>
              <w:right w:val="nil"/>
            </w:tcBorders>
            <w:shd w:val="clear" w:color="auto" w:fill="auto"/>
            <w:noWrap/>
            <w:vAlign w:val="center"/>
          </w:tcPr>
          <w:p w14:paraId="088A7A8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30.0443</w:t>
            </w:r>
          </w:p>
        </w:tc>
        <w:tc>
          <w:tcPr>
            <w:tcW w:w="0" w:type="auto"/>
            <w:tcBorders>
              <w:top w:val="nil"/>
              <w:left w:val="nil"/>
              <w:bottom w:val="single" w:color="000000" w:sz="4" w:space="0"/>
              <w:right w:val="nil"/>
            </w:tcBorders>
            <w:shd w:val="clear" w:color="auto" w:fill="auto"/>
            <w:noWrap/>
            <w:vAlign w:val="center"/>
          </w:tcPr>
          <w:p w14:paraId="5C59364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0.91</w:t>
            </w:r>
          </w:p>
        </w:tc>
        <w:tc>
          <w:tcPr>
            <w:tcW w:w="0" w:type="auto"/>
            <w:tcBorders>
              <w:top w:val="nil"/>
              <w:left w:val="nil"/>
              <w:bottom w:val="single" w:color="000000" w:sz="4" w:space="0"/>
              <w:right w:val="nil"/>
            </w:tcBorders>
            <w:shd w:val="clear" w:color="auto" w:fill="auto"/>
            <w:noWrap/>
            <w:vAlign w:val="center"/>
          </w:tcPr>
          <w:p w14:paraId="3A4FBDF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0.2521</w:t>
            </w:r>
          </w:p>
        </w:tc>
        <w:tc>
          <w:tcPr>
            <w:tcW w:w="0" w:type="auto"/>
            <w:tcBorders>
              <w:top w:val="nil"/>
              <w:left w:val="nil"/>
              <w:bottom w:val="single" w:color="000000" w:sz="4" w:space="0"/>
              <w:right w:val="nil"/>
            </w:tcBorders>
            <w:shd w:val="clear" w:color="auto" w:fill="auto"/>
            <w:noWrap/>
            <w:vAlign w:val="center"/>
          </w:tcPr>
          <w:p w14:paraId="30D2FB5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lang w:val="en-US" w:eastAsia="zh-CN" w:bidi="ar"/>
              </w:rPr>
              <w:t>4.7625</w:t>
            </w:r>
          </w:p>
        </w:tc>
      </w:tr>
    </w:tbl>
    <w:p w14:paraId="7BFE992D">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390FD09B">
      <w:pPr>
        <w:keepNext w:val="0"/>
        <w:keepLines w:val="0"/>
        <w:widowControl/>
        <w:suppressLineNumbers w:val="0"/>
        <w:jc w:val="both"/>
        <w:rPr>
          <w:rFonts w:hint="default" w:ascii="Times New Roman" w:hAnsi="Times New Roman" w:cs="Times New Roman"/>
          <w:b w:val="0"/>
          <w:bCs/>
          <w:sz w:val="24"/>
          <w:szCs w:val="24"/>
        </w:rPr>
      </w:pPr>
      <w:r>
        <w:rPr>
          <w:rFonts w:hint="default" w:ascii="Times New Roman" w:hAnsi="Times New Roman" w:eastAsia="sans-serif" w:cs="Times New Roman"/>
          <w:b w:val="0"/>
          <w:bCs/>
          <w:i w:val="0"/>
          <w:iCs w:val="0"/>
          <w:caps w:val="0"/>
          <w:color w:val="0E0E0E"/>
          <w:spacing w:val="0"/>
          <w:kern w:val="0"/>
          <w:sz w:val="24"/>
          <w:szCs w:val="24"/>
          <w:u w:val="none"/>
          <w:shd w:val="clear" w:fill="FFFFFF"/>
          <w:lang w:val="en-US" w:eastAsia="zh-CN" w:bidi="ar"/>
        </w:rPr>
        <w:t>Table 3 examines the rate–distortion behavior of DCCA-GS under different λ. As λ increases from 0.001 to 0.004, the decode-required size of playroom and drjohnson smoothly decreases from 5.80 MB and 9.63 MB to 3.01 MB and 4.76 MB, respectively, while PSNR remains highly stable within 30.62–30.73 dB and 30.04–30.09 dB. These results show that DCCA-GS provides smooth and controllable bitrate switching with virtually unchanged quality, offering flexible operating points for diverse bandwidth conditions. For example, at λ = 0.004, playroom retains a strong PSNR of 30.62 dB—close to its best value of 30.73 dB—while its size decreases by about 48% relative to the highest-rate setting, illustrating efficient use of the bit budget.</w:t>
      </w:r>
    </w:p>
    <w:p w14:paraId="066FF2B2">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0950EA37">
      <w:pPr>
        <w:keepNext w:val="0"/>
        <w:keepLines w:val="0"/>
        <w:widowControl/>
        <w:suppressLineNumbers w:val="0"/>
        <w:jc w:val="center"/>
        <w:rPr>
          <w:rFonts w:hint="default" w:ascii="Times New Roman" w:hAnsi="Times New Roman" w:cs="Times New Roman"/>
        </w:rPr>
      </w:pPr>
      <w:r>
        <w:rPr>
          <w:rFonts w:hint="default" w:ascii="Times New Roman" w:hAnsi="Times New Roman" w:eastAsia="sans-serif" w:cs="Times New Roman"/>
          <w:b w:val="0"/>
          <w:bCs w:val="0"/>
          <w:i w:val="0"/>
          <w:iCs w:val="0"/>
          <w:caps w:val="0"/>
          <w:color w:val="000000"/>
          <w:spacing w:val="0"/>
          <w:kern w:val="0"/>
          <w:sz w:val="24"/>
          <w:szCs w:val="24"/>
          <w:lang w:val="en-US" w:eastAsia="zh-CN" w:bidi="ar"/>
        </w:rPr>
        <w:t>Fig. 1.</w:t>
      </w:r>
      <w:r>
        <w:rPr>
          <w:rFonts w:hint="default" w:ascii="Times New Roman" w:hAnsi="Times New Roman" w:eastAsia="sans-serif" w:cs="Times New Roman"/>
          <w:i w:val="0"/>
          <w:iCs w:val="0"/>
          <w:caps w:val="0"/>
          <w:color w:val="0E0E0E"/>
          <w:spacing w:val="0"/>
          <w:kern w:val="0"/>
          <w:sz w:val="24"/>
          <w:szCs w:val="24"/>
          <w:lang w:val="en-US" w:eastAsia="zh-CN" w:bidi="ar"/>
        </w:rPr>
        <w:t xml:space="preserve"> Rate–distortion on Deep Blending: DCCA-GS with and without training-side SPA vs. state-of-the-art 3DGS compression.</w:t>
      </w:r>
    </w:p>
    <w:p w14:paraId="6A17E958">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262245" cy="1611630"/>
            <wp:effectExtent l="0" t="0" r="20955" b="13970"/>
            <wp:docPr id="3" name="图片 3" descr="db_rd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b_rd_curve"/>
                    <pic:cNvPicPr>
                      <a:picLocks noChangeAspect="1"/>
                    </pic:cNvPicPr>
                  </pic:nvPicPr>
                  <pic:blipFill>
                    <a:blip r:embed="rId7"/>
                    <a:stretch>
                      <a:fillRect/>
                    </a:stretch>
                  </pic:blipFill>
                  <pic:spPr>
                    <a:xfrm>
                      <a:off x="0" y="0"/>
                      <a:ext cx="5262245" cy="1611630"/>
                    </a:xfrm>
                    <a:prstGeom prst="rect">
                      <a:avLst/>
                    </a:prstGeom>
                  </pic:spPr>
                </pic:pic>
              </a:graphicData>
            </a:graphic>
          </wp:inline>
        </w:drawing>
      </w:r>
    </w:p>
    <w:p w14:paraId="3894204E">
      <w:pPr>
        <w:widowControl/>
        <w:autoSpaceDE w:val="0"/>
        <w:adjustRightInd w:val="0"/>
        <w:spacing w:beforeAutospacing="1" w:afterAutospacing="1" w:line="60" w:lineRule="atLeast"/>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Figure 1 compares the rate–distortion performance of DCCA-GS against state-of-the-art 3DGS compression methods on Deep Blending, averaged over playroom and drjohnson. All DCCA-GS points include content-aware quantization, sensitivity-aware complexity prediction, and mixed-precision MLP quantization, and report the final decoded-required payload size. In the high-rate regime, DCCA-GS without SPA achieves 30.33 dB at 3.885 MiB under λ = 0.004, matching the 30.34 dB of HAC++ while reducing the bitrate by approximately 26%, and reaches 30.38 dB at 7.716 MiB under λ = 0.001, placing it on or slightly above the RD frontier established by prior work. The aggregate curve is smooth and monotonic: PSNR changes by less than 0.06 dB between λ = 0.001 and 0.002 while size changes by 2.16 MiB, indicating a rate-efficient high-fidelity regime. Mixed-precision MLP quantization shifts the curve left by roughly 0.16 MiB at every λ with a PSNR change below 0.004 dB, confirming that the model payload is a low-risk lever. At a slightly smaller size than HAC++ highrate (4.22 vs 4.56 MiB), DCCA-GS matches its SSIM and uses 71% fewer primitives, and it dominates CompGS on both rate and quality.</w:t>
      </w:r>
    </w:p>
    <w:p w14:paraId="67A440A6">
      <w:pPr>
        <w:widowControl/>
        <w:autoSpaceDE w:val="0"/>
        <w:adjustRightInd w:val="0"/>
        <w:spacing w:beforeAutospacing="1" w:afterAutospacing="1" w:line="60" w:lineRule="atLeast"/>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When training-side ADMM sparsity is applied, the method extends this curve into a substantially lower bitrate region: at λ = 0.002, the model size drops from 5.539 MiB to 1.257 MiB, a reduction of roughly 77%, with a corresponding PSNR decrease of about 1.05 dB; at λ = 0.004, the size reaches 0.947 MiB with 28.42 dB, entering a sub-1 MiB operating range that existing survey methods do not cover. Compared with low-bitrate baselines such as HAC++ (2.910 MiB, 30.16 dB) and Smol-GS (2.728 MiB, 30.12 dB), the SPA variant is approximately 38% smaller while remaining within 0.38 dB in PSNR. Consistent trends across PSNR, SSIM, and LPIPS confirm that the proposed system provides a smooth and monotonic RD trade-off, demonstrating that training-side ADMM sparsity, combined with mixed-precision MLP quantization and content-aware quantization, enables a continuous operating range from high-quality compression to extremely low bitrates. Protocol differences with the survey methods (splits, resolution, size conventions) mean the comparison is trend-level rather than a strict benchmark.</w:t>
      </w:r>
    </w:p>
    <w:p w14:paraId="18F687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Times New Roman Bold" w:hAnsi="Times New Roman Bold" w:eastAsia="sans-serif" w:cs="Times New Roman Bold"/>
          <w:b/>
          <w:bCs/>
          <w:i w:val="0"/>
          <w:iCs w:val="0"/>
          <w:caps w:val="0"/>
          <w:spacing w:val="0"/>
          <w:bdr w:val="none" w:color="auto" w:sz="0" w:space="0"/>
          <w:shd w:val="clear" w:fill="FFFFFF"/>
        </w:rPr>
      </w:pPr>
      <w:r>
        <w:rPr>
          <w:rFonts w:hint="default" w:ascii="Times New Roman Bold" w:hAnsi="Times New Roman Bold" w:eastAsia="宋体" w:cs="Times New Roman Bold"/>
          <w:lang w:val="en-US" w:eastAsia="zh-CN"/>
        </w:rPr>
        <w:t xml:space="preserve">3.4 </w:t>
      </w:r>
      <w:r>
        <w:rPr>
          <w:rFonts w:hint="default" w:ascii="Times New Roman Bold" w:hAnsi="Times New Roman Bold" w:eastAsia="sans-serif" w:cs="Times New Roman Bold"/>
          <w:b/>
          <w:bCs/>
          <w:i w:val="0"/>
          <w:iCs w:val="0"/>
          <w:caps w:val="0"/>
          <w:spacing w:val="0"/>
          <w:bdr w:val="none" w:color="auto" w:sz="0" w:space="0"/>
          <w:shd w:val="clear" w:fill="FFFFFF"/>
        </w:rPr>
        <w:t>Ablation Study</w:t>
      </w:r>
    </w:p>
    <w:p w14:paraId="79E12D51">
      <w:pPr>
        <w:widowControl/>
        <w:autoSpaceDE w:val="0"/>
        <w:adjustRightInd w:val="0"/>
        <w:spacing w:beforeAutospacing="1" w:afterAutospacing="1" w:line="60" w:lineRule="atLeast"/>
        <w:jc w:val="both"/>
        <w:rPr>
          <w:rFonts w:hint="default" w:ascii="Times New Roman" w:hAnsi="Times New Roman" w:eastAsia="宋体" w:cs="Times New Roman"/>
          <w:kern w:val="0"/>
          <w:sz w:val="24"/>
          <w:szCs w:val="24"/>
          <w:lang w:val="en-US" w:eastAsia="zh-CN" w:bidi="ar"/>
        </w:rPr>
      </w:pPr>
      <w:r>
        <w:rPr>
          <w:rFonts w:hint="default" w:ascii="Times New Roman" w:hAnsi="Times New Roman" w:cs="Times New Roman"/>
          <w:b w:val="0"/>
          <w:bCs w:val="0"/>
          <w:sz w:val="24"/>
          <w:szCs w:val="24"/>
          <w:lang w:val="en-US" w:eastAsia="zh-CN"/>
        </w:rPr>
        <w:t>To directly validate the contribution of each proposed component, we ablate SPA, I2, and I6 on Deep Blending playroom at 110k iterations and λ = 0.002. All variants in Table 4 use the float32 codec (without MLP quantization) and are evaluated on decoded bitstreams.</w:t>
      </w:r>
    </w:p>
    <w:p w14:paraId="299093DF">
      <w:pPr>
        <w:keepNext w:val="0"/>
        <w:keepLines w:val="0"/>
        <w:widowControl/>
        <w:suppressLineNumbers w:val="0"/>
        <w:jc w:val="center"/>
        <w:rPr>
          <w:rFonts w:hint="default" w:ascii="Times New Roman" w:hAnsi="Times New Roman" w:eastAsia="sans-serif" w:cs="Times New Roman"/>
          <w:b w:val="0"/>
          <w:bCs/>
          <w:i w:val="0"/>
          <w:iCs w:val="0"/>
          <w:caps w:val="0"/>
          <w:color w:val="0E0E0E"/>
          <w:spacing w:val="0"/>
          <w:kern w:val="0"/>
          <w:sz w:val="24"/>
          <w:szCs w:val="24"/>
          <w:lang w:val="en-US" w:eastAsia="zh-CN" w:bidi="ar"/>
        </w:rPr>
      </w:pPr>
      <w:r>
        <w:rPr>
          <w:rFonts w:hint="default" w:ascii="Times New Roman" w:hAnsi="Times New Roman" w:eastAsia="sans-serif" w:cs="Times New Roman"/>
          <w:b w:val="0"/>
          <w:bCs/>
          <w:i w:val="0"/>
          <w:iCs w:val="0"/>
          <w:caps w:val="0"/>
          <w:color w:val="000000"/>
          <w:spacing w:val="0"/>
          <w:kern w:val="0"/>
          <w:sz w:val="24"/>
          <w:szCs w:val="24"/>
          <w:lang w:val="en-US" w:eastAsia="zh-CN" w:bidi="ar"/>
        </w:rPr>
        <w:t>Table 4.</w:t>
      </w:r>
      <w:r>
        <w:rPr>
          <w:rFonts w:hint="default" w:ascii="Times New Roman" w:hAnsi="Times New Roman" w:eastAsia="sans-serif" w:cs="Times New Roman"/>
          <w:b w:val="0"/>
          <w:bCs/>
          <w:i w:val="0"/>
          <w:iCs w:val="0"/>
          <w:caps w:val="0"/>
          <w:color w:val="0E0E0E"/>
          <w:spacing w:val="0"/>
          <w:kern w:val="0"/>
          <w:sz w:val="24"/>
          <w:szCs w:val="24"/>
          <w:lang w:val="en-US" w:eastAsia="zh-CN" w:bidi="ar"/>
        </w:rPr>
        <w:t xml:space="preserve"> Ablation of SPA, I2, and I6 on Deep Blending playroom (110k, λ = 0.002). ΔPSNR and ΔSize are relative to the full SPA model with I2 and I6 enabled.</w:t>
      </w:r>
    </w:p>
    <w:tbl>
      <w:tblPr>
        <w:tblW w:w="827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554"/>
        <w:gridCol w:w="1018"/>
        <w:gridCol w:w="899"/>
        <w:gridCol w:w="899"/>
        <w:gridCol w:w="899"/>
        <w:gridCol w:w="1003"/>
        <w:gridCol w:w="1003"/>
      </w:tblGrid>
      <w:tr w14:paraId="04087FD0">
        <w:trPr>
          <w:trHeight w:val="360" w:hRule="atLeast"/>
        </w:trPr>
        <w:tc>
          <w:tcPr>
            <w:tcW w:w="2554" w:type="dxa"/>
            <w:tcBorders>
              <w:top w:val="single" w:color="000000" w:sz="4" w:space="0"/>
              <w:left w:val="nil"/>
              <w:bottom w:val="single" w:color="000000" w:sz="4" w:space="0"/>
              <w:right w:val="nil"/>
            </w:tcBorders>
            <w:shd w:val="clear"/>
            <w:noWrap/>
            <w:vAlign w:val="center"/>
          </w:tcPr>
          <w:p w14:paraId="412F755F">
            <w:pPr>
              <w:keepNext w:val="0"/>
              <w:keepLines w:val="0"/>
              <w:widowControl/>
              <w:suppressLineNumbers w:val="0"/>
              <w:jc w:val="center"/>
              <w:textAlignment w:val="center"/>
              <w:rPr>
                <w:rFonts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Variant</w:t>
            </w:r>
          </w:p>
        </w:tc>
        <w:tc>
          <w:tcPr>
            <w:tcW w:w="1018" w:type="dxa"/>
            <w:tcBorders>
              <w:top w:val="single" w:color="000000" w:sz="4" w:space="0"/>
              <w:left w:val="nil"/>
              <w:bottom w:val="single" w:color="000000" w:sz="4" w:space="0"/>
              <w:right w:val="nil"/>
            </w:tcBorders>
            <w:shd w:val="clear"/>
            <w:noWrap/>
            <w:vAlign w:val="center"/>
          </w:tcPr>
          <w:p w14:paraId="66ABD9C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PSNR</w:t>
            </w:r>
          </w:p>
        </w:tc>
        <w:tc>
          <w:tcPr>
            <w:tcW w:w="899" w:type="dxa"/>
            <w:tcBorders>
              <w:top w:val="single" w:color="000000" w:sz="4" w:space="0"/>
              <w:left w:val="nil"/>
              <w:bottom w:val="single" w:color="000000" w:sz="4" w:space="0"/>
              <w:right w:val="nil"/>
            </w:tcBorders>
            <w:shd w:val="clear"/>
            <w:noWrap/>
            <w:vAlign w:val="center"/>
          </w:tcPr>
          <w:p w14:paraId="0BD55B5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SSIM</w:t>
            </w:r>
          </w:p>
        </w:tc>
        <w:tc>
          <w:tcPr>
            <w:tcW w:w="899" w:type="dxa"/>
            <w:tcBorders>
              <w:top w:val="single" w:color="000000" w:sz="4" w:space="0"/>
              <w:left w:val="nil"/>
              <w:bottom w:val="single" w:color="000000" w:sz="4" w:space="0"/>
              <w:right w:val="nil"/>
            </w:tcBorders>
            <w:shd w:val="clear"/>
            <w:noWrap/>
            <w:vAlign w:val="center"/>
          </w:tcPr>
          <w:p w14:paraId="5EA3059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LPIPS</w:t>
            </w:r>
          </w:p>
        </w:tc>
        <w:tc>
          <w:tcPr>
            <w:tcW w:w="899" w:type="dxa"/>
            <w:tcBorders>
              <w:top w:val="single" w:color="000000" w:sz="4" w:space="0"/>
              <w:left w:val="nil"/>
              <w:bottom w:val="single" w:color="000000" w:sz="4" w:space="0"/>
              <w:right w:val="nil"/>
            </w:tcBorders>
            <w:shd w:val="clear"/>
            <w:noWrap/>
            <w:vAlign w:val="center"/>
          </w:tcPr>
          <w:p w14:paraId="5035CF9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size</w:t>
            </w:r>
          </w:p>
        </w:tc>
        <w:tc>
          <w:tcPr>
            <w:tcW w:w="1003" w:type="dxa"/>
            <w:tcBorders>
              <w:top w:val="single" w:color="000000" w:sz="4" w:space="0"/>
              <w:left w:val="nil"/>
              <w:bottom w:val="single" w:color="000000" w:sz="4" w:space="0"/>
              <w:right w:val="nil"/>
            </w:tcBorders>
            <w:shd w:val="clear"/>
            <w:noWrap/>
            <w:vAlign w:val="center"/>
          </w:tcPr>
          <w:p w14:paraId="17FAADF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ΔPSNR </w:t>
            </w:r>
          </w:p>
        </w:tc>
        <w:tc>
          <w:tcPr>
            <w:tcW w:w="1003" w:type="dxa"/>
            <w:tcBorders>
              <w:top w:val="single" w:color="000000" w:sz="4" w:space="0"/>
              <w:left w:val="nil"/>
              <w:bottom w:val="single" w:color="000000" w:sz="4" w:space="0"/>
              <w:right w:val="nil"/>
            </w:tcBorders>
            <w:shd w:val="clear"/>
            <w:noWrap/>
            <w:vAlign w:val="center"/>
          </w:tcPr>
          <w:p w14:paraId="2B86289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Δsize</w:t>
            </w:r>
          </w:p>
        </w:tc>
      </w:tr>
      <w:tr w14:paraId="4913B3AF">
        <w:trPr>
          <w:trHeight w:val="360" w:hRule="atLeast"/>
        </w:trPr>
        <w:tc>
          <w:tcPr>
            <w:tcW w:w="0" w:type="auto"/>
            <w:tcBorders>
              <w:top w:val="nil"/>
              <w:left w:val="nil"/>
              <w:bottom w:val="nil"/>
              <w:right w:val="nil"/>
            </w:tcBorders>
            <w:shd w:val="clear"/>
            <w:noWrap/>
            <w:vAlign w:val="center"/>
          </w:tcPr>
          <w:p w14:paraId="2F95AE0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Full  (I2+I6+SPA)</w:t>
            </w:r>
          </w:p>
        </w:tc>
        <w:tc>
          <w:tcPr>
            <w:tcW w:w="0" w:type="auto"/>
            <w:tcBorders>
              <w:top w:val="nil"/>
              <w:left w:val="nil"/>
              <w:bottom w:val="nil"/>
              <w:right w:val="nil"/>
            </w:tcBorders>
            <w:shd w:val="clear"/>
            <w:noWrap/>
            <w:vAlign w:val="center"/>
          </w:tcPr>
          <w:p w14:paraId="1165CF1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29.8908 </w:t>
            </w:r>
          </w:p>
        </w:tc>
        <w:tc>
          <w:tcPr>
            <w:tcW w:w="0" w:type="auto"/>
            <w:tcBorders>
              <w:top w:val="nil"/>
              <w:left w:val="nil"/>
              <w:bottom w:val="nil"/>
              <w:right w:val="nil"/>
            </w:tcBorders>
            <w:shd w:val="clear"/>
            <w:noWrap/>
            <w:vAlign w:val="center"/>
          </w:tcPr>
          <w:p w14:paraId="1BFC9C3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0.8963 </w:t>
            </w:r>
          </w:p>
        </w:tc>
        <w:tc>
          <w:tcPr>
            <w:tcW w:w="0" w:type="auto"/>
            <w:tcBorders>
              <w:top w:val="nil"/>
              <w:left w:val="nil"/>
              <w:bottom w:val="nil"/>
              <w:right w:val="nil"/>
            </w:tcBorders>
            <w:shd w:val="clear"/>
            <w:noWrap/>
            <w:vAlign w:val="center"/>
          </w:tcPr>
          <w:p w14:paraId="019D221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0.3072 </w:t>
            </w:r>
          </w:p>
        </w:tc>
        <w:tc>
          <w:tcPr>
            <w:tcW w:w="0" w:type="auto"/>
            <w:tcBorders>
              <w:top w:val="nil"/>
              <w:left w:val="nil"/>
              <w:bottom w:val="nil"/>
              <w:right w:val="nil"/>
            </w:tcBorders>
            <w:shd w:val="clear"/>
            <w:noWrap/>
            <w:vAlign w:val="center"/>
          </w:tcPr>
          <w:p w14:paraId="25051F0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1.1292 </w:t>
            </w:r>
          </w:p>
        </w:tc>
        <w:tc>
          <w:tcPr>
            <w:tcW w:w="0" w:type="auto"/>
            <w:tcBorders>
              <w:top w:val="nil"/>
              <w:left w:val="nil"/>
              <w:bottom w:val="nil"/>
              <w:right w:val="nil"/>
            </w:tcBorders>
            <w:shd w:val="clear"/>
            <w:noWrap/>
            <w:vAlign w:val="center"/>
          </w:tcPr>
          <w:p w14:paraId="4B8292F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p>
        </w:tc>
        <w:tc>
          <w:tcPr>
            <w:tcW w:w="0" w:type="auto"/>
            <w:tcBorders>
              <w:top w:val="nil"/>
              <w:left w:val="nil"/>
              <w:bottom w:val="nil"/>
              <w:right w:val="nil"/>
            </w:tcBorders>
            <w:shd w:val="clear"/>
            <w:noWrap/>
            <w:vAlign w:val="center"/>
          </w:tcPr>
          <w:p w14:paraId="5F2E8C4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p>
        </w:tc>
      </w:tr>
      <w:tr w14:paraId="36F94B23">
        <w:trPr>
          <w:trHeight w:val="349" w:hRule="atLeast"/>
        </w:trPr>
        <w:tc>
          <w:tcPr>
            <w:tcW w:w="0" w:type="auto"/>
            <w:tcBorders>
              <w:top w:val="nil"/>
              <w:left w:val="nil"/>
              <w:bottom w:val="nil"/>
              <w:right w:val="nil"/>
            </w:tcBorders>
            <w:shd w:val="clear"/>
            <w:noWrap/>
            <w:vAlign w:val="center"/>
          </w:tcPr>
          <w:p w14:paraId="74619D1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No SPA + I2 (w/o I6)</w:t>
            </w:r>
          </w:p>
        </w:tc>
        <w:tc>
          <w:tcPr>
            <w:tcW w:w="0" w:type="auto"/>
            <w:tcBorders>
              <w:top w:val="nil"/>
              <w:left w:val="nil"/>
              <w:bottom w:val="nil"/>
              <w:right w:val="nil"/>
            </w:tcBorders>
            <w:shd w:val="clear"/>
            <w:noWrap/>
            <w:vAlign w:val="center"/>
          </w:tcPr>
          <w:p w14:paraId="3051BD0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30.6671 </w:t>
            </w:r>
          </w:p>
        </w:tc>
        <w:tc>
          <w:tcPr>
            <w:tcW w:w="0" w:type="auto"/>
            <w:tcBorders>
              <w:top w:val="nil"/>
              <w:left w:val="nil"/>
              <w:bottom w:val="nil"/>
              <w:right w:val="nil"/>
            </w:tcBorders>
            <w:shd w:val="clear"/>
            <w:noWrap/>
            <w:vAlign w:val="center"/>
          </w:tcPr>
          <w:p w14:paraId="36D6A71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0.9123 </w:t>
            </w:r>
          </w:p>
        </w:tc>
        <w:tc>
          <w:tcPr>
            <w:tcW w:w="0" w:type="auto"/>
            <w:tcBorders>
              <w:top w:val="nil"/>
              <w:left w:val="nil"/>
              <w:bottom w:val="nil"/>
              <w:right w:val="nil"/>
            </w:tcBorders>
            <w:shd w:val="clear"/>
            <w:noWrap/>
            <w:vAlign w:val="center"/>
          </w:tcPr>
          <w:p w14:paraId="3BDCE8E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0.2577 </w:t>
            </w:r>
          </w:p>
        </w:tc>
        <w:tc>
          <w:tcPr>
            <w:tcW w:w="0" w:type="auto"/>
            <w:tcBorders>
              <w:top w:val="nil"/>
              <w:left w:val="nil"/>
              <w:bottom w:val="nil"/>
              <w:right w:val="nil"/>
            </w:tcBorders>
            <w:shd w:val="clear"/>
            <w:noWrap/>
            <w:vAlign w:val="center"/>
          </w:tcPr>
          <w:p w14:paraId="6D9F805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4.4668 </w:t>
            </w:r>
          </w:p>
        </w:tc>
        <w:tc>
          <w:tcPr>
            <w:tcW w:w="0" w:type="auto"/>
            <w:tcBorders>
              <w:top w:val="nil"/>
              <w:left w:val="nil"/>
              <w:bottom w:val="nil"/>
              <w:right w:val="nil"/>
            </w:tcBorders>
            <w:shd w:val="clear"/>
            <w:noWrap/>
            <w:vAlign w:val="center"/>
          </w:tcPr>
          <w:p w14:paraId="0CEC7C0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0.7763 </w:t>
            </w:r>
          </w:p>
        </w:tc>
        <w:tc>
          <w:tcPr>
            <w:tcW w:w="0" w:type="auto"/>
            <w:tcBorders>
              <w:top w:val="nil"/>
              <w:left w:val="nil"/>
              <w:bottom w:val="nil"/>
              <w:right w:val="nil"/>
            </w:tcBorders>
            <w:shd w:val="clear"/>
            <w:noWrap/>
            <w:vAlign w:val="center"/>
          </w:tcPr>
          <w:p w14:paraId="4D1D1FF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3.3376 </w:t>
            </w:r>
          </w:p>
        </w:tc>
      </w:tr>
      <w:tr w14:paraId="24F573D9">
        <w:trPr>
          <w:trHeight w:val="349" w:hRule="atLeast"/>
        </w:trPr>
        <w:tc>
          <w:tcPr>
            <w:tcW w:w="0" w:type="auto"/>
            <w:tcBorders>
              <w:top w:val="nil"/>
              <w:left w:val="nil"/>
              <w:bottom w:val="nil"/>
              <w:right w:val="nil"/>
            </w:tcBorders>
            <w:shd w:val="clear"/>
            <w:noWrap/>
            <w:vAlign w:val="center"/>
          </w:tcPr>
          <w:p w14:paraId="5BBA6EA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No SPA (w/o I2/I6)</w:t>
            </w:r>
          </w:p>
        </w:tc>
        <w:tc>
          <w:tcPr>
            <w:tcW w:w="0" w:type="auto"/>
            <w:tcBorders>
              <w:top w:val="nil"/>
              <w:left w:val="nil"/>
              <w:bottom w:val="nil"/>
              <w:right w:val="nil"/>
            </w:tcBorders>
            <w:shd w:val="clear"/>
            <w:noWrap/>
            <w:vAlign w:val="center"/>
          </w:tcPr>
          <w:p w14:paraId="7331583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30.7286 </w:t>
            </w:r>
          </w:p>
        </w:tc>
        <w:tc>
          <w:tcPr>
            <w:tcW w:w="0" w:type="auto"/>
            <w:tcBorders>
              <w:top w:val="nil"/>
              <w:left w:val="nil"/>
              <w:bottom w:val="nil"/>
              <w:right w:val="nil"/>
            </w:tcBorders>
            <w:shd w:val="clear"/>
            <w:noWrap/>
            <w:vAlign w:val="center"/>
          </w:tcPr>
          <w:p w14:paraId="317CFB3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0.9129 </w:t>
            </w:r>
          </w:p>
        </w:tc>
        <w:tc>
          <w:tcPr>
            <w:tcW w:w="0" w:type="auto"/>
            <w:tcBorders>
              <w:top w:val="nil"/>
              <w:left w:val="nil"/>
              <w:bottom w:val="nil"/>
              <w:right w:val="nil"/>
            </w:tcBorders>
            <w:shd w:val="clear"/>
            <w:noWrap/>
            <w:vAlign w:val="center"/>
          </w:tcPr>
          <w:p w14:paraId="242E526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0.2563 </w:t>
            </w:r>
          </w:p>
        </w:tc>
        <w:tc>
          <w:tcPr>
            <w:tcW w:w="0" w:type="auto"/>
            <w:tcBorders>
              <w:top w:val="nil"/>
              <w:left w:val="nil"/>
              <w:bottom w:val="nil"/>
              <w:right w:val="nil"/>
            </w:tcBorders>
            <w:shd w:val="clear"/>
            <w:noWrap/>
            <w:vAlign w:val="center"/>
          </w:tcPr>
          <w:p w14:paraId="18BA0B3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4.4143 </w:t>
            </w:r>
          </w:p>
        </w:tc>
        <w:tc>
          <w:tcPr>
            <w:tcW w:w="0" w:type="auto"/>
            <w:tcBorders>
              <w:top w:val="nil"/>
              <w:left w:val="nil"/>
              <w:bottom w:val="nil"/>
              <w:right w:val="nil"/>
            </w:tcBorders>
            <w:shd w:val="clear"/>
            <w:noWrap/>
            <w:vAlign w:val="center"/>
          </w:tcPr>
          <w:p w14:paraId="0743525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0.8378 </w:t>
            </w:r>
          </w:p>
        </w:tc>
        <w:tc>
          <w:tcPr>
            <w:tcW w:w="0" w:type="auto"/>
            <w:tcBorders>
              <w:top w:val="nil"/>
              <w:left w:val="nil"/>
              <w:bottom w:val="nil"/>
              <w:right w:val="nil"/>
            </w:tcBorders>
            <w:shd w:val="clear"/>
            <w:noWrap/>
            <w:vAlign w:val="center"/>
          </w:tcPr>
          <w:p w14:paraId="0FA53C6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3.2851 </w:t>
            </w:r>
          </w:p>
        </w:tc>
      </w:tr>
      <w:tr w14:paraId="0E6779E3">
        <w:trPr>
          <w:trHeight w:val="349" w:hRule="atLeast"/>
        </w:trPr>
        <w:tc>
          <w:tcPr>
            <w:tcW w:w="0" w:type="auto"/>
            <w:tcBorders>
              <w:top w:val="nil"/>
              <w:left w:val="nil"/>
              <w:bottom w:val="nil"/>
              <w:right w:val="nil"/>
            </w:tcBorders>
            <w:shd w:val="clear"/>
            <w:noWrap/>
            <w:vAlign w:val="center"/>
          </w:tcPr>
          <w:p w14:paraId="2DF0345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No SPA (I2+I6)</w:t>
            </w:r>
          </w:p>
        </w:tc>
        <w:tc>
          <w:tcPr>
            <w:tcW w:w="0" w:type="auto"/>
            <w:tcBorders>
              <w:top w:val="nil"/>
              <w:left w:val="nil"/>
              <w:bottom w:val="nil"/>
              <w:right w:val="nil"/>
            </w:tcBorders>
            <w:shd w:val="clear"/>
            <w:noWrap/>
            <w:vAlign w:val="center"/>
          </w:tcPr>
          <w:p w14:paraId="07DF6A0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30.7310 </w:t>
            </w:r>
          </w:p>
        </w:tc>
        <w:tc>
          <w:tcPr>
            <w:tcW w:w="0" w:type="auto"/>
            <w:tcBorders>
              <w:top w:val="nil"/>
              <w:left w:val="nil"/>
              <w:bottom w:val="nil"/>
              <w:right w:val="nil"/>
            </w:tcBorders>
            <w:shd w:val="clear"/>
            <w:noWrap/>
            <w:vAlign w:val="center"/>
          </w:tcPr>
          <w:p w14:paraId="089FE81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0.9130 </w:t>
            </w:r>
          </w:p>
        </w:tc>
        <w:tc>
          <w:tcPr>
            <w:tcW w:w="0" w:type="auto"/>
            <w:tcBorders>
              <w:top w:val="nil"/>
              <w:left w:val="nil"/>
              <w:bottom w:val="nil"/>
              <w:right w:val="nil"/>
            </w:tcBorders>
            <w:shd w:val="clear"/>
            <w:noWrap/>
            <w:vAlign w:val="center"/>
          </w:tcPr>
          <w:p w14:paraId="53E8CBB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0.2575 </w:t>
            </w:r>
          </w:p>
        </w:tc>
        <w:tc>
          <w:tcPr>
            <w:tcW w:w="0" w:type="auto"/>
            <w:tcBorders>
              <w:top w:val="nil"/>
              <w:left w:val="nil"/>
              <w:bottom w:val="nil"/>
              <w:right w:val="nil"/>
            </w:tcBorders>
            <w:shd w:val="clear"/>
            <w:noWrap/>
            <w:vAlign w:val="center"/>
          </w:tcPr>
          <w:p w14:paraId="490297E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4.3819 </w:t>
            </w:r>
          </w:p>
        </w:tc>
        <w:tc>
          <w:tcPr>
            <w:tcW w:w="0" w:type="auto"/>
            <w:tcBorders>
              <w:top w:val="nil"/>
              <w:left w:val="nil"/>
              <w:bottom w:val="nil"/>
              <w:right w:val="nil"/>
            </w:tcBorders>
            <w:shd w:val="clear"/>
            <w:noWrap/>
            <w:vAlign w:val="center"/>
          </w:tcPr>
          <w:p w14:paraId="7D8664B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0.8402 </w:t>
            </w:r>
          </w:p>
        </w:tc>
        <w:tc>
          <w:tcPr>
            <w:tcW w:w="0" w:type="auto"/>
            <w:tcBorders>
              <w:top w:val="nil"/>
              <w:left w:val="nil"/>
              <w:bottom w:val="nil"/>
              <w:right w:val="nil"/>
            </w:tcBorders>
            <w:shd w:val="clear"/>
            <w:noWrap/>
            <w:vAlign w:val="center"/>
          </w:tcPr>
          <w:p w14:paraId="72306D3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3.2527 </w:t>
            </w:r>
          </w:p>
        </w:tc>
      </w:tr>
      <w:tr w14:paraId="6FFE7E4E">
        <w:trPr>
          <w:trHeight w:val="349" w:hRule="atLeast"/>
        </w:trPr>
        <w:tc>
          <w:tcPr>
            <w:tcW w:w="0" w:type="auto"/>
            <w:tcBorders>
              <w:top w:val="nil"/>
              <w:left w:val="nil"/>
              <w:bottom w:val="nil"/>
              <w:right w:val="nil"/>
            </w:tcBorders>
            <w:shd w:val="clear"/>
            <w:noWrap/>
            <w:vAlign w:val="center"/>
          </w:tcPr>
          <w:p w14:paraId="64C5CC0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SPA + I2 (w/o I6)</w:t>
            </w:r>
          </w:p>
        </w:tc>
        <w:tc>
          <w:tcPr>
            <w:tcW w:w="0" w:type="auto"/>
            <w:tcBorders>
              <w:top w:val="nil"/>
              <w:left w:val="nil"/>
              <w:bottom w:val="nil"/>
              <w:right w:val="nil"/>
            </w:tcBorders>
            <w:shd w:val="clear"/>
            <w:noWrap/>
            <w:vAlign w:val="center"/>
          </w:tcPr>
          <w:p w14:paraId="2147BF3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29.4691 </w:t>
            </w:r>
          </w:p>
        </w:tc>
        <w:tc>
          <w:tcPr>
            <w:tcW w:w="0" w:type="auto"/>
            <w:tcBorders>
              <w:top w:val="nil"/>
              <w:left w:val="nil"/>
              <w:bottom w:val="nil"/>
              <w:right w:val="nil"/>
            </w:tcBorders>
            <w:shd w:val="clear"/>
            <w:noWrap/>
            <w:vAlign w:val="center"/>
          </w:tcPr>
          <w:p w14:paraId="20846D2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0.8920 </w:t>
            </w:r>
          </w:p>
        </w:tc>
        <w:tc>
          <w:tcPr>
            <w:tcW w:w="0" w:type="auto"/>
            <w:tcBorders>
              <w:top w:val="nil"/>
              <w:left w:val="nil"/>
              <w:bottom w:val="nil"/>
              <w:right w:val="nil"/>
            </w:tcBorders>
            <w:shd w:val="clear"/>
            <w:noWrap/>
            <w:vAlign w:val="center"/>
          </w:tcPr>
          <w:p w14:paraId="0DF323F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0.3209 </w:t>
            </w:r>
          </w:p>
        </w:tc>
        <w:tc>
          <w:tcPr>
            <w:tcW w:w="0" w:type="auto"/>
            <w:tcBorders>
              <w:top w:val="nil"/>
              <w:left w:val="nil"/>
              <w:bottom w:val="nil"/>
              <w:right w:val="nil"/>
            </w:tcBorders>
            <w:shd w:val="clear"/>
            <w:noWrap/>
            <w:vAlign w:val="center"/>
          </w:tcPr>
          <w:p w14:paraId="036458E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0.9836 </w:t>
            </w:r>
          </w:p>
        </w:tc>
        <w:tc>
          <w:tcPr>
            <w:tcW w:w="0" w:type="auto"/>
            <w:tcBorders>
              <w:top w:val="nil"/>
              <w:left w:val="nil"/>
              <w:bottom w:val="nil"/>
              <w:right w:val="nil"/>
            </w:tcBorders>
            <w:shd w:val="clear"/>
            <w:noWrap/>
            <w:vAlign w:val="center"/>
          </w:tcPr>
          <w:p w14:paraId="185B2B2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−0.4217</w:t>
            </w:r>
          </w:p>
        </w:tc>
        <w:tc>
          <w:tcPr>
            <w:tcW w:w="0" w:type="auto"/>
            <w:tcBorders>
              <w:top w:val="nil"/>
              <w:left w:val="nil"/>
              <w:bottom w:val="nil"/>
              <w:right w:val="nil"/>
            </w:tcBorders>
            <w:shd w:val="clear"/>
            <w:noWrap/>
            <w:vAlign w:val="center"/>
          </w:tcPr>
          <w:p w14:paraId="38BBFF7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−0.1456</w:t>
            </w:r>
          </w:p>
        </w:tc>
      </w:tr>
      <w:tr w14:paraId="3AFAE391">
        <w:trPr>
          <w:trHeight w:val="360" w:hRule="atLeast"/>
        </w:trPr>
        <w:tc>
          <w:tcPr>
            <w:tcW w:w="0" w:type="auto"/>
            <w:tcBorders>
              <w:top w:val="nil"/>
              <w:left w:val="nil"/>
              <w:bottom w:val="single" w:color="000000" w:sz="4" w:space="0"/>
              <w:right w:val="nil"/>
            </w:tcBorders>
            <w:shd w:val="clear"/>
            <w:noWrap/>
            <w:vAlign w:val="center"/>
          </w:tcPr>
          <w:p w14:paraId="6EDFF0D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SPA only (w/o I2/I6)</w:t>
            </w:r>
          </w:p>
        </w:tc>
        <w:tc>
          <w:tcPr>
            <w:tcW w:w="0" w:type="auto"/>
            <w:tcBorders>
              <w:top w:val="nil"/>
              <w:left w:val="nil"/>
              <w:bottom w:val="single" w:color="000000" w:sz="4" w:space="0"/>
              <w:right w:val="nil"/>
            </w:tcBorders>
            <w:shd w:val="clear"/>
            <w:noWrap/>
            <w:vAlign w:val="center"/>
          </w:tcPr>
          <w:p w14:paraId="6D0334E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29.7623 </w:t>
            </w:r>
          </w:p>
        </w:tc>
        <w:tc>
          <w:tcPr>
            <w:tcW w:w="0" w:type="auto"/>
            <w:tcBorders>
              <w:top w:val="nil"/>
              <w:left w:val="nil"/>
              <w:bottom w:val="single" w:color="000000" w:sz="4" w:space="0"/>
              <w:right w:val="nil"/>
            </w:tcBorders>
            <w:shd w:val="clear"/>
            <w:noWrap/>
            <w:vAlign w:val="center"/>
          </w:tcPr>
          <w:p w14:paraId="0B983B8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0.8940 </w:t>
            </w:r>
          </w:p>
        </w:tc>
        <w:tc>
          <w:tcPr>
            <w:tcW w:w="0" w:type="auto"/>
            <w:tcBorders>
              <w:top w:val="nil"/>
              <w:left w:val="nil"/>
              <w:bottom w:val="single" w:color="000000" w:sz="4" w:space="0"/>
              <w:right w:val="nil"/>
            </w:tcBorders>
            <w:shd w:val="clear"/>
            <w:noWrap/>
            <w:vAlign w:val="center"/>
          </w:tcPr>
          <w:p w14:paraId="3CFC465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0.3162 </w:t>
            </w:r>
          </w:p>
        </w:tc>
        <w:tc>
          <w:tcPr>
            <w:tcW w:w="0" w:type="auto"/>
            <w:tcBorders>
              <w:top w:val="nil"/>
              <w:left w:val="nil"/>
              <w:bottom w:val="single" w:color="000000" w:sz="4" w:space="0"/>
              <w:right w:val="nil"/>
            </w:tcBorders>
            <w:shd w:val="clear"/>
            <w:noWrap/>
            <w:vAlign w:val="center"/>
          </w:tcPr>
          <w:p w14:paraId="06358C0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1.0083 </w:t>
            </w:r>
          </w:p>
        </w:tc>
        <w:tc>
          <w:tcPr>
            <w:tcW w:w="0" w:type="auto"/>
            <w:tcBorders>
              <w:top w:val="nil"/>
              <w:left w:val="nil"/>
              <w:bottom w:val="single" w:color="000000" w:sz="4" w:space="0"/>
              <w:right w:val="nil"/>
            </w:tcBorders>
            <w:shd w:val="clear"/>
            <w:noWrap/>
            <w:vAlign w:val="center"/>
          </w:tcPr>
          <w:p w14:paraId="03CECD6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−0.1285</w:t>
            </w:r>
          </w:p>
        </w:tc>
        <w:tc>
          <w:tcPr>
            <w:tcW w:w="0" w:type="auto"/>
            <w:tcBorders>
              <w:top w:val="nil"/>
              <w:left w:val="nil"/>
              <w:bottom w:val="single" w:color="000000" w:sz="4" w:space="0"/>
              <w:right w:val="nil"/>
            </w:tcBorders>
            <w:shd w:val="clear"/>
            <w:noWrap/>
            <w:vAlign w:val="center"/>
          </w:tcPr>
          <w:p w14:paraId="38029BD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−0.1209</w:t>
            </w:r>
          </w:p>
        </w:tc>
      </w:tr>
    </w:tbl>
    <w:p w14:paraId="0940AB9C">
      <w:pPr>
        <w:keepNext w:val="0"/>
        <w:keepLines w:val="0"/>
        <w:widowControl/>
        <w:suppressLineNumbers w:val="0"/>
        <w:jc w:val="left"/>
      </w:pPr>
    </w:p>
    <w:p w14:paraId="44620FED">
      <w:pPr>
        <w:pStyle w:val="15"/>
        <w:keepNext w:val="0"/>
        <w:keepLines w:val="0"/>
        <w:widowControl/>
        <w:suppressLineNumbers w:val="0"/>
        <w:shd w:val="clear" w:fill="FFFFFF"/>
        <w:spacing w:before="0" w:beforeAutospacing="0" w:after="0" w:afterAutospacing="0"/>
        <w:ind w:left="0" w:right="0" w:firstLine="0"/>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Enabling SPA is the dominant rate-reduction factor: it reduces the decoded payload from approximately 4.38 MB to 1.13 MB (≈74%) at a cost of 0.84 dB PSNR, and this behavior is consistent across all I2/I6 configurations. Within the SPA regime, I6 remains clearly beneficial: the full model outperforms SPA without I6 by 0.42 dB PSNR, albeit at a modest rate increase of 0.15 MB. In the non-SPA regime, I6 also improves PSNR by 0.064 dB while slightly decreasing rate, confirming its positive contribution independent of SPA.</w:t>
      </w:r>
    </w:p>
    <w:p w14:paraId="5E7465D6">
      <w:pPr>
        <w:pStyle w:val="15"/>
        <w:keepNext w:val="0"/>
        <w:keepLines w:val="0"/>
        <w:widowControl/>
        <w:suppressLineNumbers w:val="0"/>
        <w:shd w:val="clear" w:fill="FFFFFF"/>
        <w:spacing w:before="0" w:beforeAutospacing="1" w:after="0" w:afterAutospacing="1"/>
        <w:ind w:left="0" w:right="0" w:firstLine="0"/>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The effect of I2 is more nuanced and configuration-dependent. Without SPA, enabling the I2+I6 combination yields essentially no PSNR change (+0.002 dB) with a small rate reduction, indicating that I2 alone contributes little on this scene. With SPA, the full model is 0.13 dB better than the SPA-only baseline, but the SPA+I2 (w/o I6) variant is 0.29 dB worse than SPA-only, revealing a strong interaction between I2 and I6 in the low-rate regime. This suggests that I2 should be reported jointly with I6, and that isolated I2 conclusions should be avoided in the low-rate SPA operating point.</w:t>
      </w:r>
    </w:p>
    <w:p w14:paraId="43CD5EB1">
      <w:pPr>
        <w:keepNext w:val="0"/>
        <w:keepLines w:val="0"/>
        <w:widowControl/>
        <w:suppressLineNumbers w:val="0"/>
        <w:jc w:val="center"/>
        <w:rPr>
          <w:rFonts w:hint="eastAsia"/>
          <w:lang w:val="en-US" w:eastAsia="zh-CN"/>
        </w:rPr>
      </w:pPr>
      <w:r>
        <w:rPr>
          <w:rFonts w:hint="default" w:ascii="Times New Roman" w:hAnsi="Times New Roman" w:eastAsia="宋体" w:cs="Times New Roman"/>
          <w:kern w:val="0"/>
          <w:sz w:val="24"/>
          <w:szCs w:val="24"/>
          <w:lang w:val="en-US" w:eastAsia="zh-CN" w:bidi="ar"/>
        </w:rPr>
        <w:t>.</w:t>
      </w:r>
    </w:p>
    <w:p w14:paraId="1EEF4BBC">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64B071EC">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Table 4 provides a field-level breakdown of the decode-required payload. Attribute fields—feature, scaling, and offsets—together account for about 82.8% of the total size, confirming that the bit budget is concentrated on content-carrying attributes, while hash parameters and bounds/header overhead account for less than 0.5% in total, indicating highly efficient bit allocation. MLP weights account for only 5.9% under the 32-bit accounting convention; after applying the 16/8-bit mixed-precision quantization and charging the actual compressed payload, the decode-required size is further reduced from 5.65 MB to 5.49 MB without introducing any side information, yielding additional compression gains from model quantization.</w:t>
      </w:r>
    </w:p>
    <w:p w14:paraId="68ADCD4D">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7908BF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Times New Roman" w:hAnsi="Times New Roman" w:eastAsia="sans-serif" w:cs="Times New Roman"/>
          <w:b/>
          <w:bCs/>
          <w:i w:val="0"/>
          <w:iCs w:val="0"/>
          <w:caps w:val="0"/>
          <w:spacing w:val="0"/>
          <w:bdr w:val="none" w:color="auto" w:sz="0" w:space="0"/>
          <w:shd w:val="clear" w:fill="FFFFFF"/>
        </w:rPr>
      </w:pPr>
      <w:r>
        <w:rPr>
          <w:rFonts w:hint="default" w:ascii="Times New Roman" w:hAnsi="Times New Roman" w:eastAsia="sans-serif" w:cs="Times New Roman"/>
          <w:b/>
          <w:bCs/>
          <w:i w:val="0"/>
          <w:iCs w:val="0"/>
          <w:caps w:val="0"/>
          <w:spacing w:val="0"/>
          <w:bdr w:val="none" w:color="auto" w:sz="0" w:space="0"/>
          <w:shd w:val="clear" w:fill="FFFFFF"/>
        </w:rPr>
        <w:t>3.5 Bitstream Composition Analysis</w:t>
      </w:r>
    </w:p>
    <w:p w14:paraId="6CCEBF8C">
      <w:pPr>
        <w:keepNext w:val="0"/>
        <w:keepLines w:val="0"/>
        <w:widowControl/>
        <w:suppressLineNumbers w:val="0"/>
        <w:jc w:val="center"/>
        <w:rPr>
          <w:rFonts w:hint="default" w:ascii="Times New Roman" w:hAnsi="Times New Roman" w:cs="Times New Roman"/>
          <w:b/>
          <w:lang w:val="en-US" w:eastAsia="zh-CN"/>
        </w:rPr>
      </w:pPr>
      <w:r>
        <w:rPr>
          <w:rFonts w:hint="default" w:ascii="Times New Roman" w:hAnsi="Times New Roman" w:eastAsia="sans-serif" w:cs="Times New Roman"/>
          <w:b w:val="0"/>
          <w:bCs w:val="0"/>
          <w:i w:val="0"/>
          <w:iCs w:val="0"/>
          <w:caps w:val="0"/>
          <w:color w:val="000000"/>
          <w:spacing w:val="0"/>
          <w:kern w:val="0"/>
          <w:sz w:val="24"/>
          <w:szCs w:val="24"/>
          <w:lang w:val="en-US" w:eastAsia="zh-CN" w:bidi="ar"/>
        </w:rPr>
        <w:t>Table 5.</w:t>
      </w:r>
      <w:r>
        <w:rPr>
          <w:rFonts w:hint="default" w:ascii="Times New Roman" w:hAnsi="Times New Roman" w:eastAsia="sans-serif" w:cs="Times New Roman"/>
          <w:b w:val="0"/>
          <w:bCs w:val="0"/>
          <w:i w:val="0"/>
          <w:iCs w:val="0"/>
          <w:caps w:val="0"/>
          <w:color w:val="0E0E0E"/>
          <w:spacing w:val="0"/>
          <w:kern w:val="0"/>
          <w:sz w:val="24"/>
          <w:szCs w:val="24"/>
          <w:lang w:val="en-US" w:eastAsia="zh-CN" w:bidi="ar"/>
        </w:rPr>
        <w:t xml:space="preserve"> Field-level breakdown of the decode-required payload on the 4-28 scene (110k iterations).</w:t>
      </w:r>
    </w:p>
    <w:tbl>
      <w:tblPr>
        <w:tblW w:w="819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588"/>
        <w:gridCol w:w="1848"/>
        <w:gridCol w:w="1344"/>
        <w:gridCol w:w="1418"/>
      </w:tblGrid>
      <w:tr w14:paraId="56867A2B">
        <w:trPr>
          <w:trHeight w:val="336" w:hRule="atLeast"/>
        </w:trPr>
        <w:tc>
          <w:tcPr>
            <w:tcW w:w="3588" w:type="dxa"/>
            <w:tcBorders>
              <w:top w:val="single" w:color="000000" w:sz="4" w:space="0"/>
              <w:left w:val="nil"/>
              <w:bottom w:val="single" w:color="000000" w:sz="4" w:space="0"/>
              <w:right w:val="nil"/>
            </w:tcBorders>
            <w:shd w:val="clear"/>
            <w:noWrap/>
            <w:vAlign w:val="center"/>
          </w:tcPr>
          <w:p w14:paraId="3F356F3F">
            <w:pPr>
              <w:keepNext w:val="0"/>
              <w:keepLines w:val="0"/>
              <w:widowControl/>
              <w:suppressLineNumbers w:val="0"/>
              <w:jc w:val="center"/>
              <w:textAlignment w:val="center"/>
              <w:rPr>
                <w:rFonts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Field</w:t>
            </w:r>
          </w:p>
        </w:tc>
        <w:tc>
          <w:tcPr>
            <w:tcW w:w="1848" w:type="dxa"/>
            <w:tcBorders>
              <w:top w:val="single" w:color="000000" w:sz="4" w:space="0"/>
              <w:left w:val="nil"/>
              <w:bottom w:val="single" w:color="000000" w:sz="4" w:space="0"/>
              <w:right w:val="nil"/>
            </w:tcBorders>
            <w:shd w:val="clear"/>
            <w:noWrap/>
            <w:vAlign w:val="center"/>
          </w:tcPr>
          <w:p w14:paraId="2212FF7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Bits</w:t>
            </w:r>
          </w:p>
        </w:tc>
        <w:tc>
          <w:tcPr>
            <w:tcW w:w="1344" w:type="dxa"/>
            <w:tcBorders>
              <w:top w:val="single" w:color="000000" w:sz="4" w:space="0"/>
              <w:left w:val="nil"/>
              <w:bottom w:val="single" w:color="000000" w:sz="4" w:space="0"/>
              <w:right w:val="nil"/>
            </w:tcBorders>
            <w:shd w:val="clear"/>
            <w:noWrap/>
            <w:vAlign w:val="center"/>
          </w:tcPr>
          <w:p w14:paraId="509E5BB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MiB</w:t>
            </w:r>
          </w:p>
        </w:tc>
        <w:tc>
          <w:tcPr>
            <w:tcW w:w="1418" w:type="dxa"/>
            <w:tcBorders>
              <w:top w:val="single" w:color="000000" w:sz="4" w:space="0"/>
              <w:left w:val="nil"/>
              <w:bottom w:val="single" w:color="000000" w:sz="4" w:space="0"/>
              <w:right w:val="nil"/>
            </w:tcBorders>
            <w:shd w:val="clear"/>
            <w:noWrap/>
            <w:vAlign w:val="center"/>
          </w:tcPr>
          <w:p w14:paraId="5896E09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Share</w:t>
            </w:r>
          </w:p>
        </w:tc>
      </w:tr>
      <w:tr w14:paraId="38134934">
        <w:trPr>
          <w:trHeight w:val="336" w:hRule="atLeast"/>
        </w:trPr>
        <w:tc>
          <w:tcPr>
            <w:tcW w:w="0" w:type="auto"/>
            <w:tcBorders>
              <w:top w:val="nil"/>
              <w:left w:val="nil"/>
              <w:bottom w:val="nil"/>
              <w:right w:val="nil"/>
            </w:tcBorders>
            <w:shd w:val="clear"/>
            <w:noWrap/>
            <w:vAlign w:val="center"/>
          </w:tcPr>
          <w:p w14:paraId="04F396D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Feature</w:t>
            </w:r>
          </w:p>
        </w:tc>
        <w:tc>
          <w:tcPr>
            <w:tcW w:w="0" w:type="auto"/>
            <w:tcBorders>
              <w:top w:val="nil"/>
              <w:left w:val="nil"/>
              <w:bottom w:val="nil"/>
              <w:right w:val="nil"/>
            </w:tcBorders>
            <w:shd w:val="clear"/>
            <w:noWrap/>
            <w:vAlign w:val="center"/>
          </w:tcPr>
          <w:p w14:paraId="7564560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23953808</w:t>
            </w:r>
          </w:p>
        </w:tc>
        <w:tc>
          <w:tcPr>
            <w:tcW w:w="0" w:type="auto"/>
            <w:tcBorders>
              <w:top w:val="nil"/>
              <w:left w:val="nil"/>
              <w:bottom w:val="nil"/>
              <w:right w:val="nil"/>
            </w:tcBorders>
            <w:shd w:val="clear"/>
            <w:noWrap/>
            <w:vAlign w:val="center"/>
          </w:tcPr>
          <w:p w14:paraId="35DC9D5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2.8558</w:t>
            </w:r>
          </w:p>
        </w:tc>
        <w:tc>
          <w:tcPr>
            <w:tcW w:w="0" w:type="auto"/>
            <w:tcBorders>
              <w:top w:val="nil"/>
              <w:left w:val="nil"/>
              <w:bottom w:val="nil"/>
              <w:right w:val="nil"/>
            </w:tcBorders>
            <w:shd w:val="clear"/>
            <w:noWrap/>
            <w:vAlign w:val="center"/>
          </w:tcPr>
          <w:p w14:paraId="50DE0BB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50.60%</w:t>
            </w:r>
          </w:p>
        </w:tc>
      </w:tr>
      <w:tr w14:paraId="4F867F9F">
        <w:trPr>
          <w:trHeight w:val="336" w:hRule="atLeast"/>
        </w:trPr>
        <w:tc>
          <w:tcPr>
            <w:tcW w:w="0" w:type="auto"/>
            <w:tcBorders>
              <w:top w:val="nil"/>
              <w:left w:val="nil"/>
              <w:bottom w:val="nil"/>
              <w:right w:val="nil"/>
            </w:tcBorders>
            <w:shd w:val="clear"/>
            <w:noWrap/>
            <w:vAlign w:val="center"/>
          </w:tcPr>
          <w:p w14:paraId="2AB7594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Scaling</w:t>
            </w:r>
          </w:p>
        </w:tc>
        <w:tc>
          <w:tcPr>
            <w:tcW w:w="0" w:type="auto"/>
            <w:tcBorders>
              <w:top w:val="nil"/>
              <w:left w:val="nil"/>
              <w:bottom w:val="nil"/>
              <w:right w:val="nil"/>
            </w:tcBorders>
            <w:shd w:val="clear"/>
            <w:noWrap/>
            <w:vAlign w:val="center"/>
          </w:tcPr>
          <w:p w14:paraId="50876675">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9480704</w:t>
            </w:r>
          </w:p>
        </w:tc>
        <w:tc>
          <w:tcPr>
            <w:tcW w:w="0" w:type="auto"/>
            <w:tcBorders>
              <w:top w:val="nil"/>
              <w:left w:val="nil"/>
              <w:bottom w:val="nil"/>
              <w:right w:val="nil"/>
            </w:tcBorders>
            <w:shd w:val="clear"/>
            <w:noWrap/>
            <w:vAlign w:val="center"/>
          </w:tcPr>
          <w:p w14:paraId="4FA5A4A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1.1304</w:t>
            </w:r>
          </w:p>
        </w:tc>
        <w:tc>
          <w:tcPr>
            <w:tcW w:w="0" w:type="auto"/>
            <w:tcBorders>
              <w:top w:val="nil"/>
              <w:left w:val="nil"/>
              <w:bottom w:val="nil"/>
              <w:right w:val="nil"/>
            </w:tcBorders>
            <w:shd w:val="clear"/>
            <w:noWrap/>
            <w:vAlign w:val="center"/>
          </w:tcPr>
          <w:p w14:paraId="185C776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20.00%</w:t>
            </w:r>
          </w:p>
        </w:tc>
      </w:tr>
      <w:tr w14:paraId="1368A6B0">
        <w:trPr>
          <w:trHeight w:val="336" w:hRule="atLeast"/>
        </w:trPr>
        <w:tc>
          <w:tcPr>
            <w:tcW w:w="0" w:type="auto"/>
            <w:tcBorders>
              <w:top w:val="nil"/>
              <w:left w:val="nil"/>
              <w:bottom w:val="nil"/>
              <w:right w:val="nil"/>
            </w:tcBorders>
            <w:shd w:val="clear"/>
            <w:noWrap/>
            <w:vAlign w:val="center"/>
          </w:tcPr>
          <w:p w14:paraId="7E1F524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Offsets</w:t>
            </w:r>
          </w:p>
        </w:tc>
        <w:tc>
          <w:tcPr>
            <w:tcW w:w="0" w:type="auto"/>
            <w:tcBorders>
              <w:top w:val="nil"/>
              <w:left w:val="nil"/>
              <w:bottom w:val="nil"/>
              <w:right w:val="nil"/>
            </w:tcBorders>
            <w:shd w:val="clear"/>
            <w:noWrap/>
            <w:vAlign w:val="center"/>
          </w:tcPr>
          <w:p w14:paraId="0C82A53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5759376</w:t>
            </w:r>
          </w:p>
        </w:tc>
        <w:tc>
          <w:tcPr>
            <w:tcW w:w="0" w:type="auto"/>
            <w:tcBorders>
              <w:top w:val="nil"/>
              <w:left w:val="nil"/>
              <w:bottom w:val="nil"/>
              <w:right w:val="nil"/>
            </w:tcBorders>
            <w:shd w:val="clear"/>
            <w:noWrap/>
            <w:vAlign w:val="center"/>
          </w:tcPr>
          <w:p w14:paraId="3F9E96D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0.6868</w:t>
            </w:r>
          </w:p>
        </w:tc>
        <w:tc>
          <w:tcPr>
            <w:tcW w:w="0" w:type="auto"/>
            <w:tcBorders>
              <w:top w:val="nil"/>
              <w:left w:val="nil"/>
              <w:bottom w:val="nil"/>
              <w:right w:val="nil"/>
            </w:tcBorders>
            <w:shd w:val="clear"/>
            <w:noWrap/>
            <w:vAlign w:val="center"/>
          </w:tcPr>
          <w:p w14:paraId="71838F1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12.20%</w:t>
            </w:r>
          </w:p>
        </w:tc>
      </w:tr>
      <w:tr w14:paraId="3EF1FC8B">
        <w:trPr>
          <w:trHeight w:val="336" w:hRule="atLeast"/>
        </w:trPr>
        <w:tc>
          <w:tcPr>
            <w:tcW w:w="0" w:type="auto"/>
            <w:tcBorders>
              <w:top w:val="nil"/>
              <w:left w:val="nil"/>
              <w:bottom w:val="nil"/>
              <w:right w:val="nil"/>
            </w:tcBorders>
            <w:shd w:val="clear"/>
            <w:noWrap/>
            <w:vAlign w:val="center"/>
          </w:tcPr>
          <w:p w14:paraId="0557C3CC">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Anchor geometry </w:t>
            </w:r>
          </w:p>
        </w:tc>
        <w:tc>
          <w:tcPr>
            <w:tcW w:w="0" w:type="auto"/>
            <w:tcBorders>
              <w:top w:val="nil"/>
              <w:left w:val="nil"/>
              <w:bottom w:val="nil"/>
              <w:right w:val="nil"/>
            </w:tcBorders>
            <w:shd w:val="clear"/>
            <w:noWrap/>
            <w:vAlign w:val="center"/>
          </w:tcPr>
          <w:p w14:paraId="6A01D91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3768632</w:t>
            </w:r>
          </w:p>
        </w:tc>
        <w:tc>
          <w:tcPr>
            <w:tcW w:w="0" w:type="auto"/>
            <w:tcBorders>
              <w:top w:val="nil"/>
              <w:left w:val="nil"/>
              <w:bottom w:val="nil"/>
              <w:right w:val="nil"/>
            </w:tcBorders>
            <w:shd w:val="clear"/>
            <w:noWrap/>
            <w:vAlign w:val="center"/>
          </w:tcPr>
          <w:p w14:paraId="481C8C3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0.4494</w:t>
            </w:r>
          </w:p>
        </w:tc>
        <w:tc>
          <w:tcPr>
            <w:tcW w:w="0" w:type="auto"/>
            <w:tcBorders>
              <w:top w:val="nil"/>
              <w:left w:val="nil"/>
              <w:bottom w:val="nil"/>
              <w:right w:val="nil"/>
            </w:tcBorders>
            <w:shd w:val="clear"/>
            <w:noWrap/>
            <w:vAlign w:val="center"/>
          </w:tcPr>
          <w:p w14:paraId="59E34EB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8.00%</w:t>
            </w:r>
          </w:p>
        </w:tc>
      </w:tr>
      <w:tr w14:paraId="03B0376E">
        <w:trPr>
          <w:trHeight w:val="336" w:hRule="atLeast"/>
        </w:trPr>
        <w:tc>
          <w:tcPr>
            <w:tcW w:w="0" w:type="auto"/>
            <w:tcBorders>
              <w:top w:val="nil"/>
              <w:left w:val="nil"/>
              <w:bottom w:val="nil"/>
              <w:right w:val="nil"/>
            </w:tcBorders>
            <w:shd w:val="clear"/>
            <w:noWrap/>
            <w:vAlign w:val="center"/>
          </w:tcPr>
          <w:p w14:paraId="2949188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MLP weights (32-bit)</w:t>
            </w:r>
          </w:p>
        </w:tc>
        <w:tc>
          <w:tcPr>
            <w:tcW w:w="0" w:type="auto"/>
            <w:tcBorders>
              <w:top w:val="nil"/>
              <w:left w:val="nil"/>
              <w:bottom w:val="nil"/>
              <w:right w:val="nil"/>
            </w:tcBorders>
            <w:shd w:val="clear"/>
            <w:noWrap/>
            <w:vAlign w:val="center"/>
          </w:tcPr>
          <w:p w14:paraId="22DB8FD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2784704</w:t>
            </w:r>
          </w:p>
        </w:tc>
        <w:tc>
          <w:tcPr>
            <w:tcW w:w="0" w:type="auto"/>
            <w:tcBorders>
              <w:top w:val="nil"/>
              <w:left w:val="nil"/>
              <w:bottom w:val="nil"/>
              <w:right w:val="nil"/>
            </w:tcBorders>
            <w:shd w:val="clear"/>
            <w:noWrap/>
            <w:vAlign w:val="center"/>
          </w:tcPr>
          <w:p w14:paraId="129694C1">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0.332</w:t>
            </w:r>
          </w:p>
        </w:tc>
        <w:tc>
          <w:tcPr>
            <w:tcW w:w="0" w:type="auto"/>
            <w:tcBorders>
              <w:top w:val="nil"/>
              <w:left w:val="nil"/>
              <w:bottom w:val="nil"/>
              <w:right w:val="nil"/>
            </w:tcBorders>
            <w:shd w:val="clear"/>
            <w:noWrap/>
            <w:vAlign w:val="center"/>
          </w:tcPr>
          <w:p w14:paraId="62D5714D">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5.90%</w:t>
            </w:r>
          </w:p>
        </w:tc>
      </w:tr>
      <w:tr w14:paraId="05339EF1">
        <w:trPr>
          <w:trHeight w:val="336" w:hRule="atLeast"/>
        </w:trPr>
        <w:tc>
          <w:tcPr>
            <w:tcW w:w="0" w:type="auto"/>
            <w:tcBorders>
              <w:top w:val="nil"/>
              <w:left w:val="nil"/>
              <w:bottom w:val="nil"/>
              <w:right w:val="nil"/>
            </w:tcBorders>
            <w:shd w:val="clear"/>
            <w:noWrap/>
            <w:vAlign w:val="center"/>
          </w:tcPr>
          <w:p w14:paraId="1BA6B0D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Masks</w:t>
            </w:r>
          </w:p>
        </w:tc>
        <w:tc>
          <w:tcPr>
            <w:tcW w:w="0" w:type="auto"/>
            <w:tcBorders>
              <w:top w:val="nil"/>
              <w:left w:val="nil"/>
              <w:bottom w:val="nil"/>
              <w:right w:val="nil"/>
            </w:tcBorders>
            <w:shd w:val="clear"/>
            <w:noWrap/>
            <w:vAlign w:val="center"/>
          </w:tcPr>
          <w:p w14:paraId="510A61E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1402480</w:t>
            </w:r>
          </w:p>
        </w:tc>
        <w:tc>
          <w:tcPr>
            <w:tcW w:w="0" w:type="auto"/>
            <w:tcBorders>
              <w:top w:val="nil"/>
              <w:left w:val="nil"/>
              <w:bottom w:val="nil"/>
              <w:right w:val="nil"/>
            </w:tcBorders>
            <w:shd w:val="clear"/>
            <w:noWrap/>
            <w:vAlign w:val="center"/>
          </w:tcPr>
          <w:p w14:paraId="667F24D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0.1672</w:t>
            </w:r>
          </w:p>
        </w:tc>
        <w:tc>
          <w:tcPr>
            <w:tcW w:w="0" w:type="auto"/>
            <w:tcBorders>
              <w:top w:val="nil"/>
              <w:left w:val="nil"/>
              <w:bottom w:val="nil"/>
              <w:right w:val="nil"/>
            </w:tcBorders>
            <w:shd w:val="clear"/>
            <w:noWrap/>
            <w:vAlign w:val="center"/>
          </w:tcPr>
          <w:p w14:paraId="266A6BE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3.00%</w:t>
            </w:r>
          </w:p>
        </w:tc>
      </w:tr>
      <w:tr w14:paraId="3A2D2D43">
        <w:trPr>
          <w:trHeight w:val="336" w:hRule="atLeast"/>
        </w:trPr>
        <w:tc>
          <w:tcPr>
            <w:tcW w:w="0" w:type="auto"/>
            <w:tcBorders>
              <w:top w:val="nil"/>
              <w:left w:val="nil"/>
              <w:bottom w:val="nil"/>
              <w:right w:val="nil"/>
            </w:tcBorders>
            <w:shd w:val="clear"/>
            <w:noWrap/>
            <w:vAlign w:val="center"/>
          </w:tcPr>
          <w:p w14:paraId="2DA973F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Hash parameters</w:t>
            </w:r>
          </w:p>
        </w:tc>
        <w:tc>
          <w:tcPr>
            <w:tcW w:w="0" w:type="auto"/>
            <w:tcBorders>
              <w:top w:val="nil"/>
              <w:left w:val="nil"/>
              <w:bottom w:val="nil"/>
              <w:right w:val="nil"/>
            </w:tcBorders>
            <w:shd w:val="clear"/>
            <w:noWrap/>
            <w:vAlign w:val="center"/>
          </w:tcPr>
          <w:p w14:paraId="1BA1E34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213224</w:t>
            </w:r>
          </w:p>
        </w:tc>
        <w:tc>
          <w:tcPr>
            <w:tcW w:w="0" w:type="auto"/>
            <w:tcBorders>
              <w:top w:val="nil"/>
              <w:left w:val="nil"/>
              <w:bottom w:val="nil"/>
              <w:right w:val="nil"/>
            </w:tcBorders>
            <w:shd w:val="clear"/>
            <w:noWrap/>
            <w:vAlign w:val="center"/>
          </w:tcPr>
          <w:p w14:paraId="42F322F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0.0254</w:t>
            </w:r>
          </w:p>
        </w:tc>
        <w:tc>
          <w:tcPr>
            <w:tcW w:w="0" w:type="auto"/>
            <w:tcBorders>
              <w:top w:val="nil"/>
              <w:left w:val="nil"/>
              <w:bottom w:val="nil"/>
              <w:right w:val="nil"/>
            </w:tcBorders>
            <w:shd w:val="clear"/>
            <w:noWrap/>
            <w:vAlign w:val="center"/>
          </w:tcPr>
          <w:p w14:paraId="147CAFCB">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0.45%</w:t>
            </w:r>
          </w:p>
        </w:tc>
      </w:tr>
      <w:tr w14:paraId="71E7DF9A">
        <w:trPr>
          <w:trHeight w:val="336" w:hRule="atLeast"/>
        </w:trPr>
        <w:tc>
          <w:tcPr>
            <w:tcW w:w="0" w:type="auto"/>
            <w:tcBorders>
              <w:top w:val="nil"/>
              <w:left w:val="nil"/>
              <w:bottom w:val="nil"/>
              <w:right w:val="nil"/>
            </w:tcBorders>
            <w:shd w:val="clear"/>
            <w:noWrap/>
            <w:vAlign w:val="center"/>
          </w:tcPr>
          <w:p w14:paraId="610ECA2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Bounds + header</w:t>
            </w:r>
          </w:p>
        </w:tc>
        <w:tc>
          <w:tcPr>
            <w:tcW w:w="0" w:type="auto"/>
            <w:tcBorders>
              <w:top w:val="nil"/>
              <w:left w:val="nil"/>
              <w:bottom w:val="nil"/>
              <w:right w:val="nil"/>
            </w:tcBorders>
            <w:shd w:val="clear"/>
            <w:noWrap/>
            <w:vAlign w:val="center"/>
          </w:tcPr>
          <w:p w14:paraId="0CD9F48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7,872+192</w:t>
            </w:r>
          </w:p>
        </w:tc>
        <w:tc>
          <w:tcPr>
            <w:tcW w:w="0" w:type="auto"/>
            <w:tcBorders>
              <w:top w:val="nil"/>
              <w:left w:val="nil"/>
              <w:bottom w:val="nil"/>
              <w:right w:val="nil"/>
            </w:tcBorders>
            <w:shd w:val="clear"/>
            <w:noWrap/>
            <w:vAlign w:val="center"/>
          </w:tcPr>
          <w:p w14:paraId="4BDD073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0.001</w:t>
            </w:r>
          </w:p>
        </w:tc>
        <w:tc>
          <w:tcPr>
            <w:tcW w:w="0" w:type="auto"/>
            <w:tcBorders>
              <w:top w:val="nil"/>
              <w:left w:val="nil"/>
              <w:bottom w:val="nil"/>
              <w:right w:val="nil"/>
            </w:tcBorders>
            <w:shd w:val="clear"/>
            <w:noWrap/>
            <w:vAlign w:val="center"/>
          </w:tcPr>
          <w:p w14:paraId="7D30FD34">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0.02%</w:t>
            </w:r>
          </w:p>
        </w:tc>
      </w:tr>
      <w:tr w14:paraId="29EF5F66">
        <w:trPr>
          <w:trHeight w:val="336" w:hRule="atLeast"/>
        </w:trPr>
        <w:tc>
          <w:tcPr>
            <w:tcW w:w="0" w:type="auto"/>
            <w:tcBorders>
              <w:top w:val="nil"/>
              <w:left w:val="nil"/>
              <w:bottom w:val="single" w:color="000000" w:sz="4" w:space="0"/>
              <w:right w:val="nil"/>
            </w:tcBorders>
            <w:shd w:val="clear"/>
            <w:noWrap/>
            <w:vAlign w:val="center"/>
          </w:tcPr>
          <w:p w14:paraId="5E2023C6">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Total</w:t>
            </w:r>
          </w:p>
        </w:tc>
        <w:tc>
          <w:tcPr>
            <w:tcW w:w="0" w:type="auto"/>
            <w:tcBorders>
              <w:top w:val="nil"/>
              <w:left w:val="nil"/>
              <w:bottom w:val="single" w:color="000000" w:sz="4" w:space="0"/>
              <w:right w:val="nil"/>
            </w:tcBorders>
            <w:shd w:val="clear"/>
            <w:noWrap/>
            <w:vAlign w:val="center"/>
          </w:tcPr>
          <w:p w14:paraId="5E85586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47370992</w:t>
            </w:r>
          </w:p>
        </w:tc>
        <w:tc>
          <w:tcPr>
            <w:tcW w:w="0" w:type="auto"/>
            <w:tcBorders>
              <w:top w:val="nil"/>
              <w:left w:val="nil"/>
              <w:bottom w:val="single" w:color="000000" w:sz="4" w:space="0"/>
              <w:right w:val="nil"/>
            </w:tcBorders>
            <w:shd w:val="clear"/>
            <w:noWrap/>
            <w:vAlign w:val="center"/>
          </w:tcPr>
          <w:p w14:paraId="6FCDD73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5.6471</w:t>
            </w:r>
          </w:p>
        </w:tc>
        <w:tc>
          <w:tcPr>
            <w:tcW w:w="0" w:type="auto"/>
            <w:tcBorders>
              <w:top w:val="nil"/>
              <w:left w:val="nil"/>
              <w:bottom w:val="single" w:color="000000" w:sz="4" w:space="0"/>
              <w:right w:val="nil"/>
            </w:tcBorders>
            <w:shd w:val="clear"/>
            <w:noWrap/>
            <w:vAlign w:val="center"/>
          </w:tcPr>
          <w:p w14:paraId="18445800">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w:t>
            </w:r>
          </w:p>
        </w:tc>
      </w:tr>
    </w:tbl>
    <w:p w14:paraId="6EE5D3B9">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15BBD8F6">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389279BC">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Table 5 provides a field-level breakdown of the decode-required payload. Attribute fields—feature, scaling, and offsets—together account for about 82.8% of the total size, confirming that the bit budget is concentrated on content-carrying attributes, while hash parameters and bounds/header overhead account for less than 0.5% in total, indicating highly efficient bit allocation. MLP weights account for only 5.9% under the 32-bit accounting convention; after applying the 16/8-bit mixed-precision quantization and charging the actual compressed payload, the decode-required size is further reduced from 5.65 MB to 5.49 MB without introducing any side information, yielding additional compression gains from model quantization.</w:t>
      </w:r>
    </w:p>
    <w:p w14:paraId="114EDC01">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3D573346">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461AA7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Times New Roman Bold" w:hAnsi="Times New Roman Bold" w:eastAsia="sans-serif" w:cs="Times New Roman Bold"/>
          <w:b/>
          <w:bCs w:val="0"/>
          <w:i w:val="0"/>
          <w:iCs w:val="0"/>
          <w:caps w:val="0"/>
          <w:spacing w:val="0"/>
        </w:rPr>
      </w:pPr>
      <w:r>
        <w:rPr>
          <w:rFonts w:hint="eastAsia" w:ascii="Times New Roman Bold" w:hAnsi="Times New Roman Bold" w:eastAsia="sans-serif" w:cs="Times New Roman Bold"/>
          <w:b/>
          <w:bCs w:val="0"/>
          <w:i w:val="0"/>
          <w:iCs w:val="0"/>
          <w:caps w:val="0"/>
          <w:spacing w:val="0"/>
          <w:bdr w:val="none" w:color="auto" w:sz="0" w:space="0"/>
          <w:shd w:val="clear" w:fill="FFFFFF"/>
          <w:lang w:val="en-US" w:eastAsia="zh-CN"/>
        </w:rPr>
        <w:t>4.</w:t>
      </w:r>
      <w:r>
        <w:rPr>
          <w:rFonts w:hint="default" w:ascii="Times New Roman Bold" w:hAnsi="Times New Roman Bold" w:eastAsia="sans-serif" w:cs="Times New Roman Bold"/>
          <w:b/>
          <w:bCs w:val="0"/>
          <w:i w:val="0"/>
          <w:iCs w:val="0"/>
          <w:caps w:val="0"/>
          <w:spacing w:val="0"/>
          <w:bdr w:val="none" w:color="auto" w:sz="0" w:space="0"/>
          <w:shd w:val="clear" w:fill="FFFFFF"/>
        </w:rPr>
        <w:t>Conclusion</w:t>
      </w:r>
    </w:p>
    <w:p w14:paraId="5219DF80">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bookmarkStart w:id="9" w:name="_GoBack"/>
      <w:r>
        <w:rPr>
          <w:rFonts w:hint="default" w:ascii="Times New Roman" w:hAnsi="Times New Roman" w:eastAsia="宋体" w:cs="Times New Roman"/>
          <w:kern w:val="0"/>
          <w:sz w:val="24"/>
          <w:szCs w:val="24"/>
          <w:lang w:val="en-US" w:eastAsia="zh-CN" w:bidi="ar"/>
        </w:rPr>
        <w:t>This contribution proposes DCCA-GS, a comprehensive compression framework for anchor-based 3D Gaussian Splatting. By introducing decoder-reproducible content-adaptive quantization, render-sensitivity supervision, mixed-precision MLP quantization, and training-side ADMM sparsity, DCCA-GS achieves significant bitrate savings while maintaining high rendering fidelity. Extensive experiments on UAV and indoor scenes validate that the proposed method provides a smooth rate-distortion trade-off, pushing the compression ratio up to 111× with minimal quality loss. Future work will explore integrating this framework into real-time streaming pipelines.</w:t>
      </w:r>
    </w:p>
    <w:bookmarkEnd w:id="9"/>
    <w:p w14:paraId="315A922D">
      <w:pPr>
        <w:pStyle w:val="2"/>
        <w:bidi w:val="0"/>
        <w:rPr>
          <w:rFonts w:hint="default"/>
          <w:lang w:val="en-US" w:eastAsia="zh-CN"/>
        </w:rPr>
      </w:pPr>
    </w:p>
    <w:p w14:paraId="4E12D8D7">
      <w:pPr>
        <w:pStyle w:val="2"/>
      </w:pPr>
      <w:r>
        <w:t>Reference</w:t>
      </w:r>
    </w:p>
    <w:p w14:paraId="6919FB21">
      <w:pPr>
        <w:spacing w:after="80"/>
        <w:ind w:left="504" w:hanging="504"/>
        <w:rPr>
          <w:rFonts w:hint="default" w:ascii="Times New Roman" w:hAnsi="Times New Roman" w:cs="Times New Roman"/>
        </w:rPr>
      </w:pPr>
      <w:r>
        <w:rPr>
          <w:rFonts w:hint="default" w:ascii="Times New Roman" w:hAnsi="Times New Roman" w:cs="Times New Roman"/>
          <w:sz w:val="18"/>
        </w:rPr>
        <w:t>[1] Kerbl B, Kopanas G, Leimkuhler T, et al. 3D Gaussian splatting for real-time radiance field rendering[J]. ACM Transactions on Graphics, 2023, 42(4): 139:1-139:14.</w:t>
      </w:r>
    </w:p>
    <w:p w14:paraId="60CEC489">
      <w:pPr>
        <w:spacing w:after="80"/>
        <w:ind w:left="504" w:hanging="504"/>
        <w:rPr>
          <w:rFonts w:hint="default" w:ascii="Times New Roman" w:hAnsi="Times New Roman" w:cs="Times New Roman"/>
        </w:rPr>
      </w:pPr>
      <w:r>
        <w:rPr>
          <w:rFonts w:hint="default" w:ascii="Times New Roman" w:hAnsi="Times New Roman" w:cs="Times New Roman"/>
          <w:sz w:val="18"/>
        </w:rPr>
        <w:t>[2] Lu T, Yu H, Chen L, et al. Scaffold-GS: Structured 3D Gaussians for view-adaptive rendering[C]//CVPR. 2024: 20654-20664.</w:t>
      </w:r>
    </w:p>
    <w:p w14:paraId="4AAAF9CF">
      <w:pPr>
        <w:spacing w:after="80"/>
        <w:ind w:left="504" w:hanging="504"/>
        <w:rPr>
          <w:rFonts w:hint="default" w:ascii="Times New Roman" w:hAnsi="Times New Roman" w:cs="Times New Roman"/>
        </w:rPr>
      </w:pPr>
      <w:r>
        <w:rPr>
          <w:rFonts w:hint="default" w:ascii="Times New Roman" w:hAnsi="Times New Roman" w:cs="Times New Roman"/>
          <w:sz w:val="18"/>
        </w:rPr>
        <w:t>[3] Chen Y, Wu Q, Lin W, et al. HAC: Hash-grid assisted context for 3D Gaussian splatting compression[C]//ECCV. 2024.</w:t>
      </w:r>
    </w:p>
    <w:p w14:paraId="3A4185B8">
      <w:pPr>
        <w:spacing w:after="80"/>
        <w:ind w:left="504" w:hanging="504"/>
        <w:rPr>
          <w:rFonts w:hint="default" w:ascii="Times New Roman" w:hAnsi="Times New Roman" w:cs="Times New Roman"/>
        </w:rPr>
      </w:pPr>
      <w:r>
        <w:rPr>
          <w:rFonts w:hint="default" w:ascii="Times New Roman" w:hAnsi="Times New Roman" w:cs="Times New Roman"/>
          <w:sz w:val="18"/>
        </w:rPr>
        <w:t>[4] Chen Y, Wu Q, Lin W, et al. HAC++: Towards 100x compression of 3D Gaussian splatting[J]. arXiv:2501.12255, 2025.</w:t>
      </w:r>
    </w:p>
    <w:p w14:paraId="45B85090">
      <w:pPr>
        <w:spacing w:after="80"/>
        <w:ind w:left="504" w:hanging="504"/>
        <w:rPr>
          <w:rFonts w:hint="default" w:ascii="Times New Roman" w:hAnsi="Times New Roman" w:cs="Times New Roman"/>
        </w:rPr>
      </w:pPr>
      <w:r>
        <w:rPr>
          <w:rFonts w:hint="default" w:ascii="Times New Roman" w:hAnsi="Times New Roman" w:cs="Times New Roman"/>
          <w:sz w:val="18"/>
        </w:rPr>
        <w:t>[5] Wang Y, et al. ContextGS: Leveraging context for efficient 3D Gaussian splatting compression[J/OL]. 2024.</w:t>
      </w:r>
    </w:p>
    <w:p w14:paraId="6E14BC0E">
      <w:pPr>
        <w:spacing w:after="80"/>
        <w:ind w:left="504" w:hanging="504"/>
        <w:rPr>
          <w:rFonts w:hint="default" w:ascii="Times New Roman" w:hAnsi="Times New Roman" w:cs="Times New Roman"/>
        </w:rPr>
      </w:pPr>
      <w:r>
        <w:rPr>
          <w:rFonts w:hint="default" w:ascii="Times New Roman" w:hAnsi="Times New Roman" w:cs="Times New Roman"/>
          <w:sz w:val="18"/>
        </w:rPr>
        <w:t>[6] Wang Y, et al. Smol-GS: Redundancy-aware scaling for 3D Gaussian splatting compression[J/OL]. 2026.</w:t>
      </w:r>
    </w:p>
    <w:p w14:paraId="1D9AF33C">
      <w:pPr>
        <w:spacing w:after="80"/>
        <w:ind w:left="504" w:hanging="504"/>
        <w:rPr>
          <w:rFonts w:hint="default" w:ascii="Times New Roman" w:hAnsi="Times New Roman" w:cs="Times New Roman"/>
        </w:rPr>
      </w:pPr>
      <w:r>
        <w:rPr>
          <w:rFonts w:hint="default" w:ascii="Times New Roman" w:hAnsi="Times New Roman" w:cs="Times New Roman"/>
          <w:sz w:val="18"/>
        </w:rPr>
        <w:t>[7] Liu X, Wu X, Zhang P, et al. CompGS: Efficient 3D scene representation via compressed Gaussian splatting[C]//ACM MM. 2024.</w:t>
      </w:r>
    </w:p>
    <w:p w14:paraId="3C80C34D">
      <w:pPr>
        <w:spacing w:after="80"/>
        <w:ind w:left="504" w:hanging="504"/>
        <w:rPr>
          <w:rFonts w:hint="default" w:ascii="Times New Roman" w:hAnsi="Times New Roman" w:cs="Times New Roman"/>
        </w:rPr>
      </w:pPr>
      <w:r>
        <w:rPr>
          <w:rFonts w:hint="default" w:ascii="Times New Roman" w:hAnsi="Times New Roman" w:cs="Times New Roman"/>
          <w:sz w:val="18"/>
        </w:rPr>
        <w:t>[8] Liu X, et al. HEMGS: Hierarchical and efficient 3D Gaussian splatting compression[J/OL]. 2024.</w:t>
      </w:r>
    </w:p>
    <w:p w14:paraId="27BA736A">
      <w:pPr>
        <w:spacing w:after="80"/>
        <w:ind w:left="504" w:hanging="504"/>
        <w:rPr>
          <w:rFonts w:hint="default" w:ascii="Times New Roman" w:hAnsi="Times New Roman" w:cs="Times New Roman"/>
        </w:rPr>
      </w:pPr>
      <w:r>
        <w:rPr>
          <w:rFonts w:hint="default" w:ascii="Times New Roman" w:hAnsi="Times New Roman" w:cs="Times New Roman"/>
          <w:sz w:val="18"/>
        </w:rPr>
        <w:t>[9] Liu X, Wu X, Zhang P, et al. GaussianSpa: An optimizing-sparsity framework for 3D Gaussian splatting compression[C]//CVPR. 2025. arXiv:2411.06019.</w:t>
      </w:r>
    </w:p>
    <w:p w14:paraId="0F6063F8">
      <w:pPr>
        <w:spacing w:after="80"/>
        <w:ind w:left="504" w:hanging="504"/>
        <w:rPr>
          <w:rFonts w:hint="default" w:ascii="Times New Roman" w:hAnsi="Times New Roman" w:cs="Times New Roman"/>
        </w:rPr>
      </w:pPr>
      <w:r>
        <w:rPr>
          <w:rFonts w:hint="default" w:ascii="Times New Roman" w:hAnsi="Times New Roman" w:cs="Times New Roman"/>
          <w:sz w:val="18"/>
        </w:rPr>
        <w:t>[10] Fan Z, et al. LightGaussian: Unbounded 3D Gaussian compression with 15x reduction and 200+ FPS[J]. NeurIPS, 2024.</w:t>
      </w:r>
    </w:p>
    <w:p w14:paraId="07B303F5">
      <w:pPr>
        <w:spacing w:after="80"/>
        <w:ind w:left="504" w:hanging="504"/>
        <w:rPr>
          <w:rFonts w:hint="default" w:ascii="Times New Roman" w:hAnsi="Times New Roman" w:cs="Times New Roman"/>
        </w:rPr>
      </w:pPr>
      <w:r>
        <w:rPr>
          <w:rFonts w:hint="default" w:ascii="Times New Roman" w:hAnsi="Times New Roman" w:cs="Times New Roman"/>
          <w:sz w:val="18"/>
        </w:rPr>
        <w:t>[11] Navaneet K L, et al. Compact3D: Compressing Gaussian splat radiance field models with vector quantization[J]. arXiv:2311.18159, 2023.</w:t>
      </w:r>
    </w:p>
    <w:p w14:paraId="7F582A49">
      <w:pPr>
        <w:spacing w:after="80"/>
        <w:ind w:left="504" w:hanging="504"/>
        <w:rPr>
          <w:rFonts w:hint="default" w:ascii="Times New Roman" w:hAnsi="Times New Roman" w:cs="Times New Roman"/>
        </w:rPr>
      </w:pPr>
      <w:r>
        <w:rPr>
          <w:rFonts w:hint="default" w:ascii="Times New Roman" w:hAnsi="Times New Roman" w:cs="Times New Roman"/>
          <w:sz w:val="18"/>
        </w:rPr>
        <w:t>[12] Girish S, et al. EAGLES: Efficient accelerated 3D Gaussians with lightweight encodingS[J]. 3DV, 2024.</w:t>
      </w:r>
    </w:p>
    <w:p w14:paraId="1EB3F676">
      <w:pPr>
        <w:spacing w:after="80"/>
        <w:ind w:left="504" w:hanging="504"/>
        <w:rPr>
          <w:rFonts w:hint="default" w:ascii="Times New Roman" w:hAnsi="Times New Roman" w:cs="Times New Roman"/>
        </w:rPr>
      </w:pPr>
      <w:r>
        <w:rPr>
          <w:rFonts w:hint="default" w:ascii="Times New Roman" w:hAnsi="Times New Roman" w:cs="Times New Roman"/>
          <w:sz w:val="18"/>
        </w:rPr>
        <w:t>[13] Niedermayr S, et al. Compressed 3D Gaussian splatting for accelerated novel view synthesis[C]//CVPR. 2024.</w:t>
      </w:r>
    </w:p>
    <w:p w14:paraId="6DDFE258">
      <w:pPr>
        <w:spacing w:after="80"/>
        <w:ind w:left="504" w:hanging="504"/>
        <w:rPr>
          <w:rFonts w:hint="default" w:ascii="Times New Roman" w:hAnsi="Times New Roman" w:cs="Times New Roman"/>
        </w:rPr>
      </w:pPr>
      <w:r>
        <w:rPr>
          <w:rFonts w:hint="default" w:ascii="Times New Roman" w:hAnsi="Times New Roman" w:cs="Times New Roman"/>
          <w:sz w:val="18"/>
        </w:rPr>
        <w:t>[14] Ma W, et al. 3D Gaussian Splatting compression survey[EB/OL]. https://w-m.github.io/3dgs-compression-survey/.</w:t>
      </w:r>
    </w:p>
    <w:p w14:paraId="1FFDB4BD">
      <w:pPr>
        <w:spacing w:after="80"/>
        <w:ind w:left="504" w:hanging="504"/>
        <w:rPr>
          <w:rFonts w:hint="default" w:ascii="Times New Roman" w:hAnsi="Times New Roman" w:cs="Times New Roman"/>
        </w:rPr>
      </w:pPr>
      <w:r>
        <w:rPr>
          <w:rFonts w:hint="default" w:ascii="Times New Roman" w:hAnsi="Times New Roman" w:cs="Times New Roman"/>
          <w:sz w:val="18"/>
        </w:rPr>
        <w:t>[15] Moffat A, Neal R M, Witten I H. Arithmetic coding revisited[J]. ACM Transactions on Information Systems, 1998, 16(3): 256-294.</w:t>
      </w:r>
    </w:p>
    <w:p w14:paraId="19B1BDE3">
      <w:pPr>
        <w:spacing w:after="80"/>
        <w:ind w:left="504" w:hanging="504"/>
        <w:rPr>
          <w:rFonts w:hint="default" w:ascii="Times New Roman" w:hAnsi="Times New Roman" w:cs="Times New Roman"/>
        </w:rPr>
      </w:pPr>
      <w:r>
        <w:rPr>
          <w:rFonts w:hint="default" w:ascii="Times New Roman" w:hAnsi="Times New Roman" w:cs="Times New Roman"/>
          <w:sz w:val="18"/>
        </w:rPr>
        <w:t>[16] Schwarz S, et al. Emerging MPEG standards for point cloud compression[J]. IEEE Journal on Emerging and Selected Topics in Circuits and Systems, 2019, 9(1): 133-148.</w:t>
      </w:r>
    </w:p>
    <w:p w14:paraId="1C239891">
      <w:pPr>
        <w:tabs>
          <w:tab w:val="left" w:pos="1350"/>
        </w:tabs>
        <w:spacing w:line="360" w:lineRule="auto"/>
        <w:jc w:val="left"/>
        <w:rPr>
          <w:b/>
          <w:bCs/>
          <w:color w:val="FF0000"/>
          <w:sz w:val="22"/>
        </w:rPr>
      </w:pPr>
    </w:p>
    <w:p w14:paraId="1CA0B211">
      <w:pPr>
        <w:tabs>
          <w:tab w:val="left" w:pos="1350"/>
        </w:tabs>
        <w:spacing w:line="360" w:lineRule="auto"/>
        <w:jc w:val="left"/>
        <w:rPr>
          <w:b/>
          <w:bCs/>
          <w:color w:val="FF0000"/>
          <w:sz w:val="22"/>
        </w:rPr>
      </w:pPr>
      <w:r>
        <w:rPr>
          <w:rFonts w:hint="eastAsia"/>
          <w:b/>
          <w:bCs/>
          <w:color w:val="FF0000"/>
          <w:sz w:val="22"/>
        </w:rPr>
        <w:t>Before submitting this contribution, please be sure to review the following IEEE copyright and patent policies:</w:t>
      </w:r>
    </w:p>
    <w:p w14:paraId="5BDC0347">
      <w:pPr>
        <w:tabs>
          <w:tab w:val="left" w:pos="1350"/>
        </w:tabs>
        <w:spacing w:line="360" w:lineRule="auto"/>
        <w:jc w:val="left"/>
        <w:rPr>
          <w:b/>
          <w:bCs/>
          <w:color w:val="FF0000"/>
          <w:sz w:val="22"/>
        </w:rPr>
      </w:pPr>
      <w:r>
        <w:rPr>
          <w:rFonts w:hint="eastAsia"/>
          <w:b/>
          <w:bCs/>
          <w:color w:val="FF0000"/>
          <w:sz w:val="22"/>
        </w:rPr>
        <w:t xml:space="preserve">IEEE Copyright Policy: </w:t>
      </w:r>
      <w:r>
        <w:fldChar w:fldCharType="begin"/>
      </w:r>
      <w:r>
        <w:instrText xml:space="preserve"> HYPERLINK "https://standards.ieee.org/about/policies/bylaws/sect6-7.html" \l "7" </w:instrText>
      </w:r>
      <w:r>
        <w:fldChar w:fldCharType="separate"/>
      </w:r>
      <w:r>
        <w:rPr>
          <w:rStyle w:val="24"/>
          <w:rFonts w:hint="eastAsia"/>
          <w:b/>
          <w:bCs/>
          <w:color w:val="FF0000"/>
          <w:sz w:val="22"/>
        </w:rPr>
        <w:t>https://standards.ieee.org/about/policies/bylaws/sect6-7.html#7</w:t>
      </w:r>
      <w:r>
        <w:rPr>
          <w:rStyle w:val="24"/>
          <w:rFonts w:hint="eastAsia"/>
          <w:b/>
          <w:bCs/>
          <w:color w:val="FF0000"/>
          <w:sz w:val="22"/>
        </w:rPr>
        <w:fldChar w:fldCharType="end"/>
      </w:r>
    </w:p>
    <w:p w14:paraId="2276911D">
      <w:pPr>
        <w:tabs>
          <w:tab w:val="left" w:pos="1350"/>
        </w:tabs>
        <w:spacing w:line="360" w:lineRule="auto"/>
        <w:jc w:val="left"/>
        <w:rPr>
          <w:b/>
          <w:bCs/>
          <w:color w:val="FF0000"/>
          <w:sz w:val="22"/>
        </w:rPr>
      </w:pPr>
      <w:r>
        <w:rPr>
          <w:rFonts w:hint="eastAsia"/>
          <w:b/>
          <w:bCs/>
          <w:color w:val="FF0000"/>
          <w:sz w:val="22"/>
        </w:rPr>
        <w:t xml:space="preserve">IEEE Patent Policy: </w:t>
      </w:r>
      <w:r>
        <w:fldChar w:fldCharType="begin"/>
      </w:r>
      <w:r>
        <w:instrText xml:space="preserve"> HYPERLINK "http://standards.ieee.org/develop/policies/bylaws/sect6-7.html" \l "6" </w:instrText>
      </w:r>
      <w:r>
        <w:fldChar w:fldCharType="separate"/>
      </w:r>
      <w:r>
        <w:rPr>
          <w:rStyle w:val="24"/>
          <w:rFonts w:hint="eastAsia"/>
          <w:b/>
          <w:bCs/>
          <w:color w:val="FF0000"/>
          <w:sz w:val="22"/>
        </w:rPr>
        <w:t>http://standards.ieee.org/develop/policies/bylaws/sect6-7.html#6</w:t>
      </w:r>
      <w:r>
        <w:rPr>
          <w:rStyle w:val="24"/>
          <w:rFonts w:hint="eastAsia"/>
          <w:b/>
          <w:bCs/>
          <w:color w:val="FF0000"/>
          <w:sz w:val="22"/>
        </w:rPr>
        <w:fldChar w:fldCharType="end"/>
      </w:r>
    </w:p>
    <w:p w14:paraId="39A9C29A">
      <w:pPr>
        <w:tabs>
          <w:tab w:val="left" w:pos="1350"/>
        </w:tabs>
        <w:spacing w:line="360" w:lineRule="auto"/>
        <w:jc w:val="left"/>
        <w:rPr>
          <w:b/>
          <w:bCs/>
          <w:color w:val="FF0000"/>
          <w:sz w:val="22"/>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b/>
          <w:bCs/>
          <w:color w:val="FF0000"/>
          <w:sz w:val="22"/>
        </w:rPr>
        <w:t>a</w:t>
      </w:r>
      <w:r>
        <w:rPr>
          <w:rFonts w:hint="eastAsia"/>
          <w:b/>
          <w:bCs/>
          <w:color w:val="FF0000"/>
          <w:sz w:val="22"/>
        </w:rPr>
        <w:t xml:space="preserve">nd </w:t>
      </w:r>
      <w:r>
        <w:rPr>
          <w:b/>
          <w:bCs/>
          <w:color w:val="FF0000"/>
          <w:sz w:val="22"/>
        </w:rPr>
        <w:t xml:space="preserve">to </w:t>
      </w:r>
      <w:r>
        <w:rPr>
          <w:rFonts w:hint="eastAsia"/>
          <w:b/>
          <w:bCs/>
          <w:color w:val="FF0000"/>
          <w:sz w:val="22"/>
        </w:rPr>
        <w:t>complete the following questionnaire: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6"/>
        <w:gridCol w:w="1810"/>
      </w:tblGrid>
      <w:tr w14:paraId="251FF93C">
        <w:trPr>
          <w:trHeight w:val="447" w:hRule="atLeast"/>
        </w:trPr>
        <w:tc>
          <w:tcPr>
            <w:tcW w:w="8296" w:type="dxa"/>
            <w:gridSpan w:val="2"/>
            <w:vAlign w:val="center"/>
          </w:tcPr>
          <w:p w14:paraId="409B6935">
            <w:pPr>
              <w:tabs>
                <w:tab w:val="left" w:pos="1350"/>
              </w:tabs>
              <w:spacing w:line="360" w:lineRule="auto"/>
              <w:jc w:val="center"/>
              <w:rPr>
                <w:sz w:val="20"/>
                <w:szCs w:val="20"/>
              </w:rPr>
            </w:pPr>
            <w:r>
              <w:rPr>
                <w:rFonts w:hint="eastAsia"/>
                <w:sz w:val="28"/>
                <w:szCs w:val="28"/>
              </w:rPr>
              <w:t>Copyright Permission</w:t>
            </w:r>
          </w:p>
        </w:tc>
      </w:tr>
      <w:tr w14:paraId="1985E4CF">
        <w:tc>
          <w:tcPr>
            <w:tcW w:w="6486" w:type="dxa"/>
            <w:vAlign w:val="center"/>
          </w:tcPr>
          <w:p w14:paraId="56A94A9D">
            <w:pPr>
              <w:tabs>
                <w:tab w:val="left" w:pos="1350"/>
              </w:tabs>
              <w:spacing w:line="360" w:lineRule="auto"/>
              <w:rPr>
                <w:sz w:val="22"/>
              </w:rPr>
            </w:pPr>
            <w:r>
              <w:rPr>
                <w:rFonts w:hint="eastAsia"/>
                <w:sz w:val="22"/>
              </w:rPr>
              <w:t>I, as the Submitter, am not aware of any copyright permissions needed for this document.</w:t>
            </w:r>
          </w:p>
        </w:tc>
        <w:tc>
          <w:tcPr>
            <w:tcW w:w="1810" w:type="dxa"/>
            <w:vAlign w:val="center"/>
          </w:tcPr>
          <w:p w14:paraId="37A03E61">
            <w:pPr>
              <w:tabs>
                <w:tab w:val="left" w:pos="1350"/>
              </w:tabs>
              <w:spacing w:line="360" w:lineRule="auto"/>
              <w:rPr>
                <w:sz w:val="22"/>
              </w:rPr>
            </w:pPr>
            <w:permStart w:id="0" w:edGrp="everyone"/>
            <w:r>
              <w:rPr>
                <w:sz w:val="22"/>
              </w:rPr>
              <w:sym w:font="Wingdings 2" w:char="F052"/>
            </w:r>
            <w:r>
              <w:rPr>
                <w:rFonts w:hint="eastAsia"/>
                <w:sz w:val="22"/>
              </w:rPr>
              <w:t xml:space="preserve">True  </w:t>
            </w:r>
            <w:r>
              <w:rPr>
                <w:sz w:val="22"/>
              </w:rPr>
              <w:sym w:font="Wingdings 2" w:char="00A3"/>
            </w:r>
            <w:r>
              <w:rPr>
                <w:rFonts w:hint="eastAsia"/>
                <w:sz w:val="22"/>
              </w:rPr>
              <w:t>False</w:t>
            </w:r>
            <w:permEnd w:id="0"/>
          </w:p>
        </w:tc>
      </w:tr>
    </w:tbl>
    <w:p w14:paraId="40A79D4F">
      <w:pPr>
        <w:tabs>
          <w:tab w:val="left" w:pos="1350"/>
        </w:tabs>
        <w:spacing w:line="360" w:lineRule="auto"/>
        <w:jc w:val="left"/>
        <w:rPr>
          <w:i/>
          <w:iCs/>
          <w:color w:val="FF0000"/>
          <w:sz w:val="20"/>
          <w:szCs w:val="20"/>
        </w:rPr>
      </w:pPr>
      <w:r>
        <w:rPr>
          <w:rFonts w:hint="eastAsia"/>
          <w:i/>
          <w:iCs/>
          <w:color w:val="FF0000"/>
          <w:sz w:val="20"/>
          <w:szCs w:val="20"/>
        </w:rPr>
        <w:t xml:space="preserve">If the answer is </w:t>
      </w:r>
      <w:r>
        <w:rPr>
          <w:i/>
          <w:iCs/>
          <w:color w:val="FF0000"/>
          <w:sz w:val="20"/>
          <w:szCs w:val="20"/>
        </w:rPr>
        <w:t>“</w:t>
      </w:r>
      <w:r>
        <w:rPr>
          <w:rFonts w:hint="eastAsia"/>
          <w:i/>
          <w:iCs/>
          <w:color w:val="FF0000"/>
          <w:sz w:val="20"/>
          <w:szCs w:val="20"/>
        </w:rPr>
        <w:t>False</w:t>
      </w:r>
      <w:r>
        <w:rPr>
          <w:i/>
          <w:iCs/>
          <w:color w:val="FF0000"/>
          <w:sz w:val="20"/>
          <w:szCs w:val="20"/>
        </w:rPr>
        <w:t>”,</w:t>
      </w:r>
      <w:r>
        <w:rPr>
          <w:rFonts w:hint="eastAsia"/>
          <w:i/>
          <w:iCs/>
          <w:color w:val="FF0000"/>
          <w:sz w:val="20"/>
          <w:szCs w:val="20"/>
        </w:rPr>
        <w:t xml:space="preserve"> please</w:t>
      </w:r>
      <w:r>
        <w:rPr>
          <w:i/>
          <w:iCs/>
          <w:color w:val="FF0000"/>
          <w:sz w:val="20"/>
          <w:szCs w:val="20"/>
        </w:rPr>
        <w:t>:</w:t>
      </w:r>
    </w:p>
    <w:p w14:paraId="794ABDCE">
      <w:pPr>
        <w:pStyle w:val="31"/>
        <w:numPr>
          <w:ilvl w:val="0"/>
          <w:numId w:val="8"/>
        </w:numPr>
        <w:tabs>
          <w:tab w:val="left" w:pos="1350"/>
        </w:tabs>
        <w:spacing w:line="360" w:lineRule="auto"/>
        <w:ind w:firstLineChars="0"/>
        <w:jc w:val="left"/>
        <w:rPr>
          <w:rFonts w:ascii="TimesNewRoman" w:hAnsi="TimesNewRoman" w:cs="TimesNewRoman"/>
          <w:i/>
          <w:iCs/>
          <w:color w:val="FF0000"/>
          <w:sz w:val="20"/>
          <w:szCs w:val="20"/>
        </w:rPr>
      </w:pPr>
      <w:r>
        <w:rPr>
          <w:i/>
          <w:iCs/>
          <w:color w:val="FF0000"/>
          <w:sz w:val="20"/>
          <w:szCs w:val="20"/>
        </w:rPr>
        <w:t>C</w:t>
      </w:r>
      <w:r>
        <w:rPr>
          <w:rFonts w:hint="eastAsia"/>
          <w:i/>
          <w:iCs/>
          <w:color w:val="FF0000"/>
          <w:sz w:val="20"/>
          <w:szCs w:val="20"/>
        </w:rPr>
        <w:t>ontact the copyright holder to fill the following</w:t>
      </w:r>
      <w:r>
        <w:rPr>
          <w:i/>
          <w:iCs/>
          <w:color w:val="FF0000"/>
          <w:sz w:val="20"/>
          <w:szCs w:val="20"/>
        </w:rPr>
        <w:t xml:space="preserve"> form</w:t>
      </w:r>
      <w:r>
        <w:rPr>
          <w:rFonts w:hint="eastAsia"/>
          <w:i/>
          <w:iCs/>
          <w:color w:val="FF0000"/>
          <w:sz w:val="20"/>
          <w:szCs w:val="20"/>
        </w:rPr>
        <w:t xml:space="preserve"> with a </w:t>
      </w:r>
      <w:r>
        <w:rPr>
          <w:rFonts w:hint="eastAsia"/>
          <w:i/>
          <w:iCs/>
          <w:color w:val="FF0000"/>
          <w:sz w:val="20"/>
          <w:szCs w:val="20"/>
          <w:u w:val="single"/>
        </w:rPr>
        <w:t>valid digital signature</w:t>
      </w:r>
      <w:r>
        <w:rPr>
          <w:rFonts w:hint="eastAsia"/>
          <w:i/>
          <w:iCs/>
          <w:color w:val="FF0000"/>
          <w:sz w:val="20"/>
          <w:szCs w:val="20"/>
        </w:rPr>
        <w:t xml:space="preserve"> or send the original form </w:t>
      </w:r>
      <w:r>
        <w:rPr>
          <w:i/>
          <w:iCs/>
          <w:color w:val="FF0000"/>
          <w:sz w:val="20"/>
          <w:szCs w:val="20"/>
        </w:rPr>
        <w:t>(download</w:t>
      </w:r>
      <w:r>
        <w:rPr>
          <w:rFonts w:hint="eastAsia"/>
          <w:i/>
          <w:iCs/>
          <w:color w:val="FF0000"/>
          <w:sz w:val="20"/>
          <w:szCs w:val="20"/>
        </w:rPr>
        <w:t xml:space="preserve"> link: </w:t>
      </w:r>
      <w:r>
        <w:fldChar w:fldCharType="begin"/>
      </w:r>
      <w:r>
        <w:instrText xml:space="preserve"> HYPERLINK "https://standards.ieee.org/content/dam/ieee-standards/standards/web/documents/other/permissionltrs.zip" </w:instrText>
      </w:r>
      <w:r>
        <w:fldChar w:fldCharType="separate"/>
      </w:r>
      <w:r>
        <w:rPr>
          <w:rStyle w:val="24"/>
          <w:rFonts w:hint="eastAsia"/>
          <w:i/>
          <w:iCs/>
          <w:sz w:val="20"/>
          <w:szCs w:val="20"/>
        </w:rPr>
        <w:t>https://standards.ieee.org/content/dam/ieee-standards/standards/web/documents/other/permissionltrs.zip</w:t>
      </w:r>
      <w:r>
        <w:rPr>
          <w:rStyle w:val="24"/>
          <w:rFonts w:hint="eastAsia"/>
          <w:i/>
          <w:iCs/>
          <w:sz w:val="20"/>
          <w:szCs w:val="20"/>
        </w:rPr>
        <w:fldChar w:fldCharType="end"/>
      </w:r>
      <w:r>
        <w:rPr>
          <w:rFonts w:hint="eastAsia"/>
          <w:i/>
          <w:iCs/>
          <w:color w:val="FF0000"/>
          <w:sz w:val="20"/>
          <w:szCs w:val="20"/>
        </w:rPr>
        <w:t xml:space="preserve">) to: </w:t>
      </w:r>
      <w:r>
        <w:rPr>
          <w:i/>
          <w:iCs/>
          <w:color w:val="FF0000"/>
          <w:sz w:val="20"/>
          <w:szCs w:val="20"/>
        </w:rPr>
        <w:t>Zhenxin Chen</w:t>
      </w:r>
      <w:r>
        <w:rPr>
          <w:rFonts w:hint="eastAsia"/>
          <w:i/>
          <w:iCs/>
          <w:color w:val="FF0000"/>
          <w:sz w:val="20"/>
          <w:szCs w:val="20"/>
        </w:rPr>
        <w:t>, No.</w:t>
      </w:r>
      <w:r>
        <w:rPr>
          <w:i/>
          <w:iCs/>
          <w:color w:val="FF0000"/>
          <w:sz w:val="20"/>
          <w:szCs w:val="20"/>
        </w:rPr>
        <w:t xml:space="preserve"> </w:t>
      </w:r>
      <w:r>
        <w:rPr>
          <w:rFonts w:hint="eastAsia"/>
          <w:i/>
          <w:iCs/>
          <w:color w:val="FF0000"/>
          <w:sz w:val="20"/>
          <w:szCs w:val="20"/>
        </w:rPr>
        <w:t>1 School of Computer Science, Guangdong University of Technology, University Town Campus, Guang Zhou, China. (</w:t>
      </w:r>
      <w:r>
        <w:rPr>
          <w:i/>
          <w:iCs/>
          <w:color w:val="FF0000"/>
          <w:sz w:val="20"/>
          <w:szCs w:val="20"/>
        </w:rPr>
        <w:t xml:space="preserve">Chinese: </w:t>
      </w:r>
      <w:r>
        <w:rPr>
          <w:rFonts w:hint="eastAsia"/>
          <w:iCs/>
          <w:color w:val="FF0000"/>
          <w:sz w:val="20"/>
          <w:szCs w:val="20"/>
        </w:rPr>
        <w:t>广东工业大学大学城校区计算机学院，</w:t>
      </w:r>
      <w:r>
        <w:rPr>
          <w:rFonts w:hint="eastAsia"/>
          <w:iCs/>
          <w:color w:val="FF0000"/>
          <w:sz w:val="20"/>
          <w:szCs w:val="20"/>
          <w:lang w:val="en-US" w:eastAsia="zh-CN"/>
        </w:rPr>
        <w:t>谢良</w:t>
      </w:r>
      <w:r>
        <w:rPr>
          <w:rFonts w:hint="eastAsia"/>
          <w:iCs/>
          <w:color w:val="FF0000"/>
          <w:sz w:val="20"/>
          <w:szCs w:val="20"/>
        </w:rPr>
        <w:t>，</w:t>
      </w:r>
      <w:r>
        <w:rPr>
          <w:rFonts w:hint="eastAsia"/>
          <w:iCs/>
          <w:color w:val="FF0000"/>
          <w:sz w:val="20"/>
          <w:szCs w:val="20"/>
          <w:lang w:val="en-US" w:eastAsia="zh-CN"/>
        </w:rPr>
        <w:t>15521026769</w:t>
      </w:r>
      <w:r>
        <w:rPr>
          <w:rFonts w:hint="eastAsia"/>
          <w:i/>
          <w:iCs/>
          <w:color w:val="FF0000"/>
          <w:sz w:val="20"/>
          <w:szCs w:val="20"/>
        </w:rPr>
        <w:t>)</w:t>
      </w:r>
      <w:bookmarkStart w:id="0" w:name="Text1"/>
    </w:p>
    <w:p w14:paraId="43608D6F">
      <w:pPr>
        <w:pStyle w:val="31"/>
        <w:numPr>
          <w:ilvl w:val="0"/>
          <w:numId w:val="8"/>
        </w:numPr>
        <w:tabs>
          <w:tab w:val="left" w:pos="1350"/>
        </w:tabs>
        <w:spacing w:line="360" w:lineRule="auto"/>
        <w:ind w:firstLineChars="0"/>
        <w:jc w:val="left"/>
        <w:rPr>
          <w:i/>
          <w:iCs/>
          <w:color w:val="FF0000"/>
          <w:sz w:val="20"/>
          <w:szCs w:val="20"/>
        </w:rPr>
      </w:pPr>
      <w:r>
        <w:rPr>
          <w:i/>
          <w:iCs/>
          <w:color w:val="FF0000"/>
          <w:sz w:val="20"/>
          <w:szCs w:val="20"/>
        </w:rPr>
        <w:t>OR, i</w:t>
      </w:r>
      <w:r>
        <w:rPr>
          <w:rFonts w:hint="eastAsia"/>
          <w:i/>
          <w:iCs/>
          <w:color w:val="FF0000"/>
          <w:sz w:val="20"/>
          <w:szCs w:val="20"/>
        </w:rPr>
        <w:t>f</w:t>
      </w:r>
      <w:r>
        <w:rPr>
          <w:i/>
          <w:iCs/>
          <w:color w:val="FF0000"/>
          <w:sz w:val="20"/>
          <w:szCs w:val="20"/>
        </w:rPr>
        <w:t xml:space="preserve"> the copyright is held by an organization (e.g. IEEE), please follow the steps described in: </w:t>
      </w:r>
      <w:r>
        <w:fldChar w:fldCharType="begin"/>
      </w:r>
      <w:r>
        <w:instrText xml:space="preserve"> HYPERLINK "https://mp.weixin.qq.com/s/mAFw_gTus2PJOlMUGR2Piw" </w:instrText>
      </w:r>
      <w:r>
        <w:fldChar w:fldCharType="separate"/>
      </w:r>
      <w:r>
        <w:rPr>
          <w:rStyle w:val="24"/>
          <w:i/>
        </w:rPr>
        <w:t>https://mp.weixin.qq.com/s/mAFw_gTus2PJOlMUGR2Piw</w:t>
      </w:r>
      <w:r>
        <w:rPr>
          <w:rStyle w:val="24"/>
          <w:i/>
        </w:rPr>
        <w:fldChar w:fldCharType="end"/>
      </w:r>
      <w:r>
        <w:rPr>
          <w:i/>
          <w:color w:val="FF0000"/>
        </w:rPr>
        <w:t xml:space="preserve"> </w:t>
      </w:r>
      <w:r>
        <w:rPr>
          <w:i/>
          <w:iCs/>
          <w:color w:val="FF0000"/>
          <w:sz w:val="20"/>
          <w:szCs w:val="20"/>
        </w:rPr>
        <w:t>and add the permission as an attachment file with this contribution.</w:t>
      </w:r>
    </w:p>
    <w:p w14:paraId="6A1EB011">
      <w:pPr>
        <w:pStyle w:val="31"/>
        <w:tabs>
          <w:tab w:val="left" w:pos="1350"/>
        </w:tabs>
        <w:spacing w:line="360" w:lineRule="auto"/>
        <w:ind w:left="420" w:firstLine="0" w:firstLineChars="0"/>
        <w:jc w:val="left"/>
        <w:rPr>
          <w:i/>
          <w:iCs/>
          <w:color w:val="FF0000"/>
          <w:sz w:val="20"/>
          <w:szCs w:val="20"/>
        </w:rPr>
      </w:pPr>
    </w:p>
    <w:p w14:paraId="365566BA">
      <w:pPr>
        <w:autoSpaceDE w:val="0"/>
        <w:autoSpaceDN w:val="0"/>
        <w:adjustRightInd w:val="0"/>
        <w:spacing w:line="360" w:lineRule="auto"/>
        <w:ind w:left="4680"/>
        <w:rPr>
          <w:rFonts w:ascii="Times New Roman" w:hAnsi="Times New Roman"/>
          <w:sz w:val="16"/>
          <w:szCs w:val="16"/>
        </w:rPr>
      </w:pPr>
      <w:permStart w:id="1" w:edGrp="everyone"/>
      <w:r>
        <w:rPr>
          <w:rFonts w:ascii="Times New Roman" w:hAnsi="Times New Roman"/>
          <w:sz w:val="20"/>
          <w:szCs w:val="20"/>
        </w:rPr>
        <w:fldChar w:fldCharType="begin">
          <w:ffData>
            <w:enabled/>
            <w:calcOnExit w:val="0"/>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 &lt;Copyright Holder&gt;</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 </w:t>
      </w:r>
      <w:r>
        <w:rPr>
          <w:rFonts w:ascii="Times New Roman" w:hAnsi="Times New Roman"/>
          <w:sz w:val="20"/>
          <w:szCs w:val="20"/>
        </w:rPr>
        <w:fldChar w:fldCharType="end"/>
      </w:r>
      <w:bookmarkEnd w:id="0"/>
    </w:p>
    <w:p w14:paraId="0552AC4A">
      <w:pPr>
        <w:autoSpaceDE w:val="0"/>
        <w:autoSpaceDN w:val="0"/>
        <w:adjustRightInd w:val="0"/>
        <w:spacing w:line="360" w:lineRule="auto"/>
        <w:ind w:left="4680"/>
        <w:rPr>
          <w:rFonts w:ascii="Times New Roman" w:hAnsi="Times New Roman"/>
          <w:sz w:val="16"/>
          <w:szCs w:val="16"/>
        </w:rPr>
      </w:pPr>
      <w:bookmarkStart w:id="1" w:name="Text2"/>
      <w:r>
        <w:rPr>
          <w:rFonts w:ascii="Times New Roman" w:hAnsi="Times New Roman"/>
          <w:sz w:val="20"/>
          <w:szCs w:val="20"/>
        </w:rPr>
        <w:fldChar w:fldCharType="begin">
          <w:ffData>
            <w:name w:val="Text2"/>
            <w:enabled/>
            <w:calcOnExit w:val="0"/>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 &lt;Street Address&gt;   </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 </w:t>
      </w:r>
      <w:r>
        <w:rPr>
          <w:rFonts w:ascii="Times New Roman" w:hAnsi="Times New Roman"/>
          <w:sz w:val="20"/>
          <w:szCs w:val="20"/>
        </w:rPr>
        <w:fldChar w:fldCharType="end"/>
      </w:r>
      <w:bookmarkEnd w:id="1"/>
    </w:p>
    <w:p w14:paraId="4FA847A2">
      <w:pPr>
        <w:autoSpaceDE w:val="0"/>
        <w:autoSpaceDN w:val="0"/>
        <w:adjustRightInd w:val="0"/>
        <w:spacing w:line="360" w:lineRule="auto"/>
        <w:ind w:left="4680"/>
        <w:rPr>
          <w:rFonts w:ascii="Times New Roman" w:hAnsi="Times New Roman"/>
          <w:sz w:val="16"/>
          <w:szCs w:val="16"/>
        </w:rPr>
      </w:pPr>
      <w:bookmarkStart w:id="2" w:name="Text3"/>
      <w:r>
        <w:rPr>
          <w:rFonts w:ascii="Times New Roman" w:hAnsi="Times New Roman"/>
          <w:sz w:val="20"/>
          <w:szCs w:val="20"/>
        </w:rPr>
        <w:fldChar w:fldCharType="begin">
          <w:ffData>
            <w:name w:val="Text3"/>
            <w:enabled/>
            <w:calcOnExit w:val="0"/>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 &lt;City, State Zip&gt;   </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 </w:t>
      </w:r>
      <w:r>
        <w:rPr>
          <w:rFonts w:ascii="Times New Roman" w:hAnsi="Times New Roman"/>
          <w:sz w:val="20"/>
          <w:szCs w:val="20"/>
        </w:rPr>
        <w:fldChar w:fldCharType="end"/>
      </w:r>
      <w:bookmarkEnd w:id="2"/>
    </w:p>
    <w:p w14:paraId="05D0E6E6">
      <w:pPr>
        <w:autoSpaceDE w:val="0"/>
        <w:autoSpaceDN w:val="0"/>
        <w:adjustRightInd w:val="0"/>
        <w:spacing w:line="360" w:lineRule="auto"/>
        <w:ind w:left="4680"/>
        <w:rPr>
          <w:rFonts w:ascii="Times New Roman" w:hAnsi="Times New Roman"/>
          <w:sz w:val="20"/>
          <w:szCs w:val="20"/>
        </w:rPr>
      </w:pPr>
      <w:bookmarkStart w:id="3" w:name="Text4"/>
      <w:r>
        <w:rPr>
          <w:rFonts w:ascii="Times New Roman" w:hAnsi="Times New Roman"/>
          <w:sz w:val="20"/>
          <w:szCs w:val="20"/>
        </w:rPr>
        <w:fldChar w:fldCharType="begin">
          <w:ffData>
            <w:name w:val="Text4"/>
            <w:enabled/>
            <w:calcOnExit w:val="0"/>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 &lt;Date&gt;   </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 </w:t>
      </w:r>
      <w:r>
        <w:rPr>
          <w:rFonts w:ascii="Times New Roman" w:hAnsi="Times New Roman"/>
          <w:sz w:val="20"/>
          <w:szCs w:val="20"/>
        </w:rPr>
        <w:fldChar w:fldCharType="end"/>
      </w:r>
      <w:bookmarkEnd w:id="3"/>
    </w:p>
    <w:permEnd w:id="1"/>
    <w:p w14:paraId="3A36BF40">
      <w:pPr>
        <w:autoSpaceDE w:val="0"/>
        <w:autoSpaceDN w:val="0"/>
        <w:adjustRightInd w:val="0"/>
        <w:spacing w:line="360" w:lineRule="auto"/>
        <w:rPr>
          <w:rFonts w:ascii="Times New Roman" w:hAnsi="Times New Roman"/>
          <w:sz w:val="16"/>
          <w:szCs w:val="16"/>
        </w:rPr>
      </w:pPr>
      <w:r>
        <w:rPr>
          <w:rFonts w:ascii="Times New Roman" w:hAnsi="Times New Roman"/>
          <w:sz w:val="20"/>
          <w:szCs w:val="20"/>
        </w:rPr>
        <w:t>Name of the IEEE Standards Working Group Chair: Shan Liu</w:t>
      </w:r>
    </w:p>
    <w:p w14:paraId="6153CED8">
      <w:pPr>
        <w:autoSpaceDE w:val="0"/>
        <w:autoSpaceDN w:val="0"/>
        <w:adjustRightInd w:val="0"/>
        <w:spacing w:line="360" w:lineRule="auto"/>
        <w:rPr>
          <w:rFonts w:ascii="Times New Roman" w:hAnsi="Times New Roman"/>
          <w:sz w:val="20"/>
          <w:szCs w:val="20"/>
        </w:rPr>
      </w:pPr>
      <w:r>
        <w:rPr>
          <w:rFonts w:ascii="Times New Roman" w:hAnsi="Times New Roman"/>
          <w:sz w:val="20"/>
          <w:szCs w:val="20"/>
        </w:rPr>
        <w:t>Name of the IEEE Standards Working Group: Volumetric Data Compression(C/DC/VDC)</w:t>
      </w:r>
    </w:p>
    <w:p w14:paraId="67331114">
      <w:pPr>
        <w:autoSpaceDE w:val="0"/>
        <w:autoSpaceDN w:val="0"/>
        <w:adjustRightInd w:val="0"/>
        <w:spacing w:line="360" w:lineRule="auto"/>
        <w:rPr>
          <w:rFonts w:ascii="Times New Roman" w:hAnsi="Times New Roman"/>
          <w:sz w:val="20"/>
          <w:szCs w:val="20"/>
        </w:rPr>
      </w:pPr>
      <w:r>
        <w:rPr>
          <w:rFonts w:ascii="Times New Roman" w:hAnsi="Times New Roman"/>
          <w:sz w:val="20"/>
          <w:szCs w:val="20"/>
        </w:rPr>
        <w:t xml:space="preserve">Dear </w:t>
      </w:r>
      <w:permStart w:id="2" w:edGrp="everyone"/>
      <w:bookmarkStart w:id="4" w:name="Text8"/>
      <w:r>
        <w:rPr>
          <w:rFonts w:ascii="Times New Roman" w:hAnsi="Times New Roman"/>
          <w:sz w:val="20"/>
          <w:szCs w:val="20"/>
        </w:rPr>
        <w:fldChar w:fldCharType="begin">
          <w:ffData>
            <w:name w:val="Text8"/>
            <w:enabled/>
            <w:calcOnExit w:val="0"/>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                                                </w:t>
      </w:r>
      <w:r>
        <w:rPr>
          <w:rFonts w:ascii="Times New Roman" w:hAnsi="Times New Roman"/>
          <w:sz w:val="20"/>
          <w:szCs w:val="20"/>
        </w:rPr>
        <w:fldChar w:fldCharType="end"/>
      </w:r>
      <w:permEnd w:id="2"/>
      <w:bookmarkEnd w:id="4"/>
      <w:r>
        <w:rPr>
          <w:rFonts w:ascii="Times New Roman" w:hAnsi="Times New Roman"/>
          <w:sz w:val="20"/>
          <w:szCs w:val="20"/>
        </w:rPr>
        <w:t>,</w:t>
      </w:r>
    </w:p>
    <w:p w14:paraId="2D231996">
      <w:pPr>
        <w:autoSpaceDE w:val="0"/>
        <w:autoSpaceDN w:val="0"/>
        <w:adjustRightInd w:val="0"/>
        <w:spacing w:line="360" w:lineRule="auto"/>
        <w:rPr>
          <w:rFonts w:ascii="Times New Roman" w:hAnsi="Times New Roman"/>
          <w:sz w:val="20"/>
          <w:szCs w:val="20"/>
        </w:rPr>
      </w:pPr>
      <w:r>
        <w:rPr>
          <w:rFonts w:ascii="Times New Roman" w:hAnsi="Times New Roman"/>
          <w:sz w:val="20"/>
          <w:szCs w:val="20"/>
        </w:rPr>
        <w:t>I am authorized to grant permission to IEEE to use the material in connection with the IEEE Project noted below, including consensus ballot and public review of the material.</w:t>
      </w:r>
    </w:p>
    <w:p w14:paraId="369969DB">
      <w:pPr>
        <w:autoSpaceDE w:val="0"/>
        <w:autoSpaceDN w:val="0"/>
        <w:adjustRightInd w:val="0"/>
        <w:spacing w:line="360" w:lineRule="auto"/>
        <w:rPr>
          <w:rFonts w:ascii="Times New Roman" w:hAnsi="Times New Roman"/>
          <w:sz w:val="16"/>
          <w:szCs w:val="16"/>
        </w:rPr>
      </w:pPr>
      <w:bookmarkStart w:id="5" w:name="Text15"/>
      <w:r>
        <w:rPr>
          <w:rFonts w:ascii="Times New Roman" w:hAnsi="Times New Roman"/>
          <w:sz w:val="20"/>
          <w:szCs w:val="20"/>
        </w:rPr>
        <w:fldChar w:fldCharType="begin">
          <w:ffData>
            <w:name w:val="Text15"/>
            <w:enabled/>
            <w:calcOnExit w:val="0"/>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 &lt;IEEE Project Number, IEEE Project Title&gt;                                   </w:t>
      </w:r>
      <w:r>
        <w:rPr>
          <w:rFonts w:ascii="Times New Roman" w:hAnsi="Times New Roman"/>
          <w:sz w:val="20"/>
          <w:szCs w:val="20"/>
        </w:rPr>
        <w:fldChar w:fldCharType="end"/>
      </w:r>
      <w:bookmarkEnd w:id="5"/>
      <w:r>
        <w:rPr>
          <w:rFonts w:ascii="Times New Roman" w:hAnsi="Times New Roman"/>
          <w:sz w:val="20"/>
          <w:szCs w:val="20"/>
        </w:rPr>
        <w:t xml:space="preserve">                  </w:t>
      </w:r>
    </w:p>
    <w:p w14:paraId="367ED2A5">
      <w:pPr>
        <w:autoSpaceDE w:val="0"/>
        <w:autoSpaceDN w:val="0"/>
        <w:adjustRightInd w:val="0"/>
        <w:spacing w:line="360" w:lineRule="auto"/>
        <w:rPr>
          <w:rFonts w:ascii="Times New Roman" w:hAnsi="Times New Roman"/>
          <w:sz w:val="16"/>
          <w:szCs w:val="16"/>
        </w:rPr>
      </w:pPr>
      <w:bookmarkStart w:id="6" w:name="Text16"/>
      <w:r>
        <w:rPr>
          <w:rFonts w:ascii="Times New Roman" w:hAnsi="Times New Roman"/>
          <w:sz w:val="20"/>
          <w:szCs w:val="20"/>
        </w:rPr>
        <w:fldChar w:fldCharType="begin">
          <w:ffData>
            <w:name w:val="Text16"/>
            <w:enabled/>
            <w:calcOnExit w:val="0"/>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  &lt;Title, Author(s), Year of Publication, Copyright Holder&gt;                       </w:t>
      </w:r>
      <w:r>
        <w:rPr>
          <w:rFonts w:ascii="Times New Roman" w:hAnsi="Times New Roman"/>
          <w:sz w:val="20"/>
          <w:szCs w:val="20"/>
        </w:rPr>
        <w:fldChar w:fldCharType="end"/>
      </w:r>
      <w:bookmarkEnd w:id="6"/>
      <w:r>
        <w:rPr>
          <w:rFonts w:ascii="Times New Roman" w:hAnsi="Times New Roman"/>
          <w:sz w:val="20"/>
          <w:szCs w:val="20"/>
        </w:rPr>
        <w:t xml:space="preserve">                            </w:t>
      </w:r>
    </w:p>
    <w:p w14:paraId="3A63E6D9">
      <w:pPr>
        <w:autoSpaceDE w:val="0"/>
        <w:autoSpaceDN w:val="0"/>
        <w:adjustRightInd w:val="0"/>
        <w:spacing w:line="360" w:lineRule="auto"/>
        <w:rPr>
          <w:rFonts w:ascii="Times New Roman" w:hAnsi="Times New Roman"/>
          <w:sz w:val="16"/>
          <w:szCs w:val="16"/>
        </w:rPr>
      </w:pPr>
      <w:r>
        <w:rPr>
          <w:rFonts w:ascii="Times New Roman" w:hAnsi="Times New Roman"/>
          <w:sz w:val="20"/>
          <w:szCs w:val="20"/>
        </w:rPr>
        <w:fldChar w:fldCharType="begin">
          <w:ffData>
            <w:name w:val="Text10"/>
            <w:enabled/>
            <w:calcOnExit w:val="0"/>
            <w:textInput>
              <w:default w:val="&lt;Page Number, Reference Number to Clauses, or pages to be Used, or Technical Area within the Document that is of Interest (Be as specific as possible)&gt;"/>
            </w:textInput>
          </w:ffData>
        </w:fldChar>
      </w:r>
      <w:permStart w:id="3" w:edGrp="everyone"/>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&lt;Page Number, Reference Number to Clauses, or pages to be Used, or Technical Area within the Document that is of Interest (Be as specific as possible)&gt;</w:t>
      </w:r>
      <w:r>
        <w:rPr>
          <w:rFonts w:ascii="Times New Roman" w:hAnsi="Times New Roman"/>
          <w:sz w:val="20"/>
          <w:szCs w:val="20"/>
        </w:rPr>
        <w:fldChar w:fldCharType="end"/>
      </w:r>
      <w:permEnd w:id="3"/>
    </w:p>
    <w:p w14:paraId="259BE3AE">
      <w:pPr>
        <w:autoSpaceDE w:val="0"/>
        <w:autoSpaceDN w:val="0"/>
        <w:adjustRightInd w:val="0"/>
        <w:spacing w:line="360" w:lineRule="auto"/>
        <w:rPr>
          <w:rFonts w:ascii="Times New Roman" w:hAnsi="Times New Roman"/>
          <w:sz w:val="20"/>
          <w:szCs w:val="20"/>
        </w:rPr>
      </w:pPr>
      <w:r>
        <w:rPr>
          <w:rFonts w:ascii="Times New Roman" w:hAnsi="Times New Roman"/>
          <w:sz w:val="20"/>
          <w:szCs w:val="20"/>
        </w:rPr>
        <w:t>Non-exclusive, irrevocable, royalty-free permission to use this material is granted to IEEE for world rights distribution, with permission to reprint in all future revisions and editions of the resulting draft and approved IEEE standard, and in derivative works based on the standard, in all media known or hereinafter known.</w:t>
      </w:r>
    </w:p>
    <w:p w14:paraId="687A63AC">
      <w:pPr>
        <w:autoSpaceDE w:val="0"/>
        <w:autoSpaceDN w:val="0"/>
        <w:adjustRightInd w:val="0"/>
        <w:spacing w:line="360" w:lineRule="auto"/>
        <w:rPr>
          <w:rFonts w:ascii="Times New Roman" w:hAnsi="Times New Roman"/>
          <w:sz w:val="20"/>
          <w:szCs w:val="20"/>
        </w:rPr>
      </w:pPr>
      <w:r>
        <w:rPr>
          <w:rFonts w:ascii="Times New Roman" w:hAnsi="Times New Roman"/>
          <w:sz w:val="20"/>
          <w:szCs w:val="20"/>
        </w:rPr>
        <w:t>Digital Signature:</w:t>
      </w:r>
    </w:p>
    <w:p w14:paraId="3A4EB90B">
      <w:pPr>
        <w:autoSpaceDE w:val="0"/>
        <w:autoSpaceDN w:val="0"/>
        <w:adjustRightInd w:val="0"/>
        <w:spacing w:line="360" w:lineRule="auto"/>
        <w:rPr>
          <w:rFonts w:ascii="Times New Roman" w:hAnsi="Times New Roman"/>
          <w:sz w:val="20"/>
          <w:szCs w:val="20"/>
        </w:rPr>
      </w:pPr>
      <w:bookmarkStart w:id="7" w:name="Text12"/>
      <w:permStart w:id="4" w:edGrp="everyone"/>
      <w:r>
        <w:rPr>
          <w:rFonts w:ascii="Times New Roman" w:hAnsi="Times New Roman"/>
          <w:sz w:val="20"/>
          <w:szCs w:val="20"/>
        </w:rPr>
        <w:pict>
          <v:shape id="_x0000_i1025" o:spt="75" alt="Microsoft Office 签名行​​..." type="#_x0000_t75" style="height:57pt;width:141pt;" filled="f" o:preferrelative="t" stroked="f" coordsize="21600,21600">
            <v:path/>
            <v:fill on="f" focussize="0,0"/>
            <v:stroke on="f" joinstyle="miter"/>
            <v:imagedata r:id="rId8" o:title=""/>
            <o:lock v:ext="edit" grouping="t" rotation="t" cropping="t" text="t" aspectratio="t"/>
            <w10:wrap type="none"/>
            <w10:anchorlock/>
          </v:shape>
        </w:pict>
      </w:r>
      <w:r>
        <w:rPr>
          <w:rFonts w:ascii="Times New Roman" w:hAnsi="Times New Roman"/>
          <w:sz w:val="20"/>
          <w:szCs w:val="20"/>
        </w:rPr>
        <w:t xml:space="preserve">           </w:t>
      </w:r>
      <w:r>
        <w:rPr>
          <w:rFonts w:ascii="Times New Roman" w:hAnsi="Times New Roman"/>
          <w:sz w:val="20"/>
          <w:szCs w:val="20"/>
        </w:rPr>
        <w:fldChar w:fldCharType="begin">
          <w:ffData>
            <w:enabled/>
            <w:calcOnExit w:val="0"/>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 &lt;Date&gt;                                    </w:t>
      </w:r>
      <w:r>
        <w:rPr>
          <w:rFonts w:ascii="Times New Roman" w:hAnsi="Times New Roman"/>
          <w:sz w:val="20"/>
          <w:szCs w:val="20"/>
        </w:rPr>
        <w:fldChar w:fldCharType="end"/>
      </w:r>
      <w:bookmarkEnd w:id="7"/>
    </w:p>
    <w:p w14:paraId="791DA2A0">
      <w:pPr>
        <w:autoSpaceDE w:val="0"/>
        <w:autoSpaceDN w:val="0"/>
        <w:adjustRightInd w:val="0"/>
        <w:spacing w:line="360" w:lineRule="auto"/>
        <w:rPr>
          <w:rFonts w:ascii="Times New Roman" w:hAnsi="Times New Roman"/>
          <w:sz w:val="20"/>
          <w:szCs w:val="20"/>
        </w:rPr>
      </w:pPr>
      <w:r>
        <w:rPr>
          <w:rFonts w:ascii="Times New Roman" w:hAnsi="Times New Roman"/>
          <w:sz w:val="20"/>
          <w:szCs w:val="20"/>
        </w:rPr>
        <w:fldChar w:fldCharType="begin">
          <w:ffData>
            <w:name w:val="Text5"/>
            <w:enabled/>
            <w:calcOnExit w:val="0"/>
            <w:textInput>
              <w:default w:val="&lt;Title&gt;"/>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&lt;Title&gt;</w:t>
      </w:r>
      <w:r>
        <w:rPr>
          <w:rFonts w:ascii="Times New Roman" w:hAnsi="Times New Roman"/>
          <w:sz w:val="20"/>
          <w:szCs w:val="20"/>
        </w:rPr>
        <w:fldChar w:fldCharType="end"/>
      </w:r>
      <w:r>
        <w:rPr>
          <w:rFonts w:ascii="Times New Roman" w:hAnsi="Times New Roman"/>
          <w:sz w:val="20"/>
          <w:szCs w:val="20"/>
        </w:rPr>
        <w:t xml:space="preserve">, </w:t>
      </w:r>
      <w:r>
        <w:rPr>
          <w:rFonts w:ascii="Times New Roman" w:hAnsi="Times New Roman"/>
          <w:sz w:val="20"/>
          <w:szCs w:val="20"/>
        </w:rPr>
        <w:fldChar w:fldCharType="begin">
          <w:ffData>
            <w:enabled/>
            <w:calcOnExit w:val="0"/>
            <w:textInput>
              <w:default w:val="&lt;Affiliation&gt;"/>
            </w:textInput>
          </w:ffData>
        </w:fldChar>
      </w:r>
      <w:r>
        <w:rPr>
          <w:rFonts w:ascii="Times New Roman" w:hAnsi="Times New Roman"/>
          <w:sz w:val="20"/>
          <w:szCs w:val="20"/>
        </w:rPr>
        <w:instrText xml:space="preserve"> FORMTEXT </w:instrText>
      </w:r>
      <w:r>
        <w:rPr>
          <w:rFonts w:ascii="Times New Roman" w:hAnsi="Times New Roman"/>
          <w:sz w:val="20"/>
          <w:szCs w:val="20"/>
        </w:rPr>
        <w:fldChar w:fldCharType="separate"/>
      </w:r>
      <w:r>
        <w:rPr>
          <w:rFonts w:ascii="Times New Roman" w:hAnsi="Times New Roman"/>
          <w:sz w:val="20"/>
          <w:szCs w:val="20"/>
        </w:rPr>
        <w:t>&lt;Affiliation&gt;</w:t>
      </w:r>
      <w:r>
        <w:rPr>
          <w:rFonts w:ascii="Times New Roman" w:hAnsi="Times New Roman"/>
          <w:sz w:val="20"/>
          <w:szCs w:val="20"/>
        </w:rPr>
        <w:fldChar w:fldCharType="end"/>
      </w:r>
    </w:p>
    <w:permEnd w:id="4"/>
    <w:p w14:paraId="00F4C6D8">
      <w:pPr>
        <w:autoSpaceDE w:val="0"/>
        <w:autoSpaceDN w:val="0"/>
        <w:adjustRightInd w:val="0"/>
        <w:spacing w:line="360" w:lineRule="auto"/>
        <w:rPr>
          <w:rFonts w:ascii="Times New Roman" w:hAnsi="Times New Roman"/>
          <w:sz w:val="20"/>
          <w:szCs w:val="20"/>
        </w:rPr>
      </w:pPr>
    </w:p>
    <w:p w14:paraId="497D038A">
      <w:pPr>
        <w:autoSpaceDE w:val="0"/>
        <w:autoSpaceDN w:val="0"/>
        <w:adjustRightInd w:val="0"/>
        <w:spacing w:line="360" w:lineRule="auto"/>
        <w:rPr>
          <w:rFonts w:ascii="Times New Roman" w:hAnsi="Times New Roman"/>
          <w:color w:val="000000"/>
          <w:sz w:val="20"/>
          <w:szCs w:val="20"/>
        </w:rPr>
      </w:pPr>
      <w:bookmarkStart w:id="8" w:name="Text14"/>
      <w:r>
        <w:rPr>
          <w:rFonts w:ascii="Times New Roman" w:hAnsi="Times New Roman"/>
          <w:color w:val="000000"/>
          <w:sz w:val="20"/>
          <w:szCs w:val="20"/>
        </w:rPr>
        <w:t>The following acknowledgment requirements should be met:</w:t>
      </w:r>
    </w:p>
    <w:p w14:paraId="5BFDB261">
      <w:pPr>
        <w:autoSpaceDE w:val="0"/>
        <w:autoSpaceDN w:val="0"/>
        <w:adjustRightInd w:val="0"/>
        <w:spacing w:line="360" w:lineRule="auto"/>
        <w:ind w:left="720"/>
        <w:rPr>
          <w:rFonts w:ascii="Times New Roman" w:hAnsi="Times New Roman"/>
          <w:color w:val="000000"/>
          <w:sz w:val="20"/>
          <w:szCs w:val="20"/>
        </w:rPr>
      </w:pPr>
      <w:r>
        <w:rPr>
          <w:rFonts w:ascii="Times New Roman" w:hAnsi="Times New Roman"/>
          <w:color w:val="000000"/>
          <w:sz w:val="20"/>
          <w:szCs w:val="20"/>
        </w:rPr>
        <w:fldChar w:fldCharType="begin">
          <w:ffData>
            <w:name w:val="Check1"/>
            <w:enabled/>
            <w:calcOnExit w:val="0"/>
            <w:checkBox>
              <w:sizeAuto/>
              <w:default w:val="0"/>
              <w:checked w:val="0"/>
            </w:checkBox>
          </w:ffData>
        </w:fldChar>
      </w:r>
      <w:permStart w:id="5" w:edGrp="everyone"/>
      <w:r>
        <w:rPr>
          <w:rFonts w:ascii="Times New Roman" w:hAnsi="Times New Roman"/>
          <w:color w:val="000000"/>
          <w:sz w:val="20"/>
          <w:szCs w:val="20"/>
        </w:rPr>
        <w:instrText xml:space="preserve"> FORMCHECKBOX </w:instrText>
      </w:r>
      <w:r>
        <w:rPr>
          <w:rFonts w:ascii="Times New Roman" w:hAnsi="Times New Roman"/>
          <w:color w:val="000000"/>
          <w:sz w:val="20"/>
          <w:szCs w:val="20"/>
        </w:rPr>
        <w:fldChar w:fldCharType="separate"/>
      </w:r>
      <w:r>
        <w:rPr>
          <w:rFonts w:ascii="Times New Roman" w:hAnsi="Times New Roman"/>
          <w:color w:val="000000"/>
          <w:sz w:val="20"/>
          <w:szCs w:val="20"/>
        </w:rPr>
        <w:fldChar w:fldCharType="end"/>
      </w:r>
      <w:r>
        <w:rPr>
          <w:rFonts w:ascii="Times New Roman" w:hAnsi="Times New Roman"/>
          <w:color w:val="000000"/>
          <w:sz w:val="20"/>
          <w:szCs w:val="20"/>
        </w:rPr>
        <w:t xml:space="preserve"> </w:t>
      </w:r>
      <w:permEnd w:id="5"/>
      <w:r>
        <w:rPr>
          <w:rFonts w:ascii="Times New Roman" w:hAnsi="Times New Roman"/>
          <w:color w:val="000000"/>
          <w:sz w:val="20"/>
          <w:szCs w:val="20"/>
        </w:rPr>
        <w:t>Include an acknowledgment in the front matter and use the standard IEEE attribution footnote as shown:</w:t>
      </w:r>
    </w:p>
    <w:p w14:paraId="2EB11219">
      <w:pPr>
        <w:autoSpaceDE w:val="0"/>
        <w:autoSpaceDN w:val="0"/>
        <w:adjustRightInd w:val="0"/>
        <w:spacing w:line="360" w:lineRule="auto"/>
        <w:ind w:left="720"/>
        <w:rPr>
          <w:rFonts w:ascii="Times New Roman" w:hAnsi="Times New Roman"/>
          <w:color w:val="000000"/>
          <w:sz w:val="20"/>
          <w:szCs w:val="20"/>
        </w:rPr>
      </w:pPr>
      <w:r>
        <w:rPr>
          <w:rFonts w:ascii="Times New Roman" w:hAnsi="Times New Roman"/>
          <w:color w:val="000000"/>
          <w:sz w:val="20"/>
          <w:szCs w:val="20"/>
        </w:rPr>
        <w:t>&lt;Material&gt; reprinted with permission from &lt;copyright owner&gt;, &lt;title of work from which material is excerpted&gt;, © &lt;copyright year&gt;.</w:t>
      </w:r>
    </w:p>
    <w:p w14:paraId="5A102145">
      <w:pPr>
        <w:autoSpaceDE w:val="0"/>
        <w:autoSpaceDN w:val="0"/>
        <w:adjustRightInd w:val="0"/>
        <w:spacing w:line="360" w:lineRule="auto"/>
        <w:ind w:left="720"/>
        <w:rPr>
          <w:rFonts w:ascii="Times New Roman" w:hAnsi="Times New Roman"/>
          <w:color w:val="000000"/>
          <w:sz w:val="20"/>
          <w:szCs w:val="20"/>
        </w:rPr>
      </w:pPr>
      <w:r>
        <w:rPr>
          <w:rFonts w:ascii="Times New Roman" w:hAnsi="Times New Roman"/>
          <w:color w:val="000000"/>
          <w:sz w:val="20"/>
          <w:szCs w:val="20"/>
        </w:rPr>
        <w:fldChar w:fldCharType="begin">
          <w:ffData>
            <w:name w:val="Check2"/>
            <w:enabled/>
            <w:calcOnExit w:val="0"/>
            <w:checkBox>
              <w:sizeAuto/>
              <w:default w:val="0"/>
              <w:checked w:val="0"/>
            </w:checkBox>
          </w:ffData>
        </w:fldChar>
      </w:r>
      <w:permStart w:id="6" w:edGrp="everyone"/>
      <w:r>
        <w:rPr>
          <w:rFonts w:ascii="Times New Roman" w:hAnsi="Times New Roman"/>
          <w:color w:val="000000"/>
          <w:sz w:val="20"/>
          <w:szCs w:val="20"/>
        </w:rPr>
        <w:instrText xml:space="preserve"> FORMCHECKBOX </w:instrText>
      </w:r>
      <w:r>
        <w:rPr>
          <w:rFonts w:ascii="Times New Roman" w:hAnsi="Times New Roman"/>
          <w:color w:val="000000"/>
          <w:sz w:val="20"/>
          <w:szCs w:val="20"/>
        </w:rPr>
        <w:fldChar w:fldCharType="separate"/>
      </w:r>
      <w:r>
        <w:rPr>
          <w:rFonts w:ascii="Times New Roman" w:hAnsi="Times New Roman"/>
          <w:color w:val="000000"/>
          <w:sz w:val="20"/>
          <w:szCs w:val="20"/>
        </w:rPr>
        <w:fldChar w:fldCharType="end"/>
      </w:r>
      <w:r>
        <w:rPr>
          <w:rFonts w:ascii="Times New Roman" w:hAnsi="Times New Roman"/>
          <w:color w:val="000000"/>
          <w:sz w:val="20"/>
          <w:szCs w:val="20"/>
        </w:rPr>
        <w:t xml:space="preserve"> </w:t>
      </w:r>
      <w:permEnd w:id="6"/>
      <w:r>
        <w:rPr>
          <w:rFonts w:ascii="Times New Roman" w:hAnsi="Times New Roman"/>
          <w:color w:val="000000"/>
          <w:sz w:val="20"/>
          <w:szCs w:val="20"/>
        </w:rPr>
        <w:t>Include the specific attribution or front matter acknowledgment shown below:</w:t>
      </w:r>
    </w:p>
    <w:p w14:paraId="37D94C41">
      <w:pPr>
        <w:autoSpaceDE w:val="0"/>
        <w:autoSpaceDN w:val="0"/>
        <w:adjustRightInd w:val="0"/>
        <w:spacing w:line="360" w:lineRule="auto"/>
        <w:ind w:left="720"/>
        <w:rPr>
          <w:rFonts w:ascii="Times New Roman" w:hAnsi="Times New Roman"/>
          <w:color w:val="000000"/>
          <w:sz w:val="20"/>
          <w:szCs w:val="20"/>
        </w:rPr>
      </w:pPr>
      <w:r>
        <w:rPr>
          <w:rFonts w:ascii="Times New Roman" w:hAnsi="Times New Roman"/>
          <w:color w:val="000000"/>
          <w:sz w:val="20"/>
          <w:szCs w:val="20"/>
          <w:shd w:val="clear" w:color="FFFFFF" w:fill="D9D9D9"/>
        </w:rPr>
        <w:t xml:space="preserve">                                                                            </w:t>
      </w:r>
    </w:p>
    <w:p w14:paraId="264F1A94">
      <w:pPr>
        <w:autoSpaceDE w:val="0"/>
        <w:autoSpaceDN w:val="0"/>
        <w:adjustRightInd w:val="0"/>
        <w:spacing w:line="360" w:lineRule="auto"/>
        <w:ind w:left="720"/>
        <w:rPr>
          <w:rFonts w:ascii="Times New Roman" w:hAnsi="Times New Roman"/>
          <w:color w:val="000000"/>
          <w:sz w:val="20"/>
          <w:szCs w:val="20"/>
        </w:rPr>
      </w:pPr>
      <w:r>
        <w:rPr>
          <w:rFonts w:ascii="Times New Roman" w:hAnsi="Times New Roman"/>
          <w:color w:val="000000"/>
          <w:sz w:val="20"/>
          <w:szCs w:val="20"/>
        </w:rPr>
        <w:fldChar w:fldCharType="begin">
          <w:ffData>
            <w:name w:val="Check3"/>
            <w:enabled/>
            <w:calcOnExit w:val="0"/>
            <w:checkBox>
              <w:sizeAuto/>
              <w:default w:val="0"/>
              <w:checked w:val="0"/>
            </w:checkBox>
          </w:ffData>
        </w:fldChar>
      </w:r>
      <w:permStart w:id="7" w:edGrp="everyone"/>
      <w:r>
        <w:rPr>
          <w:rFonts w:ascii="Times New Roman" w:hAnsi="Times New Roman"/>
          <w:color w:val="000000"/>
          <w:sz w:val="20"/>
          <w:szCs w:val="20"/>
        </w:rPr>
        <w:instrText xml:space="preserve"> FORMCHECKBOX </w:instrText>
      </w:r>
      <w:r>
        <w:rPr>
          <w:rFonts w:ascii="Times New Roman" w:hAnsi="Times New Roman"/>
          <w:color w:val="000000"/>
          <w:sz w:val="20"/>
          <w:szCs w:val="20"/>
        </w:rPr>
        <w:fldChar w:fldCharType="separate"/>
      </w:r>
      <w:r>
        <w:rPr>
          <w:rFonts w:ascii="Times New Roman" w:hAnsi="Times New Roman"/>
          <w:color w:val="000000"/>
          <w:sz w:val="20"/>
          <w:szCs w:val="20"/>
        </w:rPr>
        <w:fldChar w:fldCharType="end"/>
      </w:r>
      <w:permEnd w:id="7"/>
      <w:r>
        <w:rPr>
          <w:rFonts w:ascii="Times New Roman" w:hAnsi="Times New Roman"/>
          <w:color w:val="000000"/>
          <w:sz w:val="20"/>
          <w:szCs w:val="20"/>
        </w:rPr>
        <w:t xml:space="preserve"> Additional requirements are listed below:</w:t>
      </w:r>
    </w:p>
    <w:bookmarkEnd w:id="8"/>
    <w:p w14:paraId="43BB65C0">
      <w:pPr>
        <w:autoSpaceDE w:val="0"/>
        <w:autoSpaceDN w:val="0"/>
        <w:adjustRightInd w:val="0"/>
        <w:spacing w:line="360" w:lineRule="auto"/>
        <w:ind w:left="720"/>
        <w:rPr>
          <w:rFonts w:ascii="Times New Roman" w:hAnsi="Times New Roman"/>
          <w:color w:val="000000"/>
          <w:sz w:val="20"/>
          <w:szCs w:val="20"/>
          <w:shd w:val="clear" w:color="FFFFFF" w:fill="D9D9D9"/>
        </w:rPr>
      </w:pPr>
      <w:permStart w:id="8" w:edGrp="everyone"/>
      <w:r>
        <w:rPr>
          <w:rFonts w:ascii="Times New Roman" w:hAnsi="Times New Roman"/>
          <w:color w:val="000000"/>
          <w:sz w:val="20"/>
          <w:szCs w:val="20"/>
          <w:shd w:val="clear" w:color="FFFFFF" w:fill="D9D9D9"/>
        </w:rPr>
        <w:t xml:space="preserve">                                                                            </w:t>
      </w:r>
    </w:p>
    <w:permEnd w:id="8"/>
    <w:p w14:paraId="073B4341">
      <w:pPr>
        <w:tabs>
          <w:tab w:val="left" w:pos="1350"/>
        </w:tabs>
        <w:spacing w:before="312" w:beforeLines="100" w:line="360" w:lineRule="auto"/>
        <w:jc w:val="left"/>
        <w:rPr>
          <w:sz w:val="24"/>
        </w:rPr>
        <w:sectPr>
          <w:pgSz w:w="11906" w:h="16838"/>
          <w:pgMar w:top="1440" w:right="1800" w:bottom="1440" w:left="1800" w:header="851" w:footer="992" w:gutter="0"/>
          <w:cols w:space="425" w:num="1"/>
          <w:docGrid w:type="lines" w:linePitch="312" w:charSpace="0"/>
        </w:sect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4"/>
        <w:gridCol w:w="1852"/>
      </w:tblGrid>
      <w:tr w14:paraId="3499ADE5">
        <w:trPr>
          <w:trHeight w:val="508" w:hRule="atLeast"/>
        </w:trPr>
        <w:tc>
          <w:tcPr>
            <w:tcW w:w="8296" w:type="dxa"/>
            <w:gridSpan w:val="2"/>
            <w:vAlign w:val="center"/>
          </w:tcPr>
          <w:p w14:paraId="078FD98D">
            <w:pPr>
              <w:tabs>
                <w:tab w:val="left" w:pos="1350"/>
              </w:tabs>
              <w:spacing w:line="360" w:lineRule="auto"/>
              <w:jc w:val="center"/>
              <w:rPr>
                <w:sz w:val="28"/>
                <w:szCs w:val="28"/>
              </w:rPr>
            </w:pPr>
            <w:r>
              <w:rPr>
                <w:rFonts w:hint="eastAsia"/>
                <w:sz w:val="28"/>
                <w:szCs w:val="28"/>
              </w:rPr>
              <w:t>P</w:t>
            </w:r>
            <w:r>
              <w:rPr>
                <w:sz w:val="28"/>
                <w:szCs w:val="28"/>
              </w:rPr>
              <w:t>atent Claim</w:t>
            </w:r>
          </w:p>
        </w:tc>
      </w:tr>
      <w:tr w14:paraId="64FBEF73">
        <w:trPr>
          <w:trHeight w:val="508" w:hRule="atLeast"/>
        </w:trPr>
        <w:tc>
          <w:tcPr>
            <w:tcW w:w="6444" w:type="dxa"/>
            <w:vAlign w:val="center"/>
          </w:tcPr>
          <w:p w14:paraId="06B10276">
            <w:pPr>
              <w:tabs>
                <w:tab w:val="left" w:pos="1350"/>
              </w:tabs>
              <w:spacing w:line="360" w:lineRule="auto"/>
              <w:rPr>
                <w:sz w:val="20"/>
                <w:szCs w:val="20"/>
              </w:rPr>
            </w:pPr>
            <w:r>
              <w:rPr>
                <w:rFonts w:hint="eastAsia"/>
                <w:sz w:val="20"/>
                <w:szCs w:val="20"/>
              </w:rPr>
              <w:t>I, as the Submitter, am not aware of any patent claims that I may know, own, control, or have the ability to license that might be or become essential patent claims.</w:t>
            </w:r>
          </w:p>
        </w:tc>
        <w:tc>
          <w:tcPr>
            <w:tcW w:w="1852" w:type="dxa"/>
            <w:vAlign w:val="center"/>
          </w:tcPr>
          <w:p w14:paraId="4FB81B4B">
            <w:pPr>
              <w:tabs>
                <w:tab w:val="left" w:pos="1350"/>
              </w:tabs>
              <w:spacing w:line="360" w:lineRule="auto"/>
              <w:rPr>
                <w:sz w:val="24"/>
              </w:rPr>
            </w:pPr>
            <w:permStart w:id="9" w:edGrp="everyone"/>
            <w:r>
              <w:rPr>
                <w:sz w:val="22"/>
              </w:rPr>
              <w:sym w:font="Wingdings 2" w:char="F052"/>
            </w:r>
            <w:r>
              <w:rPr>
                <w:rFonts w:hint="eastAsia"/>
                <w:sz w:val="20"/>
                <w:szCs w:val="20"/>
              </w:rPr>
              <w:t xml:space="preserve">True  </w:t>
            </w:r>
            <w:r>
              <w:rPr>
                <w:sz w:val="20"/>
                <w:szCs w:val="20"/>
              </w:rPr>
              <w:sym w:font="Wingdings 2" w:char="00A3"/>
            </w:r>
            <w:r>
              <w:rPr>
                <w:rFonts w:hint="eastAsia"/>
                <w:sz w:val="20"/>
                <w:szCs w:val="20"/>
              </w:rPr>
              <w:t>False</w:t>
            </w:r>
            <w:permEnd w:id="9"/>
          </w:p>
        </w:tc>
      </w:tr>
    </w:tbl>
    <w:p w14:paraId="301DFB80">
      <w:pPr>
        <w:tabs>
          <w:tab w:val="left" w:pos="1350"/>
        </w:tabs>
        <w:spacing w:line="360" w:lineRule="auto"/>
        <w:jc w:val="left"/>
        <w:rPr>
          <w:i/>
          <w:iCs/>
          <w:color w:val="FF0000"/>
          <w:sz w:val="20"/>
          <w:szCs w:val="20"/>
        </w:rPr>
      </w:pPr>
      <w:r>
        <w:rPr>
          <w:rFonts w:hint="eastAsia"/>
          <w:i/>
          <w:iCs/>
          <w:color w:val="FF0000"/>
          <w:sz w:val="20"/>
          <w:szCs w:val="20"/>
        </w:rPr>
        <w:t xml:space="preserve">If the answer is </w:t>
      </w:r>
      <w:r>
        <w:rPr>
          <w:i/>
          <w:iCs/>
          <w:color w:val="FF0000"/>
          <w:sz w:val="20"/>
          <w:szCs w:val="20"/>
        </w:rPr>
        <w:t>“</w:t>
      </w:r>
      <w:r>
        <w:rPr>
          <w:rFonts w:hint="eastAsia"/>
          <w:i/>
          <w:iCs/>
          <w:color w:val="FF0000"/>
          <w:sz w:val="20"/>
          <w:szCs w:val="20"/>
        </w:rPr>
        <w:t>False</w:t>
      </w:r>
      <w:r>
        <w:rPr>
          <w:i/>
          <w:iCs/>
          <w:color w:val="FF0000"/>
          <w:sz w:val="20"/>
          <w:szCs w:val="20"/>
        </w:rPr>
        <w:t>”</w:t>
      </w:r>
      <w:r>
        <w:rPr>
          <w:rFonts w:hint="eastAsia"/>
          <w:i/>
          <w:iCs/>
          <w:color w:val="FF0000"/>
          <w:sz w:val="20"/>
          <w:szCs w:val="20"/>
        </w:rPr>
        <w:t>, please f</w:t>
      </w:r>
      <w:r>
        <w:rPr>
          <w:i/>
          <w:iCs/>
          <w:color w:val="FF0000"/>
          <w:sz w:val="20"/>
          <w:szCs w:val="20"/>
        </w:rPr>
        <w:t xml:space="preserve">ill the PDF in </w:t>
      </w:r>
      <w:r>
        <w:fldChar w:fldCharType="begin"/>
      </w:r>
      <w:r>
        <w:instrText xml:space="preserve"> HYPERLINK "https://mentor.ieee.org/myproject/Public/mytools/mob/loa.pdf" </w:instrText>
      </w:r>
      <w:r>
        <w:fldChar w:fldCharType="separate"/>
      </w:r>
      <w:r>
        <w:rPr>
          <w:rStyle w:val="24"/>
          <w:i/>
          <w:iCs/>
          <w:sz w:val="20"/>
          <w:szCs w:val="20"/>
        </w:rPr>
        <w:t>https://mentor.ieee.org/myproject/Public/mytools/mob/loa.pdf</w:t>
      </w:r>
      <w:r>
        <w:rPr>
          <w:rStyle w:val="24"/>
          <w:i/>
          <w:iCs/>
          <w:sz w:val="20"/>
          <w:szCs w:val="20"/>
        </w:rPr>
        <w:fldChar w:fldCharType="end"/>
      </w:r>
      <w:r>
        <w:rPr>
          <w:i/>
          <w:iCs/>
          <w:color w:val="FF0000"/>
          <w:sz w:val="20"/>
          <w:szCs w:val="20"/>
        </w:rPr>
        <w:t xml:space="preserve"> and send it to </w:t>
      </w:r>
      <w:r>
        <w:fldChar w:fldCharType="begin"/>
      </w:r>
      <w:r>
        <w:instrText xml:space="preserve"> HYPERLINK "mailto:patcom@ieee.org" </w:instrText>
      </w:r>
      <w:r>
        <w:fldChar w:fldCharType="separate"/>
      </w:r>
      <w:r>
        <w:rPr>
          <w:rStyle w:val="24"/>
          <w:i/>
          <w:iCs/>
          <w:sz w:val="20"/>
          <w:szCs w:val="20"/>
        </w:rPr>
        <w:t>patcom@ieee.org</w:t>
      </w:r>
      <w:r>
        <w:rPr>
          <w:rStyle w:val="24"/>
          <w:i/>
          <w:iCs/>
          <w:sz w:val="20"/>
          <w:szCs w:val="20"/>
        </w:rPr>
        <w:fldChar w:fldCharType="end"/>
      </w:r>
      <w:r>
        <w:rPr>
          <w:i/>
          <w:iCs/>
          <w:color w:val="FF0000"/>
          <w:sz w:val="20"/>
          <w:szCs w:val="20"/>
        </w:rPr>
        <w:t xml:space="preserve">, </w:t>
      </w:r>
      <w:r>
        <w:rPr>
          <w:rFonts w:hint="eastAsia"/>
          <w:i/>
          <w:iCs/>
          <w:color w:val="FF0000"/>
          <w:sz w:val="20"/>
          <w:szCs w:val="20"/>
        </w:rPr>
        <w:t>CC</w:t>
      </w:r>
      <w:r>
        <w:rPr>
          <w:i/>
          <w:iCs/>
          <w:color w:val="FF0000"/>
          <w:sz w:val="20"/>
          <w:szCs w:val="20"/>
        </w:rPr>
        <w:t xml:space="preserve"> to </w:t>
      </w:r>
      <w:r>
        <w:rPr>
          <w:rStyle w:val="24"/>
          <w:rFonts w:hint="eastAsia" w:ascii="Times New Roman" w:hAnsi="Times New Roman"/>
          <w:i/>
          <w:iCs/>
          <w:sz w:val="20"/>
          <w:szCs w:val="20"/>
        </w:rPr>
        <w:t>LXie5201@outlook.com</w:t>
      </w:r>
      <w:r>
        <w:rPr>
          <w:i/>
          <w:iCs/>
          <w:color w:val="FF0000"/>
          <w:sz w:val="20"/>
          <w:szCs w:val="20"/>
        </w:rPr>
        <w:t>.</w:t>
      </w:r>
    </w:p>
    <w:p w14:paraId="0946267C">
      <w:pPr>
        <w:spacing w:line="360" w:lineRule="auto"/>
        <w:rPr>
          <w:shd w:val="pct10" w:color="auto" w:fill="FFFFFF"/>
        </w:rPr>
      </w:pPr>
    </w:p>
    <w:p w14:paraId="633F1360">
      <w:pPr>
        <w:spacing w:line="360" w:lineRule="auto"/>
        <w:rPr>
          <w:shd w:val="pct10" w:color="auto" w:fill="FFFFFF"/>
        </w:rPr>
      </w:pPr>
      <w:r>
        <w:rPr>
          <w:shd w:val="pct10" w:color="auto" w:fill="FFFFFF"/>
        </w:rPr>
        <w:t>THE END OF THIS CONTRIBUTION</w:t>
      </w:r>
    </w:p>
    <w:p w14:paraId="05D729C9">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汉仪中黑KW">
    <w:panose1 w:val="00020600040101010101"/>
    <w:charset w:val="86"/>
    <w:family w:val="auto"/>
    <w:pitch w:val="default"/>
    <w:sig w:usb0="A00002BF" w:usb1="18EF7CFA" w:usb2="00000016" w:usb3="00000000" w:csb0="00040000" w:csb1="00000000"/>
  </w:font>
  <w:font w:name="Segoe UI">
    <w:altName w:val="苹方-简"/>
    <w:panose1 w:val="020B0502040204020203"/>
    <w:charset w:val="00"/>
    <w:family w:val="swiss"/>
    <w:pitch w:val="default"/>
    <w:sig w:usb0="00000000" w:usb1="00000000" w:usb2="00000009" w:usb3="00000000" w:csb0="200001FF" w:csb1="00000000"/>
  </w:font>
  <w:font w:name="苹方-简">
    <w:panose1 w:val="020B0400000000000000"/>
    <w:charset w:val="86"/>
    <w:family w:val="auto"/>
    <w:pitch w:val="default"/>
    <w:sig w:usb0="A00002FF" w:usb1="7ACFFDFB" w:usb2="00000017" w:usb3="00000000" w:csb0="00040001" w:csb1="00000000"/>
  </w:font>
  <w:font w:name="Times-Roman">
    <w:altName w:val="Times New Roman"/>
    <w:panose1 w:val="020B0604020202020204"/>
    <w:charset w:val="00"/>
    <w:family w:val="roman"/>
    <w:pitch w:val="default"/>
    <w:sig w:usb0="00000000" w:usb1="00000000" w:usb2="00000000" w:usb3="00000000" w:csb0="00000000" w:csb1="00000000"/>
  </w:font>
  <w:font w:name="Times-Italic">
    <w:altName w:val="Times New Roman"/>
    <w:panose1 w:val="020B0604020202020204"/>
    <w:charset w:val="00"/>
    <w:family w:val="roman"/>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Times">
    <w:altName w:val="Times New Roman"/>
    <w:panose1 w:val="020B0604020202020204"/>
    <w:charset w:val="00"/>
    <w:family w:val="roman"/>
    <w:pitch w:val="default"/>
    <w:sig w:usb0="00000000" w:usb1="00000000" w:usb2="00000009" w:usb3="00000000" w:csb0="000001FF" w:csb1="00000000"/>
  </w:font>
  <w:font w:name="Malgun Gothic">
    <w:altName w:val="Apple SD Gothic Neo"/>
    <w:panose1 w:val="020B0503020000020004"/>
    <w:charset w:val="81"/>
    <w:family w:val="swiss"/>
    <w:pitch w:val="default"/>
    <w:sig w:usb0="00000000" w:usb1="00000000" w:usb2="00000012" w:usb3="00000000" w:csb0="00080001" w:csb1="00000000"/>
  </w:font>
  <w:font w:name="Apple SD Gothic Neo">
    <w:panose1 w:val="02000300000000000000"/>
    <w:charset w:val="81"/>
    <w:family w:val="auto"/>
    <w:pitch w:val="default"/>
    <w:sig w:usb0="00000203" w:usb1="21D12C10" w:usb2="00000010" w:usb3="00000000" w:csb0="00280005"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New Roman Bold">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R MT Pro Medium">
    <w:panose1 w:val="02010600010101010101"/>
    <w:charset w:val="86"/>
    <w:family w:val="auto"/>
    <w:pitch w:val="default"/>
    <w:sig w:usb0="00000001" w:usb1="080E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pingfang sc">
    <w:panose1 w:val="020B0400000000000000"/>
    <w:charset w:val="86"/>
    <w:family w:val="auto"/>
    <w:pitch w:val="default"/>
    <w:sig w:usb0="A00002FF" w:usb1="7ACFFDFB" w:usb2="00000017" w:usb3="00000000" w:csb0="00040001" w:csb1="00000000"/>
  </w:font>
  <w:font w:name="Wingdings 2">
    <w:panose1 w:val="05020102010507070707"/>
    <w:charset w:val="00"/>
    <w:family w:val="decorative"/>
    <w:pitch w:val="default"/>
    <w:sig w:usb0="00000000" w:usb1="00000000" w:usb2="00000000" w:usb3="00000000" w:csb0="80000000" w:csb1="00000000"/>
  </w:font>
  <w:font w:name="TimesNewRoman">
    <w:altName w:val="Times New Roman"/>
    <w:panose1 w:val="020B0604020202020204"/>
    <w:charset w:val="00"/>
    <w:family w:val="roman"/>
    <w:pitch w:val="default"/>
    <w:sig w:usb0="00000000"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var(--monospace)">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55077">
    <w:pPr>
      <w:pStyle w:val="10"/>
      <w:jc w:val="both"/>
    </w:pPr>
    <w:r>
      <w:t xml:space="preserve">IEEE C/DC DCSC                                                                         </w:t>
    </w:r>
    <w:sdt>
      <w:sdtPr>
        <w:id w:val="64773594"/>
      </w:sdtPr>
      <w:sdtContent>
        <w:sdt>
          <w:sdtPr>
            <w:id w:val="-1"/>
          </w:sdtPr>
          <w:sdtContent>
            <w: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t xml:space="preserve"> / </w:t>
            </w:r>
            <w:r>
              <w:rPr>
                <w:b/>
                <w:bCs/>
                <w:sz w:val="24"/>
                <w:szCs w:val="24"/>
              </w:rPr>
              <w:fldChar w:fldCharType="begin"/>
            </w:r>
            <w:r>
              <w:rPr>
                <w:b/>
                <w:bCs/>
              </w:rPr>
              <w:instrText xml:space="preserve">NUMPAGES</w:instrText>
            </w:r>
            <w:r>
              <w:rPr>
                <w:b/>
                <w:bCs/>
                <w:sz w:val="24"/>
                <w:szCs w:val="24"/>
              </w:rPr>
              <w:fldChar w:fldCharType="separate"/>
            </w:r>
            <w:r>
              <w:rPr>
                <w:b/>
                <w:bCs/>
              </w:rPr>
              <w:t>4</w:t>
            </w:r>
            <w:r>
              <w:rPr>
                <w:b/>
                <w:bCs/>
                <w:sz w:val="24"/>
                <w:szCs w:val="24"/>
              </w:rPr>
              <w:fldChar w:fldCharType="end"/>
            </w:r>
          </w:sdtContent>
        </w:sdt>
      </w:sdtContent>
    </w:sdt>
  </w:p>
  <w:p w14:paraId="0D7CAB38">
    <w:pPr>
      <w:pStyle w:val="10"/>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ADD91">
    <w:pPr>
      <w:pStyle w:val="11"/>
      <w:pBdr>
        <w:bottom w:val="none" w:color="auto" w:sz="0" w:space="0"/>
      </w:pBdr>
      <w:jc w:val="right"/>
    </w:pPr>
    <w:r>
      <w:rPr>
        <w:color w:val="5B9BD5" w:themeColor="accent1"/>
        <w14:textFill>
          <w14:solidFill>
            <w14:schemeClr w14:val="accent1"/>
          </w14:solidFill>
        </w14:textFill>
      </w:rPr>
      <w:drawing>
        <wp:anchor distT="0" distB="0" distL="114300" distR="114300" simplePos="0" relativeHeight="251659264" behindDoc="0" locked="0" layoutInCell="1" allowOverlap="1">
          <wp:simplePos x="0" y="0"/>
          <wp:positionH relativeFrom="margin">
            <wp:posOffset>0</wp:posOffset>
          </wp:positionH>
          <wp:positionV relativeFrom="paragraph">
            <wp:posOffset>-273050</wp:posOffset>
          </wp:positionV>
          <wp:extent cx="1695450" cy="431800"/>
          <wp:effectExtent l="0" t="0" r="0" b="6350"/>
          <wp:wrapNone/>
          <wp:docPr id="703371463" name="图片 70337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1463" name="图片 70337146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95450" cy="431800"/>
                  </a:xfrm>
                  <a:prstGeom prst="rect">
                    <a:avLst/>
                  </a:prstGeom>
                </pic:spPr>
              </pic:pic>
            </a:graphicData>
          </a:graphic>
        </wp:anchor>
      </w:drawing>
    </w:r>
    <w:r>
      <w:rPr>
        <w:color w:val="5B9BD5" w:themeColor="accent1"/>
        <w:lang w:val="zh-CN"/>
        <w14:textFill>
          <w14:solidFill>
            <w14:schemeClr w14:val="accent1"/>
          </w14:solidFill>
        </w14:textFill>
      </w:rPr>
      <w:t>|https://sagroups.ieee.org/dcsc/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91163"/>
    <w:multiLevelType w:val="multilevel"/>
    <w:tmpl w:val="1FC91163"/>
    <w:lvl w:ilvl="0" w:tentative="0">
      <w:start w:val="1"/>
      <w:numFmt w:val="decimal"/>
      <w:pStyle w:val="72"/>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71"/>
      <w:suff w:val="nothing"/>
      <w:lvlText w:val="%1.%2　"/>
      <w:lvlJc w:val="left"/>
      <w:pPr>
        <w:ind w:left="1418" w:hanging="1418"/>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73"/>
      <w:suff w:val="nothing"/>
      <w:lvlText w:val="%1.%2.%3　"/>
      <w:lvlJc w:val="left"/>
      <w:pPr>
        <w:ind w:left="1560" w:hanging="1418"/>
      </w:pPr>
      <w:rPr>
        <w:rFonts w:hint="eastAsia" w:ascii="黑体" w:hAnsi="Times New Roman" w:eastAsia="黑体"/>
        <w:b w:val="0"/>
        <w:i w:val="0"/>
        <w:sz w:val="21"/>
        <w:lang w:val="en-US"/>
      </w:rPr>
    </w:lvl>
    <w:lvl w:ilvl="3" w:tentative="0">
      <w:start w:val="1"/>
      <w:numFmt w:val="decimal"/>
      <w:pStyle w:val="74"/>
      <w:suff w:val="nothing"/>
      <w:lvlText w:val="%1.%2.%3.%4　"/>
      <w:lvlJc w:val="left"/>
      <w:pPr>
        <w:ind w:left="0" w:firstLine="0"/>
      </w:pPr>
      <w:rPr>
        <w:rFonts w:hint="eastAsia" w:ascii="黑体" w:hAnsi="Times New Roman" w:eastAsia="黑体"/>
        <w:b w:val="0"/>
        <w:i w:val="0"/>
        <w:sz w:val="21"/>
      </w:rPr>
    </w:lvl>
    <w:lvl w:ilvl="4" w:tentative="0">
      <w:start w:val="1"/>
      <w:numFmt w:val="decimal"/>
      <w:pStyle w:val="75"/>
      <w:suff w:val="nothing"/>
      <w:lvlText w:val="%1.%2.%3.%4.%5　"/>
      <w:lvlJc w:val="left"/>
      <w:pPr>
        <w:ind w:left="3403" w:hanging="3403"/>
      </w:pPr>
      <w:rPr>
        <w:rFonts w:hint="eastAsia" w:ascii="黑体" w:hAnsi="Times New Roman" w:eastAsia="黑体"/>
        <w:b w:val="0"/>
        <w:i w:val="0"/>
        <w:sz w:val="21"/>
      </w:rPr>
    </w:lvl>
    <w:lvl w:ilvl="5" w:tentative="0">
      <w:start w:val="1"/>
      <w:numFmt w:val="decimal"/>
      <w:pStyle w:val="76"/>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
    <w:nsid w:val="26542A0B"/>
    <w:multiLevelType w:val="multilevel"/>
    <w:tmpl w:val="26542A0B"/>
    <w:lvl w:ilvl="0" w:tentative="0">
      <w:start w:val="1"/>
      <w:numFmt w:val="lowerLetter"/>
      <w:pStyle w:val="82"/>
      <w:lvlText w:val="%1)"/>
      <w:lvlJc w:val="left"/>
      <w:pPr>
        <w:tabs>
          <w:tab w:val="left" w:pos="839"/>
        </w:tabs>
        <w:ind w:left="839" w:hanging="419"/>
      </w:pPr>
      <w:rPr>
        <w:rFonts w:hint="eastAsia" w:ascii="宋体" w:hAnsi="宋体" w:eastAsia="宋体"/>
        <w:b w:val="0"/>
        <w:i w:val="0"/>
        <w:caps w:val="0"/>
        <w:smallCaps w:val="0"/>
        <w:strike w:val="0"/>
        <w:dstrike w:val="0"/>
        <w:outline w:val="0"/>
        <w:shadow w:val="0"/>
        <w:emboss w:val="0"/>
        <w:imprint w:val="0"/>
        <w:vanish w:val="0"/>
        <w:sz w:val="20"/>
        <w:szCs w:val="21"/>
        <w:vertAlign w:val="baseline"/>
      </w:rPr>
    </w:lvl>
    <w:lvl w:ilvl="1" w:tentative="0">
      <w:start w:val="1"/>
      <w:numFmt w:val="decimal"/>
      <w:pStyle w:val="81"/>
      <w:lvlText w:val="%2)"/>
      <w:lvlJc w:val="left"/>
      <w:pPr>
        <w:tabs>
          <w:tab w:val="left" w:pos="1259"/>
        </w:tabs>
        <w:ind w:left="1259" w:hanging="420"/>
      </w:pPr>
      <w:rPr>
        <w:rFonts w:hint="eastAsia"/>
        <w:b w:val="0"/>
        <w:i w:val="0"/>
        <w:caps w:val="0"/>
        <w:smallCaps w:val="0"/>
        <w:strike w:val="0"/>
        <w:dstrike w:val="0"/>
        <w:outline w:val="0"/>
        <w:shadow w:val="0"/>
        <w:emboss w:val="0"/>
        <w:imprint w:val="0"/>
        <w:vanish w:val="0"/>
        <w:sz w:val="20"/>
        <w:vertAlign w:val="baseline"/>
      </w:rPr>
    </w:lvl>
    <w:lvl w:ilvl="2" w:tentative="0">
      <w:start w:val="1"/>
      <w:numFmt w:val="decimal"/>
      <w:pStyle w:val="83"/>
      <w:lvlText w:val="(%3)"/>
      <w:lvlJc w:val="left"/>
      <w:pPr>
        <w:tabs>
          <w:tab w:val="left" w:pos="0"/>
        </w:tabs>
        <w:ind w:left="1678" w:hanging="419"/>
      </w:pPr>
      <w:rPr>
        <w:rFonts w:hint="eastAsia" w:ascii="宋体" w:hAnsi="宋体" w:eastAsia="宋体"/>
        <w:b w:val="0"/>
        <w:i w:val="0"/>
        <w:caps w:val="0"/>
        <w:smallCaps w:val="0"/>
        <w:strike w:val="0"/>
        <w:dstrike w:val="0"/>
        <w:outline w:val="0"/>
        <w:shadow w:val="0"/>
        <w:emboss w:val="0"/>
        <w:imprint w:val="0"/>
        <w:vanish w:val="0"/>
        <w:sz w:val="20"/>
        <w:szCs w:val="21"/>
        <w:vertAlign w:val="baseline"/>
      </w:rPr>
    </w:lvl>
    <w:lvl w:ilvl="3" w:tentative="0">
      <w:start w:val="1"/>
      <w:numFmt w:val="decimal"/>
      <w:lvlText w:val="%4."/>
      <w:lvlJc w:val="left"/>
      <w:pPr>
        <w:tabs>
          <w:tab w:val="left" w:pos="2098"/>
        </w:tabs>
        <w:ind w:left="2098" w:hanging="420"/>
      </w:pPr>
      <w:rPr>
        <w:rFonts w:hint="eastAsia"/>
        <w:b w:val="0"/>
        <w:i w:val="0"/>
        <w:caps w:val="0"/>
        <w:smallCaps w:val="0"/>
        <w:strike w:val="0"/>
        <w:dstrike w:val="0"/>
        <w:outline w:val="0"/>
        <w:shadow w:val="0"/>
        <w:emboss w:val="0"/>
        <w:imprint w:val="0"/>
        <w:vanish w:val="0"/>
        <w:sz w:val="20"/>
        <w:vertAlign w:val="baseline"/>
      </w:rPr>
    </w:lvl>
    <w:lvl w:ilvl="4" w:tentative="0">
      <w:start w:val="1"/>
      <w:numFmt w:val="lowerLetter"/>
      <w:lvlText w:val="%5)"/>
      <w:lvlJc w:val="left"/>
      <w:pPr>
        <w:tabs>
          <w:tab w:val="left" w:pos="2517"/>
        </w:tabs>
        <w:ind w:left="2517" w:hanging="419"/>
      </w:pPr>
      <w:rPr>
        <w:rFonts w:hint="eastAsia"/>
        <w:b w:val="0"/>
        <w:i w:val="0"/>
        <w:caps w:val="0"/>
        <w:smallCaps w:val="0"/>
        <w:strike w:val="0"/>
        <w:dstrike w:val="0"/>
        <w:outline w:val="0"/>
        <w:shadow w:val="0"/>
        <w:emboss w:val="0"/>
        <w:imprint w:val="0"/>
        <w:vanish w:val="0"/>
        <w:sz w:val="20"/>
        <w:vertAlign w:val="baseline"/>
      </w:rPr>
    </w:lvl>
    <w:lvl w:ilvl="5" w:tentative="0">
      <w:start w:val="1"/>
      <w:numFmt w:val="lowerRoman"/>
      <w:lvlText w:val="%6."/>
      <w:lvlJc w:val="right"/>
      <w:pPr>
        <w:tabs>
          <w:tab w:val="left" w:pos="2942"/>
        </w:tabs>
        <w:ind w:left="2937" w:hanging="420"/>
      </w:pPr>
      <w:rPr>
        <w:rFonts w:hint="eastAsia"/>
        <w:b/>
        <w:i w:val="0"/>
        <w:caps w:val="0"/>
        <w:smallCaps w:val="0"/>
        <w:strike w:val="0"/>
        <w:dstrike w:val="0"/>
        <w:outline w:val="0"/>
        <w:shadow w:val="0"/>
        <w:emboss w:val="0"/>
        <w:imprint w:val="0"/>
        <w:vanish w:val="0"/>
        <w:sz w:val="20"/>
        <w:vertAlign w:val="baseline"/>
      </w:rPr>
    </w:lvl>
    <w:lvl w:ilvl="6" w:tentative="0">
      <w:start w:val="1"/>
      <w:numFmt w:val="decimal"/>
      <w:lvlText w:val="%7."/>
      <w:lvlJc w:val="left"/>
      <w:pPr>
        <w:tabs>
          <w:tab w:val="left" w:pos="3362"/>
        </w:tabs>
        <w:ind w:left="3356" w:hanging="414"/>
      </w:pPr>
      <w:rPr>
        <w:rFonts w:hint="eastAsia"/>
        <w:b/>
        <w:i w:val="0"/>
        <w:caps w:val="0"/>
        <w:smallCaps w:val="0"/>
        <w:strike w:val="0"/>
        <w:dstrike w:val="0"/>
        <w:outline w:val="0"/>
        <w:shadow w:val="0"/>
        <w:emboss w:val="0"/>
        <w:imprint w:val="0"/>
        <w:vanish w:val="0"/>
        <w:sz w:val="20"/>
        <w:vertAlign w:val="baseline"/>
      </w:rPr>
    </w:lvl>
    <w:lvl w:ilvl="7" w:tentative="0">
      <w:start w:val="1"/>
      <w:numFmt w:val="lowerLetter"/>
      <w:lvlText w:val="%8)"/>
      <w:lvlJc w:val="left"/>
      <w:pPr>
        <w:tabs>
          <w:tab w:val="left" w:pos="3781"/>
        </w:tabs>
        <w:ind w:left="3776" w:hanging="414"/>
      </w:pPr>
      <w:rPr>
        <w:rFonts w:hint="eastAsia"/>
        <w:b/>
        <w:i w:val="0"/>
        <w:caps w:val="0"/>
        <w:smallCaps w:val="0"/>
        <w:strike w:val="0"/>
        <w:dstrike w:val="0"/>
        <w:outline w:val="0"/>
        <w:shadow w:val="0"/>
        <w:emboss w:val="0"/>
        <w:imprint w:val="0"/>
        <w:vanish w:val="0"/>
        <w:sz w:val="20"/>
        <w:vertAlign w:val="baseline"/>
      </w:rPr>
    </w:lvl>
    <w:lvl w:ilvl="8" w:tentative="0">
      <w:start w:val="1"/>
      <w:numFmt w:val="lowerRoman"/>
      <w:lvlText w:val="%9."/>
      <w:lvlJc w:val="right"/>
      <w:pPr>
        <w:tabs>
          <w:tab w:val="left" w:pos="4201"/>
        </w:tabs>
        <w:ind w:left="4201" w:hanging="420"/>
      </w:pPr>
      <w:rPr>
        <w:rFonts w:hint="eastAsia"/>
        <w:b/>
        <w:i w:val="0"/>
        <w:caps w:val="0"/>
        <w:smallCaps w:val="0"/>
        <w:strike w:val="0"/>
        <w:dstrike w:val="0"/>
        <w:outline w:val="0"/>
        <w:shadow w:val="0"/>
        <w:emboss w:val="0"/>
        <w:imprint w:val="0"/>
        <w:vanish w:val="0"/>
        <w:sz w:val="20"/>
        <w:vertAlign w:val="baseline"/>
      </w:rPr>
    </w:lvl>
  </w:abstractNum>
  <w:abstractNum w:abstractNumId="2">
    <w:nsid w:val="2C5917C3"/>
    <w:multiLevelType w:val="multilevel"/>
    <w:tmpl w:val="2C5917C3"/>
    <w:lvl w:ilvl="0" w:tentative="0">
      <w:start w:val="1"/>
      <w:numFmt w:val="none"/>
      <w:pStyle w:val="66"/>
      <w:suff w:val="nothing"/>
      <w:lvlText w:val="%1——"/>
      <w:lvlJc w:val="left"/>
      <w:pPr>
        <w:ind w:left="976" w:hanging="408"/>
      </w:pPr>
      <w:rPr>
        <w:rFonts w:hint="eastAsia"/>
      </w:rPr>
    </w:lvl>
    <w:lvl w:ilvl="1" w:tentative="0">
      <w:start w:val="1"/>
      <w:numFmt w:val="bullet"/>
      <w:pStyle w:val="67"/>
      <w:lvlText w:val=""/>
      <w:lvlJc w:val="left"/>
      <w:pPr>
        <w:tabs>
          <w:tab w:val="left" w:pos="760"/>
        </w:tabs>
        <w:ind w:left="1264" w:hanging="413"/>
      </w:pPr>
      <w:rPr>
        <w:rFonts w:hint="default" w:ascii="Symbol" w:hAnsi="Symbol"/>
        <w:color w:val="auto"/>
      </w:rPr>
    </w:lvl>
    <w:lvl w:ilvl="2" w:tentative="0">
      <w:start w:val="1"/>
      <w:numFmt w:val="bullet"/>
      <w:pStyle w:val="68"/>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3">
    <w:nsid w:val="2DAA0BAD"/>
    <w:multiLevelType w:val="multilevel"/>
    <w:tmpl w:val="2DAA0BA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40C21B13"/>
    <w:multiLevelType w:val="multilevel"/>
    <w:tmpl w:val="40C21B13"/>
    <w:lvl w:ilvl="0" w:tentative="0">
      <w:start w:val="1"/>
      <w:numFmt w:val="decimal"/>
      <w:pStyle w:val="84"/>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E584AC4"/>
    <w:multiLevelType w:val="multilevel"/>
    <w:tmpl w:val="4E584AC4"/>
    <w:lvl w:ilvl="0" w:tentative="0">
      <w:start w:val="3"/>
      <w:numFmt w:val="decimal"/>
      <w:lvlText w:val="%1."/>
      <w:lvlJc w:val="left"/>
      <w:pPr>
        <w:ind w:left="360" w:hanging="360"/>
      </w:pPr>
      <w:rPr>
        <w:rFonts w:hint="default" w:eastAsiaTheme="minor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61FC074B"/>
    <w:multiLevelType w:val="singleLevel"/>
    <w:tmpl w:val="61FC074B"/>
    <w:lvl w:ilvl="0" w:tentative="0">
      <w:start w:val="1"/>
      <w:numFmt w:val="decimal"/>
      <w:suff w:val="space"/>
      <w:lvlText w:val="%1."/>
      <w:lvlJc w:val="left"/>
    </w:lvl>
  </w:abstractNum>
  <w:abstractNum w:abstractNumId="7">
    <w:nsid w:val="646260FA"/>
    <w:multiLevelType w:val="multilevel"/>
    <w:tmpl w:val="646260FA"/>
    <w:lvl w:ilvl="0" w:tentative="0">
      <w:start w:val="1"/>
      <w:numFmt w:val="decimal"/>
      <w:pStyle w:val="77"/>
      <w:suff w:val="nothing"/>
      <w:lvlText w:val="表%1　"/>
      <w:lvlJc w:val="left"/>
      <w:pPr>
        <w:ind w:left="4820"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2"/>
  </w:num>
  <w:num w:numId="2">
    <w:abstractNumId w:val="0"/>
  </w:num>
  <w:num w:numId="3">
    <w:abstractNumId w:val="7"/>
  </w:num>
  <w:num w:numId="4">
    <w:abstractNumId w:val="1"/>
  </w:num>
  <w:num w:numId="5">
    <w:abstractNumId w:val="4"/>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dit="readOnly"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I0NzBkZGY3NDI4MmU0MTA3MDMwM2JmYzE5MTk4NTkifQ=="/>
  </w:docVars>
  <w:rsids>
    <w:rsidRoot w:val="00304947"/>
    <w:rsid w:val="0000551D"/>
    <w:rsid w:val="0001170D"/>
    <w:rsid w:val="00016720"/>
    <w:rsid w:val="000177A8"/>
    <w:rsid w:val="000205D2"/>
    <w:rsid w:val="000268F0"/>
    <w:rsid w:val="00027D0A"/>
    <w:rsid w:val="000304A5"/>
    <w:rsid w:val="000332E5"/>
    <w:rsid w:val="000363E0"/>
    <w:rsid w:val="00040413"/>
    <w:rsid w:val="00040AED"/>
    <w:rsid w:val="00046289"/>
    <w:rsid w:val="000477EA"/>
    <w:rsid w:val="00050F00"/>
    <w:rsid w:val="00051AAC"/>
    <w:rsid w:val="000532B3"/>
    <w:rsid w:val="00055588"/>
    <w:rsid w:val="00057ABC"/>
    <w:rsid w:val="000610D7"/>
    <w:rsid w:val="00062D4C"/>
    <w:rsid w:val="000637A8"/>
    <w:rsid w:val="00063F2E"/>
    <w:rsid w:val="00065BBC"/>
    <w:rsid w:val="000664F9"/>
    <w:rsid w:val="000677BF"/>
    <w:rsid w:val="00073180"/>
    <w:rsid w:val="000768C9"/>
    <w:rsid w:val="00077D41"/>
    <w:rsid w:val="0008275A"/>
    <w:rsid w:val="00082876"/>
    <w:rsid w:val="000844FA"/>
    <w:rsid w:val="000873F9"/>
    <w:rsid w:val="00087C9C"/>
    <w:rsid w:val="000919D5"/>
    <w:rsid w:val="000A154F"/>
    <w:rsid w:val="000A1697"/>
    <w:rsid w:val="000A6298"/>
    <w:rsid w:val="000A69D5"/>
    <w:rsid w:val="000B44D3"/>
    <w:rsid w:val="000B57DC"/>
    <w:rsid w:val="000C1555"/>
    <w:rsid w:val="000C3DDF"/>
    <w:rsid w:val="000C44BC"/>
    <w:rsid w:val="000C5A07"/>
    <w:rsid w:val="000D5370"/>
    <w:rsid w:val="000E153F"/>
    <w:rsid w:val="000E543C"/>
    <w:rsid w:val="000E54A7"/>
    <w:rsid w:val="000F2776"/>
    <w:rsid w:val="000F2826"/>
    <w:rsid w:val="00100008"/>
    <w:rsid w:val="00101632"/>
    <w:rsid w:val="00115A54"/>
    <w:rsid w:val="00122E64"/>
    <w:rsid w:val="0012662A"/>
    <w:rsid w:val="00146587"/>
    <w:rsid w:val="00151254"/>
    <w:rsid w:val="0015708D"/>
    <w:rsid w:val="001658F1"/>
    <w:rsid w:val="0016757F"/>
    <w:rsid w:val="00167E8E"/>
    <w:rsid w:val="0017721A"/>
    <w:rsid w:val="001805BE"/>
    <w:rsid w:val="001810F1"/>
    <w:rsid w:val="00181871"/>
    <w:rsid w:val="00184EFE"/>
    <w:rsid w:val="00191917"/>
    <w:rsid w:val="00195D44"/>
    <w:rsid w:val="00196048"/>
    <w:rsid w:val="001A0339"/>
    <w:rsid w:val="001A7EA5"/>
    <w:rsid w:val="001B0804"/>
    <w:rsid w:val="001B21EA"/>
    <w:rsid w:val="001B25A8"/>
    <w:rsid w:val="001B2B9E"/>
    <w:rsid w:val="001B5D08"/>
    <w:rsid w:val="001C38F8"/>
    <w:rsid w:val="001C63B2"/>
    <w:rsid w:val="001C69F5"/>
    <w:rsid w:val="001D6BC7"/>
    <w:rsid w:val="001D7D62"/>
    <w:rsid w:val="001E2279"/>
    <w:rsid w:val="001E4201"/>
    <w:rsid w:val="001E54D7"/>
    <w:rsid w:val="001F117C"/>
    <w:rsid w:val="002016F0"/>
    <w:rsid w:val="00201FCE"/>
    <w:rsid w:val="002046D2"/>
    <w:rsid w:val="00207864"/>
    <w:rsid w:val="00211C87"/>
    <w:rsid w:val="00214046"/>
    <w:rsid w:val="00215D1B"/>
    <w:rsid w:val="002200AE"/>
    <w:rsid w:val="00220945"/>
    <w:rsid w:val="00220BE7"/>
    <w:rsid w:val="00222BF7"/>
    <w:rsid w:val="00224F99"/>
    <w:rsid w:val="00234007"/>
    <w:rsid w:val="00235A50"/>
    <w:rsid w:val="002433BD"/>
    <w:rsid w:val="002512A8"/>
    <w:rsid w:val="00254E3F"/>
    <w:rsid w:val="00257B94"/>
    <w:rsid w:val="00260A4E"/>
    <w:rsid w:val="00261227"/>
    <w:rsid w:val="00264B94"/>
    <w:rsid w:val="00266B9E"/>
    <w:rsid w:val="00267EE4"/>
    <w:rsid w:val="00271A67"/>
    <w:rsid w:val="00274431"/>
    <w:rsid w:val="002757DF"/>
    <w:rsid w:val="002821F1"/>
    <w:rsid w:val="0028242F"/>
    <w:rsid w:val="00284CA7"/>
    <w:rsid w:val="00285D52"/>
    <w:rsid w:val="00290CB9"/>
    <w:rsid w:val="002930B0"/>
    <w:rsid w:val="00293EF2"/>
    <w:rsid w:val="002B32A6"/>
    <w:rsid w:val="002B7022"/>
    <w:rsid w:val="002C04B7"/>
    <w:rsid w:val="002C0642"/>
    <w:rsid w:val="002C0DEC"/>
    <w:rsid w:val="002C1A5C"/>
    <w:rsid w:val="002C55B0"/>
    <w:rsid w:val="002D19B1"/>
    <w:rsid w:val="002D231C"/>
    <w:rsid w:val="002D2869"/>
    <w:rsid w:val="002D3306"/>
    <w:rsid w:val="002E08A3"/>
    <w:rsid w:val="002E2B76"/>
    <w:rsid w:val="002E77D5"/>
    <w:rsid w:val="002F1D9A"/>
    <w:rsid w:val="002F58D6"/>
    <w:rsid w:val="002F71DE"/>
    <w:rsid w:val="00304947"/>
    <w:rsid w:val="003109B6"/>
    <w:rsid w:val="00313C24"/>
    <w:rsid w:val="00314544"/>
    <w:rsid w:val="00316B37"/>
    <w:rsid w:val="003215D4"/>
    <w:rsid w:val="00321AF1"/>
    <w:rsid w:val="003228B0"/>
    <w:rsid w:val="003230EC"/>
    <w:rsid w:val="003244D5"/>
    <w:rsid w:val="00324B05"/>
    <w:rsid w:val="003253A3"/>
    <w:rsid w:val="00332874"/>
    <w:rsid w:val="00333801"/>
    <w:rsid w:val="003347D7"/>
    <w:rsid w:val="003376E3"/>
    <w:rsid w:val="00337F54"/>
    <w:rsid w:val="003421BF"/>
    <w:rsid w:val="003431E6"/>
    <w:rsid w:val="003464D6"/>
    <w:rsid w:val="0035145F"/>
    <w:rsid w:val="0035370C"/>
    <w:rsid w:val="00353748"/>
    <w:rsid w:val="00354A12"/>
    <w:rsid w:val="003550AC"/>
    <w:rsid w:val="00355A48"/>
    <w:rsid w:val="00361A27"/>
    <w:rsid w:val="00363612"/>
    <w:rsid w:val="003636A8"/>
    <w:rsid w:val="003645A0"/>
    <w:rsid w:val="00364AB8"/>
    <w:rsid w:val="00374816"/>
    <w:rsid w:val="00382E8F"/>
    <w:rsid w:val="0038327C"/>
    <w:rsid w:val="00383582"/>
    <w:rsid w:val="00383903"/>
    <w:rsid w:val="0038537E"/>
    <w:rsid w:val="00390B92"/>
    <w:rsid w:val="003978D3"/>
    <w:rsid w:val="003A0829"/>
    <w:rsid w:val="003A3812"/>
    <w:rsid w:val="003A44E3"/>
    <w:rsid w:val="003A4F5F"/>
    <w:rsid w:val="003B00FF"/>
    <w:rsid w:val="003B0394"/>
    <w:rsid w:val="003B0CDB"/>
    <w:rsid w:val="003B0FF5"/>
    <w:rsid w:val="003B73D2"/>
    <w:rsid w:val="003C0601"/>
    <w:rsid w:val="003C10C0"/>
    <w:rsid w:val="003C19D7"/>
    <w:rsid w:val="003C31A2"/>
    <w:rsid w:val="003C43DD"/>
    <w:rsid w:val="003C7E84"/>
    <w:rsid w:val="003D242E"/>
    <w:rsid w:val="003D37A3"/>
    <w:rsid w:val="003D67D7"/>
    <w:rsid w:val="003E1592"/>
    <w:rsid w:val="003E58DE"/>
    <w:rsid w:val="003F0B71"/>
    <w:rsid w:val="003F5930"/>
    <w:rsid w:val="003F61C9"/>
    <w:rsid w:val="003F7E76"/>
    <w:rsid w:val="00400BDA"/>
    <w:rsid w:val="0040566D"/>
    <w:rsid w:val="00410206"/>
    <w:rsid w:val="00411C28"/>
    <w:rsid w:val="00417988"/>
    <w:rsid w:val="00417E1C"/>
    <w:rsid w:val="00422645"/>
    <w:rsid w:val="004235FD"/>
    <w:rsid w:val="0042694E"/>
    <w:rsid w:val="00430F4A"/>
    <w:rsid w:val="00435795"/>
    <w:rsid w:val="00440547"/>
    <w:rsid w:val="0044434D"/>
    <w:rsid w:val="004450C2"/>
    <w:rsid w:val="00446F5D"/>
    <w:rsid w:val="00447A7C"/>
    <w:rsid w:val="00453383"/>
    <w:rsid w:val="004558E9"/>
    <w:rsid w:val="00455BCF"/>
    <w:rsid w:val="00455F57"/>
    <w:rsid w:val="00456267"/>
    <w:rsid w:val="00460EDC"/>
    <w:rsid w:val="0046261B"/>
    <w:rsid w:val="00464B75"/>
    <w:rsid w:val="00464EC8"/>
    <w:rsid w:val="00467077"/>
    <w:rsid w:val="004722A2"/>
    <w:rsid w:val="00473491"/>
    <w:rsid w:val="00477AB9"/>
    <w:rsid w:val="00477C96"/>
    <w:rsid w:val="00481A5D"/>
    <w:rsid w:val="00481B66"/>
    <w:rsid w:val="0048559F"/>
    <w:rsid w:val="00492331"/>
    <w:rsid w:val="004953E2"/>
    <w:rsid w:val="004A2D6D"/>
    <w:rsid w:val="004A49D6"/>
    <w:rsid w:val="004A51F7"/>
    <w:rsid w:val="004A6326"/>
    <w:rsid w:val="004A7B15"/>
    <w:rsid w:val="004B0B93"/>
    <w:rsid w:val="004B3B03"/>
    <w:rsid w:val="004B4090"/>
    <w:rsid w:val="004B5A9D"/>
    <w:rsid w:val="004C1E94"/>
    <w:rsid w:val="004C67F4"/>
    <w:rsid w:val="004D4605"/>
    <w:rsid w:val="004E1620"/>
    <w:rsid w:val="004E2E92"/>
    <w:rsid w:val="004E2EF9"/>
    <w:rsid w:val="004E5340"/>
    <w:rsid w:val="004E768D"/>
    <w:rsid w:val="004E7C46"/>
    <w:rsid w:val="004F5D95"/>
    <w:rsid w:val="004F6309"/>
    <w:rsid w:val="004F7B43"/>
    <w:rsid w:val="00500FF7"/>
    <w:rsid w:val="005046DF"/>
    <w:rsid w:val="00511CA0"/>
    <w:rsid w:val="00514634"/>
    <w:rsid w:val="00525609"/>
    <w:rsid w:val="00525AEC"/>
    <w:rsid w:val="0053260B"/>
    <w:rsid w:val="00542573"/>
    <w:rsid w:val="005437F2"/>
    <w:rsid w:val="00552507"/>
    <w:rsid w:val="005544AF"/>
    <w:rsid w:val="005549B6"/>
    <w:rsid w:val="005560ED"/>
    <w:rsid w:val="005567F7"/>
    <w:rsid w:val="00561F1E"/>
    <w:rsid w:val="005630C2"/>
    <w:rsid w:val="005657F9"/>
    <w:rsid w:val="00572881"/>
    <w:rsid w:val="00572AFA"/>
    <w:rsid w:val="00574170"/>
    <w:rsid w:val="00577338"/>
    <w:rsid w:val="005774ED"/>
    <w:rsid w:val="00577C33"/>
    <w:rsid w:val="0058255B"/>
    <w:rsid w:val="00582BDC"/>
    <w:rsid w:val="00583827"/>
    <w:rsid w:val="005838C7"/>
    <w:rsid w:val="00586539"/>
    <w:rsid w:val="00591137"/>
    <w:rsid w:val="00592939"/>
    <w:rsid w:val="005949D4"/>
    <w:rsid w:val="005963F9"/>
    <w:rsid w:val="00597D73"/>
    <w:rsid w:val="00597F26"/>
    <w:rsid w:val="005A1CA3"/>
    <w:rsid w:val="005A239F"/>
    <w:rsid w:val="005A383D"/>
    <w:rsid w:val="005A5787"/>
    <w:rsid w:val="005A7262"/>
    <w:rsid w:val="005B359F"/>
    <w:rsid w:val="005B38B9"/>
    <w:rsid w:val="005C0FB4"/>
    <w:rsid w:val="005C2110"/>
    <w:rsid w:val="005C2CA9"/>
    <w:rsid w:val="005C47A2"/>
    <w:rsid w:val="005D0AC7"/>
    <w:rsid w:val="005D14E4"/>
    <w:rsid w:val="005D47B6"/>
    <w:rsid w:val="005D6664"/>
    <w:rsid w:val="005D709B"/>
    <w:rsid w:val="005E2096"/>
    <w:rsid w:val="005E57D1"/>
    <w:rsid w:val="005F18CF"/>
    <w:rsid w:val="005F31D0"/>
    <w:rsid w:val="005F45C5"/>
    <w:rsid w:val="005F6EC2"/>
    <w:rsid w:val="006011D9"/>
    <w:rsid w:val="006012B4"/>
    <w:rsid w:val="006059CD"/>
    <w:rsid w:val="006067CC"/>
    <w:rsid w:val="006077D1"/>
    <w:rsid w:val="00613352"/>
    <w:rsid w:val="006135D7"/>
    <w:rsid w:val="00614693"/>
    <w:rsid w:val="00620633"/>
    <w:rsid w:val="00623E70"/>
    <w:rsid w:val="006272A1"/>
    <w:rsid w:val="00634330"/>
    <w:rsid w:val="00634B4B"/>
    <w:rsid w:val="0064578B"/>
    <w:rsid w:val="00647D2B"/>
    <w:rsid w:val="00660330"/>
    <w:rsid w:val="006641B7"/>
    <w:rsid w:val="00665C39"/>
    <w:rsid w:val="00666E90"/>
    <w:rsid w:val="00667DBC"/>
    <w:rsid w:val="006707DF"/>
    <w:rsid w:val="00670F32"/>
    <w:rsid w:val="0067199B"/>
    <w:rsid w:val="0067454A"/>
    <w:rsid w:val="00675F33"/>
    <w:rsid w:val="00676AF7"/>
    <w:rsid w:val="00680E8B"/>
    <w:rsid w:val="00681D61"/>
    <w:rsid w:val="006844F3"/>
    <w:rsid w:val="0068465A"/>
    <w:rsid w:val="00685C8E"/>
    <w:rsid w:val="00686A2B"/>
    <w:rsid w:val="00687AF0"/>
    <w:rsid w:val="006911F9"/>
    <w:rsid w:val="006921D5"/>
    <w:rsid w:val="00694F54"/>
    <w:rsid w:val="006A07CE"/>
    <w:rsid w:val="006A20A6"/>
    <w:rsid w:val="006A27EE"/>
    <w:rsid w:val="006A6857"/>
    <w:rsid w:val="006A740C"/>
    <w:rsid w:val="006B45B7"/>
    <w:rsid w:val="006B61CE"/>
    <w:rsid w:val="006D54F2"/>
    <w:rsid w:val="006D63F7"/>
    <w:rsid w:val="006E393D"/>
    <w:rsid w:val="006E4E44"/>
    <w:rsid w:val="006F106D"/>
    <w:rsid w:val="006F1B84"/>
    <w:rsid w:val="006F6986"/>
    <w:rsid w:val="006F6C74"/>
    <w:rsid w:val="0070387C"/>
    <w:rsid w:val="00704BC5"/>
    <w:rsid w:val="007140FC"/>
    <w:rsid w:val="007150D0"/>
    <w:rsid w:val="007152E3"/>
    <w:rsid w:val="00720DF2"/>
    <w:rsid w:val="00721070"/>
    <w:rsid w:val="00721B86"/>
    <w:rsid w:val="00721F25"/>
    <w:rsid w:val="00723E37"/>
    <w:rsid w:val="007240A0"/>
    <w:rsid w:val="0072555E"/>
    <w:rsid w:val="0073063A"/>
    <w:rsid w:val="0074055D"/>
    <w:rsid w:val="00743C1E"/>
    <w:rsid w:val="0074677E"/>
    <w:rsid w:val="00747022"/>
    <w:rsid w:val="00750EEE"/>
    <w:rsid w:val="007524B6"/>
    <w:rsid w:val="00752B61"/>
    <w:rsid w:val="00753ECE"/>
    <w:rsid w:val="0075634A"/>
    <w:rsid w:val="00760906"/>
    <w:rsid w:val="00761AB4"/>
    <w:rsid w:val="0076727B"/>
    <w:rsid w:val="00767778"/>
    <w:rsid w:val="007769C8"/>
    <w:rsid w:val="0077701A"/>
    <w:rsid w:val="00777E2E"/>
    <w:rsid w:val="00780FD9"/>
    <w:rsid w:val="00782743"/>
    <w:rsid w:val="007908B7"/>
    <w:rsid w:val="00792041"/>
    <w:rsid w:val="00793B5F"/>
    <w:rsid w:val="00794C8B"/>
    <w:rsid w:val="00795181"/>
    <w:rsid w:val="007A1A04"/>
    <w:rsid w:val="007A2BE1"/>
    <w:rsid w:val="007C3FEF"/>
    <w:rsid w:val="007C50C6"/>
    <w:rsid w:val="007C6BCD"/>
    <w:rsid w:val="007D02EA"/>
    <w:rsid w:val="007D09C2"/>
    <w:rsid w:val="007D6A53"/>
    <w:rsid w:val="007E1FCE"/>
    <w:rsid w:val="007E31F6"/>
    <w:rsid w:val="007E3336"/>
    <w:rsid w:val="007E54A9"/>
    <w:rsid w:val="007F1C27"/>
    <w:rsid w:val="007F54ED"/>
    <w:rsid w:val="007F594B"/>
    <w:rsid w:val="007F5AF6"/>
    <w:rsid w:val="007F7CBD"/>
    <w:rsid w:val="008037AA"/>
    <w:rsid w:val="008055F3"/>
    <w:rsid w:val="008068DD"/>
    <w:rsid w:val="008079C6"/>
    <w:rsid w:val="00807ABB"/>
    <w:rsid w:val="0081072A"/>
    <w:rsid w:val="00813FE1"/>
    <w:rsid w:val="00815C13"/>
    <w:rsid w:val="00820AD9"/>
    <w:rsid w:val="008217C4"/>
    <w:rsid w:val="008261DB"/>
    <w:rsid w:val="00826340"/>
    <w:rsid w:val="008273B7"/>
    <w:rsid w:val="00830AEE"/>
    <w:rsid w:val="00833318"/>
    <w:rsid w:val="008335C5"/>
    <w:rsid w:val="0084268A"/>
    <w:rsid w:val="008431F1"/>
    <w:rsid w:val="00844760"/>
    <w:rsid w:val="008458C6"/>
    <w:rsid w:val="00845FB9"/>
    <w:rsid w:val="00857757"/>
    <w:rsid w:val="0086188D"/>
    <w:rsid w:val="00870DD7"/>
    <w:rsid w:val="00873B44"/>
    <w:rsid w:val="0087580E"/>
    <w:rsid w:val="00877A2A"/>
    <w:rsid w:val="0088016C"/>
    <w:rsid w:val="008813F6"/>
    <w:rsid w:val="00887446"/>
    <w:rsid w:val="00887962"/>
    <w:rsid w:val="00890ADC"/>
    <w:rsid w:val="008911A7"/>
    <w:rsid w:val="00891D3F"/>
    <w:rsid w:val="00893089"/>
    <w:rsid w:val="008948DC"/>
    <w:rsid w:val="008A1D0C"/>
    <w:rsid w:val="008A2B84"/>
    <w:rsid w:val="008A43BC"/>
    <w:rsid w:val="008B2081"/>
    <w:rsid w:val="008B2FF3"/>
    <w:rsid w:val="008B5B8E"/>
    <w:rsid w:val="008B6C26"/>
    <w:rsid w:val="008C28FA"/>
    <w:rsid w:val="008C4960"/>
    <w:rsid w:val="008D2BA5"/>
    <w:rsid w:val="008D6AF0"/>
    <w:rsid w:val="008E189A"/>
    <w:rsid w:val="008E356A"/>
    <w:rsid w:val="008F075C"/>
    <w:rsid w:val="008F232F"/>
    <w:rsid w:val="008F2794"/>
    <w:rsid w:val="008F77C6"/>
    <w:rsid w:val="0090080A"/>
    <w:rsid w:val="009029D7"/>
    <w:rsid w:val="009032BB"/>
    <w:rsid w:val="009049D8"/>
    <w:rsid w:val="009067F7"/>
    <w:rsid w:val="00907308"/>
    <w:rsid w:val="009135D0"/>
    <w:rsid w:val="0092163C"/>
    <w:rsid w:val="00925C30"/>
    <w:rsid w:val="009316A3"/>
    <w:rsid w:val="00933A94"/>
    <w:rsid w:val="009359D5"/>
    <w:rsid w:val="009369B3"/>
    <w:rsid w:val="00951F88"/>
    <w:rsid w:val="00952144"/>
    <w:rsid w:val="00952F68"/>
    <w:rsid w:val="00954962"/>
    <w:rsid w:val="009641A6"/>
    <w:rsid w:val="00964855"/>
    <w:rsid w:val="00971C6A"/>
    <w:rsid w:val="009726FE"/>
    <w:rsid w:val="00975D7B"/>
    <w:rsid w:val="00977B14"/>
    <w:rsid w:val="0098674B"/>
    <w:rsid w:val="00991551"/>
    <w:rsid w:val="00996651"/>
    <w:rsid w:val="009A1DFB"/>
    <w:rsid w:val="009A2934"/>
    <w:rsid w:val="009A2ACB"/>
    <w:rsid w:val="009A5857"/>
    <w:rsid w:val="009A5FC7"/>
    <w:rsid w:val="009B33BC"/>
    <w:rsid w:val="009B464D"/>
    <w:rsid w:val="009B6E7C"/>
    <w:rsid w:val="009B7857"/>
    <w:rsid w:val="009C068D"/>
    <w:rsid w:val="009D2099"/>
    <w:rsid w:val="009D513A"/>
    <w:rsid w:val="009D52C5"/>
    <w:rsid w:val="009D53D5"/>
    <w:rsid w:val="009E1075"/>
    <w:rsid w:val="009E1882"/>
    <w:rsid w:val="009E1E28"/>
    <w:rsid w:val="009E2204"/>
    <w:rsid w:val="009E2BED"/>
    <w:rsid w:val="009E516D"/>
    <w:rsid w:val="009F42AA"/>
    <w:rsid w:val="009F4FF2"/>
    <w:rsid w:val="00A02773"/>
    <w:rsid w:val="00A03653"/>
    <w:rsid w:val="00A03657"/>
    <w:rsid w:val="00A05291"/>
    <w:rsid w:val="00A05946"/>
    <w:rsid w:val="00A05F7E"/>
    <w:rsid w:val="00A101BF"/>
    <w:rsid w:val="00A1088B"/>
    <w:rsid w:val="00A1589E"/>
    <w:rsid w:val="00A25377"/>
    <w:rsid w:val="00A25F0F"/>
    <w:rsid w:val="00A27957"/>
    <w:rsid w:val="00A313E4"/>
    <w:rsid w:val="00A32E7D"/>
    <w:rsid w:val="00A404E0"/>
    <w:rsid w:val="00A47B74"/>
    <w:rsid w:val="00A5585E"/>
    <w:rsid w:val="00A56ED9"/>
    <w:rsid w:val="00A60ADB"/>
    <w:rsid w:val="00A64384"/>
    <w:rsid w:val="00A76E47"/>
    <w:rsid w:val="00A77B00"/>
    <w:rsid w:val="00A813EE"/>
    <w:rsid w:val="00A83A39"/>
    <w:rsid w:val="00A866A1"/>
    <w:rsid w:val="00A9255C"/>
    <w:rsid w:val="00A94F47"/>
    <w:rsid w:val="00A953B1"/>
    <w:rsid w:val="00A95ABC"/>
    <w:rsid w:val="00AA0050"/>
    <w:rsid w:val="00AA18E1"/>
    <w:rsid w:val="00AA2D1D"/>
    <w:rsid w:val="00AA640C"/>
    <w:rsid w:val="00AB1E3E"/>
    <w:rsid w:val="00AB1FD2"/>
    <w:rsid w:val="00AB4079"/>
    <w:rsid w:val="00AB5DB6"/>
    <w:rsid w:val="00AC082E"/>
    <w:rsid w:val="00AC2EA7"/>
    <w:rsid w:val="00AC2EE9"/>
    <w:rsid w:val="00AC6E78"/>
    <w:rsid w:val="00AD07B4"/>
    <w:rsid w:val="00AD1FE1"/>
    <w:rsid w:val="00AD2C1A"/>
    <w:rsid w:val="00AE094C"/>
    <w:rsid w:val="00AE4162"/>
    <w:rsid w:val="00AE429F"/>
    <w:rsid w:val="00AE4E15"/>
    <w:rsid w:val="00AF26E8"/>
    <w:rsid w:val="00AF74BB"/>
    <w:rsid w:val="00B04435"/>
    <w:rsid w:val="00B11785"/>
    <w:rsid w:val="00B118EC"/>
    <w:rsid w:val="00B26945"/>
    <w:rsid w:val="00B269D2"/>
    <w:rsid w:val="00B328C4"/>
    <w:rsid w:val="00B32E2C"/>
    <w:rsid w:val="00B340AC"/>
    <w:rsid w:val="00B36D0E"/>
    <w:rsid w:val="00B4121B"/>
    <w:rsid w:val="00B43248"/>
    <w:rsid w:val="00B504E1"/>
    <w:rsid w:val="00B52690"/>
    <w:rsid w:val="00B61E4B"/>
    <w:rsid w:val="00B651AA"/>
    <w:rsid w:val="00B7043E"/>
    <w:rsid w:val="00B710F4"/>
    <w:rsid w:val="00B73B02"/>
    <w:rsid w:val="00B73E7A"/>
    <w:rsid w:val="00B7442F"/>
    <w:rsid w:val="00B74576"/>
    <w:rsid w:val="00B74E00"/>
    <w:rsid w:val="00B770AF"/>
    <w:rsid w:val="00B83CE3"/>
    <w:rsid w:val="00B85A62"/>
    <w:rsid w:val="00B85AA5"/>
    <w:rsid w:val="00B91741"/>
    <w:rsid w:val="00B92881"/>
    <w:rsid w:val="00B97A43"/>
    <w:rsid w:val="00BA1791"/>
    <w:rsid w:val="00BA2E77"/>
    <w:rsid w:val="00BA41DC"/>
    <w:rsid w:val="00BA4FEF"/>
    <w:rsid w:val="00BA785D"/>
    <w:rsid w:val="00BB0E14"/>
    <w:rsid w:val="00BB12E5"/>
    <w:rsid w:val="00BB18CD"/>
    <w:rsid w:val="00BB1BA3"/>
    <w:rsid w:val="00BB5A55"/>
    <w:rsid w:val="00BB6337"/>
    <w:rsid w:val="00BC0A27"/>
    <w:rsid w:val="00BC47EC"/>
    <w:rsid w:val="00BD3C0D"/>
    <w:rsid w:val="00BE1359"/>
    <w:rsid w:val="00BE1AE3"/>
    <w:rsid w:val="00BF3B65"/>
    <w:rsid w:val="00BF6C4B"/>
    <w:rsid w:val="00BF76A1"/>
    <w:rsid w:val="00C008E2"/>
    <w:rsid w:val="00C020D4"/>
    <w:rsid w:val="00C052C6"/>
    <w:rsid w:val="00C10DA5"/>
    <w:rsid w:val="00C129B6"/>
    <w:rsid w:val="00C2323F"/>
    <w:rsid w:val="00C368E7"/>
    <w:rsid w:val="00C410B3"/>
    <w:rsid w:val="00C46268"/>
    <w:rsid w:val="00C547F7"/>
    <w:rsid w:val="00C64FEE"/>
    <w:rsid w:val="00C65486"/>
    <w:rsid w:val="00C66DA2"/>
    <w:rsid w:val="00C66F0E"/>
    <w:rsid w:val="00C70832"/>
    <w:rsid w:val="00C722BC"/>
    <w:rsid w:val="00C77494"/>
    <w:rsid w:val="00C77E61"/>
    <w:rsid w:val="00C86B0F"/>
    <w:rsid w:val="00C86FD6"/>
    <w:rsid w:val="00C910D2"/>
    <w:rsid w:val="00C911AC"/>
    <w:rsid w:val="00C9147B"/>
    <w:rsid w:val="00C9294E"/>
    <w:rsid w:val="00C94628"/>
    <w:rsid w:val="00C96C4B"/>
    <w:rsid w:val="00CA2ED9"/>
    <w:rsid w:val="00CA57FA"/>
    <w:rsid w:val="00CB0391"/>
    <w:rsid w:val="00CB04A1"/>
    <w:rsid w:val="00CB13C9"/>
    <w:rsid w:val="00CB1572"/>
    <w:rsid w:val="00CB7A74"/>
    <w:rsid w:val="00CC1CED"/>
    <w:rsid w:val="00CC33ED"/>
    <w:rsid w:val="00CC41A6"/>
    <w:rsid w:val="00CC72DE"/>
    <w:rsid w:val="00CD0C00"/>
    <w:rsid w:val="00CD2BF9"/>
    <w:rsid w:val="00CD54E8"/>
    <w:rsid w:val="00CD70E2"/>
    <w:rsid w:val="00CE0964"/>
    <w:rsid w:val="00CE0BA0"/>
    <w:rsid w:val="00CE35A9"/>
    <w:rsid w:val="00CE644E"/>
    <w:rsid w:val="00CF3D6B"/>
    <w:rsid w:val="00CF516F"/>
    <w:rsid w:val="00CF592A"/>
    <w:rsid w:val="00D00CD2"/>
    <w:rsid w:val="00D01290"/>
    <w:rsid w:val="00D015C2"/>
    <w:rsid w:val="00D020F8"/>
    <w:rsid w:val="00D036AC"/>
    <w:rsid w:val="00D10A77"/>
    <w:rsid w:val="00D164CE"/>
    <w:rsid w:val="00D1762C"/>
    <w:rsid w:val="00D273AB"/>
    <w:rsid w:val="00D37CC9"/>
    <w:rsid w:val="00D44E50"/>
    <w:rsid w:val="00D5345D"/>
    <w:rsid w:val="00D5658B"/>
    <w:rsid w:val="00D5688F"/>
    <w:rsid w:val="00D60014"/>
    <w:rsid w:val="00D60BEE"/>
    <w:rsid w:val="00D62849"/>
    <w:rsid w:val="00D665AA"/>
    <w:rsid w:val="00D742C0"/>
    <w:rsid w:val="00D75504"/>
    <w:rsid w:val="00D758BB"/>
    <w:rsid w:val="00D77583"/>
    <w:rsid w:val="00D802F4"/>
    <w:rsid w:val="00D82B91"/>
    <w:rsid w:val="00D8355A"/>
    <w:rsid w:val="00D96F51"/>
    <w:rsid w:val="00DA023A"/>
    <w:rsid w:val="00DA1185"/>
    <w:rsid w:val="00DA3C18"/>
    <w:rsid w:val="00DA4390"/>
    <w:rsid w:val="00DA50BD"/>
    <w:rsid w:val="00DC245E"/>
    <w:rsid w:val="00DC32D8"/>
    <w:rsid w:val="00DC7E94"/>
    <w:rsid w:val="00DD03D5"/>
    <w:rsid w:val="00DD1D9B"/>
    <w:rsid w:val="00DD2FB8"/>
    <w:rsid w:val="00DD51AB"/>
    <w:rsid w:val="00DD7C7E"/>
    <w:rsid w:val="00DE3FCF"/>
    <w:rsid w:val="00DE419A"/>
    <w:rsid w:val="00DF3E4D"/>
    <w:rsid w:val="00DF6DEA"/>
    <w:rsid w:val="00E02323"/>
    <w:rsid w:val="00E05269"/>
    <w:rsid w:val="00E0656C"/>
    <w:rsid w:val="00E073EA"/>
    <w:rsid w:val="00E101F8"/>
    <w:rsid w:val="00E12AE6"/>
    <w:rsid w:val="00E13486"/>
    <w:rsid w:val="00E13D92"/>
    <w:rsid w:val="00E14399"/>
    <w:rsid w:val="00E14998"/>
    <w:rsid w:val="00E155E9"/>
    <w:rsid w:val="00E15DC0"/>
    <w:rsid w:val="00E1670B"/>
    <w:rsid w:val="00E16E81"/>
    <w:rsid w:val="00E202E9"/>
    <w:rsid w:val="00E21DF5"/>
    <w:rsid w:val="00E33AE2"/>
    <w:rsid w:val="00E36D5C"/>
    <w:rsid w:val="00E411C9"/>
    <w:rsid w:val="00E42F34"/>
    <w:rsid w:val="00E5182C"/>
    <w:rsid w:val="00E54DF9"/>
    <w:rsid w:val="00E60D7B"/>
    <w:rsid w:val="00E674DA"/>
    <w:rsid w:val="00E70D34"/>
    <w:rsid w:val="00E74559"/>
    <w:rsid w:val="00E75234"/>
    <w:rsid w:val="00E84009"/>
    <w:rsid w:val="00E84A8B"/>
    <w:rsid w:val="00E90DB2"/>
    <w:rsid w:val="00E94BA1"/>
    <w:rsid w:val="00E96F9C"/>
    <w:rsid w:val="00E97CD0"/>
    <w:rsid w:val="00EA022F"/>
    <w:rsid w:val="00EA72D9"/>
    <w:rsid w:val="00EA7476"/>
    <w:rsid w:val="00EB2F53"/>
    <w:rsid w:val="00EB518A"/>
    <w:rsid w:val="00ED33E0"/>
    <w:rsid w:val="00ED5230"/>
    <w:rsid w:val="00ED6F74"/>
    <w:rsid w:val="00EE0984"/>
    <w:rsid w:val="00EE2A37"/>
    <w:rsid w:val="00EE38E9"/>
    <w:rsid w:val="00EE6EC5"/>
    <w:rsid w:val="00EF2BC4"/>
    <w:rsid w:val="00EF33A1"/>
    <w:rsid w:val="00EF5051"/>
    <w:rsid w:val="00EF7950"/>
    <w:rsid w:val="00F007C6"/>
    <w:rsid w:val="00F02BEC"/>
    <w:rsid w:val="00F12EB9"/>
    <w:rsid w:val="00F13C9F"/>
    <w:rsid w:val="00F1638E"/>
    <w:rsid w:val="00F208CB"/>
    <w:rsid w:val="00F20FC1"/>
    <w:rsid w:val="00F23974"/>
    <w:rsid w:val="00F23CFC"/>
    <w:rsid w:val="00F24442"/>
    <w:rsid w:val="00F25C08"/>
    <w:rsid w:val="00F2710E"/>
    <w:rsid w:val="00F349D1"/>
    <w:rsid w:val="00F34DF9"/>
    <w:rsid w:val="00F366A3"/>
    <w:rsid w:val="00F37541"/>
    <w:rsid w:val="00F40000"/>
    <w:rsid w:val="00F42811"/>
    <w:rsid w:val="00F459FA"/>
    <w:rsid w:val="00F45DAA"/>
    <w:rsid w:val="00F46375"/>
    <w:rsid w:val="00F4714F"/>
    <w:rsid w:val="00F53A15"/>
    <w:rsid w:val="00F567FC"/>
    <w:rsid w:val="00F57E25"/>
    <w:rsid w:val="00F61394"/>
    <w:rsid w:val="00F61B56"/>
    <w:rsid w:val="00F633F0"/>
    <w:rsid w:val="00F64185"/>
    <w:rsid w:val="00F64B53"/>
    <w:rsid w:val="00F70D9C"/>
    <w:rsid w:val="00F71D0D"/>
    <w:rsid w:val="00F731BD"/>
    <w:rsid w:val="00F750CB"/>
    <w:rsid w:val="00F80545"/>
    <w:rsid w:val="00F85404"/>
    <w:rsid w:val="00F94BDA"/>
    <w:rsid w:val="00FA0FE6"/>
    <w:rsid w:val="00FA4258"/>
    <w:rsid w:val="00FB4B0E"/>
    <w:rsid w:val="00FC25D1"/>
    <w:rsid w:val="00FC2844"/>
    <w:rsid w:val="00FC2E5B"/>
    <w:rsid w:val="00FC47BF"/>
    <w:rsid w:val="00FC5C82"/>
    <w:rsid w:val="00FC6706"/>
    <w:rsid w:val="00FD1007"/>
    <w:rsid w:val="00FD1DEF"/>
    <w:rsid w:val="00FD3D8E"/>
    <w:rsid w:val="00FD55B8"/>
    <w:rsid w:val="00FD6609"/>
    <w:rsid w:val="00FE0B3A"/>
    <w:rsid w:val="00FE0CED"/>
    <w:rsid w:val="00FE6307"/>
    <w:rsid w:val="00FF0423"/>
    <w:rsid w:val="00FF08F7"/>
    <w:rsid w:val="00FF1D72"/>
    <w:rsid w:val="00FF42CD"/>
    <w:rsid w:val="00FF63C6"/>
    <w:rsid w:val="00FF6DA8"/>
    <w:rsid w:val="00FF7115"/>
    <w:rsid w:val="00FF757B"/>
    <w:rsid w:val="00FF7EDC"/>
    <w:rsid w:val="012670EA"/>
    <w:rsid w:val="01453A14"/>
    <w:rsid w:val="015679D0"/>
    <w:rsid w:val="015F1E6E"/>
    <w:rsid w:val="016F699D"/>
    <w:rsid w:val="01AE3368"/>
    <w:rsid w:val="01DC3E46"/>
    <w:rsid w:val="01DD41C2"/>
    <w:rsid w:val="01E07299"/>
    <w:rsid w:val="01E44FDB"/>
    <w:rsid w:val="01EC20E2"/>
    <w:rsid w:val="01FD609D"/>
    <w:rsid w:val="020A2568"/>
    <w:rsid w:val="02385327"/>
    <w:rsid w:val="0261662C"/>
    <w:rsid w:val="02616E57"/>
    <w:rsid w:val="026659F0"/>
    <w:rsid w:val="026B1259"/>
    <w:rsid w:val="0273635F"/>
    <w:rsid w:val="028247F4"/>
    <w:rsid w:val="028642E4"/>
    <w:rsid w:val="02900CBF"/>
    <w:rsid w:val="02B97A9C"/>
    <w:rsid w:val="02D212D8"/>
    <w:rsid w:val="02DA63DE"/>
    <w:rsid w:val="02EA2B78"/>
    <w:rsid w:val="02F4124E"/>
    <w:rsid w:val="03190CB5"/>
    <w:rsid w:val="031A67DB"/>
    <w:rsid w:val="03332B6C"/>
    <w:rsid w:val="03451AAA"/>
    <w:rsid w:val="036F36D2"/>
    <w:rsid w:val="0381685A"/>
    <w:rsid w:val="03CA0201"/>
    <w:rsid w:val="03CE2B77"/>
    <w:rsid w:val="03D1158F"/>
    <w:rsid w:val="03DA48E8"/>
    <w:rsid w:val="03DC50F5"/>
    <w:rsid w:val="03F62DA4"/>
    <w:rsid w:val="043164D2"/>
    <w:rsid w:val="04390EE3"/>
    <w:rsid w:val="043F474B"/>
    <w:rsid w:val="045D72C7"/>
    <w:rsid w:val="04610B65"/>
    <w:rsid w:val="04640655"/>
    <w:rsid w:val="04657F2A"/>
    <w:rsid w:val="047168CE"/>
    <w:rsid w:val="047A7504"/>
    <w:rsid w:val="04814D63"/>
    <w:rsid w:val="04826D2E"/>
    <w:rsid w:val="0495080F"/>
    <w:rsid w:val="04983E5B"/>
    <w:rsid w:val="049A7BD3"/>
    <w:rsid w:val="04BD7D66"/>
    <w:rsid w:val="04CB2483"/>
    <w:rsid w:val="04D07A99"/>
    <w:rsid w:val="04D255BF"/>
    <w:rsid w:val="04F76DD4"/>
    <w:rsid w:val="050414F1"/>
    <w:rsid w:val="05145BD8"/>
    <w:rsid w:val="051931EE"/>
    <w:rsid w:val="051C4A8C"/>
    <w:rsid w:val="05241B93"/>
    <w:rsid w:val="05353DA0"/>
    <w:rsid w:val="053578FC"/>
    <w:rsid w:val="054802ED"/>
    <w:rsid w:val="054D2E98"/>
    <w:rsid w:val="056F2E0E"/>
    <w:rsid w:val="05740424"/>
    <w:rsid w:val="058368B9"/>
    <w:rsid w:val="058A5E9A"/>
    <w:rsid w:val="059565ED"/>
    <w:rsid w:val="059E7B97"/>
    <w:rsid w:val="05A14F91"/>
    <w:rsid w:val="05A56E54"/>
    <w:rsid w:val="05B178CA"/>
    <w:rsid w:val="05C50C80"/>
    <w:rsid w:val="05F45A09"/>
    <w:rsid w:val="06085010"/>
    <w:rsid w:val="060A6FDB"/>
    <w:rsid w:val="060E4914"/>
    <w:rsid w:val="06141C07"/>
    <w:rsid w:val="063B139F"/>
    <w:rsid w:val="06436049"/>
    <w:rsid w:val="06450013"/>
    <w:rsid w:val="065B7836"/>
    <w:rsid w:val="067601CC"/>
    <w:rsid w:val="067B3A34"/>
    <w:rsid w:val="069B1CF9"/>
    <w:rsid w:val="069D1BFD"/>
    <w:rsid w:val="06A74829"/>
    <w:rsid w:val="06AB60C8"/>
    <w:rsid w:val="06AC1E40"/>
    <w:rsid w:val="06B93462"/>
    <w:rsid w:val="06DC2725"/>
    <w:rsid w:val="06E65352"/>
    <w:rsid w:val="06F16DB8"/>
    <w:rsid w:val="06F37A6F"/>
    <w:rsid w:val="06F757B1"/>
    <w:rsid w:val="06F85085"/>
    <w:rsid w:val="071C677A"/>
    <w:rsid w:val="0730192B"/>
    <w:rsid w:val="073A38EF"/>
    <w:rsid w:val="073A569E"/>
    <w:rsid w:val="074B1659"/>
    <w:rsid w:val="07656A3B"/>
    <w:rsid w:val="076D15CF"/>
    <w:rsid w:val="07797F74"/>
    <w:rsid w:val="07862691"/>
    <w:rsid w:val="078A2181"/>
    <w:rsid w:val="079E3E7E"/>
    <w:rsid w:val="07AF3996"/>
    <w:rsid w:val="07BE1E2B"/>
    <w:rsid w:val="07C5765D"/>
    <w:rsid w:val="07D478A0"/>
    <w:rsid w:val="07D62A9B"/>
    <w:rsid w:val="07E04497"/>
    <w:rsid w:val="07EA0E72"/>
    <w:rsid w:val="07F92E63"/>
    <w:rsid w:val="081128A2"/>
    <w:rsid w:val="081401D6"/>
    <w:rsid w:val="081B727D"/>
    <w:rsid w:val="08346591"/>
    <w:rsid w:val="083F3A9B"/>
    <w:rsid w:val="084F6F27"/>
    <w:rsid w:val="08514ACC"/>
    <w:rsid w:val="086F75C9"/>
    <w:rsid w:val="088968DD"/>
    <w:rsid w:val="089D4136"/>
    <w:rsid w:val="08A74FB5"/>
    <w:rsid w:val="08B2315A"/>
    <w:rsid w:val="08DF02AB"/>
    <w:rsid w:val="08E65ADD"/>
    <w:rsid w:val="08E92ED7"/>
    <w:rsid w:val="08ED07B1"/>
    <w:rsid w:val="08F024B8"/>
    <w:rsid w:val="08F71A98"/>
    <w:rsid w:val="092376BD"/>
    <w:rsid w:val="092403B3"/>
    <w:rsid w:val="09297FF5"/>
    <w:rsid w:val="093C394F"/>
    <w:rsid w:val="093F6115"/>
    <w:rsid w:val="09561389"/>
    <w:rsid w:val="095A2D1D"/>
    <w:rsid w:val="096C16C7"/>
    <w:rsid w:val="096D1D5A"/>
    <w:rsid w:val="097E7C8A"/>
    <w:rsid w:val="09976DD7"/>
    <w:rsid w:val="09A432A2"/>
    <w:rsid w:val="09A6526C"/>
    <w:rsid w:val="09AD65FB"/>
    <w:rsid w:val="09E638BB"/>
    <w:rsid w:val="09EF276F"/>
    <w:rsid w:val="09FE6E56"/>
    <w:rsid w:val="09FF1E34"/>
    <w:rsid w:val="0A00497C"/>
    <w:rsid w:val="0A014251"/>
    <w:rsid w:val="0A03446D"/>
    <w:rsid w:val="0A15050F"/>
    <w:rsid w:val="0A187F18"/>
    <w:rsid w:val="0A195A3E"/>
    <w:rsid w:val="0A1B3564"/>
    <w:rsid w:val="0A312D88"/>
    <w:rsid w:val="0A553E45"/>
    <w:rsid w:val="0A570314"/>
    <w:rsid w:val="0A6749FB"/>
    <w:rsid w:val="0A690774"/>
    <w:rsid w:val="0A73514E"/>
    <w:rsid w:val="0A786C09"/>
    <w:rsid w:val="0A7B4003"/>
    <w:rsid w:val="0A805ABD"/>
    <w:rsid w:val="0A876E4C"/>
    <w:rsid w:val="0AA07F0D"/>
    <w:rsid w:val="0AA25A34"/>
    <w:rsid w:val="0AA96DC2"/>
    <w:rsid w:val="0AAE262A"/>
    <w:rsid w:val="0AB37262"/>
    <w:rsid w:val="0AD656DD"/>
    <w:rsid w:val="0AE0655C"/>
    <w:rsid w:val="0AE47DFA"/>
    <w:rsid w:val="0AE95411"/>
    <w:rsid w:val="0B093D05"/>
    <w:rsid w:val="0B0E131B"/>
    <w:rsid w:val="0B1412DE"/>
    <w:rsid w:val="0B24469B"/>
    <w:rsid w:val="0B2D79F3"/>
    <w:rsid w:val="0B462863"/>
    <w:rsid w:val="0B5C2086"/>
    <w:rsid w:val="0B5F1B77"/>
    <w:rsid w:val="0BB21CA6"/>
    <w:rsid w:val="0BB2614A"/>
    <w:rsid w:val="0BC639A4"/>
    <w:rsid w:val="0BD8391D"/>
    <w:rsid w:val="0BF91683"/>
    <w:rsid w:val="0C065EBB"/>
    <w:rsid w:val="0C0D512F"/>
    <w:rsid w:val="0C104C1F"/>
    <w:rsid w:val="0C126BE9"/>
    <w:rsid w:val="0C14470F"/>
    <w:rsid w:val="0C281F69"/>
    <w:rsid w:val="0C4505A8"/>
    <w:rsid w:val="0C662A91"/>
    <w:rsid w:val="0C985340"/>
    <w:rsid w:val="0C98608F"/>
    <w:rsid w:val="0CA02447"/>
    <w:rsid w:val="0CAF4438"/>
    <w:rsid w:val="0CB50A66"/>
    <w:rsid w:val="0CC223BD"/>
    <w:rsid w:val="0CD67C16"/>
    <w:rsid w:val="0CD914B5"/>
    <w:rsid w:val="0CE40585"/>
    <w:rsid w:val="0CE73BD2"/>
    <w:rsid w:val="0D162709"/>
    <w:rsid w:val="0D166265"/>
    <w:rsid w:val="0D1A3FA7"/>
    <w:rsid w:val="0D1C7D1F"/>
    <w:rsid w:val="0D3D7C96"/>
    <w:rsid w:val="0D5154EF"/>
    <w:rsid w:val="0D58687D"/>
    <w:rsid w:val="0D7336B7"/>
    <w:rsid w:val="0D7511DD"/>
    <w:rsid w:val="0D75742F"/>
    <w:rsid w:val="0D817B82"/>
    <w:rsid w:val="0D904269"/>
    <w:rsid w:val="0D9E6986"/>
    <w:rsid w:val="0DA33F9D"/>
    <w:rsid w:val="0DA6583B"/>
    <w:rsid w:val="0DA9532B"/>
    <w:rsid w:val="0DC42165"/>
    <w:rsid w:val="0DCB704F"/>
    <w:rsid w:val="0E034A3B"/>
    <w:rsid w:val="0E0B1B42"/>
    <w:rsid w:val="0E146C48"/>
    <w:rsid w:val="0E172295"/>
    <w:rsid w:val="0E1B7FD7"/>
    <w:rsid w:val="0E1E3B63"/>
    <w:rsid w:val="0E1E7AC7"/>
    <w:rsid w:val="0E2B3F92"/>
    <w:rsid w:val="0E341099"/>
    <w:rsid w:val="0E3966AF"/>
    <w:rsid w:val="0E603C3C"/>
    <w:rsid w:val="0E855450"/>
    <w:rsid w:val="0E9D4E90"/>
    <w:rsid w:val="0EA87391"/>
    <w:rsid w:val="0ED10695"/>
    <w:rsid w:val="0ED3730D"/>
    <w:rsid w:val="0ED62150"/>
    <w:rsid w:val="0EDD34DE"/>
    <w:rsid w:val="0EE54141"/>
    <w:rsid w:val="0EE77EB9"/>
    <w:rsid w:val="0EFE5203"/>
    <w:rsid w:val="0F052A35"/>
    <w:rsid w:val="0F0F11BE"/>
    <w:rsid w:val="0F225395"/>
    <w:rsid w:val="0F314CB8"/>
    <w:rsid w:val="0F587009"/>
    <w:rsid w:val="0F61536B"/>
    <w:rsid w:val="0F840A02"/>
    <w:rsid w:val="0F9F2542"/>
    <w:rsid w:val="0FA22032"/>
    <w:rsid w:val="0FCB3337"/>
    <w:rsid w:val="0FE73815"/>
    <w:rsid w:val="10077E5B"/>
    <w:rsid w:val="101755A5"/>
    <w:rsid w:val="101E3DAE"/>
    <w:rsid w:val="102313C5"/>
    <w:rsid w:val="102B0279"/>
    <w:rsid w:val="10505F32"/>
    <w:rsid w:val="1066305F"/>
    <w:rsid w:val="107240FA"/>
    <w:rsid w:val="10790FE5"/>
    <w:rsid w:val="107E2A9F"/>
    <w:rsid w:val="108B6001"/>
    <w:rsid w:val="108D683E"/>
    <w:rsid w:val="109202F8"/>
    <w:rsid w:val="10B244F7"/>
    <w:rsid w:val="10C304B2"/>
    <w:rsid w:val="10DE52EC"/>
    <w:rsid w:val="11025270"/>
    <w:rsid w:val="111E1B8C"/>
    <w:rsid w:val="112F78F5"/>
    <w:rsid w:val="11365128"/>
    <w:rsid w:val="1142587A"/>
    <w:rsid w:val="11447845"/>
    <w:rsid w:val="115D26B4"/>
    <w:rsid w:val="11895257"/>
    <w:rsid w:val="11953833"/>
    <w:rsid w:val="11963E18"/>
    <w:rsid w:val="119A56B6"/>
    <w:rsid w:val="11A402E3"/>
    <w:rsid w:val="11D13A86"/>
    <w:rsid w:val="11D54941"/>
    <w:rsid w:val="11D861DF"/>
    <w:rsid w:val="11E64458"/>
    <w:rsid w:val="11FA43A7"/>
    <w:rsid w:val="11FF19BD"/>
    <w:rsid w:val="11FF376C"/>
    <w:rsid w:val="12040D82"/>
    <w:rsid w:val="121511E1"/>
    <w:rsid w:val="12192A7F"/>
    <w:rsid w:val="122074D1"/>
    <w:rsid w:val="122356AC"/>
    <w:rsid w:val="12376050"/>
    <w:rsid w:val="123F1DBA"/>
    <w:rsid w:val="125515DD"/>
    <w:rsid w:val="12647A72"/>
    <w:rsid w:val="12681311"/>
    <w:rsid w:val="129465AA"/>
    <w:rsid w:val="1297260A"/>
    <w:rsid w:val="12A32349"/>
    <w:rsid w:val="12A66E32"/>
    <w:rsid w:val="12C56763"/>
    <w:rsid w:val="12CF75E2"/>
    <w:rsid w:val="12D70244"/>
    <w:rsid w:val="12ED1816"/>
    <w:rsid w:val="12F47048"/>
    <w:rsid w:val="12F928B1"/>
    <w:rsid w:val="12FA679C"/>
    <w:rsid w:val="130A686C"/>
    <w:rsid w:val="13160D6D"/>
    <w:rsid w:val="132C233E"/>
    <w:rsid w:val="132F0080"/>
    <w:rsid w:val="1332191F"/>
    <w:rsid w:val="13370CE3"/>
    <w:rsid w:val="1337349D"/>
    <w:rsid w:val="13394A5B"/>
    <w:rsid w:val="1351449B"/>
    <w:rsid w:val="135D4BEE"/>
    <w:rsid w:val="13783BD1"/>
    <w:rsid w:val="139B3968"/>
    <w:rsid w:val="13A520F1"/>
    <w:rsid w:val="13A9398F"/>
    <w:rsid w:val="13C46A1B"/>
    <w:rsid w:val="13D824C6"/>
    <w:rsid w:val="13E9022F"/>
    <w:rsid w:val="13FC4407"/>
    <w:rsid w:val="13FF5CA5"/>
    <w:rsid w:val="13FF7A53"/>
    <w:rsid w:val="14472460"/>
    <w:rsid w:val="14575AE1"/>
    <w:rsid w:val="145F4995"/>
    <w:rsid w:val="14795A57"/>
    <w:rsid w:val="147F2942"/>
    <w:rsid w:val="148F3D09"/>
    <w:rsid w:val="14C50C9C"/>
    <w:rsid w:val="14C62E18"/>
    <w:rsid w:val="14CF38C9"/>
    <w:rsid w:val="14D94748"/>
    <w:rsid w:val="14DE58BA"/>
    <w:rsid w:val="14DF1632"/>
    <w:rsid w:val="14FC21E4"/>
    <w:rsid w:val="15115C90"/>
    <w:rsid w:val="15170DCC"/>
    <w:rsid w:val="152810E0"/>
    <w:rsid w:val="153F2FA2"/>
    <w:rsid w:val="154A11A2"/>
    <w:rsid w:val="155B46E0"/>
    <w:rsid w:val="15671D54"/>
    <w:rsid w:val="15714980"/>
    <w:rsid w:val="1574621E"/>
    <w:rsid w:val="15836462"/>
    <w:rsid w:val="15BC7450"/>
    <w:rsid w:val="15BF56EC"/>
    <w:rsid w:val="15CC605B"/>
    <w:rsid w:val="15DE0F03"/>
    <w:rsid w:val="15E05662"/>
    <w:rsid w:val="15E211F7"/>
    <w:rsid w:val="15E45152"/>
    <w:rsid w:val="15E62334"/>
    <w:rsid w:val="15EC2259"/>
    <w:rsid w:val="15EE7D7F"/>
    <w:rsid w:val="16467BBB"/>
    <w:rsid w:val="164976AB"/>
    <w:rsid w:val="164D0F49"/>
    <w:rsid w:val="165F6ECF"/>
    <w:rsid w:val="166242C9"/>
    <w:rsid w:val="166B13D0"/>
    <w:rsid w:val="16783AEC"/>
    <w:rsid w:val="16946B78"/>
    <w:rsid w:val="169D3553"/>
    <w:rsid w:val="169E17A5"/>
    <w:rsid w:val="169E79F7"/>
    <w:rsid w:val="16B56AEF"/>
    <w:rsid w:val="16BE1E47"/>
    <w:rsid w:val="16C3745D"/>
    <w:rsid w:val="16EB2510"/>
    <w:rsid w:val="16FD2DDE"/>
    <w:rsid w:val="17011D34"/>
    <w:rsid w:val="17033CFE"/>
    <w:rsid w:val="17084E70"/>
    <w:rsid w:val="172D4843"/>
    <w:rsid w:val="17321A57"/>
    <w:rsid w:val="17375756"/>
    <w:rsid w:val="176C53FF"/>
    <w:rsid w:val="176D1177"/>
    <w:rsid w:val="17795D6E"/>
    <w:rsid w:val="178F10EE"/>
    <w:rsid w:val="179761F4"/>
    <w:rsid w:val="17B27358"/>
    <w:rsid w:val="17BE7C25"/>
    <w:rsid w:val="17C92852"/>
    <w:rsid w:val="17DD00AB"/>
    <w:rsid w:val="17E70F2A"/>
    <w:rsid w:val="18023FB5"/>
    <w:rsid w:val="18090EA0"/>
    <w:rsid w:val="181066D2"/>
    <w:rsid w:val="181D0DEF"/>
    <w:rsid w:val="182F467F"/>
    <w:rsid w:val="18300B23"/>
    <w:rsid w:val="1833416F"/>
    <w:rsid w:val="184719C8"/>
    <w:rsid w:val="184B770B"/>
    <w:rsid w:val="18583BD5"/>
    <w:rsid w:val="185D11EC"/>
    <w:rsid w:val="18602A8A"/>
    <w:rsid w:val="18697B91"/>
    <w:rsid w:val="18770500"/>
    <w:rsid w:val="188744BB"/>
    <w:rsid w:val="188E3A9B"/>
    <w:rsid w:val="189F1804"/>
    <w:rsid w:val="18A961DF"/>
    <w:rsid w:val="18C94AD3"/>
    <w:rsid w:val="18DD40DB"/>
    <w:rsid w:val="18E878E8"/>
    <w:rsid w:val="18E90CD1"/>
    <w:rsid w:val="190873AA"/>
    <w:rsid w:val="19121FD6"/>
    <w:rsid w:val="19125C20"/>
    <w:rsid w:val="192166BD"/>
    <w:rsid w:val="194D300E"/>
    <w:rsid w:val="19744A3F"/>
    <w:rsid w:val="19762565"/>
    <w:rsid w:val="197E141A"/>
    <w:rsid w:val="197E58BE"/>
    <w:rsid w:val="198C1D89"/>
    <w:rsid w:val="19B84849"/>
    <w:rsid w:val="19C72DC1"/>
    <w:rsid w:val="19CD414F"/>
    <w:rsid w:val="19E82D37"/>
    <w:rsid w:val="19EF40C6"/>
    <w:rsid w:val="1A2024D1"/>
    <w:rsid w:val="1A253F8B"/>
    <w:rsid w:val="1A5959E3"/>
    <w:rsid w:val="1A734CF7"/>
    <w:rsid w:val="1A780BC1"/>
    <w:rsid w:val="1A872120"/>
    <w:rsid w:val="1AA43102"/>
    <w:rsid w:val="1AAB623F"/>
    <w:rsid w:val="1AAD645B"/>
    <w:rsid w:val="1AB1581F"/>
    <w:rsid w:val="1AB84DFF"/>
    <w:rsid w:val="1ABD2416"/>
    <w:rsid w:val="1ABD41C4"/>
    <w:rsid w:val="1AC13CB4"/>
    <w:rsid w:val="1ADD6614"/>
    <w:rsid w:val="1ADE4866"/>
    <w:rsid w:val="1AF220BF"/>
    <w:rsid w:val="1AF25FD8"/>
    <w:rsid w:val="1AFB27F7"/>
    <w:rsid w:val="1B043BA1"/>
    <w:rsid w:val="1B122762"/>
    <w:rsid w:val="1B18764C"/>
    <w:rsid w:val="1B193AF0"/>
    <w:rsid w:val="1B291859"/>
    <w:rsid w:val="1B2E0C1E"/>
    <w:rsid w:val="1B373F76"/>
    <w:rsid w:val="1B487F31"/>
    <w:rsid w:val="1B4A3CA9"/>
    <w:rsid w:val="1B544B28"/>
    <w:rsid w:val="1B707488"/>
    <w:rsid w:val="1B9C64CF"/>
    <w:rsid w:val="1BA809D0"/>
    <w:rsid w:val="1BBD091F"/>
    <w:rsid w:val="1BE55780"/>
    <w:rsid w:val="1BEA2D97"/>
    <w:rsid w:val="1C177904"/>
    <w:rsid w:val="1C1F5136"/>
    <w:rsid w:val="1C2A5889"/>
    <w:rsid w:val="1C406E5A"/>
    <w:rsid w:val="1C6568C1"/>
    <w:rsid w:val="1C7B2ABC"/>
    <w:rsid w:val="1C856F63"/>
    <w:rsid w:val="1CB3587E"/>
    <w:rsid w:val="1CBD494F"/>
    <w:rsid w:val="1CDB6B83"/>
    <w:rsid w:val="1CDD6D9F"/>
    <w:rsid w:val="1CDF0421"/>
    <w:rsid w:val="1CE123EB"/>
    <w:rsid w:val="1CF52E26"/>
    <w:rsid w:val="1D04432C"/>
    <w:rsid w:val="1D077978"/>
    <w:rsid w:val="1D100F23"/>
    <w:rsid w:val="1D440BCC"/>
    <w:rsid w:val="1D594678"/>
    <w:rsid w:val="1D772D50"/>
    <w:rsid w:val="1D7A639C"/>
    <w:rsid w:val="1D8A760F"/>
    <w:rsid w:val="1D9C5944"/>
    <w:rsid w:val="1DA022A7"/>
    <w:rsid w:val="1DB4365C"/>
    <w:rsid w:val="1DB93368"/>
    <w:rsid w:val="1DBE097F"/>
    <w:rsid w:val="1DC14054"/>
    <w:rsid w:val="1E0A5972"/>
    <w:rsid w:val="1E1467F1"/>
    <w:rsid w:val="1E1A454E"/>
    <w:rsid w:val="1E34479D"/>
    <w:rsid w:val="1E432C32"/>
    <w:rsid w:val="1E5F5CBE"/>
    <w:rsid w:val="1E786D7F"/>
    <w:rsid w:val="1E8E0351"/>
    <w:rsid w:val="1E9A4F48"/>
    <w:rsid w:val="1EA90CE7"/>
    <w:rsid w:val="1EB8717C"/>
    <w:rsid w:val="1EBF49AE"/>
    <w:rsid w:val="1ED32208"/>
    <w:rsid w:val="1EE12B77"/>
    <w:rsid w:val="1F010B23"/>
    <w:rsid w:val="1F036CB4"/>
    <w:rsid w:val="1F071EB1"/>
    <w:rsid w:val="1F1F369F"/>
    <w:rsid w:val="1F257A8F"/>
    <w:rsid w:val="1F264A2D"/>
    <w:rsid w:val="1F291E28"/>
    <w:rsid w:val="1F2E743E"/>
    <w:rsid w:val="1F3A5DE3"/>
    <w:rsid w:val="1F3F5AEF"/>
    <w:rsid w:val="1F6E3CDF"/>
    <w:rsid w:val="1F7C289F"/>
    <w:rsid w:val="1F7D37A4"/>
    <w:rsid w:val="1F881244"/>
    <w:rsid w:val="1F996FAD"/>
    <w:rsid w:val="1FAF1538"/>
    <w:rsid w:val="1FBA5176"/>
    <w:rsid w:val="1FC85AE5"/>
    <w:rsid w:val="1FE521F3"/>
    <w:rsid w:val="1FEA15B7"/>
    <w:rsid w:val="200A3A07"/>
    <w:rsid w:val="201900EE"/>
    <w:rsid w:val="202A5E57"/>
    <w:rsid w:val="203171E6"/>
    <w:rsid w:val="20547378"/>
    <w:rsid w:val="205630F0"/>
    <w:rsid w:val="20580C17"/>
    <w:rsid w:val="20631E6A"/>
    <w:rsid w:val="206550E2"/>
    <w:rsid w:val="208C6B12"/>
    <w:rsid w:val="20931C4F"/>
    <w:rsid w:val="20AC4ABE"/>
    <w:rsid w:val="20BD4F1E"/>
    <w:rsid w:val="20BE47F2"/>
    <w:rsid w:val="20CB6FEE"/>
    <w:rsid w:val="20D67D8D"/>
    <w:rsid w:val="20DD736E"/>
    <w:rsid w:val="20E00C0C"/>
    <w:rsid w:val="210F504D"/>
    <w:rsid w:val="21244F9D"/>
    <w:rsid w:val="213B5E42"/>
    <w:rsid w:val="21537630"/>
    <w:rsid w:val="21556F04"/>
    <w:rsid w:val="21661111"/>
    <w:rsid w:val="217F6677"/>
    <w:rsid w:val="21C347B6"/>
    <w:rsid w:val="21C66054"/>
    <w:rsid w:val="21CB366A"/>
    <w:rsid w:val="21E85FCA"/>
    <w:rsid w:val="220426D8"/>
    <w:rsid w:val="22140B6D"/>
    <w:rsid w:val="221621E4"/>
    <w:rsid w:val="221A1EFC"/>
    <w:rsid w:val="22250FCC"/>
    <w:rsid w:val="222B4109"/>
    <w:rsid w:val="223718C9"/>
    <w:rsid w:val="22631AF5"/>
    <w:rsid w:val="22717D6E"/>
    <w:rsid w:val="2277734E"/>
    <w:rsid w:val="229D6DB5"/>
    <w:rsid w:val="22A7378F"/>
    <w:rsid w:val="22A77C33"/>
    <w:rsid w:val="22B440FE"/>
    <w:rsid w:val="22CA3922"/>
    <w:rsid w:val="22E744D4"/>
    <w:rsid w:val="22EA5D72"/>
    <w:rsid w:val="22EF5136"/>
    <w:rsid w:val="22F97D63"/>
    <w:rsid w:val="22FB1D2D"/>
    <w:rsid w:val="22FD3CF7"/>
    <w:rsid w:val="23152DEF"/>
    <w:rsid w:val="231B5F2B"/>
    <w:rsid w:val="231C7F86"/>
    <w:rsid w:val="231F5CFE"/>
    <w:rsid w:val="233740CD"/>
    <w:rsid w:val="23474F72"/>
    <w:rsid w:val="23720241"/>
    <w:rsid w:val="237B69CA"/>
    <w:rsid w:val="237F295E"/>
    <w:rsid w:val="238C0BD7"/>
    <w:rsid w:val="23A46FD5"/>
    <w:rsid w:val="23BC326A"/>
    <w:rsid w:val="23CE11F0"/>
    <w:rsid w:val="23D507D0"/>
    <w:rsid w:val="23D83E1C"/>
    <w:rsid w:val="23E66539"/>
    <w:rsid w:val="23F76998"/>
    <w:rsid w:val="23FE3883"/>
    <w:rsid w:val="241430A6"/>
    <w:rsid w:val="2435301D"/>
    <w:rsid w:val="24480FA2"/>
    <w:rsid w:val="245711E5"/>
    <w:rsid w:val="246F4781"/>
    <w:rsid w:val="247578BD"/>
    <w:rsid w:val="249645EE"/>
    <w:rsid w:val="249B079E"/>
    <w:rsid w:val="24AA3A0B"/>
    <w:rsid w:val="24B44889"/>
    <w:rsid w:val="251946ED"/>
    <w:rsid w:val="25313464"/>
    <w:rsid w:val="253432D4"/>
    <w:rsid w:val="253B299A"/>
    <w:rsid w:val="2546042C"/>
    <w:rsid w:val="254C6870"/>
    <w:rsid w:val="255F47F5"/>
    <w:rsid w:val="2564005E"/>
    <w:rsid w:val="25695674"/>
    <w:rsid w:val="256E4A38"/>
    <w:rsid w:val="257C12CE"/>
    <w:rsid w:val="25826C83"/>
    <w:rsid w:val="2584600A"/>
    <w:rsid w:val="25875AFA"/>
    <w:rsid w:val="25A55F80"/>
    <w:rsid w:val="25A8619C"/>
    <w:rsid w:val="25C1100C"/>
    <w:rsid w:val="25D24FC7"/>
    <w:rsid w:val="25D845A8"/>
    <w:rsid w:val="25DA3E7C"/>
    <w:rsid w:val="25DE1BBE"/>
    <w:rsid w:val="25E116AE"/>
    <w:rsid w:val="26123616"/>
    <w:rsid w:val="26395046"/>
    <w:rsid w:val="263E265D"/>
    <w:rsid w:val="26492DAF"/>
    <w:rsid w:val="265D1A6F"/>
    <w:rsid w:val="266853E5"/>
    <w:rsid w:val="2670658E"/>
    <w:rsid w:val="267442D0"/>
    <w:rsid w:val="26834424"/>
    <w:rsid w:val="26920BFA"/>
    <w:rsid w:val="26A12BEB"/>
    <w:rsid w:val="26A1499A"/>
    <w:rsid w:val="26B20955"/>
    <w:rsid w:val="26B4574B"/>
    <w:rsid w:val="26E03714"/>
    <w:rsid w:val="26EC20B9"/>
    <w:rsid w:val="26F1360D"/>
    <w:rsid w:val="26F34FFF"/>
    <w:rsid w:val="27275543"/>
    <w:rsid w:val="27286E69"/>
    <w:rsid w:val="27441EF5"/>
    <w:rsid w:val="274A5031"/>
    <w:rsid w:val="274A6DDF"/>
    <w:rsid w:val="276500BD"/>
    <w:rsid w:val="2767173F"/>
    <w:rsid w:val="27787DF0"/>
    <w:rsid w:val="27A97FAA"/>
    <w:rsid w:val="27B01338"/>
    <w:rsid w:val="27B66DC9"/>
    <w:rsid w:val="27C70430"/>
    <w:rsid w:val="27D86AE1"/>
    <w:rsid w:val="27E5129C"/>
    <w:rsid w:val="27F31225"/>
    <w:rsid w:val="27FA6A57"/>
    <w:rsid w:val="27FD02F5"/>
    <w:rsid w:val="28135FC7"/>
    <w:rsid w:val="28304227"/>
    <w:rsid w:val="28433F5A"/>
    <w:rsid w:val="28500425"/>
    <w:rsid w:val="28732366"/>
    <w:rsid w:val="28757F59"/>
    <w:rsid w:val="28885E11"/>
    <w:rsid w:val="289F315B"/>
    <w:rsid w:val="28C037FD"/>
    <w:rsid w:val="28F2772E"/>
    <w:rsid w:val="2907142C"/>
    <w:rsid w:val="290C614A"/>
    <w:rsid w:val="290D27BA"/>
    <w:rsid w:val="2916341D"/>
    <w:rsid w:val="291D29FD"/>
    <w:rsid w:val="292024ED"/>
    <w:rsid w:val="29467793"/>
    <w:rsid w:val="294D2BB7"/>
    <w:rsid w:val="2987256D"/>
    <w:rsid w:val="298C1931"/>
    <w:rsid w:val="299E3412"/>
    <w:rsid w:val="29A30A29"/>
    <w:rsid w:val="29C42E79"/>
    <w:rsid w:val="29C64450"/>
    <w:rsid w:val="29D47298"/>
    <w:rsid w:val="29FA575B"/>
    <w:rsid w:val="29FF2103"/>
    <w:rsid w:val="2A047719"/>
    <w:rsid w:val="2A063491"/>
    <w:rsid w:val="2A092F82"/>
    <w:rsid w:val="2A13795C"/>
    <w:rsid w:val="2A1536D4"/>
    <w:rsid w:val="2A50295E"/>
    <w:rsid w:val="2A810D6A"/>
    <w:rsid w:val="2AA42CAA"/>
    <w:rsid w:val="2AB253C7"/>
    <w:rsid w:val="2AD25A69"/>
    <w:rsid w:val="2AEF03C9"/>
    <w:rsid w:val="2AF05EF0"/>
    <w:rsid w:val="2AF91248"/>
    <w:rsid w:val="2AFA28CA"/>
    <w:rsid w:val="2B193698"/>
    <w:rsid w:val="2B2A31B0"/>
    <w:rsid w:val="2B2C517A"/>
    <w:rsid w:val="2B453098"/>
    <w:rsid w:val="2B4F70BA"/>
    <w:rsid w:val="2B612949"/>
    <w:rsid w:val="2B620B9B"/>
    <w:rsid w:val="2B6C5576"/>
    <w:rsid w:val="2B762790"/>
    <w:rsid w:val="2B7B3A0B"/>
    <w:rsid w:val="2BC25ADE"/>
    <w:rsid w:val="2BC96E6C"/>
    <w:rsid w:val="2BD5034F"/>
    <w:rsid w:val="2BE27F2E"/>
    <w:rsid w:val="2BE45A54"/>
    <w:rsid w:val="2BEB6DE3"/>
    <w:rsid w:val="2C0E487F"/>
    <w:rsid w:val="2C107158"/>
    <w:rsid w:val="2C1856FE"/>
    <w:rsid w:val="2C1F6A8C"/>
    <w:rsid w:val="2C293467"/>
    <w:rsid w:val="2C4D184B"/>
    <w:rsid w:val="2C541DCF"/>
    <w:rsid w:val="2C6C77F8"/>
    <w:rsid w:val="2C6D5A4A"/>
    <w:rsid w:val="2CA246E6"/>
    <w:rsid w:val="2CB27900"/>
    <w:rsid w:val="2CBC42DB"/>
    <w:rsid w:val="2CC55886"/>
    <w:rsid w:val="2CC74504"/>
    <w:rsid w:val="2CDA6697"/>
    <w:rsid w:val="2CEB696E"/>
    <w:rsid w:val="2CED6B8B"/>
    <w:rsid w:val="2CFF2F63"/>
    <w:rsid w:val="2D053ED4"/>
    <w:rsid w:val="2D0637A8"/>
    <w:rsid w:val="2D1E6D44"/>
    <w:rsid w:val="2D2F2CFF"/>
    <w:rsid w:val="2D483DC1"/>
    <w:rsid w:val="2D4A18E7"/>
    <w:rsid w:val="2D4F33A1"/>
    <w:rsid w:val="2D5C6165"/>
    <w:rsid w:val="2D6EED57"/>
    <w:rsid w:val="2D6F134E"/>
    <w:rsid w:val="2D83304B"/>
    <w:rsid w:val="2D833E14"/>
    <w:rsid w:val="2D856DC3"/>
    <w:rsid w:val="2DAA682A"/>
    <w:rsid w:val="2DAC25A2"/>
    <w:rsid w:val="2DBB27E5"/>
    <w:rsid w:val="2DBB4593"/>
    <w:rsid w:val="2DD12008"/>
    <w:rsid w:val="2DF301D1"/>
    <w:rsid w:val="2DF7E883"/>
    <w:rsid w:val="2E00469C"/>
    <w:rsid w:val="2E114AFB"/>
    <w:rsid w:val="2E352597"/>
    <w:rsid w:val="2E3D1D67"/>
    <w:rsid w:val="2E3EF85F"/>
    <w:rsid w:val="2E56075F"/>
    <w:rsid w:val="2E7D577C"/>
    <w:rsid w:val="2E975000"/>
    <w:rsid w:val="2EA339A5"/>
    <w:rsid w:val="2EB72FAC"/>
    <w:rsid w:val="2EC1207D"/>
    <w:rsid w:val="2ED31DB0"/>
    <w:rsid w:val="2ED33B5E"/>
    <w:rsid w:val="2EDF2503"/>
    <w:rsid w:val="2F176141"/>
    <w:rsid w:val="2F3445FD"/>
    <w:rsid w:val="2F662C24"/>
    <w:rsid w:val="2F754C15"/>
    <w:rsid w:val="2F7A63B8"/>
    <w:rsid w:val="2F7B66D0"/>
    <w:rsid w:val="2F8C4439"/>
    <w:rsid w:val="2F917CA1"/>
    <w:rsid w:val="2FBE6E45"/>
    <w:rsid w:val="2FD47B8E"/>
    <w:rsid w:val="2FE778C1"/>
    <w:rsid w:val="2FE9188B"/>
    <w:rsid w:val="30090FF9"/>
    <w:rsid w:val="300C37CC"/>
    <w:rsid w:val="30191A45"/>
    <w:rsid w:val="30202DD3"/>
    <w:rsid w:val="30395C43"/>
    <w:rsid w:val="3049057C"/>
    <w:rsid w:val="30843362"/>
    <w:rsid w:val="30A811B7"/>
    <w:rsid w:val="30AA6C7C"/>
    <w:rsid w:val="30E402A4"/>
    <w:rsid w:val="30F229C1"/>
    <w:rsid w:val="31101099"/>
    <w:rsid w:val="31552F50"/>
    <w:rsid w:val="317C672F"/>
    <w:rsid w:val="31A0241D"/>
    <w:rsid w:val="31B00187"/>
    <w:rsid w:val="31B25CAD"/>
    <w:rsid w:val="31B934DF"/>
    <w:rsid w:val="31CA56EC"/>
    <w:rsid w:val="31CC4FC0"/>
    <w:rsid w:val="31CF2D03"/>
    <w:rsid w:val="31DE6E0A"/>
    <w:rsid w:val="31F44517"/>
    <w:rsid w:val="31F462C5"/>
    <w:rsid w:val="31FE5396"/>
    <w:rsid w:val="32096215"/>
    <w:rsid w:val="320C0E5F"/>
    <w:rsid w:val="320C288E"/>
    <w:rsid w:val="321626E0"/>
    <w:rsid w:val="321E77E6"/>
    <w:rsid w:val="32252923"/>
    <w:rsid w:val="3226005B"/>
    <w:rsid w:val="32263D5F"/>
    <w:rsid w:val="322748ED"/>
    <w:rsid w:val="32690A61"/>
    <w:rsid w:val="32736FBC"/>
    <w:rsid w:val="32843AED"/>
    <w:rsid w:val="328B4EF3"/>
    <w:rsid w:val="32B37F2E"/>
    <w:rsid w:val="32D06D32"/>
    <w:rsid w:val="32D700C1"/>
    <w:rsid w:val="32DD4FAB"/>
    <w:rsid w:val="32DF6F75"/>
    <w:rsid w:val="32E0684A"/>
    <w:rsid w:val="32FA790B"/>
    <w:rsid w:val="3321133C"/>
    <w:rsid w:val="33264BA4"/>
    <w:rsid w:val="33301B34"/>
    <w:rsid w:val="333746BC"/>
    <w:rsid w:val="33380434"/>
    <w:rsid w:val="33462B51"/>
    <w:rsid w:val="3364747B"/>
    <w:rsid w:val="3386162D"/>
    <w:rsid w:val="338F274A"/>
    <w:rsid w:val="33A15FD9"/>
    <w:rsid w:val="33A61841"/>
    <w:rsid w:val="33A8380B"/>
    <w:rsid w:val="33B757FC"/>
    <w:rsid w:val="33C10429"/>
    <w:rsid w:val="33CA38C0"/>
    <w:rsid w:val="33F16F60"/>
    <w:rsid w:val="33F97BC3"/>
    <w:rsid w:val="34030A42"/>
    <w:rsid w:val="340F73E6"/>
    <w:rsid w:val="341113B0"/>
    <w:rsid w:val="342C56A3"/>
    <w:rsid w:val="34401C96"/>
    <w:rsid w:val="34425A0E"/>
    <w:rsid w:val="344572AC"/>
    <w:rsid w:val="34545741"/>
    <w:rsid w:val="34572B3B"/>
    <w:rsid w:val="34767465"/>
    <w:rsid w:val="34781430"/>
    <w:rsid w:val="347B0F20"/>
    <w:rsid w:val="34831B82"/>
    <w:rsid w:val="34931DC5"/>
    <w:rsid w:val="34A9783B"/>
    <w:rsid w:val="34AF6AD4"/>
    <w:rsid w:val="34D348B8"/>
    <w:rsid w:val="34D36666"/>
    <w:rsid w:val="34E17695"/>
    <w:rsid w:val="34E22D4D"/>
    <w:rsid w:val="34F67771"/>
    <w:rsid w:val="34FD36E3"/>
    <w:rsid w:val="350031D3"/>
    <w:rsid w:val="35026F4B"/>
    <w:rsid w:val="350B7E07"/>
    <w:rsid w:val="35103416"/>
    <w:rsid w:val="35123632"/>
    <w:rsid w:val="35170C48"/>
    <w:rsid w:val="351F5D4F"/>
    <w:rsid w:val="3529272A"/>
    <w:rsid w:val="352E5F92"/>
    <w:rsid w:val="35303AB8"/>
    <w:rsid w:val="35352E7D"/>
    <w:rsid w:val="35373099"/>
    <w:rsid w:val="35487054"/>
    <w:rsid w:val="35512B62"/>
    <w:rsid w:val="355A0B35"/>
    <w:rsid w:val="3575771D"/>
    <w:rsid w:val="358E6A31"/>
    <w:rsid w:val="35B069A7"/>
    <w:rsid w:val="35BA15D4"/>
    <w:rsid w:val="35BE10C4"/>
    <w:rsid w:val="35C67F79"/>
    <w:rsid w:val="35CB77C8"/>
    <w:rsid w:val="35E054DE"/>
    <w:rsid w:val="35F44AE6"/>
    <w:rsid w:val="360A60B7"/>
    <w:rsid w:val="361F5313"/>
    <w:rsid w:val="36261281"/>
    <w:rsid w:val="362A0508"/>
    <w:rsid w:val="362F1FC2"/>
    <w:rsid w:val="3630680D"/>
    <w:rsid w:val="36315D3A"/>
    <w:rsid w:val="363B44C3"/>
    <w:rsid w:val="364F4412"/>
    <w:rsid w:val="36527A5E"/>
    <w:rsid w:val="36743E79"/>
    <w:rsid w:val="368045CB"/>
    <w:rsid w:val="369462C9"/>
    <w:rsid w:val="36B85B13"/>
    <w:rsid w:val="37144D14"/>
    <w:rsid w:val="371D2599"/>
    <w:rsid w:val="374970B3"/>
    <w:rsid w:val="375A6BCB"/>
    <w:rsid w:val="375B6AE7"/>
    <w:rsid w:val="37645C9B"/>
    <w:rsid w:val="376C4B50"/>
    <w:rsid w:val="37704640"/>
    <w:rsid w:val="377A101B"/>
    <w:rsid w:val="378D69A1"/>
    <w:rsid w:val="37A83DDA"/>
    <w:rsid w:val="37AECFBB"/>
    <w:rsid w:val="37B3277F"/>
    <w:rsid w:val="37B502A5"/>
    <w:rsid w:val="37B81B43"/>
    <w:rsid w:val="37CA01F4"/>
    <w:rsid w:val="37D56B99"/>
    <w:rsid w:val="37DC7F27"/>
    <w:rsid w:val="37F00927"/>
    <w:rsid w:val="37FDA14E"/>
    <w:rsid w:val="381C6576"/>
    <w:rsid w:val="38327B47"/>
    <w:rsid w:val="38451629"/>
    <w:rsid w:val="384C6E5B"/>
    <w:rsid w:val="384D672F"/>
    <w:rsid w:val="385B709E"/>
    <w:rsid w:val="386F66A6"/>
    <w:rsid w:val="387C5A7D"/>
    <w:rsid w:val="38A547BD"/>
    <w:rsid w:val="38AC16A8"/>
    <w:rsid w:val="38B14F10"/>
    <w:rsid w:val="38CC58A6"/>
    <w:rsid w:val="38CD161E"/>
    <w:rsid w:val="38CE5AC2"/>
    <w:rsid w:val="38D459D1"/>
    <w:rsid w:val="38D62BC9"/>
    <w:rsid w:val="38FB618B"/>
    <w:rsid w:val="39140A3F"/>
    <w:rsid w:val="39224C32"/>
    <w:rsid w:val="39290F4A"/>
    <w:rsid w:val="392C147D"/>
    <w:rsid w:val="39311BAD"/>
    <w:rsid w:val="39390772"/>
    <w:rsid w:val="39475874"/>
    <w:rsid w:val="396226AE"/>
    <w:rsid w:val="396B1563"/>
    <w:rsid w:val="396C52DB"/>
    <w:rsid w:val="397523E2"/>
    <w:rsid w:val="39AE76A2"/>
    <w:rsid w:val="39D54C2E"/>
    <w:rsid w:val="39DE7F87"/>
    <w:rsid w:val="39E60BE9"/>
    <w:rsid w:val="39EC3D26"/>
    <w:rsid w:val="39ED1F78"/>
    <w:rsid w:val="3A0914C9"/>
    <w:rsid w:val="3A0F6392"/>
    <w:rsid w:val="3A184B1B"/>
    <w:rsid w:val="3A233BEC"/>
    <w:rsid w:val="3A281202"/>
    <w:rsid w:val="3A361B71"/>
    <w:rsid w:val="3A52627F"/>
    <w:rsid w:val="3A5B3385"/>
    <w:rsid w:val="3A5D24A2"/>
    <w:rsid w:val="3A6C2E0F"/>
    <w:rsid w:val="3A7B57D6"/>
    <w:rsid w:val="3A86417A"/>
    <w:rsid w:val="3A9B7C26"/>
    <w:rsid w:val="3AAA1C17"/>
    <w:rsid w:val="3AB17449"/>
    <w:rsid w:val="3AB62910"/>
    <w:rsid w:val="3AB74334"/>
    <w:rsid w:val="3AB900AC"/>
    <w:rsid w:val="3ABE1B66"/>
    <w:rsid w:val="3AD1189A"/>
    <w:rsid w:val="3AEA295B"/>
    <w:rsid w:val="3AF31810"/>
    <w:rsid w:val="3AFB6916"/>
    <w:rsid w:val="3AFC4BC0"/>
    <w:rsid w:val="3B0C28D2"/>
    <w:rsid w:val="3B117EE8"/>
    <w:rsid w:val="3B225C51"/>
    <w:rsid w:val="3B2D45F6"/>
    <w:rsid w:val="3B404329"/>
    <w:rsid w:val="3B4F6AF1"/>
    <w:rsid w:val="3B602558"/>
    <w:rsid w:val="3B710987"/>
    <w:rsid w:val="3B84690C"/>
    <w:rsid w:val="3B8561E0"/>
    <w:rsid w:val="3B96663F"/>
    <w:rsid w:val="3B9B5A04"/>
    <w:rsid w:val="3BA42B0A"/>
    <w:rsid w:val="3BA7084C"/>
    <w:rsid w:val="3BA743A8"/>
    <w:rsid w:val="3BB6283D"/>
    <w:rsid w:val="3BC66F24"/>
    <w:rsid w:val="3BCC61BE"/>
    <w:rsid w:val="3C1934F8"/>
    <w:rsid w:val="3C1A7270"/>
    <w:rsid w:val="3C355E58"/>
    <w:rsid w:val="3C4531C7"/>
    <w:rsid w:val="3C62248D"/>
    <w:rsid w:val="3C7E15AD"/>
    <w:rsid w:val="3C8F7316"/>
    <w:rsid w:val="3C9037B0"/>
    <w:rsid w:val="3C920BB5"/>
    <w:rsid w:val="3CA8487C"/>
    <w:rsid w:val="3CE77152"/>
    <w:rsid w:val="3CE83271"/>
    <w:rsid w:val="3D05582A"/>
    <w:rsid w:val="3D1E59F0"/>
    <w:rsid w:val="3D235CB1"/>
    <w:rsid w:val="3D271C45"/>
    <w:rsid w:val="3D3305EA"/>
    <w:rsid w:val="3D345334"/>
    <w:rsid w:val="3D3E0D3C"/>
    <w:rsid w:val="3D430101"/>
    <w:rsid w:val="3D4A148F"/>
    <w:rsid w:val="3D4E71D1"/>
    <w:rsid w:val="3D5800C9"/>
    <w:rsid w:val="3D632551"/>
    <w:rsid w:val="3D6562C9"/>
    <w:rsid w:val="3D673DEF"/>
    <w:rsid w:val="3D6D517E"/>
    <w:rsid w:val="3D7824A0"/>
    <w:rsid w:val="3D7F382F"/>
    <w:rsid w:val="3D8B21D4"/>
    <w:rsid w:val="3D9D1F07"/>
    <w:rsid w:val="3DBA03C3"/>
    <w:rsid w:val="3DBB238D"/>
    <w:rsid w:val="3DD1395F"/>
    <w:rsid w:val="3DE41C1D"/>
    <w:rsid w:val="3DFA1107"/>
    <w:rsid w:val="3E03620E"/>
    <w:rsid w:val="3E10092B"/>
    <w:rsid w:val="3E1321C9"/>
    <w:rsid w:val="3E247F32"/>
    <w:rsid w:val="3E6B5A1B"/>
    <w:rsid w:val="3E7F06D6"/>
    <w:rsid w:val="3E8409D1"/>
    <w:rsid w:val="3E98375A"/>
    <w:rsid w:val="3EA13331"/>
    <w:rsid w:val="3EAD7F28"/>
    <w:rsid w:val="3EAE1BA1"/>
    <w:rsid w:val="3EBE0387"/>
    <w:rsid w:val="3EC55271"/>
    <w:rsid w:val="3ECB6600"/>
    <w:rsid w:val="3ED951C1"/>
    <w:rsid w:val="3EDD2E9A"/>
    <w:rsid w:val="3EF7239A"/>
    <w:rsid w:val="3EFDDABF"/>
    <w:rsid w:val="3F0D09C6"/>
    <w:rsid w:val="3F1C6E5B"/>
    <w:rsid w:val="3F255D10"/>
    <w:rsid w:val="3F2C521C"/>
    <w:rsid w:val="3F2D2E17"/>
    <w:rsid w:val="3F2F3033"/>
    <w:rsid w:val="3F2F6B8F"/>
    <w:rsid w:val="3F3643C1"/>
    <w:rsid w:val="3F5465F5"/>
    <w:rsid w:val="3F5900B0"/>
    <w:rsid w:val="3F6A5E19"/>
    <w:rsid w:val="3F731171"/>
    <w:rsid w:val="3F762A0F"/>
    <w:rsid w:val="3F7E3672"/>
    <w:rsid w:val="3F7E6AB6"/>
    <w:rsid w:val="3FAC6431"/>
    <w:rsid w:val="3FAE03FB"/>
    <w:rsid w:val="3FB12ADB"/>
    <w:rsid w:val="3FE71217"/>
    <w:rsid w:val="3FEE2B10"/>
    <w:rsid w:val="3FEF7CCF"/>
    <w:rsid w:val="3FFF0BAB"/>
    <w:rsid w:val="401F4E55"/>
    <w:rsid w:val="401F6C03"/>
    <w:rsid w:val="40344679"/>
    <w:rsid w:val="405C7E57"/>
    <w:rsid w:val="406212F8"/>
    <w:rsid w:val="407422FD"/>
    <w:rsid w:val="409B2C7E"/>
    <w:rsid w:val="40A62E81"/>
    <w:rsid w:val="40C357E1"/>
    <w:rsid w:val="40CB6D8B"/>
    <w:rsid w:val="40E13EB9"/>
    <w:rsid w:val="40F57964"/>
    <w:rsid w:val="40FA4F7A"/>
    <w:rsid w:val="40FF07E3"/>
    <w:rsid w:val="412546ED"/>
    <w:rsid w:val="412A5860"/>
    <w:rsid w:val="41412BA9"/>
    <w:rsid w:val="41432F6C"/>
    <w:rsid w:val="41540B2E"/>
    <w:rsid w:val="41564F0E"/>
    <w:rsid w:val="416D399E"/>
    <w:rsid w:val="418036D2"/>
    <w:rsid w:val="418F7DB9"/>
    <w:rsid w:val="41C37A62"/>
    <w:rsid w:val="41DB4DAC"/>
    <w:rsid w:val="41F67E38"/>
    <w:rsid w:val="41F93484"/>
    <w:rsid w:val="42116A20"/>
    <w:rsid w:val="422B7AE1"/>
    <w:rsid w:val="422C3859"/>
    <w:rsid w:val="424741EF"/>
    <w:rsid w:val="42725710"/>
    <w:rsid w:val="427D40B5"/>
    <w:rsid w:val="428611BC"/>
    <w:rsid w:val="42944ABD"/>
    <w:rsid w:val="42951AEF"/>
    <w:rsid w:val="429F227D"/>
    <w:rsid w:val="42BD2703"/>
    <w:rsid w:val="42C121F4"/>
    <w:rsid w:val="42D27F5D"/>
    <w:rsid w:val="42DE4B54"/>
    <w:rsid w:val="43212240"/>
    <w:rsid w:val="432E715D"/>
    <w:rsid w:val="43317379"/>
    <w:rsid w:val="43346E69"/>
    <w:rsid w:val="43423544"/>
    <w:rsid w:val="436A288B"/>
    <w:rsid w:val="436B215F"/>
    <w:rsid w:val="43762FDE"/>
    <w:rsid w:val="437E1E93"/>
    <w:rsid w:val="4387343D"/>
    <w:rsid w:val="438D20D6"/>
    <w:rsid w:val="43A22025"/>
    <w:rsid w:val="43A7763B"/>
    <w:rsid w:val="43AA2B33"/>
    <w:rsid w:val="43B104BA"/>
    <w:rsid w:val="43CA50D8"/>
    <w:rsid w:val="43CC70A2"/>
    <w:rsid w:val="43E443EC"/>
    <w:rsid w:val="43E53CC0"/>
    <w:rsid w:val="43E7452D"/>
    <w:rsid w:val="43F705A8"/>
    <w:rsid w:val="440A1978"/>
    <w:rsid w:val="44227892"/>
    <w:rsid w:val="44307631"/>
    <w:rsid w:val="443F7E5A"/>
    <w:rsid w:val="444255B6"/>
    <w:rsid w:val="445175A7"/>
    <w:rsid w:val="44640085"/>
    <w:rsid w:val="4488746D"/>
    <w:rsid w:val="44957494"/>
    <w:rsid w:val="44C71617"/>
    <w:rsid w:val="44C91833"/>
    <w:rsid w:val="44DC1567"/>
    <w:rsid w:val="44F763A1"/>
    <w:rsid w:val="451505D5"/>
    <w:rsid w:val="45660E30"/>
    <w:rsid w:val="4582210E"/>
    <w:rsid w:val="459534C4"/>
    <w:rsid w:val="45C75D73"/>
    <w:rsid w:val="45E16709"/>
    <w:rsid w:val="45E306D3"/>
    <w:rsid w:val="45EE77A4"/>
    <w:rsid w:val="45EF0E26"/>
    <w:rsid w:val="45F60406"/>
    <w:rsid w:val="45F621B4"/>
    <w:rsid w:val="45F778BD"/>
    <w:rsid w:val="4607616F"/>
    <w:rsid w:val="460D74FE"/>
    <w:rsid w:val="460E39A2"/>
    <w:rsid w:val="460E6AAD"/>
    <w:rsid w:val="461D5993"/>
    <w:rsid w:val="46340F2E"/>
    <w:rsid w:val="46401681"/>
    <w:rsid w:val="464E0242"/>
    <w:rsid w:val="465B56CC"/>
    <w:rsid w:val="465B64BB"/>
    <w:rsid w:val="466C691A"/>
    <w:rsid w:val="4673643B"/>
    <w:rsid w:val="467714A8"/>
    <w:rsid w:val="468123C6"/>
    <w:rsid w:val="468C48C7"/>
    <w:rsid w:val="46A613B3"/>
    <w:rsid w:val="46B1432D"/>
    <w:rsid w:val="46C93D6D"/>
    <w:rsid w:val="46D36999"/>
    <w:rsid w:val="47060B1D"/>
    <w:rsid w:val="47064679"/>
    <w:rsid w:val="470B44A5"/>
    <w:rsid w:val="4723522B"/>
    <w:rsid w:val="47280A93"/>
    <w:rsid w:val="473236C0"/>
    <w:rsid w:val="47332F94"/>
    <w:rsid w:val="473E081F"/>
    <w:rsid w:val="47613FA5"/>
    <w:rsid w:val="47680E90"/>
    <w:rsid w:val="4792415F"/>
    <w:rsid w:val="47AF4D11"/>
    <w:rsid w:val="47B642F1"/>
    <w:rsid w:val="47C02A7A"/>
    <w:rsid w:val="47E56984"/>
    <w:rsid w:val="47F170D7"/>
    <w:rsid w:val="47F22DD0"/>
    <w:rsid w:val="48233009"/>
    <w:rsid w:val="482A4397"/>
    <w:rsid w:val="48425B85"/>
    <w:rsid w:val="48580F04"/>
    <w:rsid w:val="48592ECE"/>
    <w:rsid w:val="48723AE3"/>
    <w:rsid w:val="487321E2"/>
    <w:rsid w:val="48806059"/>
    <w:rsid w:val="4883037A"/>
    <w:rsid w:val="48965ED0"/>
    <w:rsid w:val="489D2DBB"/>
    <w:rsid w:val="48AF089B"/>
    <w:rsid w:val="48BC5937"/>
    <w:rsid w:val="48D569F9"/>
    <w:rsid w:val="48E409EA"/>
    <w:rsid w:val="48E7672C"/>
    <w:rsid w:val="48E850D8"/>
    <w:rsid w:val="48F801E9"/>
    <w:rsid w:val="490B5F77"/>
    <w:rsid w:val="4910358D"/>
    <w:rsid w:val="491F7C74"/>
    <w:rsid w:val="492B03C7"/>
    <w:rsid w:val="492D2391"/>
    <w:rsid w:val="493C6A78"/>
    <w:rsid w:val="49494CF1"/>
    <w:rsid w:val="497D2C80"/>
    <w:rsid w:val="49935F6C"/>
    <w:rsid w:val="49942410"/>
    <w:rsid w:val="49AB59AC"/>
    <w:rsid w:val="49B4660E"/>
    <w:rsid w:val="49BB5BEF"/>
    <w:rsid w:val="49D071C0"/>
    <w:rsid w:val="49F92273"/>
    <w:rsid w:val="4A0D21C2"/>
    <w:rsid w:val="4A0F5F3A"/>
    <w:rsid w:val="4A111CB3"/>
    <w:rsid w:val="4A161077"/>
    <w:rsid w:val="4A280725"/>
    <w:rsid w:val="4A2F2139"/>
    <w:rsid w:val="4A325785"/>
    <w:rsid w:val="4A62606A"/>
    <w:rsid w:val="4A64138E"/>
    <w:rsid w:val="4A6C6EE9"/>
    <w:rsid w:val="4A802994"/>
    <w:rsid w:val="4A8F4985"/>
    <w:rsid w:val="4AA5064D"/>
    <w:rsid w:val="4AB03279"/>
    <w:rsid w:val="4AB253A0"/>
    <w:rsid w:val="4AB83EDC"/>
    <w:rsid w:val="4AB927E4"/>
    <w:rsid w:val="4AC27530"/>
    <w:rsid w:val="4AEC1DD8"/>
    <w:rsid w:val="4AF722AC"/>
    <w:rsid w:val="4AFF1B0B"/>
    <w:rsid w:val="4B1A06F3"/>
    <w:rsid w:val="4B1A4B97"/>
    <w:rsid w:val="4B2B2900"/>
    <w:rsid w:val="4B3C4B0D"/>
    <w:rsid w:val="4B4863DB"/>
    <w:rsid w:val="4B5C0D0B"/>
    <w:rsid w:val="4B6B53F2"/>
    <w:rsid w:val="4B756271"/>
    <w:rsid w:val="4B7A5635"/>
    <w:rsid w:val="4B7E5126"/>
    <w:rsid w:val="4B8464B4"/>
    <w:rsid w:val="4B885FA4"/>
    <w:rsid w:val="4B9009B5"/>
    <w:rsid w:val="4BB9615E"/>
    <w:rsid w:val="4BBC79FC"/>
    <w:rsid w:val="4BBF74EC"/>
    <w:rsid w:val="4BC468B1"/>
    <w:rsid w:val="4BC92119"/>
    <w:rsid w:val="4BD034A7"/>
    <w:rsid w:val="4BE86A43"/>
    <w:rsid w:val="4BEB208F"/>
    <w:rsid w:val="4C173F38"/>
    <w:rsid w:val="4C3D6D8F"/>
    <w:rsid w:val="4C46376A"/>
    <w:rsid w:val="4C4D2D4A"/>
    <w:rsid w:val="4C4D68A6"/>
    <w:rsid w:val="4C650094"/>
    <w:rsid w:val="4C7327B1"/>
    <w:rsid w:val="4C7E695A"/>
    <w:rsid w:val="4C7E73A7"/>
    <w:rsid w:val="4C8A18A8"/>
    <w:rsid w:val="4C8C2DE4"/>
    <w:rsid w:val="4C8C5620"/>
    <w:rsid w:val="4C912C37"/>
    <w:rsid w:val="4C96740C"/>
    <w:rsid w:val="4C983FC5"/>
    <w:rsid w:val="4C9E7102"/>
    <w:rsid w:val="4CA94424"/>
    <w:rsid w:val="4CDB65A8"/>
    <w:rsid w:val="4CDF7E46"/>
    <w:rsid w:val="4CEC60BF"/>
    <w:rsid w:val="4CFFD668"/>
    <w:rsid w:val="4D0478AD"/>
    <w:rsid w:val="4D094EC3"/>
    <w:rsid w:val="4D0C3B83"/>
    <w:rsid w:val="4D145658"/>
    <w:rsid w:val="4D297313"/>
    <w:rsid w:val="4D2C6E03"/>
    <w:rsid w:val="4D3A1520"/>
    <w:rsid w:val="4D616AAD"/>
    <w:rsid w:val="4D73233C"/>
    <w:rsid w:val="4D7560B4"/>
    <w:rsid w:val="4D8602C2"/>
    <w:rsid w:val="4DBA7F6B"/>
    <w:rsid w:val="4DC4528E"/>
    <w:rsid w:val="4DCF7EBB"/>
    <w:rsid w:val="4DD34B5E"/>
    <w:rsid w:val="4DDA7481"/>
    <w:rsid w:val="4DDC25D7"/>
    <w:rsid w:val="4DF53699"/>
    <w:rsid w:val="4DF65033"/>
    <w:rsid w:val="4DFA2A5E"/>
    <w:rsid w:val="4E090665"/>
    <w:rsid w:val="4E2875CB"/>
    <w:rsid w:val="4E395334"/>
    <w:rsid w:val="4E3C4E24"/>
    <w:rsid w:val="4E404914"/>
    <w:rsid w:val="4E4A12EF"/>
    <w:rsid w:val="4E5C7274"/>
    <w:rsid w:val="4E6B74B7"/>
    <w:rsid w:val="4E6D3230"/>
    <w:rsid w:val="4E7B594C"/>
    <w:rsid w:val="4E8A5B90"/>
    <w:rsid w:val="4E9702AC"/>
    <w:rsid w:val="4E994E15"/>
    <w:rsid w:val="4ECA68D4"/>
    <w:rsid w:val="4ED27537"/>
    <w:rsid w:val="4EF70D4B"/>
    <w:rsid w:val="4F0022F6"/>
    <w:rsid w:val="4F11005F"/>
    <w:rsid w:val="4F135B85"/>
    <w:rsid w:val="4F155DA1"/>
    <w:rsid w:val="4F204746"/>
    <w:rsid w:val="4F7505EE"/>
    <w:rsid w:val="4F7D3946"/>
    <w:rsid w:val="4F8922EB"/>
    <w:rsid w:val="4F90585B"/>
    <w:rsid w:val="4F912F4E"/>
    <w:rsid w:val="4F9667B6"/>
    <w:rsid w:val="4FA113E3"/>
    <w:rsid w:val="4FE63299"/>
    <w:rsid w:val="4FEE214E"/>
    <w:rsid w:val="4FF37764"/>
    <w:rsid w:val="4FFA4F97"/>
    <w:rsid w:val="5019366F"/>
    <w:rsid w:val="50342257"/>
    <w:rsid w:val="50406E4E"/>
    <w:rsid w:val="504B75A0"/>
    <w:rsid w:val="5055041F"/>
    <w:rsid w:val="5066262C"/>
    <w:rsid w:val="506A211C"/>
    <w:rsid w:val="507941C5"/>
    <w:rsid w:val="507F724A"/>
    <w:rsid w:val="50830AE8"/>
    <w:rsid w:val="50937573"/>
    <w:rsid w:val="50AA076B"/>
    <w:rsid w:val="50B77C63"/>
    <w:rsid w:val="50BD049E"/>
    <w:rsid w:val="512027DB"/>
    <w:rsid w:val="51254295"/>
    <w:rsid w:val="512A365A"/>
    <w:rsid w:val="512F0C70"/>
    <w:rsid w:val="513029C4"/>
    <w:rsid w:val="51387B25"/>
    <w:rsid w:val="515A3F3F"/>
    <w:rsid w:val="516B36EC"/>
    <w:rsid w:val="516D11C8"/>
    <w:rsid w:val="517174DB"/>
    <w:rsid w:val="517F7502"/>
    <w:rsid w:val="51864D34"/>
    <w:rsid w:val="519531C9"/>
    <w:rsid w:val="519C4558"/>
    <w:rsid w:val="51B573C7"/>
    <w:rsid w:val="51C15D6C"/>
    <w:rsid w:val="51C4585C"/>
    <w:rsid w:val="51D27F79"/>
    <w:rsid w:val="51D84E64"/>
    <w:rsid w:val="51EB103B"/>
    <w:rsid w:val="51EE7B4E"/>
    <w:rsid w:val="520420FD"/>
    <w:rsid w:val="52043EAB"/>
    <w:rsid w:val="521F2A93"/>
    <w:rsid w:val="521F6F37"/>
    <w:rsid w:val="522956BF"/>
    <w:rsid w:val="52320A18"/>
    <w:rsid w:val="523302EC"/>
    <w:rsid w:val="52344790"/>
    <w:rsid w:val="524D13AE"/>
    <w:rsid w:val="524D7600"/>
    <w:rsid w:val="525070F0"/>
    <w:rsid w:val="52884313"/>
    <w:rsid w:val="52927709"/>
    <w:rsid w:val="52946FDD"/>
    <w:rsid w:val="52974D1F"/>
    <w:rsid w:val="52A31916"/>
    <w:rsid w:val="52A631B4"/>
    <w:rsid w:val="52AF2069"/>
    <w:rsid w:val="52DB2E5E"/>
    <w:rsid w:val="52E53CDC"/>
    <w:rsid w:val="52E57838"/>
    <w:rsid w:val="5302663C"/>
    <w:rsid w:val="530F3DA9"/>
    <w:rsid w:val="5322283B"/>
    <w:rsid w:val="53230361"/>
    <w:rsid w:val="53426A39"/>
    <w:rsid w:val="53530C46"/>
    <w:rsid w:val="536456A5"/>
    <w:rsid w:val="53677427"/>
    <w:rsid w:val="53794425"/>
    <w:rsid w:val="537B1F4B"/>
    <w:rsid w:val="537F7C8D"/>
    <w:rsid w:val="538A2683"/>
    <w:rsid w:val="538B4884"/>
    <w:rsid w:val="539354E6"/>
    <w:rsid w:val="5397660A"/>
    <w:rsid w:val="53AE40CE"/>
    <w:rsid w:val="53B06098"/>
    <w:rsid w:val="53BA6F17"/>
    <w:rsid w:val="53BB67EB"/>
    <w:rsid w:val="53C25DCC"/>
    <w:rsid w:val="53D22848"/>
    <w:rsid w:val="53F35F85"/>
    <w:rsid w:val="53FD32A8"/>
    <w:rsid w:val="54210D44"/>
    <w:rsid w:val="54273E81"/>
    <w:rsid w:val="54352A41"/>
    <w:rsid w:val="545A4256"/>
    <w:rsid w:val="547277F2"/>
    <w:rsid w:val="54782757"/>
    <w:rsid w:val="547A0454"/>
    <w:rsid w:val="548B440F"/>
    <w:rsid w:val="54BE6593"/>
    <w:rsid w:val="54E16725"/>
    <w:rsid w:val="54E3249D"/>
    <w:rsid w:val="54E7165C"/>
    <w:rsid w:val="55004DFD"/>
    <w:rsid w:val="55136E9B"/>
    <w:rsid w:val="55172147"/>
    <w:rsid w:val="5520724E"/>
    <w:rsid w:val="55287EB0"/>
    <w:rsid w:val="552D1A7A"/>
    <w:rsid w:val="55346855"/>
    <w:rsid w:val="55445770"/>
    <w:rsid w:val="55456CB4"/>
    <w:rsid w:val="555667CB"/>
    <w:rsid w:val="557430F6"/>
    <w:rsid w:val="557F21C6"/>
    <w:rsid w:val="558318CB"/>
    <w:rsid w:val="558A0B6B"/>
    <w:rsid w:val="5591517E"/>
    <w:rsid w:val="55AA6B17"/>
    <w:rsid w:val="55B654BC"/>
    <w:rsid w:val="55BB6F76"/>
    <w:rsid w:val="55C53951"/>
    <w:rsid w:val="55C73B6D"/>
    <w:rsid w:val="55D911AB"/>
    <w:rsid w:val="55E30486"/>
    <w:rsid w:val="562E599A"/>
    <w:rsid w:val="56505911"/>
    <w:rsid w:val="565F5B54"/>
    <w:rsid w:val="56772E9D"/>
    <w:rsid w:val="5697709C"/>
    <w:rsid w:val="56AB6FEB"/>
    <w:rsid w:val="56BE6D1E"/>
    <w:rsid w:val="56D24578"/>
    <w:rsid w:val="56D95906"/>
    <w:rsid w:val="56DE4CCA"/>
    <w:rsid w:val="57014E5D"/>
    <w:rsid w:val="570F30D6"/>
    <w:rsid w:val="57120E18"/>
    <w:rsid w:val="573568B4"/>
    <w:rsid w:val="574A6804"/>
    <w:rsid w:val="577E46FF"/>
    <w:rsid w:val="577F709F"/>
    <w:rsid w:val="57831589"/>
    <w:rsid w:val="57BF2D4E"/>
    <w:rsid w:val="57C540DC"/>
    <w:rsid w:val="57D60097"/>
    <w:rsid w:val="57F16C7F"/>
    <w:rsid w:val="57FD5D56"/>
    <w:rsid w:val="581A61D6"/>
    <w:rsid w:val="581D7A74"/>
    <w:rsid w:val="582157B7"/>
    <w:rsid w:val="58492617"/>
    <w:rsid w:val="58535244"/>
    <w:rsid w:val="585B69E4"/>
    <w:rsid w:val="58670D41"/>
    <w:rsid w:val="586C27AA"/>
    <w:rsid w:val="586D09FC"/>
    <w:rsid w:val="5875340D"/>
    <w:rsid w:val="587C0C3F"/>
    <w:rsid w:val="58801DB1"/>
    <w:rsid w:val="5886561A"/>
    <w:rsid w:val="588E2720"/>
    <w:rsid w:val="58A43CF2"/>
    <w:rsid w:val="58B07B38"/>
    <w:rsid w:val="58B303D9"/>
    <w:rsid w:val="58B71C77"/>
    <w:rsid w:val="58C83E84"/>
    <w:rsid w:val="58EF1411"/>
    <w:rsid w:val="58F46A27"/>
    <w:rsid w:val="59091DA7"/>
    <w:rsid w:val="59154BEF"/>
    <w:rsid w:val="59284923"/>
    <w:rsid w:val="593037D7"/>
    <w:rsid w:val="5939268C"/>
    <w:rsid w:val="594B6DA0"/>
    <w:rsid w:val="59613991"/>
    <w:rsid w:val="59657925"/>
    <w:rsid w:val="59830745"/>
    <w:rsid w:val="598A2DDA"/>
    <w:rsid w:val="598C4EB2"/>
    <w:rsid w:val="59BC3DD7"/>
    <w:rsid w:val="59BE0DE3"/>
    <w:rsid w:val="59D81EA5"/>
    <w:rsid w:val="59DE1485"/>
    <w:rsid w:val="59E85E60"/>
    <w:rsid w:val="59FD5DAF"/>
    <w:rsid w:val="5A0507C0"/>
    <w:rsid w:val="5A0C1B4F"/>
    <w:rsid w:val="5A0C5FF2"/>
    <w:rsid w:val="5A3612C1"/>
    <w:rsid w:val="5A4566FD"/>
    <w:rsid w:val="5A4E660B"/>
    <w:rsid w:val="5A560DC3"/>
    <w:rsid w:val="5A5B2AD6"/>
    <w:rsid w:val="5A5F4374"/>
    <w:rsid w:val="5A6C6A91"/>
    <w:rsid w:val="5A737E20"/>
    <w:rsid w:val="5A7DD209"/>
    <w:rsid w:val="5A851901"/>
    <w:rsid w:val="5A951B44"/>
    <w:rsid w:val="5AB53F94"/>
    <w:rsid w:val="5ADF1011"/>
    <w:rsid w:val="5AEB5C08"/>
    <w:rsid w:val="5AF01470"/>
    <w:rsid w:val="5B046CCA"/>
    <w:rsid w:val="5B060C94"/>
    <w:rsid w:val="5B12314B"/>
    <w:rsid w:val="5B183781"/>
    <w:rsid w:val="5B1A64ED"/>
    <w:rsid w:val="5B264E92"/>
    <w:rsid w:val="5B3D3F8A"/>
    <w:rsid w:val="5B505E97"/>
    <w:rsid w:val="5B555777"/>
    <w:rsid w:val="5B5A2D8E"/>
    <w:rsid w:val="5B5E0B95"/>
    <w:rsid w:val="5B5E63DA"/>
    <w:rsid w:val="5B6776D9"/>
    <w:rsid w:val="5B77749C"/>
    <w:rsid w:val="5B7C2D04"/>
    <w:rsid w:val="5B835E40"/>
    <w:rsid w:val="5BA1276A"/>
    <w:rsid w:val="5BC30933"/>
    <w:rsid w:val="5BEB7DA0"/>
    <w:rsid w:val="5BF136F2"/>
    <w:rsid w:val="5BFACDC1"/>
    <w:rsid w:val="5BFB631F"/>
    <w:rsid w:val="5C07081F"/>
    <w:rsid w:val="5C0E6052"/>
    <w:rsid w:val="5C115B42"/>
    <w:rsid w:val="5C1967A5"/>
    <w:rsid w:val="5C196AA2"/>
    <w:rsid w:val="5C1B076F"/>
    <w:rsid w:val="5C441A74"/>
    <w:rsid w:val="5C471564"/>
    <w:rsid w:val="5C5123E2"/>
    <w:rsid w:val="5C583771"/>
    <w:rsid w:val="5C58551F"/>
    <w:rsid w:val="5C6739B4"/>
    <w:rsid w:val="5C683575"/>
    <w:rsid w:val="5C69772C"/>
    <w:rsid w:val="5C763BF7"/>
    <w:rsid w:val="5C8F6A67"/>
    <w:rsid w:val="5CAA564F"/>
    <w:rsid w:val="5CB63FF4"/>
    <w:rsid w:val="5CD669B6"/>
    <w:rsid w:val="5CD8040E"/>
    <w:rsid w:val="5CDD77D2"/>
    <w:rsid w:val="5CE768A3"/>
    <w:rsid w:val="5CFA0384"/>
    <w:rsid w:val="5D156F6C"/>
    <w:rsid w:val="5D283143"/>
    <w:rsid w:val="5D284EF1"/>
    <w:rsid w:val="5D292A17"/>
    <w:rsid w:val="5D2B2C34"/>
    <w:rsid w:val="5D2D2508"/>
    <w:rsid w:val="5D3A69D3"/>
    <w:rsid w:val="5D3D64C3"/>
    <w:rsid w:val="5D467A6D"/>
    <w:rsid w:val="5D6F0D72"/>
    <w:rsid w:val="5D700646"/>
    <w:rsid w:val="5D810AA5"/>
    <w:rsid w:val="5D812854"/>
    <w:rsid w:val="5D8A795A"/>
    <w:rsid w:val="5DA16A52"/>
    <w:rsid w:val="5DAB5B22"/>
    <w:rsid w:val="5DB449D7"/>
    <w:rsid w:val="5DCD7847"/>
    <w:rsid w:val="5DDD05F0"/>
    <w:rsid w:val="5DDE7CA6"/>
    <w:rsid w:val="5DEA664B"/>
    <w:rsid w:val="5DEC3D7C"/>
    <w:rsid w:val="5DFB42C8"/>
    <w:rsid w:val="5DFD2B8D"/>
    <w:rsid w:val="5E30357F"/>
    <w:rsid w:val="5E331DA0"/>
    <w:rsid w:val="5E672D62"/>
    <w:rsid w:val="5E710B1A"/>
    <w:rsid w:val="5E744166"/>
    <w:rsid w:val="5E875C48"/>
    <w:rsid w:val="5E907E2E"/>
    <w:rsid w:val="5EA762EA"/>
    <w:rsid w:val="5EC0115A"/>
    <w:rsid w:val="5EE96902"/>
    <w:rsid w:val="5EF534F9"/>
    <w:rsid w:val="5F3D09FC"/>
    <w:rsid w:val="5F5024DD"/>
    <w:rsid w:val="5F5B2128"/>
    <w:rsid w:val="5F7A57AC"/>
    <w:rsid w:val="5F7A755A"/>
    <w:rsid w:val="5F8E1258"/>
    <w:rsid w:val="5F8EF745"/>
    <w:rsid w:val="5F9C3975"/>
    <w:rsid w:val="5FA6454C"/>
    <w:rsid w:val="5FA82319"/>
    <w:rsid w:val="5FAA472C"/>
    <w:rsid w:val="5FB32A6C"/>
    <w:rsid w:val="5FBA204D"/>
    <w:rsid w:val="5FC86518"/>
    <w:rsid w:val="5FCD3483"/>
    <w:rsid w:val="5FE62E42"/>
    <w:rsid w:val="5FEA0B84"/>
    <w:rsid w:val="5FED5F7E"/>
    <w:rsid w:val="5FFD55DA"/>
    <w:rsid w:val="60011A2A"/>
    <w:rsid w:val="60017C7C"/>
    <w:rsid w:val="60025ECE"/>
    <w:rsid w:val="600357A2"/>
    <w:rsid w:val="600811FB"/>
    <w:rsid w:val="60161979"/>
    <w:rsid w:val="60261490"/>
    <w:rsid w:val="602A0F80"/>
    <w:rsid w:val="602E7657"/>
    <w:rsid w:val="60441546"/>
    <w:rsid w:val="60787F3E"/>
    <w:rsid w:val="60803296"/>
    <w:rsid w:val="609805E0"/>
    <w:rsid w:val="60B92304"/>
    <w:rsid w:val="60C05441"/>
    <w:rsid w:val="60E3568C"/>
    <w:rsid w:val="60ED547E"/>
    <w:rsid w:val="611063C8"/>
    <w:rsid w:val="61204131"/>
    <w:rsid w:val="612E16FD"/>
    <w:rsid w:val="61497B2C"/>
    <w:rsid w:val="6162299C"/>
    <w:rsid w:val="61665F59"/>
    <w:rsid w:val="617526CF"/>
    <w:rsid w:val="617A7CE6"/>
    <w:rsid w:val="619C5EAE"/>
    <w:rsid w:val="619C7C5C"/>
    <w:rsid w:val="61A62889"/>
    <w:rsid w:val="61E11B13"/>
    <w:rsid w:val="61ED6709"/>
    <w:rsid w:val="621C2B4B"/>
    <w:rsid w:val="6220088D"/>
    <w:rsid w:val="6228315F"/>
    <w:rsid w:val="62287742"/>
    <w:rsid w:val="623E2002"/>
    <w:rsid w:val="625247BE"/>
    <w:rsid w:val="626F35C2"/>
    <w:rsid w:val="627015D1"/>
    <w:rsid w:val="628C1A7E"/>
    <w:rsid w:val="62922E0D"/>
    <w:rsid w:val="62A25746"/>
    <w:rsid w:val="62AC3ECF"/>
    <w:rsid w:val="62AD7C47"/>
    <w:rsid w:val="62B15989"/>
    <w:rsid w:val="62D33E47"/>
    <w:rsid w:val="62DD052C"/>
    <w:rsid w:val="62E573E1"/>
    <w:rsid w:val="630737FB"/>
    <w:rsid w:val="63474938"/>
    <w:rsid w:val="637013A0"/>
    <w:rsid w:val="637349EC"/>
    <w:rsid w:val="637F3391"/>
    <w:rsid w:val="638135AD"/>
    <w:rsid w:val="639A01CB"/>
    <w:rsid w:val="63A31776"/>
    <w:rsid w:val="63AD6150"/>
    <w:rsid w:val="63BC2406"/>
    <w:rsid w:val="63CC234F"/>
    <w:rsid w:val="63D731CD"/>
    <w:rsid w:val="63D74F7B"/>
    <w:rsid w:val="63F20007"/>
    <w:rsid w:val="63FF44D2"/>
    <w:rsid w:val="63FF7BA8"/>
    <w:rsid w:val="640D4E41"/>
    <w:rsid w:val="64125B41"/>
    <w:rsid w:val="64155AA4"/>
    <w:rsid w:val="641937E6"/>
    <w:rsid w:val="644D348F"/>
    <w:rsid w:val="64521240"/>
    <w:rsid w:val="645760BC"/>
    <w:rsid w:val="645962D8"/>
    <w:rsid w:val="64963088"/>
    <w:rsid w:val="649C7F73"/>
    <w:rsid w:val="64A137C1"/>
    <w:rsid w:val="64BE438D"/>
    <w:rsid w:val="64CA0F84"/>
    <w:rsid w:val="64E262CE"/>
    <w:rsid w:val="64EC4A56"/>
    <w:rsid w:val="64F1206D"/>
    <w:rsid w:val="65053D6A"/>
    <w:rsid w:val="650A312E"/>
    <w:rsid w:val="651641C9"/>
    <w:rsid w:val="65222B6E"/>
    <w:rsid w:val="652341F0"/>
    <w:rsid w:val="65242442"/>
    <w:rsid w:val="65260B2B"/>
    <w:rsid w:val="6526661E"/>
    <w:rsid w:val="65297A59"/>
    <w:rsid w:val="654725D5"/>
    <w:rsid w:val="654F7C7A"/>
    <w:rsid w:val="65510D5D"/>
    <w:rsid w:val="65516B9F"/>
    <w:rsid w:val="65766A16"/>
    <w:rsid w:val="65B85280"/>
    <w:rsid w:val="65C07C91"/>
    <w:rsid w:val="65D86017"/>
    <w:rsid w:val="65ED6CD8"/>
    <w:rsid w:val="65F77B57"/>
    <w:rsid w:val="66044022"/>
    <w:rsid w:val="660D1128"/>
    <w:rsid w:val="660D52D7"/>
    <w:rsid w:val="66240220"/>
    <w:rsid w:val="66285F62"/>
    <w:rsid w:val="66287D10"/>
    <w:rsid w:val="662F5543"/>
    <w:rsid w:val="663012BB"/>
    <w:rsid w:val="6635067F"/>
    <w:rsid w:val="663A5C95"/>
    <w:rsid w:val="6646288C"/>
    <w:rsid w:val="6650370B"/>
    <w:rsid w:val="66576847"/>
    <w:rsid w:val="66743405"/>
    <w:rsid w:val="6683763C"/>
    <w:rsid w:val="668F4233"/>
    <w:rsid w:val="669B6734"/>
    <w:rsid w:val="66A575B3"/>
    <w:rsid w:val="66B141AA"/>
    <w:rsid w:val="66C0619B"/>
    <w:rsid w:val="66D94DA6"/>
    <w:rsid w:val="66EA1469"/>
    <w:rsid w:val="66F04D16"/>
    <w:rsid w:val="670818F0"/>
    <w:rsid w:val="6712276E"/>
    <w:rsid w:val="67395F4D"/>
    <w:rsid w:val="674F3E22"/>
    <w:rsid w:val="675D7E8D"/>
    <w:rsid w:val="677376B1"/>
    <w:rsid w:val="677F6056"/>
    <w:rsid w:val="67825B46"/>
    <w:rsid w:val="678B2407"/>
    <w:rsid w:val="67A930D3"/>
    <w:rsid w:val="67BD092C"/>
    <w:rsid w:val="67C03C15"/>
    <w:rsid w:val="67DD0FCE"/>
    <w:rsid w:val="67E660D5"/>
    <w:rsid w:val="67F51E74"/>
    <w:rsid w:val="67FD341E"/>
    <w:rsid w:val="68064081"/>
    <w:rsid w:val="681E586F"/>
    <w:rsid w:val="68210EBB"/>
    <w:rsid w:val="68246BFD"/>
    <w:rsid w:val="68541290"/>
    <w:rsid w:val="686147D9"/>
    <w:rsid w:val="68657009"/>
    <w:rsid w:val="68684D3C"/>
    <w:rsid w:val="687C4343"/>
    <w:rsid w:val="688F051A"/>
    <w:rsid w:val="68A11FFC"/>
    <w:rsid w:val="68A45648"/>
    <w:rsid w:val="68A461DC"/>
    <w:rsid w:val="68AE62E8"/>
    <w:rsid w:val="68B47F81"/>
    <w:rsid w:val="68BB30BE"/>
    <w:rsid w:val="68C857DA"/>
    <w:rsid w:val="68D4417F"/>
    <w:rsid w:val="68F93BE6"/>
    <w:rsid w:val="69004F74"/>
    <w:rsid w:val="69052F6C"/>
    <w:rsid w:val="69513A22"/>
    <w:rsid w:val="695F613F"/>
    <w:rsid w:val="69623539"/>
    <w:rsid w:val="696574CD"/>
    <w:rsid w:val="69715E72"/>
    <w:rsid w:val="697274F4"/>
    <w:rsid w:val="6978328D"/>
    <w:rsid w:val="69825989"/>
    <w:rsid w:val="698E07D2"/>
    <w:rsid w:val="69BD10B7"/>
    <w:rsid w:val="69BF343C"/>
    <w:rsid w:val="69C2047C"/>
    <w:rsid w:val="69C97F64"/>
    <w:rsid w:val="6A050368"/>
    <w:rsid w:val="6A0B3BD1"/>
    <w:rsid w:val="6A1B7B8C"/>
    <w:rsid w:val="6A2353BE"/>
    <w:rsid w:val="6A2B6021"/>
    <w:rsid w:val="6A301889"/>
    <w:rsid w:val="6A445335"/>
    <w:rsid w:val="6A486BD3"/>
    <w:rsid w:val="6A55309E"/>
    <w:rsid w:val="6A65572F"/>
    <w:rsid w:val="6A6E7E1D"/>
    <w:rsid w:val="6A835E5D"/>
    <w:rsid w:val="6A8B6AC0"/>
    <w:rsid w:val="6A8E65B0"/>
    <w:rsid w:val="6A9040D6"/>
    <w:rsid w:val="6A9242F2"/>
    <w:rsid w:val="6AA45DD3"/>
    <w:rsid w:val="6AA638F9"/>
    <w:rsid w:val="6AB75B07"/>
    <w:rsid w:val="6ABE50E7"/>
    <w:rsid w:val="6AC30092"/>
    <w:rsid w:val="6AD40467"/>
    <w:rsid w:val="6AE34B4E"/>
    <w:rsid w:val="6AF44665"/>
    <w:rsid w:val="6AFC176B"/>
    <w:rsid w:val="6AFD72E0"/>
    <w:rsid w:val="6B046E01"/>
    <w:rsid w:val="6B0B7C00"/>
    <w:rsid w:val="6B301415"/>
    <w:rsid w:val="6B3D24B0"/>
    <w:rsid w:val="6B4D0219"/>
    <w:rsid w:val="6B5B2936"/>
    <w:rsid w:val="6B60318B"/>
    <w:rsid w:val="6B7632CC"/>
    <w:rsid w:val="6B7E6624"/>
    <w:rsid w:val="6B813B16"/>
    <w:rsid w:val="6B8A4FC9"/>
    <w:rsid w:val="6B935963"/>
    <w:rsid w:val="6B96571C"/>
    <w:rsid w:val="6BA02A3F"/>
    <w:rsid w:val="6BAF2C82"/>
    <w:rsid w:val="6BCE4EB6"/>
    <w:rsid w:val="6C066D46"/>
    <w:rsid w:val="6C0C1E82"/>
    <w:rsid w:val="6C136D6D"/>
    <w:rsid w:val="6C180827"/>
    <w:rsid w:val="6C384A25"/>
    <w:rsid w:val="6C4258A4"/>
    <w:rsid w:val="6C783074"/>
    <w:rsid w:val="6C7C2B64"/>
    <w:rsid w:val="6C865790"/>
    <w:rsid w:val="6CAE2F39"/>
    <w:rsid w:val="6CB16B7D"/>
    <w:rsid w:val="6CBF0EFA"/>
    <w:rsid w:val="6CCB7647"/>
    <w:rsid w:val="6CD75FEC"/>
    <w:rsid w:val="6CDC1854"/>
    <w:rsid w:val="6CE1330F"/>
    <w:rsid w:val="6CF50B68"/>
    <w:rsid w:val="6CFE50DB"/>
    <w:rsid w:val="6CFE5C6F"/>
    <w:rsid w:val="6D0D4104"/>
    <w:rsid w:val="6D155A94"/>
    <w:rsid w:val="6D1E3C1B"/>
    <w:rsid w:val="6D2B6338"/>
    <w:rsid w:val="6D301BA0"/>
    <w:rsid w:val="6D396CA7"/>
    <w:rsid w:val="6D654602"/>
    <w:rsid w:val="6D6C2BD8"/>
    <w:rsid w:val="6D6D4BA2"/>
    <w:rsid w:val="6D7221B9"/>
    <w:rsid w:val="6D785A21"/>
    <w:rsid w:val="6D8F2D6B"/>
    <w:rsid w:val="6DA02882"/>
    <w:rsid w:val="6DBB7DEE"/>
    <w:rsid w:val="6DCC3677"/>
    <w:rsid w:val="6DDA2238"/>
    <w:rsid w:val="6DE704B1"/>
    <w:rsid w:val="6DE7A446"/>
    <w:rsid w:val="6DEF7365"/>
    <w:rsid w:val="6DF901E4"/>
    <w:rsid w:val="6E0C6169"/>
    <w:rsid w:val="6E153270"/>
    <w:rsid w:val="6E1B45FE"/>
    <w:rsid w:val="6E2C4AB6"/>
    <w:rsid w:val="6E3556C0"/>
    <w:rsid w:val="6E533D98"/>
    <w:rsid w:val="6E6F5748"/>
    <w:rsid w:val="6E8E0149"/>
    <w:rsid w:val="6EB64310"/>
    <w:rsid w:val="6EBC193D"/>
    <w:rsid w:val="6EBF142E"/>
    <w:rsid w:val="6ED722D3"/>
    <w:rsid w:val="6EED3597"/>
    <w:rsid w:val="6EEE586F"/>
    <w:rsid w:val="6F062BB9"/>
    <w:rsid w:val="6F48197F"/>
    <w:rsid w:val="6F59718C"/>
    <w:rsid w:val="6F59BEA0"/>
    <w:rsid w:val="6F775864"/>
    <w:rsid w:val="6F7915DC"/>
    <w:rsid w:val="6F7C1B19"/>
    <w:rsid w:val="6F94795E"/>
    <w:rsid w:val="6F977CB5"/>
    <w:rsid w:val="6F9C351D"/>
    <w:rsid w:val="6F9C5A16"/>
    <w:rsid w:val="6FBB39A3"/>
    <w:rsid w:val="6FC0545D"/>
    <w:rsid w:val="6FC34F4E"/>
    <w:rsid w:val="6FD9651F"/>
    <w:rsid w:val="6FDB3FA1"/>
    <w:rsid w:val="6FFE1AE2"/>
    <w:rsid w:val="70076BE8"/>
    <w:rsid w:val="700A492A"/>
    <w:rsid w:val="7016507D"/>
    <w:rsid w:val="702E2AE1"/>
    <w:rsid w:val="70447E3C"/>
    <w:rsid w:val="70553DF8"/>
    <w:rsid w:val="70952446"/>
    <w:rsid w:val="709A3F00"/>
    <w:rsid w:val="709F6738"/>
    <w:rsid w:val="70B27E82"/>
    <w:rsid w:val="70B328CC"/>
    <w:rsid w:val="70B7060E"/>
    <w:rsid w:val="70CB40BA"/>
    <w:rsid w:val="70D25448"/>
    <w:rsid w:val="7101188A"/>
    <w:rsid w:val="71063344"/>
    <w:rsid w:val="71096990"/>
    <w:rsid w:val="711F4406"/>
    <w:rsid w:val="713C0B14"/>
    <w:rsid w:val="7169742F"/>
    <w:rsid w:val="716B764B"/>
    <w:rsid w:val="71775FF0"/>
    <w:rsid w:val="717B5AE0"/>
    <w:rsid w:val="718129CA"/>
    <w:rsid w:val="71AF7537"/>
    <w:rsid w:val="71BC3A02"/>
    <w:rsid w:val="71D14601"/>
    <w:rsid w:val="71D60F68"/>
    <w:rsid w:val="71D7083C"/>
    <w:rsid w:val="71DA11D5"/>
    <w:rsid w:val="71E80C9B"/>
    <w:rsid w:val="71F81B46"/>
    <w:rsid w:val="71F87130"/>
    <w:rsid w:val="72007E86"/>
    <w:rsid w:val="720535FB"/>
    <w:rsid w:val="72071122"/>
    <w:rsid w:val="720A29C0"/>
    <w:rsid w:val="72181581"/>
    <w:rsid w:val="7224493D"/>
    <w:rsid w:val="722E70A1"/>
    <w:rsid w:val="725F7A68"/>
    <w:rsid w:val="726A16B0"/>
    <w:rsid w:val="726E2F4F"/>
    <w:rsid w:val="7278201F"/>
    <w:rsid w:val="727B566C"/>
    <w:rsid w:val="727D13E4"/>
    <w:rsid w:val="72822E9E"/>
    <w:rsid w:val="729055BB"/>
    <w:rsid w:val="72AB99E4"/>
    <w:rsid w:val="72CE7E91"/>
    <w:rsid w:val="72D57898"/>
    <w:rsid w:val="72D74F98"/>
    <w:rsid w:val="72EE0533"/>
    <w:rsid w:val="73075151"/>
    <w:rsid w:val="730C2768"/>
    <w:rsid w:val="731A1328"/>
    <w:rsid w:val="73373C88"/>
    <w:rsid w:val="73375A36"/>
    <w:rsid w:val="733A463F"/>
    <w:rsid w:val="7349451F"/>
    <w:rsid w:val="734B51B9"/>
    <w:rsid w:val="73504D4A"/>
    <w:rsid w:val="73520AC2"/>
    <w:rsid w:val="73665063"/>
    <w:rsid w:val="737427E7"/>
    <w:rsid w:val="73770529"/>
    <w:rsid w:val="73774085"/>
    <w:rsid w:val="738E1F21"/>
    <w:rsid w:val="739015EB"/>
    <w:rsid w:val="739647BF"/>
    <w:rsid w:val="73AF1A71"/>
    <w:rsid w:val="73B47087"/>
    <w:rsid w:val="73DA4614"/>
    <w:rsid w:val="740A4EF9"/>
    <w:rsid w:val="7419513C"/>
    <w:rsid w:val="742835D1"/>
    <w:rsid w:val="7428537F"/>
    <w:rsid w:val="742C4E6F"/>
    <w:rsid w:val="745D04F3"/>
    <w:rsid w:val="745F3497"/>
    <w:rsid w:val="74744A68"/>
    <w:rsid w:val="747D391D"/>
    <w:rsid w:val="74BB61F3"/>
    <w:rsid w:val="74E7523A"/>
    <w:rsid w:val="74EC671B"/>
    <w:rsid w:val="74F6722B"/>
    <w:rsid w:val="74FA4F6E"/>
    <w:rsid w:val="751C1388"/>
    <w:rsid w:val="75244B75"/>
    <w:rsid w:val="752C70F1"/>
    <w:rsid w:val="753F0BD2"/>
    <w:rsid w:val="754206C3"/>
    <w:rsid w:val="75442A1E"/>
    <w:rsid w:val="754461E9"/>
    <w:rsid w:val="754B3A1B"/>
    <w:rsid w:val="75640639"/>
    <w:rsid w:val="75695C4F"/>
    <w:rsid w:val="756B5E6B"/>
    <w:rsid w:val="757F36C5"/>
    <w:rsid w:val="75826D11"/>
    <w:rsid w:val="7589009F"/>
    <w:rsid w:val="758D4034"/>
    <w:rsid w:val="7592164A"/>
    <w:rsid w:val="7592401C"/>
    <w:rsid w:val="75A86778"/>
    <w:rsid w:val="75B82733"/>
    <w:rsid w:val="75DA08FB"/>
    <w:rsid w:val="75EB0D5A"/>
    <w:rsid w:val="75F220E9"/>
    <w:rsid w:val="75F55735"/>
    <w:rsid w:val="760A5684"/>
    <w:rsid w:val="7610431D"/>
    <w:rsid w:val="76120095"/>
    <w:rsid w:val="76202073"/>
    <w:rsid w:val="76391AC6"/>
    <w:rsid w:val="764C7A4B"/>
    <w:rsid w:val="76500BBD"/>
    <w:rsid w:val="765C57B4"/>
    <w:rsid w:val="766D176F"/>
    <w:rsid w:val="7677439C"/>
    <w:rsid w:val="768C7E47"/>
    <w:rsid w:val="76944F4E"/>
    <w:rsid w:val="76982FF6"/>
    <w:rsid w:val="769D3E02"/>
    <w:rsid w:val="76D37824"/>
    <w:rsid w:val="76EC6B38"/>
    <w:rsid w:val="76F51E90"/>
    <w:rsid w:val="76FB5C65"/>
    <w:rsid w:val="77004391"/>
    <w:rsid w:val="77040325"/>
    <w:rsid w:val="770420D4"/>
    <w:rsid w:val="770816F2"/>
    <w:rsid w:val="77085369"/>
    <w:rsid w:val="771A18F7"/>
    <w:rsid w:val="771F6F0D"/>
    <w:rsid w:val="77316C41"/>
    <w:rsid w:val="773432D5"/>
    <w:rsid w:val="773D7394"/>
    <w:rsid w:val="773F310C"/>
    <w:rsid w:val="774150D6"/>
    <w:rsid w:val="77585F7B"/>
    <w:rsid w:val="775D3592"/>
    <w:rsid w:val="77642B72"/>
    <w:rsid w:val="776E39F1"/>
    <w:rsid w:val="77813724"/>
    <w:rsid w:val="77950F7E"/>
    <w:rsid w:val="779A2A38"/>
    <w:rsid w:val="779A47E6"/>
    <w:rsid w:val="77AE203F"/>
    <w:rsid w:val="77AE3DED"/>
    <w:rsid w:val="77AF64E3"/>
    <w:rsid w:val="77D870BC"/>
    <w:rsid w:val="77F35CA4"/>
    <w:rsid w:val="77FD3B78"/>
    <w:rsid w:val="78173A9B"/>
    <w:rsid w:val="782331D6"/>
    <w:rsid w:val="783B7D77"/>
    <w:rsid w:val="788905A7"/>
    <w:rsid w:val="788D434B"/>
    <w:rsid w:val="789B0816"/>
    <w:rsid w:val="78EA354B"/>
    <w:rsid w:val="78EF0B61"/>
    <w:rsid w:val="78F543CA"/>
    <w:rsid w:val="78F85C68"/>
    <w:rsid w:val="791B54B2"/>
    <w:rsid w:val="791D2FC4"/>
    <w:rsid w:val="792B7DEB"/>
    <w:rsid w:val="79382508"/>
    <w:rsid w:val="79515378"/>
    <w:rsid w:val="79554E68"/>
    <w:rsid w:val="797B41A3"/>
    <w:rsid w:val="79975481"/>
    <w:rsid w:val="79B37DE1"/>
    <w:rsid w:val="79C2031A"/>
    <w:rsid w:val="79DC10E6"/>
    <w:rsid w:val="79EF113F"/>
    <w:rsid w:val="79F31A57"/>
    <w:rsid w:val="7A262361"/>
    <w:rsid w:val="7A392094"/>
    <w:rsid w:val="7A490096"/>
    <w:rsid w:val="7A4B0019"/>
    <w:rsid w:val="7A590988"/>
    <w:rsid w:val="7A666C01"/>
    <w:rsid w:val="7A6A4943"/>
    <w:rsid w:val="7A886B78"/>
    <w:rsid w:val="7A94376E"/>
    <w:rsid w:val="7A9A3AF1"/>
    <w:rsid w:val="7AAD2A82"/>
    <w:rsid w:val="7AB57214"/>
    <w:rsid w:val="7ABB6F4D"/>
    <w:rsid w:val="7AC969FD"/>
    <w:rsid w:val="7AF4245F"/>
    <w:rsid w:val="7AF64429"/>
    <w:rsid w:val="7B0B1887"/>
    <w:rsid w:val="7B205002"/>
    <w:rsid w:val="7B2745E3"/>
    <w:rsid w:val="7B2E5971"/>
    <w:rsid w:val="7B363BDA"/>
    <w:rsid w:val="7B430CF1"/>
    <w:rsid w:val="7B7470FC"/>
    <w:rsid w:val="7B7535A0"/>
    <w:rsid w:val="7B780418"/>
    <w:rsid w:val="7B7D4202"/>
    <w:rsid w:val="7B7F441F"/>
    <w:rsid w:val="7B810197"/>
    <w:rsid w:val="7B89388B"/>
    <w:rsid w:val="7B98103C"/>
    <w:rsid w:val="7BB72C21"/>
    <w:rsid w:val="7BC938EC"/>
    <w:rsid w:val="7BD227A0"/>
    <w:rsid w:val="7BDF4EBD"/>
    <w:rsid w:val="7BFD95F2"/>
    <w:rsid w:val="7C02295A"/>
    <w:rsid w:val="7C18217D"/>
    <w:rsid w:val="7C275A52"/>
    <w:rsid w:val="7C2E19A1"/>
    <w:rsid w:val="7C321491"/>
    <w:rsid w:val="7C345209"/>
    <w:rsid w:val="7C371C9A"/>
    <w:rsid w:val="7C5331B5"/>
    <w:rsid w:val="7C683105"/>
    <w:rsid w:val="7C6F42BF"/>
    <w:rsid w:val="7C7B3C9D"/>
    <w:rsid w:val="7C817D22"/>
    <w:rsid w:val="7C846B0C"/>
    <w:rsid w:val="7C8C473B"/>
    <w:rsid w:val="7C9B5288"/>
    <w:rsid w:val="7CAD6D69"/>
    <w:rsid w:val="7CB1685A"/>
    <w:rsid w:val="7CBC0D5A"/>
    <w:rsid w:val="7CD82038"/>
    <w:rsid w:val="7CDE33C7"/>
    <w:rsid w:val="7CE56503"/>
    <w:rsid w:val="7CF93D5D"/>
    <w:rsid w:val="7D020E63"/>
    <w:rsid w:val="7D20753B"/>
    <w:rsid w:val="7D2C7C8E"/>
    <w:rsid w:val="7D32101D"/>
    <w:rsid w:val="7D346ED8"/>
    <w:rsid w:val="7D3C3BE5"/>
    <w:rsid w:val="7D537911"/>
    <w:rsid w:val="7D7358BD"/>
    <w:rsid w:val="7D742F87"/>
    <w:rsid w:val="7D7A30EF"/>
    <w:rsid w:val="7D8A0E59"/>
    <w:rsid w:val="7D910439"/>
    <w:rsid w:val="7DB12889"/>
    <w:rsid w:val="7DBA34EC"/>
    <w:rsid w:val="7DC223A1"/>
    <w:rsid w:val="7E3C65F7"/>
    <w:rsid w:val="7E543940"/>
    <w:rsid w:val="7E617E0B"/>
    <w:rsid w:val="7E7023CC"/>
    <w:rsid w:val="7E8F4979"/>
    <w:rsid w:val="7E927FC5"/>
    <w:rsid w:val="7E953F59"/>
    <w:rsid w:val="7E955D07"/>
    <w:rsid w:val="7EB02430"/>
    <w:rsid w:val="7EB02B41"/>
    <w:rsid w:val="7EB048EF"/>
    <w:rsid w:val="7EB937A4"/>
    <w:rsid w:val="7ED06D3F"/>
    <w:rsid w:val="7EDF79FD"/>
    <w:rsid w:val="7F0864D9"/>
    <w:rsid w:val="7F2A46A1"/>
    <w:rsid w:val="7F517E80"/>
    <w:rsid w:val="7F5636E8"/>
    <w:rsid w:val="7F62208D"/>
    <w:rsid w:val="7F65392B"/>
    <w:rsid w:val="7F833DB1"/>
    <w:rsid w:val="7F840255"/>
    <w:rsid w:val="7FBB179D"/>
    <w:rsid w:val="7FBB3AAE"/>
    <w:rsid w:val="7FCA378E"/>
    <w:rsid w:val="7FCE14D1"/>
    <w:rsid w:val="7FE5681A"/>
    <w:rsid w:val="7FFC5BC5"/>
    <w:rsid w:val="87FF677E"/>
    <w:rsid w:val="94FFA64F"/>
    <w:rsid w:val="B77BDC75"/>
    <w:rsid w:val="B7BA86F6"/>
    <w:rsid w:val="BBD20169"/>
    <w:rsid w:val="D5EF79BE"/>
    <w:rsid w:val="D9EDE26E"/>
    <w:rsid w:val="DEFF1004"/>
    <w:rsid w:val="DFEFB30C"/>
    <w:rsid w:val="E6394B26"/>
    <w:rsid w:val="E7FD16BC"/>
    <w:rsid w:val="E9F82225"/>
    <w:rsid w:val="EDEE3126"/>
    <w:rsid w:val="EFFF18B2"/>
    <w:rsid w:val="F3CB9B68"/>
    <w:rsid w:val="F6FB88AE"/>
    <w:rsid w:val="F7FFA4ED"/>
    <w:rsid w:val="FB7FD9DC"/>
    <w:rsid w:val="FEBDF8FC"/>
    <w:rsid w:val="FEDFD20D"/>
    <w:rsid w:val="FF6B7B16"/>
    <w:rsid w:val="FFFC546D"/>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nhideWhenUsed="0" w:uiPriority="0" w:semiHidden="0" w:name="table of figures"/>
    <w:lsdException w:uiPriority="99" w:name="envelope address"/>
    <w:lsdException w:uiPriority="99" w:name="envelope return"/>
    <w:lsdException w:qFormat="1" w:unhideWhenUsed="0" w:uiPriority="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3"/>
    <w:qFormat/>
    <w:uiPriority w:val="9"/>
    <w:pPr>
      <w:keepNext/>
      <w:keepLines/>
      <w:spacing w:before="120" w:after="120"/>
      <w:outlineLvl w:val="0"/>
    </w:pPr>
    <w:rPr>
      <w:rFonts w:ascii="Times New Roman" w:hAnsi="Times New Roman" w:eastAsia="Times New Roman"/>
      <w:b/>
      <w:bCs/>
      <w:kern w:val="44"/>
      <w:sz w:val="30"/>
      <w:szCs w:val="44"/>
    </w:rPr>
  </w:style>
  <w:style w:type="paragraph" w:styleId="3">
    <w:name w:val="heading 2"/>
    <w:basedOn w:val="1"/>
    <w:next w:val="1"/>
    <w:link w:val="4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87"/>
    <w:unhideWhenUsed/>
    <w:qFormat/>
    <w:uiPriority w:val="9"/>
    <w:pPr>
      <w:keepNext/>
      <w:keepLines/>
      <w:spacing w:before="280" w:after="290" w:line="376" w:lineRule="auto"/>
      <w:outlineLvl w:val="3"/>
    </w:pPr>
    <w:rPr>
      <w:rFonts w:ascii="Calibri Light" w:hAnsi="Calibri Light" w:eastAsia="等线 Light"/>
      <w:b/>
      <w:bCs/>
      <w:sz w:val="28"/>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35"/>
    <w:rPr>
      <w:rFonts w:ascii="等线 Light" w:hAnsi="等线 Light" w:eastAsia="黑体"/>
      <w:sz w:val="20"/>
      <w:szCs w:val="20"/>
    </w:rPr>
  </w:style>
  <w:style w:type="paragraph" w:styleId="7">
    <w:name w:val="annotation text"/>
    <w:basedOn w:val="1"/>
    <w:link w:val="42"/>
    <w:unhideWhenUsed/>
    <w:qFormat/>
    <w:uiPriority w:val="99"/>
    <w:pPr>
      <w:jc w:val="left"/>
    </w:pPr>
  </w:style>
  <w:style w:type="paragraph" w:styleId="8">
    <w:name w:val="Date"/>
    <w:basedOn w:val="1"/>
    <w:next w:val="1"/>
    <w:link w:val="56"/>
    <w:qFormat/>
    <w:uiPriority w:val="0"/>
    <w:pPr>
      <w:ind w:left="100" w:leftChars="2500"/>
    </w:pPr>
    <w:rPr>
      <w:rFonts w:ascii="Times New Roman" w:hAnsi="Times New Roman"/>
      <w:szCs w:val="24"/>
    </w:rPr>
  </w:style>
  <w:style w:type="paragraph" w:styleId="9">
    <w:name w:val="Balloon Text"/>
    <w:basedOn w:val="1"/>
    <w:link w:val="57"/>
    <w:qFormat/>
    <w:uiPriority w:val="99"/>
    <w:rPr>
      <w:rFonts w:ascii="Segoe UI" w:hAnsi="Segoe UI" w:cs="Segoe UI"/>
      <w:sz w:val="18"/>
      <w:szCs w:val="18"/>
    </w:rPr>
  </w:style>
  <w:style w:type="paragraph" w:styleId="10">
    <w:name w:val="footer"/>
    <w:basedOn w:val="1"/>
    <w:link w:val="29"/>
    <w:unhideWhenUsed/>
    <w:qFormat/>
    <w:uiPriority w:val="99"/>
    <w:pPr>
      <w:tabs>
        <w:tab w:val="center" w:pos="4153"/>
        <w:tab w:val="right" w:pos="8306"/>
      </w:tabs>
      <w:snapToGrid w:val="0"/>
      <w:jc w:val="left"/>
    </w:pPr>
    <w:rPr>
      <w:sz w:val="18"/>
      <w:szCs w:val="18"/>
    </w:rPr>
  </w:style>
  <w:style w:type="paragraph" w:styleId="11">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58"/>
    <w:semiHidden/>
    <w:qFormat/>
    <w:uiPriority w:val="0"/>
    <w:pPr>
      <w:snapToGrid w:val="0"/>
      <w:jc w:val="left"/>
    </w:pPr>
    <w:rPr>
      <w:rFonts w:ascii="Times New Roman" w:hAnsi="Times New Roman"/>
      <w:sz w:val="18"/>
      <w:szCs w:val="18"/>
    </w:rPr>
  </w:style>
  <w:style w:type="paragraph" w:styleId="13">
    <w:name w:val="table of figures"/>
    <w:basedOn w:val="1"/>
    <w:next w:val="1"/>
    <w:qFormat/>
    <w:uiPriority w:val="0"/>
    <w:pPr>
      <w:ind w:left="200" w:leftChars="200" w:hanging="200" w:hangingChars="200"/>
    </w:pPr>
  </w:style>
  <w:style w:type="paragraph" w:styleId="14">
    <w:name w:val="HTML Preformatted"/>
    <w:basedOn w:val="1"/>
    <w:link w:val="8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1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6">
    <w:name w:val="Title"/>
    <w:basedOn w:val="1"/>
    <w:next w:val="1"/>
    <w:link w:val="32"/>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7"/>
    <w:next w:val="7"/>
    <w:link w:val="43"/>
    <w:unhideWhenUsed/>
    <w:qFormat/>
    <w:uiPriority w:val="99"/>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FollowedHyperlink"/>
    <w:basedOn w:val="20"/>
    <w:unhideWhenUsed/>
    <w:qFormat/>
    <w:uiPriority w:val="99"/>
    <w:rPr>
      <w:color w:val="954F72" w:themeColor="followedHyperlink"/>
      <w:u w:val="single"/>
      <w14:textFill>
        <w14:solidFill>
          <w14:schemeClr w14:val="folHlink"/>
        </w14:solidFill>
      </w14:textFill>
    </w:rPr>
  </w:style>
  <w:style w:type="character" w:styleId="23">
    <w:name w:val="Emphasis"/>
    <w:basedOn w:val="20"/>
    <w:qFormat/>
    <w:uiPriority w:val="20"/>
    <w:rPr>
      <w:i/>
      <w:iCs/>
    </w:rPr>
  </w:style>
  <w:style w:type="character" w:styleId="24">
    <w:name w:val="Hyperlink"/>
    <w:basedOn w:val="20"/>
    <w:unhideWhenUsed/>
    <w:qFormat/>
    <w:uiPriority w:val="99"/>
    <w:rPr>
      <w:color w:val="0000FF"/>
      <w:u w:val="single"/>
    </w:rPr>
  </w:style>
  <w:style w:type="character" w:styleId="25">
    <w:name w:val="HTML Code"/>
    <w:basedOn w:val="20"/>
    <w:semiHidden/>
    <w:unhideWhenUsed/>
    <w:uiPriority w:val="99"/>
    <w:rPr>
      <w:rFonts w:ascii="Courier New" w:hAnsi="Courier New"/>
      <w:sz w:val="20"/>
    </w:rPr>
  </w:style>
  <w:style w:type="character" w:styleId="26">
    <w:name w:val="annotation reference"/>
    <w:basedOn w:val="20"/>
    <w:unhideWhenUsed/>
    <w:qFormat/>
    <w:uiPriority w:val="99"/>
    <w:rPr>
      <w:sz w:val="21"/>
      <w:szCs w:val="21"/>
    </w:rPr>
  </w:style>
  <w:style w:type="character" w:styleId="27">
    <w:name w:val="footnote reference"/>
    <w:semiHidden/>
    <w:qFormat/>
    <w:uiPriority w:val="0"/>
    <w:rPr>
      <w:vertAlign w:val="superscript"/>
    </w:rPr>
  </w:style>
  <w:style w:type="character" w:customStyle="1" w:styleId="28">
    <w:name w:val="页眉 字符"/>
    <w:basedOn w:val="20"/>
    <w:link w:val="11"/>
    <w:qFormat/>
    <w:uiPriority w:val="99"/>
    <w:rPr>
      <w:sz w:val="18"/>
      <w:szCs w:val="18"/>
    </w:rPr>
  </w:style>
  <w:style w:type="character" w:customStyle="1" w:styleId="29">
    <w:name w:val="页脚 字符"/>
    <w:basedOn w:val="20"/>
    <w:link w:val="10"/>
    <w:qFormat/>
    <w:uiPriority w:val="99"/>
    <w:rPr>
      <w:sz w:val="18"/>
      <w:szCs w:val="18"/>
    </w:rPr>
  </w:style>
  <w:style w:type="character" w:customStyle="1" w:styleId="30">
    <w:name w:val="页眉 Char"/>
    <w:qFormat/>
    <w:uiPriority w:val="99"/>
    <w:rPr>
      <w:sz w:val="18"/>
      <w:szCs w:val="18"/>
    </w:rPr>
  </w:style>
  <w:style w:type="paragraph" w:styleId="31">
    <w:name w:val="List Paragraph"/>
    <w:basedOn w:val="1"/>
    <w:link w:val="40"/>
    <w:qFormat/>
    <w:uiPriority w:val="34"/>
    <w:pPr>
      <w:ind w:firstLine="420" w:firstLineChars="200"/>
    </w:pPr>
  </w:style>
  <w:style w:type="character" w:customStyle="1" w:styleId="32">
    <w:name w:val="标题 字符"/>
    <w:basedOn w:val="20"/>
    <w:link w:val="16"/>
    <w:qFormat/>
    <w:uiPriority w:val="10"/>
    <w:rPr>
      <w:rFonts w:asciiTheme="majorHAnsi" w:hAnsiTheme="majorHAnsi" w:eastAsiaTheme="majorEastAsia" w:cstheme="majorBidi"/>
      <w:b/>
      <w:bCs/>
      <w:kern w:val="2"/>
      <w:sz w:val="32"/>
      <w:szCs w:val="32"/>
    </w:rPr>
  </w:style>
  <w:style w:type="character" w:customStyle="1" w:styleId="33">
    <w:name w:val="标题 1 字符"/>
    <w:basedOn w:val="20"/>
    <w:link w:val="2"/>
    <w:qFormat/>
    <w:uiPriority w:val="9"/>
    <w:rPr>
      <w:rFonts w:eastAsia="Times New Roman"/>
      <w:b/>
      <w:bCs/>
      <w:kern w:val="44"/>
      <w:sz w:val="30"/>
      <w:szCs w:val="44"/>
    </w:rPr>
  </w:style>
  <w:style w:type="character" w:customStyle="1" w:styleId="34">
    <w:name w:val="未处理的提及1"/>
    <w:basedOn w:val="20"/>
    <w:semiHidden/>
    <w:unhideWhenUsed/>
    <w:qFormat/>
    <w:uiPriority w:val="99"/>
    <w:rPr>
      <w:color w:val="605E5C"/>
      <w:shd w:val="clear" w:color="auto" w:fill="E1DFDD"/>
    </w:rPr>
  </w:style>
  <w:style w:type="paragraph" w:customStyle="1" w:styleId="35">
    <w:name w:val="修订1"/>
    <w:hidden/>
    <w:semiHidden/>
    <w:qFormat/>
    <w:uiPriority w:val="99"/>
    <w:rPr>
      <w:rFonts w:ascii="Calibri" w:hAnsi="Calibri" w:eastAsia="宋体" w:cs="Times New Roman"/>
      <w:kern w:val="2"/>
      <w:sz w:val="21"/>
      <w:szCs w:val="22"/>
      <w:lang w:val="en-US" w:eastAsia="zh-CN" w:bidi="ar-SA"/>
    </w:rPr>
  </w:style>
  <w:style w:type="character" w:customStyle="1" w:styleId="36">
    <w:name w:val="未处理的提及2"/>
    <w:basedOn w:val="20"/>
    <w:semiHidden/>
    <w:unhideWhenUsed/>
    <w:qFormat/>
    <w:uiPriority w:val="99"/>
    <w:rPr>
      <w:color w:val="605E5C"/>
      <w:shd w:val="clear" w:color="auto" w:fill="E1DFDD"/>
    </w:rPr>
  </w:style>
  <w:style w:type="character" w:customStyle="1" w:styleId="37">
    <w:name w:val="fontstyle01"/>
    <w:basedOn w:val="20"/>
    <w:qFormat/>
    <w:uiPriority w:val="0"/>
    <w:rPr>
      <w:rFonts w:hint="default" w:ascii="Times-Roman" w:hAnsi="Times-Roman"/>
      <w:color w:val="231F20"/>
      <w:sz w:val="20"/>
      <w:szCs w:val="20"/>
    </w:rPr>
  </w:style>
  <w:style w:type="character" w:customStyle="1" w:styleId="38">
    <w:name w:val="fontstyle21"/>
    <w:basedOn w:val="20"/>
    <w:qFormat/>
    <w:uiPriority w:val="0"/>
    <w:rPr>
      <w:rFonts w:hint="default" w:ascii="Times-Italic" w:hAnsi="Times-Italic"/>
      <w:i/>
      <w:iCs/>
      <w:color w:val="231F20"/>
      <w:sz w:val="20"/>
      <w:szCs w:val="20"/>
    </w:rPr>
  </w:style>
  <w:style w:type="character" w:customStyle="1" w:styleId="39">
    <w:name w:val="标题 3 字符"/>
    <w:basedOn w:val="20"/>
    <w:link w:val="4"/>
    <w:qFormat/>
    <w:uiPriority w:val="9"/>
    <w:rPr>
      <w:rFonts w:ascii="Calibri" w:hAnsi="Calibri"/>
      <w:b/>
      <w:bCs/>
      <w:kern w:val="2"/>
      <w:sz w:val="32"/>
      <w:szCs w:val="32"/>
    </w:rPr>
  </w:style>
  <w:style w:type="character" w:customStyle="1" w:styleId="40">
    <w:name w:val="列表段落 字符"/>
    <w:link w:val="31"/>
    <w:qFormat/>
    <w:uiPriority w:val="34"/>
    <w:rPr>
      <w:rFonts w:ascii="Calibri" w:hAnsi="Calibri"/>
      <w:kern w:val="2"/>
      <w:sz w:val="21"/>
      <w:szCs w:val="22"/>
    </w:rPr>
  </w:style>
  <w:style w:type="character" w:customStyle="1" w:styleId="41">
    <w:name w:val="标题 2 字符"/>
    <w:basedOn w:val="20"/>
    <w:link w:val="3"/>
    <w:qFormat/>
    <w:uiPriority w:val="9"/>
    <w:rPr>
      <w:rFonts w:asciiTheme="majorHAnsi" w:hAnsiTheme="majorHAnsi" w:eastAsiaTheme="majorEastAsia" w:cstheme="majorBidi"/>
      <w:b/>
      <w:bCs/>
      <w:kern w:val="2"/>
      <w:sz w:val="32"/>
      <w:szCs w:val="32"/>
    </w:rPr>
  </w:style>
  <w:style w:type="character" w:customStyle="1" w:styleId="42">
    <w:name w:val="批注文字 字符"/>
    <w:basedOn w:val="20"/>
    <w:link w:val="7"/>
    <w:qFormat/>
    <w:uiPriority w:val="99"/>
    <w:rPr>
      <w:rFonts w:ascii="Calibri" w:hAnsi="Calibri"/>
      <w:kern w:val="2"/>
      <w:sz w:val="21"/>
      <w:szCs w:val="22"/>
    </w:rPr>
  </w:style>
  <w:style w:type="character" w:customStyle="1" w:styleId="43">
    <w:name w:val="批注主题 字符"/>
    <w:basedOn w:val="42"/>
    <w:link w:val="17"/>
    <w:qFormat/>
    <w:uiPriority w:val="99"/>
    <w:rPr>
      <w:rFonts w:ascii="Calibri" w:hAnsi="Calibri"/>
      <w:b/>
      <w:bCs/>
      <w:kern w:val="2"/>
      <w:sz w:val="21"/>
      <w:szCs w:val="22"/>
    </w:rPr>
  </w:style>
  <w:style w:type="paragraph" w:customStyle="1" w:styleId="44">
    <w:name w:val="图表"/>
    <w:basedOn w:val="13"/>
    <w:qFormat/>
    <w:uiPriority w:val="0"/>
    <w:pPr>
      <w:spacing w:line="360" w:lineRule="auto"/>
      <w:ind w:left="0" w:leftChars="0" w:firstLine="0" w:firstLineChars="0"/>
      <w:jc w:val="center"/>
    </w:pPr>
    <w:rPr>
      <w:rFonts w:ascii="Times New Roman" w:hAnsi="Times New Roman"/>
    </w:rPr>
  </w:style>
  <w:style w:type="paragraph" w:customStyle="1" w:styleId="45">
    <w:name w:val="修订2"/>
    <w:hidden/>
    <w:semiHidden/>
    <w:qFormat/>
    <w:uiPriority w:val="99"/>
    <w:rPr>
      <w:rFonts w:ascii="Calibri" w:hAnsi="Calibri" w:eastAsia="宋体" w:cs="Times New Roman"/>
      <w:kern w:val="2"/>
      <w:sz w:val="21"/>
      <w:szCs w:val="22"/>
      <w:lang w:val="en-US" w:eastAsia="zh-CN" w:bidi="ar-SA"/>
    </w:rPr>
  </w:style>
  <w:style w:type="character" w:customStyle="1" w:styleId="46">
    <w:name w:val="katex-mathml"/>
    <w:basedOn w:val="20"/>
    <w:qFormat/>
    <w:uiPriority w:val="0"/>
  </w:style>
  <w:style w:type="character" w:customStyle="1" w:styleId="47">
    <w:name w:val="mord"/>
    <w:basedOn w:val="20"/>
    <w:qFormat/>
    <w:uiPriority w:val="0"/>
  </w:style>
  <w:style w:type="character" w:customStyle="1" w:styleId="48">
    <w:name w:val="vlist-s"/>
    <w:basedOn w:val="20"/>
    <w:qFormat/>
    <w:uiPriority w:val="0"/>
  </w:style>
  <w:style w:type="character" w:customStyle="1" w:styleId="49">
    <w:name w:val="mopen"/>
    <w:basedOn w:val="20"/>
    <w:qFormat/>
    <w:uiPriority w:val="0"/>
  </w:style>
  <w:style w:type="character" w:customStyle="1" w:styleId="50">
    <w:name w:val="mpunct"/>
    <w:basedOn w:val="20"/>
    <w:qFormat/>
    <w:uiPriority w:val="0"/>
  </w:style>
  <w:style w:type="character" w:customStyle="1" w:styleId="51">
    <w:name w:val="mclose"/>
    <w:basedOn w:val="20"/>
    <w:qFormat/>
    <w:uiPriority w:val="0"/>
  </w:style>
  <w:style w:type="paragraph" w:customStyle="1" w:styleId="52">
    <w:name w:val="修订3"/>
    <w:hidden/>
    <w:unhideWhenUsed/>
    <w:qFormat/>
    <w:uiPriority w:val="99"/>
    <w:rPr>
      <w:rFonts w:ascii="Calibri" w:hAnsi="Calibri" w:eastAsia="宋体" w:cs="Times New Roman"/>
      <w:kern w:val="2"/>
      <w:sz w:val="21"/>
      <w:szCs w:val="22"/>
      <w:lang w:val="en-US" w:eastAsia="zh-CN" w:bidi="ar-SA"/>
    </w:rPr>
  </w:style>
  <w:style w:type="character" w:customStyle="1" w:styleId="53">
    <w:name w:val="katex"/>
    <w:basedOn w:val="20"/>
    <w:qFormat/>
    <w:uiPriority w:val="0"/>
  </w:style>
  <w:style w:type="paragraph" w:customStyle="1" w:styleId="54">
    <w:name w:val="标题 41"/>
    <w:basedOn w:val="1"/>
    <w:next w:val="1"/>
    <w:unhideWhenUsed/>
    <w:qFormat/>
    <w:uiPriority w:val="9"/>
    <w:pPr>
      <w:keepNext/>
      <w:keepLines/>
      <w:spacing w:before="280" w:after="290" w:line="376" w:lineRule="auto"/>
      <w:outlineLvl w:val="3"/>
    </w:pPr>
    <w:rPr>
      <w:rFonts w:ascii="Calibri Light" w:hAnsi="Calibri Light" w:eastAsia="等线 Light"/>
      <w:b/>
      <w:bCs/>
      <w:sz w:val="28"/>
      <w:szCs w:val="28"/>
    </w:rPr>
  </w:style>
  <w:style w:type="paragraph" w:customStyle="1" w:styleId="55">
    <w:name w:val="题注1"/>
    <w:basedOn w:val="1"/>
    <w:next w:val="1"/>
    <w:unhideWhenUsed/>
    <w:qFormat/>
    <w:uiPriority w:val="35"/>
    <w:rPr>
      <w:rFonts w:ascii="Calibri Light" w:hAnsi="Calibri Light" w:eastAsia="黑体"/>
      <w:sz w:val="20"/>
      <w:szCs w:val="20"/>
    </w:rPr>
  </w:style>
  <w:style w:type="character" w:customStyle="1" w:styleId="56">
    <w:name w:val="日期 字符"/>
    <w:basedOn w:val="20"/>
    <w:link w:val="8"/>
    <w:qFormat/>
    <w:uiPriority w:val="0"/>
    <w:rPr>
      <w:kern w:val="2"/>
      <w:sz w:val="21"/>
      <w:szCs w:val="24"/>
    </w:rPr>
  </w:style>
  <w:style w:type="character" w:customStyle="1" w:styleId="57">
    <w:name w:val="批注框文本 字符"/>
    <w:basedOn w:val="20"/>
    <w:link w:val="9"/>
    <w:qFormat/>
    <w:uiPriority w:val="99"/>
    <w:rPr>
      <w:rFonts w:ascii="Segoe UI" w:hAnsi="Segoe UI" w:cs="Segoe UI"/>
      <w:kern w:val="2"/>
      <w:sz w:val="18"/>
      <w:szCs w:val="18"/>
    </w:rPr>
  </w:style>
  <w:style w:type="character" w:customStyle="1" w:styleId="58">
    <w:name w:val="脚注文本 字符"/>
    <w:basedOn w:val="20"/>
    <w:link w:val="12"/>
    <w:semiHidden/>
    <w:qFormat/>
    <w:uiPriority w:val="0"/>
    <w:rPr>
      <w:kern w:val="2"/>
      <w:sz w:val="18"/>
      <w:szCs w:val="18"/>
    </w:rPr>
  </w:style>
  <w:style w:type="table" w:customStyle="1" w:styleId="59">
    <w:name w:val="网格型1"/>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0">
    <w:name w:val="Placeholder Text"/>
    <w:basedOn w:val="20"/>
    <w:semiHidden/>
    <w:qFormat/>
    <w:uiPriority w:val="99"/>
    <w:rPr>
      <w:color w:val="808080"/>
    </w:rPr>
  </w:style>
  <w:style w:type="table" w:customStyle="1" w:styleId="61">
    <w:name w:val="无格式表格 41"/>
    <w:basedOn w:val="18"/>
    <w:qFormat/>
    <w:uiPriority w:val="44"/>
    <w:rPr>
      <w:rFonts w:ascii="Calibri" w:hAnsi="Calibri" w:eastAsia="等线"/>
      <w:sz w:val="22"/>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62">
    <w:name w:val="网格表 31"/>
    <w:basedOn w:val="18"/>
    <w:qFormat/>
    <w:uiPriority w:val="48"/>
    <w:rPr>
      <w:rFonts w:ascii="Calibri" w:hAnsi="Calibri" w:eastAsia="等线"/>
      <w:sz w:val="22"/>
      <w:szCs w:val="22"/>
    </w:rPr>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CCCCCC"/>
      </w:tcPr>
    </w:tblStylePr>
    <w:tblStylePr w:type="band1Horz">
      <w:tcPr>
        <w:shd w:val="clear" w:color="auto" w:fill="CCCCCC"/>
      </w:tcPr>
    </w:tblStylePr>
    <w:tblStylePr w:type="neCell">
      <w:tcPr>
        <w:tcBorders>
          <w:bottom w:val="single" w:color="666666" w:sz="4" w:space="0"/>
        </w:tcBorders>
      </w:tcPr>
    </w:tblStylePr>
    <w:tblStylePr w:type="nwCell">
      <w:tcPr>
        <w:tcBorders>
          <w:bottom w:val="single" w:color="666666" w:sz="4" w:space="0"/>
        </w:tcBorders>
      </w:tcPr>
    </w:tblStylePr>
    <w:tblStylePr w:type="seCell">
      <w:tcPr>
        <w:tcBorders>
          <w:top w:val="single" w:color="666666" w:sz="4" w:space="0"/>
        </w:tcBorders>
      </w:tcPr>
    </w:tblStylePr>
    <w:tblStylePr w:type="swCell">
      <w:tcPr>
        <w:tcBorders>
          <w:top w:val="single" w:color="666666" w:sz="4" w:space="0"/>
        </w:tcBorders>
      </w:tcPr>
    </w:tblStylePr>
  </w:style>
  <w:style w:type="paragraph" w:customStyle="1" w:styleId="63">
    <w:name w:val="table syntax"/>
    <w:basedOn w:val="1"/>
    <w:link w:val="64"/>
    <w:qFormat/>
    <w:uiPriority w:val="0"/>
    <w:pPr>
      <w:keepNext/>
      <w:keepLines/>
      <w:widowControl/>
      <w:tabs>
        <w:tab w:val="left" w:pos="216"/>
        <w:tab w:val="left" w:pos="432"/>
        <w:tab w:val="left" w:pos="648"/>
        <w:tab w:val="left" w:pos="864"/>
        <w:tab w:val="left" w:pos="1080"/>
        <w:tab w:val="left" w:pos="1296"/>
        <w:tab w:val="left" w:pos="1512"/>
        <w:tab w:val="left" w:pos="1728"/>
        <w:tab w:val="left" w:pos="1944"/>
        <w:tab w:val="left" w:pos="2160"/>
      </w:tabs>
      <w:overflowPunct w:val="0"/>
      <w:autoSpaceDE w:val="0"/>
      <w:autoSpaceDN w:val="0"/>
      <w:adjustRightInd w:val="0"/>
      <w:jc w:val="left"/>
      <w:textAlignment w:val="baseline"/>
    </w:pPr>
    <w:rPr>
      <w:rFonts w:ascii="Times" w:hAnsi="Times" w:eastAsia="Malgun Gothic"/>
      <w:kern w:val="0"/>
      <w:sz w:val="20"/>
      <w:szCs w:val="20"/>
      <w:lang w:val="en-GB" w:eastAsia="en-US"/>
    </w:rPr>
  </w:style>
  <w:style w:type="character" w:customStyle="1" w:styleId="64">
    <w:name w:val="table syntax Char"/>
    <w:link w:val="63"/>
    <w:qFormat/>
    <w:uiPriority w:val="0"/>
    <w:rPr>
      <w:rFonts w:ascii="Times" w:hAnsi="Times" w:eastAsia="Malgun Gothic"/>
      <w:lang w:val="en-GB" w:eastAsia="en-US"/>
    </w:rPr>
  </w:style>
  <w:style w:type="paragraph" w:customStyle="1" w:styleId="65">
    <w:name w:val="table heading"/>
    <w:basedOn w:val="1"/>
    <w:qFormat/>
    <w:uiPriority w:val="0"/>
    <w:pPr>
      <w:keepNext/>
      <w:keepLines/>
      <w:widowControl/>
      <w:overflowPunct w:val="0"/>
      <w:autoSpaceDE w:val="0"/>
      <w:autoSpaceDN w:val="0"/>
      <w:adjustRightInd w:val="0"/>
      <w:spacing w:after="60"/>
      <w:textAlignment w:val="baseline"/>
    </w:pPr>
    <w:rPr>
      <w:rFonts w:ascii="Times New Roman" w:hAnsi="Times New Roman" w:eastAsia="Malgun Gothic"/>
      <w:b/>
      <w:bCs/>
      <w:kern w:val="0"/>
      <w:sz w:val="20"/>
      <w:szCs w:val="20"/>
      <w:lang w:val="en-GB" w:eastAsia="en-US"/>
    </w:rPr>
  </w:style>
  <w:style w:type="paragraph" w:customStyle="1" w:styleId="66">
    <w:name w:val="列项——（一级）"/>
    <w:qFormat/>
    <w:uiPriority w:val="0"/>
    <w:pPr>
      <w:widowControl w:val="0"/>
      <w:numPr>
        <w:ilvl w:val="0"/>
        <w:numId w:val="1"/>
      </w:numPr>
      <w:ind w:left="3101"/>
      <w:jc w:val="both"/>
    </w:pPr>
    <w:rPr>
      <w:rFonts w:ascii="宋体" w:hAnsi="Times New Roman" w:eastAsia="宋体" w:cs="Times New Roman"/>
      <w:sz w:val="21"/>
      <w:lang w:val="en-US" w:eastAsia="zh-CN" w:bidi="ar-SA"/>
    </w:rPr>
  </w:style>
  <w:style w:type="paragraph" w:customStyle="1" w:styleId="67">
    <w:name w:val="列项●（二级）"/>
    <w:qFormat/>
    <w:uiPriority w:val="0"/>
    <w:pPr>
      <w:numPr>
        <w:ilvl w:val="1"/>
        <w:numId w:val="1"/>
      </w:numPr>
      <w:tabs>
        <w:tab w:val="left" w:pos="840"/>
      </w:tabs>
      <w:jc w:val="both"/>
    </w:pPr>
    <w:rPr>
      <w:rFonts w:ascii="宋体" w:hAnsi="Times New Roman" w:eastAsia="宋体" w:cs="Times New Roman"/>
      <w:sz w:val="21"/>
      <w:lang w:val="en-US" w:eastAsia="zh-CN" w:bidi="ar-SA"/>
    </w:rPr>
  </w:style>
  <w:style w:type="paragraph" w:customStyle="1" w:styleId="68">
    <w:name w:val="列项◆（三级）"/>
    <w:basedOn w:val="1"/>
    <w:qFormat/>
    <w:uiPriority w:val="0"/>
    <w:pPr>
      <w:numPr>
        <w:ilvl w:val="2"/>
        <w:numId w:val="1"/>
      </w:numPr>
    </w:pPr>
    <w:rPr>
      <w:rFonts w:ascii="宋体" w:hAnsi="Times New Roman"/>
      <w:szCs w:val="21"/>
    </w:rPr>
  </w:style>
  <w:style w:type="paragraph" w:customStyle="1" w:styleId="69">
    <w:name w:val="段"/>
    <w:link w:val="70"/>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70">
    <w:name w:val="段 Char"/>
    <w:link w:val="69"/>
    <w:qFormat/>
    <w:uiPriority w:val="0"/>
    <w:rPr>
      <w:rFonts w:ascii="宋体"/>
      <w:sz w:val="21"/>
    </w:rPr>
  </w:style>
  <w:style w:type="paragraph" w:customStyle="1" w:styleId="71">
    <w:name w:val="一级条标题"/>
    <w:next w:val="69"/>
    <w:qFormat/>
    <w:uiPriority w:val="0"/>
    <w:pPr>
      <w:numPr>
        <w:ilvl w:val="1"/>
        <w:numId w:val="2"/>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72">
    <w:name w:val="章标题"/>
    <w:next w:val="69"/>
    <w:qFormat/>
    <w:uiPriority w:val="0"/>
    <w:pPr>
      <w:numPr>
        <w:ilvl w:val="0"/>
        <w:numId w:val="2"/>
      </w:num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73">
    <w:name w:val="二级条标题"/>
    <w:basedOn w:val="71"/>
    <w:next w:val="69"/>
    <w:qFormat/>
    <w:uiPriority w:val="0"/>
    <w:pPr>
      <w:numPr>
        <w:ilvl w:val="2"/>
      </w:numPr>
      <w:spacing w:before="50" w:after="50"/>
      <w:ind w:left="1418"/>
      <w:outlineLvl w:val="3"/>
    </w:pPr>
  </w:style>
  <w:style w:type="paragraph" w:customStyle="1" w:styleId="74">
    <w:name w:val="三级条标题"/>
    <w:basedOn w:val="73"/>
    <w:next w:val="69"/>
    <w:qFormat/>
    <w:uiPriority w:val="0"/>
    <w:pPr>
      <w:numPr>
        <w:ilvl w:val="3"/>
      </w:numPr>
      <w:outlineLvl w:val="4"/>
    </w:pPr>
  </w:style>
  <w:style w:type="paragraph" w:customStyle="1" w:styleId="75">
    <w:name w:val="四级条标题"/>
    <w:basedOn w:val="74"/>
    <w:next w:val="69"/>
    <w:qFormat/>
    <w:uiPriority w:val="0"/>
    <w:pPr>
      <w:numPr>
        <w:ilvl w:val="4"/>
      </w:numPr>
      <w:outlineLvl w:val="5"/>
    </w:pPr>
  </w:style>
  <w:style w:type="paragraph" w:customStyle="1" w:styleId="76">
    <w:name w:val="五级条标题"/>
    <w:basedOn w:val="75"/>
    <w:next w:val="69"/>
    <w:qFormat/>
    <w:uiPriority w:val="0"/>
    <w:pPr>
      <w:numPr>
        <w:ilvl w:val="5"/>
      </w:numPr>
      <w:outlineLvl w:val="6"/>
    </w:pPr>
  </w:style>
  <w:style w:type="paragraph" w:customStyle="1" w:styleId="77">
    <w:name w:val="正文表标题"/>
    <w:next w:val="69"/>
    <w:qFormat/>
    <w:uiPriority w:val="0"/>
    <w:pPr>
      <w:numPr>
        <w:ilvl w:val="0"/>
        <w:numId w:val="3"/>
      </w:numPr>
      <w:tabs>
        <w:tab w:val="left" w:pos="360"/>
      </w:tabs>
      <w:spacing w:before="156" w:beforeLines="50" w:after="156" w:afterLines="50"/>
      <w:ind w:left="0"/>
      <w:jc w:val="center"/>
    </w:pPr>
    <w:rPr>
      <w:rFonts w:ascii="黑体" w:hAnsi="Times New Roman" w:eastAsia="黑体" w:cs="Times New Roman"/>
      <w:sz w:val="21"/>
      <w:lang w:val="en-US" w:eastAsia="zh-CN" w:bidi="ar-SA"/>
    </w:rPr>
  </w:style>
  <w:style w:type="paragraph" w:customStyle="1" w:styleId="78">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79">
    <w:name w:val="Body"/>
    <w:basedOn w:val="1"/>
    <w:link w:val="80"/>
    <w:qFormat/>
    <w:uiPriority w:val="0"/>
    <w:pPr>
      <w:spacing w:before="120" w:after="120"/>
      <w:ind w:firstLine="461"/>
    </w:pPr>
    <w:rPr>
      <w:rFonts w:ascii="Times New Roman" w:hAnsi="Times New Roman" w:cs="微软雅黑"/>
      <w:sz w:val="24"/>
      <w:szCs w:val="24"/>
    </w:rPr>
  </w:style>
  <w:style w:type="character" w:customStyle="1" w:styleId="80">
    <w:name w:val="Body Char"/>
    <w:link w:val="79"/>
    <w:qFormat/>
    <w:uiPriority w:val="0"/>
    <w:rPr>
      <w:rFonts w:cs="微软雅黑"/>
      <w:kern w:val="2"/>
      <w:sz w:val="24"/>
      <w:szCs w:val="24"/>
    </w:rPr>
  </w:style>
  <w:style w:type="paragraph" w:customStyle="1" w:styleId="81">
    <w:name w:val="数字编号列项（二级）"/>
    <w:qFormat/>
    <w:uiPriority w:val="0"/>
    <w:pPr>
      <w:numPr>
        <w:ilvl w:val="1"/>
        <w:numId w:val="4"/>
      </w:numPr>
      <w:jc w:val="both"/>
    </w:pPr>
    <w:rPr>
      <w:rFonts w:ascii="宋体" w:hAnsi="Times New Roman" w:eastAsia="宋体" w:cs="Times New Roman"/>
      <w:sz w:val="21"/>
      <w:lang w:val="en-US" w:eastAsia="zh-CN" w:bidi="ar-SA"/>
    </w:rPr>
  </w:style>
  <w:style w:type="paragraph" w:customStyle="1" w:styleId="82">
    <w:name w:val="字母编号列项（一级）"/>
    <w:qFormat/>
    <w:uiPriority w:val="0"/>
    <w:pPr>
      <w:numPr>
        <w:ilvl w:val="0"/>
        <w:numId w:val="4"/>
      </w:numPr>
      <w:jc w:val="both"/>
    </w:pPr>
    <w:rPr>
      <w:rFonts w:ascii="宋体" w:hAnsi="Times New Roman" w:eastAsia="宋体" w:cs="Times New Roman"/>
      <w:sz w:val="21"/>
      <w:lang w:val="en-US" w:eastAsia="zh-CN" w:bidi="ar-SA"/>
    </w:rPr>
  </w:style>
  <w:style w:type="paragraph" w:customStyle="1" w:styleId="83">
    <w:name w:val="编号列项（三级）"/>
    <w:qFormat/>
    <w:uiPriority w:val="0"/>
    <w:pPr>
      <w:numPr>
        <w:ilvl w:val="2"/>
        <w:numId w:val="4"/>
      </w:numPr>
    </w:pPr>
    <w:rPr>
      <w:rFonts w:ascii="宋体" w:hAnsi="Times New Roman" w:eastAsia="宋体" w:cs="Times New Roman"/>
      <w:sz w:val="21"/>
      <w:lang w:val="en-US" w:eastAsia="zh-CN" w:bidi="ar-SA"/>
    </w:rPr>
  </w:style>
  <w:style w:type="paragraph" w:customStyle="1" w:styleId="84">
    <w:name w:val="示例×："/>
    <w:basedOn w:val="72"/>
    <w:qFormat/>
    <w:uiPriority w:val="0"/>
    <w:pPr>
      <w:numPr>
        <w:numId w:val="5"/>
      </w:numPr>
      <w:spacing w:before="0" w:beforeLines="0" w:after="0" w:afterLines="0"/>
      <w:outlineLvl w:val="9"/>
    </w:pPr>
    <w:rPr>
      <w:rFonts w:ascii="宋体" w:eastAsia="宋体"/>
      <w:sz w:val="18"/>
      <w:szCs w:val="18"/>
    </w:rPr>
  </w:style>
  <w:style w:type="character" w:customStyle="1" w:styleId="85">
    <w:name w:val="批注文字 字符2"/>
    <w:qFormat/>
    <w:uiPriority w:val="0"/>
    <w:rPr>
      <w:kern w:val="2"/>
      <w:sz w:val="21"/>
      <w:szCs w:val="24"/>
      <w:lang w:val="zh-CN" w:eastAsia="zh-CN"/>
    </w:rPr>
  </w:style>
  <w:style w:type="paragraph" w:customStyle="1" w:styleId="86">
    <w:name w:val="表格正文"/>
    <w:basedOn w:val="1"/>
    <w:qFormat/>
    <w:uiPriority w:val="0"/>
    <w:pPr>
      <w:keepLines/>
      <w:autoSpaceDE w:val="0"/>
      <w:autoSpaceDN w:val="0"/>
      <w:adjustRightInd w:val="0"/>
      <w:spacing w:before="100" w:after="100" w:line="190" w:lineRule="exact"/>
    </w:pPr>
    <w:rPr>
      <w:rFonts w:ascii="Times New Roman" w:hAnsi="Times New Roman"/>
      <w:kern w:val="0"/>
      <w:sz w:val="18"/>
      <w:szCs w:val="18"/>
      <w:lang w:val="en-GB"/>
    </w:rPr>
  </w:style>
  <w:style w:type="character" w:customStyle="1" w:styleId="87">
    <w:name w:val="标题 4 字符"/>
    <w:basedOn w:val="20"/>
    <w:link w:val="5"/>
    <w:qFormat/>
    <w:uiPriority w:val="9"/>
    <w:rPr>
      <w:rFonts w:ascii="Calibri Light" w:hAnsi="Calibri Light" w:eastAsia="等线 Light" w:cs="Times New Roman"/>
      <w:b/>
      <w:bCs/>
      <w:kern w:val="2"/>
      <w:sz w:val="28"/>
      <w:szCs w:val="28"/>
    </w:rPr>
  </w:style>
  <w:style w:type="character" w:customStyle="1" w:styleId="88">
    <w:name w:val="HTML 预设格式 字符"/>
    <w:basedOn w:val="20"/>
    <w:link w:val="14"/>
    <w:qFormat/>
    <w:uiPriority w:val="99"/>
    <w:rPr>
      <w:rFonts w:ascii="宋体" w:hAnsi="宋体"/>
      <w:sz w:val="24"/>
      <w:szCs w:val="24"/>
    </w:rPr>
  </w:style>
  <w:style w:type="paragraph" w:customStyle="1" w:styleId="89">
    <w:name w:val="修订11"/>
    <w:hidden/>
    <w:semiHidden/>
    <w:qFormat/>
    <w:uiPriority w:val="99"/>
    <w:rPr>
      <w:rFonts w:ascii="Calibri" w:hAnsi="Calibri" w:eastAsia="宋体" w:cs="Times New Roman"/>
      <w:kern w:val="2"/>
      <w:sz w:val="21"/>
      <w:szCs w:val="22"/>
      <w:lang w:val="en-US" w:eastAsia="zh-CN" w:bidi="ar-SA"/>
    </w:rPr>
  </w:style>
  <w:style w:type="character" w:customStyle="1" w:styleId="90">
    <w:name w:val="标题 4 字符1"/>
    <w:basedOn w:val="20"/>
    <w:semiHidden/>
    <w:qFormat/>
    <w:uiPriority w:val="9"/>
    <w:rPr>
      <w:rFonts w:asciiTheme="majorHAnsi" w:hAnsiTheme="majorHAnsi" w:eastAsiaTheme="majorEastAsia" w:cstheme="majorBidi"/>
      <w:b/>
      <w:bCs/>
      <w:kern w:val="2"/>
      <w:sz w:val="28"/>
      <w:szCs w:val="28"/>
    </w:rPr>
  </w:style>
  <w:style w:type="paragraph" w:customStyle="1" w:styleId="91">
    <w:name w:val="提案正文1"/>
    <w:basedOn w:val="1"/>
    <w:qFormat/>
    <w:uiPriority w:val="0"/>
    <w:pPr>
      <w:ind w:firstLine="48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emf"/><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539535AA-2099-45ED-8678-BAE8C2637520}">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2686</Words>
  <Characters>16446</Characters>
  <Lines>141</Lines>
  <Paragraphs>39</Paragraphs>
  <TotalTime>30</TotalTime>
  <ScaleCrop>false</ScaleCrop>
  <LinksUpToDate>false</LinksUpToDate>
  <CharactersWithSpaces>19236</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2026-01-20T02:59:00Z</dcterms:created>
  <dc:creator>https://sagroups.ieee.org/fvc/</dc:creator>
  <cp:lastModifiedBy>陈曈</cp:lastModifiedBy>
  <dcterms:modified xsi:type="dcterms:W3CDTF">2026-08-19T05:57:35Z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EC9B4E9E5C3479CCD71D296AAC0E43CF_43</vt:lpwstr>
  </property>
  <property fmtid="{D5CDD505-2E9C-101B-9397-08002B2CF9AE}" pid="4" name="GrammarlyDocumentId">
    <vt:lpwstr>1e5ff90f0806c7da579a7903fb7e2990d438119b4ff323818c6b0cae11e9c90b</vt:lpwstr>
  </property>
  <property fmtid="{D5CDD505-2E9C-101B-9397-08002B2CF9AE}" pid="5" name="KSOTemplateDocerSaveRecord">
    <vt:lpwstr>eyJoZGlkIjoiNjgxNGJlZWRjZjJkYjg1NjdlMGJjMGU5YjM2YjMzYzkiLCJ1c2VySWQiOiI0MDQyMTY5MjgifQ==</vt:lpwstr>
  </property>
</Properties>
</file>