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64"/>
          <w:sz w:val="20"/>
          <w:szCs w:val="20"/>
        </w:rPr>
        <w:t xml:space="preserve">GOBLAB UAI — HERRAMIENTA DE EXPLICABILIDAD</w:t>
      </w:r>
    </w:p>
    <w:p>
      <w:pPr>
        <w:pStyle w:val="Title"/>
        <w:spacing w:after="100"/>
      </w:pPr>
      <w:r>
        <w:rPr>
          <w:b/>
          <w:bCs/>
          <w:color w:val="16211D"/>
        </w:rPr>
        <w:t xml:space="preserve">Manual de Usuario y Prueba de Sistema</w:t>
      </w:r>
    </w:p>
    <w:p>
      <w:pPr>
        <w:spacing w:after="400"/>
      </w:pPr>
      <w:r>
        <w:rPr>
          <w:i/>
          <w:iCs/>
          <w:color w:val="4C5854"/>
        </w:rPr>
        <w:t xml:space="preserve">Caso de prueba: detección de tumor maligno/benigno (demo educativo) — Ejecución real contra producción en Cloud Run, con capturas de pantalla reales.</w:t>
      </w:r>
    </w:p>
    <w:tbl>
      <w:tblPr>
        <w:tblW w:type="pct" w:w="100%"/>
        <w:tblBorders>
          <w:top w:val="single" w:color="1F6F64" w:sz="4"/>
          <w:left w:val="single" w:color="1F6F64" w:sz="4"/>
          <w:bottom w:val="single" w:color="1F6F64" w:sz="4"/>
          <w:right w:val="single" w:color="1F6F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1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16211D"/>
              </w:rPr>
              <w:t xml:space="preserve">✓ Sistema aprobado — flujo completo verificado en los 3 perfiles (Especialista en IA, Experto en el Dominio, Usuario General) y 4 pruebas de estrés al chatbot RAG, todas superadas.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6211D"/>
        </w:rPr>
        <w:t xml:space="preserve">1. Caso de prueba</w:t>
      </w:r>
    </w:p>
    <w:p>
      <w:pPr>
        <w:spacing w:after="160"/>
      </w:pPr>
      <w:r>
        <w:rPr>
          <w:color w:val="16211D"/>
        </w:rPr>
        <w:t xml:space="preserve">Caso sintético y ficticio, declarado explícitamente como no clínico por el propio archivo de contexto — modelo y datos que la herramienta nunca había visto antes de esta sesión.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  <w:color w:val="4C5854"/>
                <w:sz w:val="18"/>
                <w:szCs w:val="18"/>
              </w:rPr>
              <w:t xml:space="preserve">Modelo</w:t>
            </w:r>
          </w:p>
        </w:tc>
        <w:tc>
          <w:tcPr>
            <w:tcW w:type="dxa" w:w="6000"/>
          </w:tcPr>
          <w:p>
            <w:r>
              <w:rPr>
                <w:color w:val="16211D"/>
              </w:rPr>
              <w:t xml:space="preserve">CANCER_DEMO_pipeline.pkl — sklearn Pipeline (TargetEncoder + LGBMClassifier). AUC test declarado: 0.81.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color w:val="4C5854"/>
                <w:sz w:val="18"/>
                <w:szCs w:val="18"/>
              </w:rPr>
              <w:t xml:space="preserve">Dataset</w:t>
            </w:r>
          </w:p>
        </w:tc>
        <w:tc>
          <w:tcPr>
            <w:tcW w:type="dxa" w:w="6000"/>
          </w:tcPr>
          <w:p>
            <w:r>
              <w:rPr>
                <w:color w:val="16211D"/>
              </w:rPr>
              <w:t xml:space="preserve">dataset_explicabilidad.csv — 600 filas, 6 variables.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color w:val="4C5854"/>
                <w:sz w:val="18"/>
                <w:szCs w:val="18"/>
              </w:rPr>
              <w:t xml:space="preserve">Base de conocimiento</w:t>
            </w:r>
          </w:p>
        </w:tc>
        <w:tc>
          <w:tcPr>
            <w:tcW w:type="dxa" w:w="6000"/>
          </w:tcPr>
          <w:p>
            <w:r>
              <w:rPr>
                <w:color w:val="16211D"/>
              </w:rPr>
              <w:t xml:space="preserve">contexto_modelo.txt — descripción del problema, variables y métricas.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6211D"/>
        </w:rPr>
        <w:t xml:space="preserve">2. Manual paso a paso</w:t>
      </w:r>
    </w:p>
    <w:p>
      <w:pPr>
        <w:spacing w:after="160"/>
      </w:pPr>
      <w:r>
        <w:rPr>
          <w:i/>
          <w:iCs/>
          <w:color w:val="4C5854"/>
        </w:rPr>
        <w:t xml:space="preserve">Cada captura de pantalla fue tomada en vivo contra el entorno de producción durante esta sesión.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Paso 1 — Acceso</w:t>
      </w:r>
    </w:p>
    <w:p>
      <w:pPr>
        <w:spacing w:after="160"/>
      </w:pPr>
      <w:r>
        <w:rPr>
          <w:color w:val="16211D"/>
        </w:rPr>
        <w:t xml:space="preserve">Se inicia sesión como invitado.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Pantalla de acceso (/auth)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Paso 2 — Selección de perfiles</w:t>
      </w:r>
    </w:p>
    <w:p>
      <w:pPr>
        <w:spacing w:after="160"/>
      </w:pPr>
      <w:r>
        <w:rPr>
          <w:color w:val="16211D"/>
        </w:rPr>
        <w:t xml:space="preserve">Los 3 perfiles quedan habilitados por defecto.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Perfiles de explicación habilitados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Paso 3 — Configuración: subida de archivos</w:t>
      </w:r>
    </w:p>
    <w:p>
      <w:pPr>
        <w:spacing w:after="160"/>
      </w:pPr>
      <w:r>
        <w:rPr>
          <w:color w:val="16211D"/>
        </w:rPr>
        <w:t xml:space="preserve">Pantalla vacía antes de subir archivos: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Configuración del entorno de explicación (vacío)</w:t>
      </w:r>
    </w:p>
    <w:p>
      <w:pPr>
        <w:spacing w:after="160"/>
      </w:pPr>
      <w:r>
        <w:rPr>
          <w:color w:val="16211D"/>
        </w:rPr>
        <w:t xml:space="preserve">Después de subir los 3 archivos reales (contexto_modelo.txt, CANCER_DEMO_pipeline.pkl, dataset_explicabilidad.csv):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3/3 archivos listos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Paso 4 — Conversión del modelo</w:t>
      </w:r>
    </w:p>
    <w:p>
      <w:pPr>
        <w:spacing w:after="160"/>
      </w:pPr>
      <w:r>
        <w:rPr>
          <w:color w:val="16211D"/>
        </w:rPr>
        <w:t xml:space="preserve">Al presionar "Procesar", se dispara un job real de Cloud Build que detecta el framework (sklearn+LightGBM) y arma el sandbox de conversión .pkl → .onnx.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Conversión de modelo en curso (Docker in Docker)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Paso 5 — Etiquetado de clases</w:t>
      </w:r>
    </w:p>
    <w:p>
      <w:pPr>
        <w:spacing w:after="160"/>
      </w:pPr>
      <w:r>
        <w:rPr>
          <w:color w:val="16211D"/>
        </w:rPr>
        <w:t xml:space="preserve">El modelo devuelve las clases detectadas (0 y 1); se les asigna nombre legible.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Clases detectadas, antes de nombrarlas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Clases nombradas: 0 → Benigno, 1 → Maligno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Paso 6 — Instancia de prueba</w:t>
      </w:r>
    </w:p>
    <w:p>
      <w:pPr>
        <w:spacing w:after="160"/>
      </w:pPr>
      <w:r>
        <w:rPr>
          <w:color w:val="16211D"/>
        </w:rPr>
        <w:t xml:space="preserve">Instancia de contraste: paciente joven (24 años), tumor pequeño (0.5cm) y blando, pero con una tasa de crecimiento acelerada (3.0 cm/mes) — señales mixtas para poner a prueba al modelo.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Formulario de instancia completado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211D"/>
        </w:rPr>
        <w:t xml:space="preserve">3. Resultado por perfil (misma instancia, tres lecturas)</w:t>
      </w:r>
    </w:p>
    <w:p>
      <w:pPr>
        <w:spacing w:after="160"/>
      </w:pPr>
      <w:r>
        <w:rPr>
          <w:i/>
          <w:iCs/>
          <w:color w:val="4C5854"/>
        </w:rPr>
        <w:t xml:space="preserve">A pesar de un perfil superficialmente benigno, el modelo predice Maligno con 63.75% de confianza, dominado por la velocidad de crecimiento.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Especialista en IA</w:t>
      </w:r>
    </w:p>
    <w:p>
      <w:pPr>
        <w:spacing w:after="160"/>
      </w:pPr>
      <w:r>
        <w:rPr>
          <w:color w:val="16211D"/>
        </w:rPr>
        <w:t xml:space="preserve">Panel técnico con SHAP, LIME y Anchors.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Vista técnica — pestaña LIME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Pestaña Anchors: regla "tasa_crecimiento_cm_mes &gt; 0.50 → Maligno"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Experto en el Dominio</w:t>
      </w:r>
    </w:p>
    <w:p>
      <w:pPr>
        <w:spacing w:after="160"/>
      </w:pPr>
      <w:r>
        <w:rPr>
          <w:color w:val="16211D"/>
        </w:rPr>
        <w:t xml:space="preserve">Narrativa en lenguaje clínico, con contexto RAG.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Narrativa adaptada para Experto en el Dominio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Usuario General</w:t>
      </w:r>
    </w:p>
    <w:p>
      <w:pPr>
        <w:spacing w:after="160"/>
      </w:pPr>
      <w:r>
        <w:rPr>
          <w:color w:val="16211D"/>
        </w:rPr>
        <w:t xml:space="preserve">Narrativa en lenguaje simple.</w:t>
      </w: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Narrativa adaptada para Usuario General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211D"/>
        </w:rPr>
        <w:t xml:space="preserve">4. Prueba de estrés del chatbot RAG</w:t>
      </w:r>
    </w:p>
    <w:p>
      <w:pPr>
        <w:spacing w:after="160"/>
      </w:pPr>
      <w:r>
        <w:rPr>
          <w:i/>
          <w:iCs/>
          <w:color w:val="4C5854"/>
        </w:rPr>
        <w:t xml:space="preserve">Cuatro preguntas diseñadas para probar un modo de falla distinto cada una. Las cuatro pasaron.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Pregunta 1 — dos datos combinados del documento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6F64"/>
              </w:rPr>
              <w:t xml:space="preserve">🧑 Pregunta: </w:t>
            </w:r>
            <w:r>
              <w:rPr>
                <w:color w:val="16211D"/>
              </w:rPr>
              <w:t xml:space="preserve">¿Qué algoritmo usa este modelo y qué columna predice?</w:t>
            </w:r>
          </w:p>
        </w:tc>
      </w:tr>
    </w:tbl>
    <w:p>
      <w:pPr>
        <w:spacing w:after="100"/>
      </w:pP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Respuesta correcta: LightGBM / columna DIAGNOSTICO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Pregunta 2 — disciplina de vocabulario (perfil Experto en el Dominio)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6F64"/>
              </w:rPr>
              <w:t xml:space="preserve">🧑 Pregunta: </w:t>
            </w:r>
            <w:r>
              <w:rPr>
                <w:color w:val="16211D"/>
              </w:rPr>
              <w:t xml:space="preserve">¿Cuál fue el valor SHAP de la variable más importante?</w:t>
            </w:r>
          </w:p>
        </w:tc>
      </w:tr>
    </w:tbl>
    <w:p>
      <w:pPr>
        <w:spacing w:after="100"/>
      </w:pP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La respuesta reformula sin decir "SHAP" — cumple la regla del prompt de este perfil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Pregunta 3 — rechazo correcto fuera de dominio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6F64"/>
              </w:rPr>
              <w:t xml:space="preserve">🧑 Pregunta: </w:t>
            </w:r>
            <w:r>
              <w:rPr>
                <w:color w:val="16211D"/>
              </w:rPr>
              <w:t xml:space="preserve">¿Cuál es la capital de Francia?</w:t>
            </w:r>
          </w:p>
        </w:tc>
      </w:tr>
    </w:tbl>
    <w:p>
      <w:pPr>
        <w:spacing w:after="160"/>
      </w:pPr>
      <w:r>
        <w:rPr>
          <w:color w:val="16211D"/>
        </w:rPr>
        <w:t xml:space="preserve">El log del servidor confirma que la búsqueda vectorial no encontró nada relevante:</w:t>
      </w:r>
    </w:p>
    <w:p>
      <w:r>
        <w:rPr>
          <w:rFonts w:ascii="Courier New" w:cs="Courier New" w:eastAsia="Courier New" w:hAnsi="Courier New"/>
          <w:color w:val="4C5854"/>
          <w:sz w:val="18"/>
          <w:szCs w:val="18"/>
        </w:rPr>
        <w:t xml:space="preserve">INFO:app.rag:Recuperados 0 chunks para query</w:t>
      </w:r>
    </w:p>
    <w:p>
      <w:pPr>
        <w:spacing w:after="100"/>
      </w:pPr>
    </w:p>
    <w:p>
      <w:pPr>
        <w:spacing w:after="200" w:before="100"/>
      </w:pPr>
      <w:r>
        <w:drawing>
          <wp:inline distT="0" distB="0" distL="0" distR="0">
            <wp:extent cx="566928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C5854"/>
          <w:sz w:val="18"/>
          <w:szCs w:val="18"/>
        </w:rPr>
        <w:t xml:space="preserve">El asistente no alucina: reconoce que la pregunta está fuera de su dominio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211D"/>
        </w:rPr>
        <w:t xml:space="preserve">5. Hallazgos críticos corregidos durante la prueba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Hallazgo 1 — El frontend nunca enviaba la API key al backend</w:t>
      </w:r>
    </w:p>
    <w:tbl>
      <w:tblPr>
        <w:tblW w:type="pct" w:w="100%"/>
        <w:tblBorders>
          <w:top w:val="single" w:color="A13A3A" w:sz="4"/>
          <w:left w:val="single" w:color="A13A3A" w:sz="4"/>
          <w:bottom w:val="single" w:color="A13A3A" w:sz="4"/>
          <w:right w:val="single" w:color="A13A3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E4E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16211D"/>
              </w:rPr>
              <w:t xml:space="preserve">CRÍTICO: sin el header X-API-Key, cada acción de un usuario real habría fallado con 401. La app estaba, en los hechos, inutilizable en producción.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6211D"/>
        </w:rPr>
        <w:t xml:space="preserve">Corrección: header centralizado en un helper authHeaders() aplicado a los 11 fetch de la librería; la key se inyecta en build-time desde Secret Manager.</w:t>
      </w:r>
    </w:p>
    <w:p>
      <w:pPr>
        <w:pStyle w:val="Heading2"/>
        <w:spacing w:after="150" w:before="300"/>
      </w:pPr>
      <w:r>
        <w:rPr>
          <w:b/>
          <w:bCs/>
          <w:color w:val="1F6F64"/>
        </w:rPr>
        <w:t xml:space="preserve">Hallazgo 2 — Vertex AI RAG Engine no podía crear el corpus en us-central1</w:t>
      </w:r>
    </w:p>
    <w:tbl>
      <w:tblPr>
        <w:tblW w:type="pct" w:w="100%"/>
        <w:tblBorders>
          <w:top w:val="single" w:color="A13A3A" w:sz="4"/>
          <w:left w:val="single" w:color="A13A3A" w:sz="4"/>
          <w:bottom w:val="single" w:color="A13A3A" w:sz="4"/>
          <w:right w:val="single" w:color="A13A3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E4E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16211D"/>
              </w:rPr>
              <w:t xml:space="preserve">CRÍTICO: la creación del corpus fallaba silenciosamente en cada intento — el chat funcionaba, pero sin ningún contexto real de la base de conocimiento.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16211D"/>
        </w:rPr>
        <w:t xml:space="preserve">Corrección: GCP_LOCATION cambiada a us-west1, donde la creación de corpus sí está permitida (verificado con una llamada real antes de aplicar el cambio en producción).</w:t>
      </w:r>
    </w:p>
    <w:p>
      <w:pPr>
        <w:spacing w:after="400"/>
      </w:pPr>
    </w:p>
    <w:p>
      <w:pPr>
        <w:pBdr>
          <w:top w:val="single" w:color="D9DDD8" w:sz="4"/>
        </w:pBdr>
        <w:spacing w:before="200"/>
      </w:pPr>
      <w:r>
        <w:rPr>
          <w:color w:val="4C5854"/>
          <w:sz w:val="16"/>
          <w:szCs w:val="16"/>
        </w:rPr>
        <w:t xml:space="preserve">GobLab UAI — Herramienta de Explicabilidad · Prueba ejecutada contra explicabilidad-api-92911726008.us-central1.run.app · Corpus RAG: profilexai_kb (us-west1)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2907545d7a77da230483d58c27e5cfc8176705.png"/><Relationship Id="rId8" Type="http://schemas.openxmlformats.org/officeDocument/2006/relationships/image" Target="media/9838df07b2ad9fad00f7cfaab5e7700ccb23763b.png"/><Relationship Id="rId9" Type="http://schemas.openxmlformats.org/officeDocument/2006/relationships/image" Target="media/87844552fb8903c5e14896220a2dfa2ad6c4bbbd.png"/><Relationship Id="rId10" Type="http://schemas.openxmlformats.org/officeDocument/2006/relationships/image" Target="media/72d97a0442d3a10cb1d9f5183e2b65d8c4dec414.png"/><Relationship Id="rId11" Type="http://schemas.openxmlformats.org/officeDocument/2006/relationships/image" Target="media/f964564a8d48f6468a60e7595c1bcc8cc5c17026.png"/><Relationship Id="rId12" Type="http://schemas.openxmlformats.org/officeDocument/2006/relationships/image" Target="media/31e75867fdaef939fe955259a7ab9b7f01a4fb61.png"/><Relationship Id="rId13" Type="http://schemas.openxmlformats.org/officeDocument/2006/relationships/image" Target="media/def09558cb11d8a30e0ab76e5525d33496e43d11.png"/><Relationship Id="rId14" Type="http://schemas.openxmlformats.org/officeDocument/2006/relationships/image" Target="media/da79053af3fd464eda44631d06a6ffca9f7e21ae.png"/><Relationship Id="rId15" Type="http://schemas.openxmlformats.org/officeDocument/2006/relationships/image" Target="media/6a2cfd6cb6dacaedece27d9afb1e5f0a36bfda1b.png"/><Relationship Id="rId16" Type="http://schemas.openxmlformats.org/officeDocument/2006/relationships/image" Target="media/24c7ca65886896b2518d9892c296484d2da6e678.png"/><Relationship Id="rId17" Type="http://schemas.openxmlformats.org/officeDocument/2006/relationships/image" Target="media/b610119ac99bae6069c453b2f8c2af5a87a36b5c.png"/><Relationship Id="rId18" Type="http://schemas.openxmlformats.org/officeDocument/2006/relationships/image" Target="media/ed294c48108c26a46b19056726d30a635d5bb273.png"/><Relationship Id="rId19" Type="http://schemas.openxmlformats.org/officeDocument/2006/relationships/image" Target="media/bcb31716f75da9060941e3391813438f16a278c9.png"/><Relationship Id="rId20" Type="http://schemas.openxmlformats.org/officeDocument/2006/relationships/image" Target="media/2687fe2feb9cf3b048bef22df94f3851b506a3b6.png"/><Relationship Id="rId21" Type="http://schemas.openxmlformats.org/officeDocument/2006/relationships/image" Target="media/337f27341c0a18883ceae1f14dc0cdcb8b847e4a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2026-09-11T15:34:16.818Z</dcterms:created>
  <dcterms:modified xsi:type="dcterms:W3CDTF">2026-09-11T15:34:16.819Z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