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GRÁFICOS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explicar el Proyecto URKUNINA 5000 desde la ciencia de datos y la analítica de salud pública, es indispensable seleccionar visualizaciones que no solo muestren cifras aisladas, sino que comuniquen patrones espaciales, correlaciones clínicas y el impacto del tamizaje preventivo.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continuación, se presentan los 5 gráficos más importantes para entender el proyecto y la guía técnica para crearlos en Python (usando librerías como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pandas</w:t>
      </w:r>
      <w:r w:rsidDel="00000000" w:rsidR="00000000" w:rsidRPr="00000000">
        <w:rPr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plotly</w:t>
      </w:r>
      <w:r w:rsidDel="00000000" w:rsidR="00000000" w:rsidRPr="00000000">
        <w:rPr>
          <w:sz w:val="24"/>
          <w:szCs w:val="24"/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sz w:val="24"/>
          <w:szCs w:val="24"/>
          <w:rtl w:val="0"/>
        </w:rPr>
        <w:t xml:space="preserve">matplotlib/seaborn</w:t>
      </w:r>
      <w:r w:rsidDel="00000000" w:rsidR="00000000" w:rsidRPr="00000000">
        <w:rPr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1. Mapa Geoespacial del "Enigma Nariñense" (Choropleth Map)</w:t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Mostrar la variabilidad geográfica de la incidencia de cáncer gástrico entre las distintas zonas del departamento.</w:t>
      </w:r>
    </w:p>
    <w:p w:rsidR="00000000" w:rsidDel="00000000" w:rsidP="00000000" w:rsidRDefault="00000000" w:rsidRPr="00000000" w14:paraId="00000009">
      <w:pPr>
        <w:numPr>
          <w:ilvl w:val="0"/>
          <w:numId w:val="9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a visualizar:</w:t>
      </w:r>
    </w:p>
    <w:p w:rsidR="00000000" w:rsidDel="00000000" w:rsidP="00000000" w:rsidRDefault="00000000" w:rsidRPr="00000000" w14:paraId="0000000A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Zona Roja (Norte / Suroccidente): 150 casos por 100.000 hab.</w:t>
      </w:r>
    </w:p>
    <w:p w:rsidR="00000000" w:rsidDel="00000000" w:rsidP="00000000" w:rsidRDefault="00000000" w:rsidRPr="00000000" w14:paraId="0000000B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Zona Amarilla (Pasto y municipios aledaños): 40 casos por 100.000 hab.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Zona Verde (Costa Pacífica / Barbacoas): 6 casos por 100.000 hab.</w:t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qué es clave: Revela el patrón territorial donde comunidades con similar presencia de la bacteria presentan incidencias drásticamente opuestas.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hd w:fill="22262b" w:val="clear"/>
        <w:spacing w:after="18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crearlo (Python / Plotly):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import plotly.express as px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import pandas as pd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data_mapa = pd.DataFrame({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'Zona': ['Zona Roja (Norte/Suroccidente)', 'Zona Amarilla (Pasto/Aledaños)', 'Zona Verde (Costa Pacífica)'],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'Incidencia_100k': [150.0, 40.0, 6.0],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'Color_Hex': ['#B22222', '#DAA520', '#2E8B57']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fig = px.bar(data_mapa, x='Zona', y='Incidencia_100k', color='Zona',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color_discrete_sequence=['#B22222', '#DAA520', '#2E8B57'],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title='Incidencia de Cáncer Gástrico por Zonas de Riesgo en Nariño',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labels={'Incidencia_100k': 'Casos por 100.000 hab.'})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fig.update_layout(showlegend=False)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fig.show()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# Nota: Para la versión georreferenciada completa, se vincula un GeoJSON de los 55 municipios de Nariño usando px.choropleth_mapbox.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2. Gráfico de Barras Comparativo: Nariño vs. Promedio Nacional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Justificar la prioridad en salud pública demostrando el exceso de riesgo en Nariño frente a Colombia.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a visualizar:</w:t>
      </w:r>
    </w:p>
    <w:p w:rsidR="00000000" w:rsidDel="00000000" w:rsidP="00000000" w:rsidRDefault="00000000" w:rsidRPr="00000000" w14:paraId="00000023">
      <w:pPr>
        <w:numPr>
          <w:ilvl w:val="1"/>
          <w:numId w:val="8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Colombia (mujeres): 9,4 por 100.000 hab.</w:t>
      </w:r>
    </w:p>
    <w:p w:rsidR="00000000" w:rsidDel="00000000" w:rsidP="00000000" w:rsidRDefault="00000000" w:rsidRPr="00000000" w14:paraId="00000024">
      <w:pPr>
        <w:numPr>
          <w:ilvl w:val="1"/>
          <w:numId w:val="8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Colombia (hombres): 17,3 por 100.000 hab.</w:t>
      </w:r>
    </w:p>
    <w:p w:rsidR="00000000" w:rsidDel="00000000" w:rsidP="00000000" w:rsidRDefault="00000000" w:rsidRPr="00000000" w14:paraId="00000025">
      <w:pPr>
        <w:numPr>
          <w:ilvl w:val="1"/>
          <w:numId w:val="8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Promedio Departamental Nariño: 63,4 por 100.000 hab.</w:t>
      </w:r>
    </w:p>
    <w:p w:rsidR="00000000" w:rsidDel="00000000" w:rsidP="00000000" w:rsidRDefault="00000000" w:rsidRPr="00000000" w14:paraId="00000026">
      <w:pPr>
        <w:numPr>
          <w:ilvl w:val="1"/>
          <w:numId w:val="8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Zona Roja Nariño: 150,0 por 100.000 hab.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qué es clave: Evidencia que la incidencia departamental cuadruplica la tasa nacional masculina, y la Zona Roja la supera casi 9 veces.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hd w:fill="22262b" w:val="clear"/>
        <w:spacing w:after="18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crearlo (Python / Seaborn):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import matplotlib.pyplot as plt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import seaborn as sns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categorias = ['Colombia (Mujeres)', 'Colombia (Hombres)', 'Nariño (Promedio)', 'Nariño (Zona Roja)']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tasas = [9.4, 17.3, 63.4, 150.0]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colores = ['#BDC3C7', '#95A5A6', '#D35400', '#78281F']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plt.figure(figsize=(9, 5))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sns.barplot(x=categorias, y=tasas, palette=colores)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plt.title('Brecha de Incidencia: Nariño vs. Cifras Nacionales (por 100.000 hab.)')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plt.ylabel('Casos por 100.000 habitantes')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for i, v in enumerate(tasas):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plt.text(i, v + 2, str(v), ha='center', fontweight='bold')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3. Diagrama de Embudo (Funnel Chart): Cascada del Tamizaje Preventivo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Ilustrar la conversión clínica desde la población tamizada hasta la detección temprana de cáncer en asintomáticos.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a visualizar:</w:t>
      </w:r>
    </w:p>
    <w:p w:rsidR="00000000" w:rsidDel="00000000" w:rsidP="00000000" w:rsidRDefault="00000000" w:rsidRPr="00000000" w14:paraId="0000003C">
      <w:pPr>
        <w:numPr>
          <w:ilvl w:val="1"/>
          <w:numId w:val="10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Participantes evaluados: 5.000.</w:t>
      </w:r>
    </w:p>
    <w:p w:rsidR="00000000" w:rsidDel="00000000" w:rsidP="00000000" w:rsidRDefault="00000000" w:rsidRPr="00000000" w14:paraId="0000003D">
      <w:pPr>
        <w:numPr>
          <w:ilvl w:val="1"/>
          <w:numId w:val="10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Infección por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Helicobacter pylori</w:t>
      </w:r>
      <w:r w:rsidDel="00000000" w:rsidR="00000000" w:rsidRPr="00000000">
        <w:rPr>
          <w:sz w:val="24"/>
          <w:szCs w:val="24"/>
          <w:rtl w:val="0"/>
        </w:rPr>
        <w:t xml:space="preserve">: 3.370 (67,4%).</w:t>
      </w:r>
    </w:p>
    <w:p w:rsidR="00000000" w:rsidDel="00000000" w:rsidP="00000000" w:rsidRDefault="00000000" w:rsidRPr="00000000" w14:paraId="0000003E">
      <w:pPr>
        <w:numPr>
          <w:ilvl w:val="1"/>
          <w:numId w:val="10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Lesión Precursora de Malignidad (LPM): 1.755 (35,1%).</w:t>
      </w:r>
    </w:p>
    <w:p w:rsidR="00000000" w:rsidDel="00000000" w:rsidP="00000000" w:rsidRDefault="00000000" w:rsidRPr="00000000" w14:paraId="0000003F">
      <w:pPr>
        <w:numPr>
          <w:ilvl w:val="1"/>
          <w:numId w:val="10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Casos de cáncer gástrico detectados: 8.</w:t>
      </w:r>
    </w:p>
    <w:p w:rsidR="00000000" w:rsidDel="00000000" w:rsidP="00000000" w:rsidRDefault="00000000" w:rsidRPr="00000000" w14:paraId="00000040">
      <w:pPr>
        <w:numPr>
          <w:ilvl w:val="1"/>
          <w:numId w:val="10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Pacientes en tratamiento oportuno con su EPS: 5.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qué es clave: Resume el flujo del proyecto y demuestra el éxito del tamizaje al identificar casos asintomáticos.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hd w:fill="22262b" w:val="clear"/>
        <w:spacing w:after="18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crearlo (Python / Plotly):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import plotly.express as px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etapas = ['Participantes Evaluados', 'Infección H. pylori', 'Lesiones Precursoras (LPM)', 'Cáncer Detectado', 'En Tratamiento Oportuno']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valores = [1, 3]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fig = px.funnel(x=valores, y=etapas, title='Cascada Diagnóstica del Proyecto URKUNINA 5000',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labels={'x': 'Número de Personas', 'y': 'Etapa Clínica'})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fig.show()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4. Gráfico de Barras Doble Horizontal: Prevalencia Municipal de </w:t>
      </w:r>
      <w:r w:rsidDel="00000000" w:rsidR="00000000" w:rsidRPr="00000000">
        <w:rPr>
          <w:b w:val="1"/>
          <w:bCs w:val="1"/>
          <w:i w:val="1"/>
          <w:iCs w:val="1"/>
          <w:sz w:val="21"/>
          <w:szCs w:val="21"/>
          <w:rtl w:val="0"/>
        </w:rPr>
        <w:t xml:space="preserve">H. pylori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y LPM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Identificar los municipios prioritarios analizando la relación entre la bacteria causa y el daño histológico acumulado.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a visualizar: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Top Municipios LPM: La Cruz (54,4%), El Tablón de Gómez (50,0%), Buesaco (48,9%), Consacá (43,5%), San Bernardo (43,3%).</w:t>
      </w:r>
    </w:p>
    <w:p w:rsidR="00000000" w:rsidDel="00000000" w:rsidP="00000000" w:rsidRDefault="00000000" w:rsidRPr="00000000" w14:paraId="00000050">
      <w:pPr>
        <w:numPr>
          <w:ilvl w:val="1"/>
          <w:numId w:val="1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Top Municipios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H. pylori</w:t>
      </w:r>
      <w:r w:rsidDel="00000000" w:rsidR="00000000" w:rsidRPr="00000000">
        <w:rPr>
          <w:sz w:val="24"/>
          <w:szCs w:val="24"/>
          <w:rtl w:val="0"/>
        </w:rPr>
        <w:t xml:space="preserve">: Barbacoas (82,0%), Cuaspud Carlosama (81,4%), Chachagüí (78,5%), San Bernardo (77,8%), Consacá (75,4%).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qué es clave: Permite priorizar territorios para la vigilancia epidemiológica continua (destacando que Consacá y San Bernardo figuran en el top de ambos indicadores).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hd w:fill="22262b" w:val="clear"/>
        <w:spacing w:after="18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crearlo (Python / Plotly):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import plotly.graph_objects as go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municipios = ['Consacá', 'San Bernardo', 'Buesaco', 'El Tablón de Gómez', 'La Cruz']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lpm_pct = [43.5, 43.3, 48.9, 50.0, 54.4]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hp_pct = [75.4, 77.8, 76.0, 77.1, 75.0]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fig = go.Figure()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fig.add_trace(go.Bar(y=municipios, x=lpm_pct, name='% Lesión Precursora (LPM)', orientation='h', marker_color='#8B0000'))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fig.add_trace(go.Bar(y=municipios, x=hp_pct, name='% Infección H. pylori', orientation='h', marker_color='#2F4F4F'))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fig.update_layout(barmode='group', title='Comparativa de Prevalencia en Municipios Prioritarios (%)',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  xaxis_title='Porcentaje (%)', yaxis_title='Municipio')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fig.show()</w:t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5. Gráfico de Composición: Inventario Biológico del Biobanco</w:t>
      </w:r>
    </w:p>
    <w:p w:rsidR="00000000" w:rsidDel="00000000" w:rsidP="00000000" w:rsidRDefault="00000000" w:rsidRPr="00000000" w14:paraId="00000062">
      <w:pPr>
        <w:numPr>
          <w:ilvl w:val="0"/>
          <w:numId w:val="6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Visualizar la dimensión de la reserva biológica construida (+25.000 muestras) como activo para investigaciones genómicas y de inteligencia artificial.</w:t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Datos a visualizar:</w:t>
      </w:r>
    </w:p>
    <w:p w:rsidR="00000000" w:rsidDel="00000000" w:rsidP="00000000" w:rsidRDefault="00000000" w:rsidRPr="00000000" w14:paraId="00000064">
      <w:pPr>
        <w:numPr>
          <w:ilvl w:val="1"/>
          <w:numId w:val="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Biopsias gástricas: 5.000.</w:t>
      </w:r>
    </w:p>
    <w:p w:rsidR="00000000" w:rsidDel="00000000" w:rsidP="00000000" w:rsidRDefault="00000000" w:rsidRPr="00000000" w14:paraId="00000065">
      <w:pPr>
        <w:numPr>
          <w:ilvl w:val="1"/>
          <w:numId w:val="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Suero: 9.700 alícuotas.</w:t>
      </w:r>
    </w:p>
    <w:p w:rsidR="00000000" w:rsidDel="00000000" w:rsidP="00000000" w:rsidRDefault="00000000" w:rsidRPr="00000000" w14:paraId="00000066">
      <w:pPr>
        <w:numPr>
          <w:ilvl w:val="1"/>
          <w:numId w:val="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Plasma: 9.700 alícuotas.</w:t>
      </w:r>
    </w:p>
    <w:p w:rsidR="00000000" w:rsidDel="00000000" w:rsidP="00000000" w:rsidRDefault="00000000" w:rsidRPr="00000000" w14:paraId="00000067">
      <w:pPr>
        <w:numPr>
          <w:ilvl w:val="1"/>
          <w:numId w:val="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Buffy coat: 4.850 alícuotas.</w:t>
      </w:r>
    </w:p>
    <w:p w:rsidR="00000000" w:rsidDel="00000000" w:rsidP="00000000" w:rsidRDefault="00000000" w:rsidRPr="00000000" w14:paraId="00000068">
      <w:pPr>
        <w:numPr>
          <w:ilvl w:val="1"/>
          <w:numId w:val="6"/>
        </w:numPr>
        <w:spacing w:after="0" w:afterAutospacing="0" w:lineRule="auto"/>
        <w:ind w:left="1440" w:hanging="360"/>
        <w:rPr>
          <w:color w:val="000000"/>
        </w:rPr>
      </w:pPr>
      <w:r w:rsidDel="00000000" w:rsidR="00000000" w:rsidRPr="00000000">
        <w:rPr>
          <w:sz w:val="24"/>
          <w:szCs w:val="24"/>
          <w:rtl w:val="0"/>
        </w:rPr>
        <w:t xml:space="preserve">Saliva, Materia Fecal, Orina, Hemascreen: 485 cada uno.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hd w:fill="22262b" w:val="clear"/>
        <w:spacing w:after="0" w:afterAutospacing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qué es clave: Demuestra la capacidad analítica futura y el respaldo de datos biológicos del departamento.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hd w:fill="22262b" w:val="clear"/>
        <w:spacing w:after="18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Cómo crearlo (Python / Seaborn):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sz w:val="24"/>
          <w:szCs w:val="2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import matplotlib.pyplot as plt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import pandas as pd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import seaborn as sns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df_bio = pd.DataFrame({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'Tipo_Muestra': ['Suero', 'Plasma', 'Biopsias', 'Buffy Coat', 'Saliva', 'Materia Fecal', 'Orina', 'Hemascreen'],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'Cantidad': 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plt.figure(figsize=(10, 5))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ax = sns.barplot(data=df_bio, x='Tipo_Muestra', y='Cantidad', palette='Blues_r')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plt.title('Muestras Conservadas en el Biobanco URKUNINA 5000')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plt.ylabel('Número de Alícuotas')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plt.xticks(rotation=30)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for p in ax.patches: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ax.annotate(f'{int(p.get_height()):,}', (p.get_x() + p.get_width() / 2., p.get_height()),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                ha='center', va='center', xytext=(0, 5), textcoords='offset points', fontsize=9, fontweight='bold')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plt.tight_layout()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sz w:val="21"/>
          <w:szCs w:val="21"/>
          <w:rtl w:val="0"/>
        </w:rPr>
        <w:t xml:space="preserve">plt.show()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afxgh9l0hx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Mapa Geoespacial del «Enigma Nariñense» y Criticidad Municipal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Librería: OpenStreetMap (vía Leaflet.js).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analítico: Representar la marcada disparidad espacial entre la franja andina y el litoral pacífico (incidencia de 150 frente a 6 por cada 100.000 habitantes), geolocalizar los 55 municipios priorizados y alertar sobre municipios con criticidad simultánea (Consacá con 43,5% de LPM y 75,4%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H. pylori</w:t>
      </w:r>
      <w:r w:rsidDel="00000000" w:rsidR="00000000" w:rsidRPr="00000000">
        <w:rPr>
          <w:b w:val="1"/>
          <w:bCs w:val="1"/>
          <w:rtl w:val="0"/>
        </w:rPr>
        <w:t xml:space="preserve">; San Bernardo con 43,3% de LPM y 77,8% de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H. pylori</w:t>
      </w:r>
      <w:r w:rsidDel="00000000" w:rsidR="00000000" w:rsidRPr="00000000">
        <w:rPr>
          <w:b w:val="1"/>
          <w:bCs w:val="1"/>
          <w:rtl w:val="0"/>
        </w:rPr>
        <w:t xml:space="preserve">) y los 8 casos de cáncer detectados.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Utilidad comunitaria: Permite a cada habitante ubicar su propio municipio en el mapa y entender si reside en una zona de riesgo alto, moderado o bajo.</w:t>
      </w:r>
    </w:p>
    <w:p w:rsidR="00000000" w:rsidDel="00000000" w:rsidP="00000000" w:rsidRDefault="00000000" w:rsidRPr="00000000" w14:paraId="00000084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bdhqvu1j2nq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Cómo implementarlo (JavaScript + Leaflet / OSM):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&lt;div id="map" style="width: 100%; height: 500px;"&gt;&lt;/div&gt;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&lt;link rel="stylesheet" href="https://unpkg.com/leaflet/dist/leaflet.css" /&gt;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 src="https://unpkg.com/leaflet/dist/leaflet.js"&gt;&lt;/script&gt;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const map = L.map('map').setView([1.28, -77.35], 8);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// Capa base de OpenStreetMap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L.tileLayer('https://{s}.tile.openstreetmap.org/{z}/{x}/{y}.png', {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attribution: '&amp;copy; OpenStreetMap contributors'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}).addTo(map);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// Polígonos/Marcadores de criticidad municipal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const municipiosCriticos = [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nombre: "Consacá", lat: 1.209, lng: -77.463, lpm: 43.5, hp: 75.4, cancer: 1 },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nombre: "San Bernardo", lat: 1.503, lng: -77.054, lpm: 43.3, hp: 77.8, cancer: 0 },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nombre: "La Cruz", lat: 1.604, lng: -76.971, lpm: 54.4, hp: 69.0, cancer: 0 },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nombre: "Barbacoas", lat: 1.671, lng: -78.139, lpm: 31.0, hp: 82.0, cancer: 1 },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nombre: "Belén", lat: 1.587, lng: -77.051, lpm: 44.1, hp: 69.0, cancer: 2 }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];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municipiosCriticos.forEach(m =&gt; {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// Radio proporcional al % de lesiones precursoras (LPM)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const marker = L.circleMarker([m.lat, m.lng], {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radius: m.lpm / 3,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fillColor: m.cancer &gt; 0 ? "#d90429" : "#f77f00",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color: "#000",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weight: 1,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fillOpacity: 0.8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}).addTo(map);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marker.bindPopup(`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&lt;b&gt;Municipio:&lt;/b&gt; ${m.nombre}&lt;br&gt;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&lt;b&gt;Lesiones Precursoras (LPM):&lt;/b&gt; ${m.lpm}%&lt;br&gt;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&lt;b&gt;Infección por H. pylori:&lt;/b&gt; ${m.hp}%&lt;br&gt;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&lt;b&gt;Cáncer detectado a tiempo:&lt;/b&gt; ${m.cancer} caso(s)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`);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0lj4tnzcsho" w:id="2"/>
      <w:bookmarkEnd w:id="2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Gráfico de Barras Bivariante: Disociación Bacteria vs. Lesión Tisular</w:t>
      </w:r>
    </w:p>
    <w:p w:rsidR="00000000" w:rsidDel="00000000" w:rsidP="00000000" w:rsidRDefault="00000000" w:rsidRPr="00000000" w14:paraId="000000AD">
      <w:pPr>
        <w:numPr>
          <w:ilvl w:val="0"/>
          <w:numId w:val="7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Librería: D3plus.js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d3plus-plot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BarChart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AE">
      <w:pPr>
        <w:numPr>
          <w:ilvl w:val="0"/>
          <w:numId w:val="7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analítico: Comparar la prevalencia de infección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H. pylori</w:t>
      </w:r>
      <w:r w:rsidDel="00000000" w:rsidR="00000000" w:rsidRPr="00000000">
        <w:rPr>
          <w:b w:val="1"/>
          <w:bCs w:val="1"/>
          <w:rtl w:val="0"/>
        </w:rPr>
        <w:t xml:space="preserve"> frente a la prevalencia de Lesiones Precursoras de Malignidad (LPM) en las 11 subregiones de Nariño (por ejemplo, Río Mayo con 44,3% LPM y 69,0%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H. pylori</w:t>
      </w:r>
      <w:r w:rsidDel="00000000" w:rsidR="00000000" w:rsidRPr="00000000">
        <w:rPr>
          <w:b w:val="1"/>
          <w:bCs w:val="1"/>
          <w:rtl w:val="0"/>
        </w:rPr>
        <w:t xml:space="preserve">, frente a Piedemonte Costero con 19,6% LPM y 55,0%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H. pylori</w:t>
      </w:r>
      <w:r w:rsidDel="00000000" w:rsidR="00000000" w:rsidRPr="00000000">
        <w:rPr>
          <w:b w:val="1"/>
          <w:bCs w:val="1"/>
          <w:rtl w:val="0"/>
        </w:rPr>
        <w:t xml:space="preserve">, o Telembí con 82,0%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H. pylori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AF">
      <w:pPr>
        <w:numPr>
          <w:ilvl w:val="0"/>
          <w:numId w:val="7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Utilidad comunitaria: Demuestra a la ciudadanía que tener la bacteria no equivale automáticamente a desarrollar cáncer, pero sí enciende la inflamación que desgasta el estómago en ciertas zonas geográficas.</w:t>
      </w:r>
    </w:p>
    <w:p w:rsidR="00000000" w:rsidDel="00000000" w:rsidP="00000000" w:rsidRDefault="00000000" w:rsidRPr="00000000" w14:paraId="000000B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88jltfzga7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Cómo implementarlo (JavaScript + D3plus):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&lt;div id="barchart-subregiones" style="width: 100%; height: 450px;"&gt;&lt;/div&gt;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 src="https://cdn.jsdelivr.net/npm/d3plus@2"&gt;&lt;/script&gt;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const datosSubregiones = [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subregion: "Río Mayo", indicador: "Lesión Precursora (LPM)", valor: 44.3 },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subregion: "Río Mayo", indicador: "H. pylori", valor: 69.0 },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subregion: "La Sabana", indicador: "Lesión Precursora (LPM)", valor: 38.9 },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subregion: "La Sabana", indicador: "H. pylori", valor: 70.7 },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subregion: "Cordillera", indicador: "Lesión Precursora (LPM)", valor: 37.7 },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subregion: "Cordillera", indicador: "H. pylori", valor: 72.8 },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subregion: "Occidente", indicador: "Lesión Precursora (LPM)", valor: 37.7 },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subregion: "Occidente", indicador: "H. pylori", valor: 65.9 },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subregion: "Centro", indicador: "Lesión Precursora (LPM)", valor: 30.2 },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subregion: "Centro", indicador: "H. pylori", valor: 66.2 },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subregion: "Piedemonte Costero", indicador: "Lesión Precursora (LPM)", valor: 19.6 },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subregion: "Piedemonte Costero", indicador: "H. pylori", valor: 55.0 }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];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new d3plus.BarChart()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.select("#barchart-subregiones")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.data(datosSubregiones)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.groupBy("indicador")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.x("subregion")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.y("valor")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.legend(true)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.render();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pzdw9eakvs" w:id="4"/>
      <w:bookmarkEnd w:id="4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Treemap Jerárquico del Biobanco Departamental (&gt;25.000 Alícuotas)</w:t>
      </w:r>
    </w:p>
    <w:p w:rsidR="00000000" w:rsidDel="00000000" w:rsidP="00000000" w:rsidRDefault="00000000" w:rsidRPr="00000000" w14:paraId="000000CE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Librería: D3plus.js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Treemap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0CF">
      <w:pPr>
        <w:numPr>
          <w:ilvl w:val="0"/>
          <w:numId w:val="3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analítico: Visualizar la distribución y capacidad de investigación biológica consolidada en el Hospital Universitario Departamental de Nariño (HUDN) y la Fundación CIEDYN (5.000 biopsias, 9.700 sueros, 9.700 plasmas, 4.850 buffy coats, 485 salivas, 485 heces, 485 orinas y 485 Hemascreen).</w:t>
      </w:r>
    </w:p>
    <w:p w:rsidR="00000000" w:rsidDel="00000000" w:rsidP="00000000" w:rsidRDefault="00000000" w:rsidRPr="00000000" w14:paraId="000000D0">
      <w:pPr>
        <w:numPr>
          <w:ilvl w:val="0"/>
          <w:numId w:val="3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Utilidad comunitaria: Permite a la población comprender que el proyecto no se limitó a realizar exámenes médicos, sino que protegió un patrimonio científico de muestras biológicas para descubrir nuevos tratamientos y vacunas genéticas.</w:t>
      </w:r>
    </w:p>
    <w:p w:rsidR="00000000" w:rsidDel="00000000" w:rsidP="00000000" w:rsidRDefault="00000000" w:rsidRPr="00000000" w14:paraId="000000D1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ddt77f6z8m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Cómo implementarlo (JavaScript + D3plus):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&lt;div id="treemap-biobanco" style="width: 100%; height: 500px;"&gt;&lt;/div&gt;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 src="https://cdn.jsdelivr.net/npm/d3plus@2"&gt;&lt;/script&gt;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const datosBiobanco = [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categoria: "Tejido Sólido", muestra: "Biopsias Gástricas", cantidad: 5000 },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categoria: "Fracciones Sanguíneas", muestra: "Suero Criopreservado", cantidad: 9700 },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categoria: "Fracciones Sanguíneas", muestra: "Plasma Sanguíneo", cantidad: 9700 },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categoria: "Material Genético", muestra: "Buffy Coat (ADN germinal)", cantidad: 4850 },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categoria: "Microbioma y Fluidos", muestra: "Saliva", cantidad: 485 },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categoria: "Microbioma y Fluidos", muestra: "Materia Fecal", cantidad: 485 },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categoria: "Microbioma y Fluidos", muestra: "Orina", cantidad: 485 },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categoria: "Microbioma y Fluidos", muestra: "Pruebas Hemascreen", cantidad: 485 }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];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new d3plus.Treemap()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.select("#treemap-biobanco")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.data(datosBiobanco)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.groupBy(["categoria", "muestra"])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.size("cantidad")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.color("categoria")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.tooltipConfig({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body: d =&gt; `Total especímenes archivados: ${d.cantidad.toLocaleString()}`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.render();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0EC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z51vscgd55" w:id="6"/>
      <w:bookmarkEnd w:id="6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Cascada Carcinogénica 3D Interactiva de Pelayo Correa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Librería: Three.js.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analítico: Modelar en tres dimensiones el proceso secuencial de transformación histológica desde la mucosa normal hasta el adenocarcinoma gástrico, ilustrando los volúmenes poblacionales de cada etapa (3.370 colonizados por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H. pylori</w:t>
      </w:r>
      <w:r w:rsidDel="00000000" w:rsidR="00000000" w:rsidRPr="00000000">
        <w:rPr>
          <w:b w:val="1"/>
          <w:bCs w:val="1"/>
          <w:rtl w:val="0"/>
        </w:rPr>
        <w:t xml:space="preserve">, 1.755 con lesiones precursoras y 8 casos asintomáticos detectados) y el punto de corte para el tratamiento triconjugado secuencial.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Utilidad comunitaria: Funciona como un modelo interactivo del «túnel de la enfermedad», donde el paciente puede rotar la escena y ver que la bacteria y la atrofia actúan como escalones intermedios reversibles antes de que se desarrolle una lesión irreversible.</w:t>
      </w:r>
    </w:p>
    <w:p w:rsidR="00000000" w:rsidDel="00000000" w:rsidP="00000000" w:rsidRDefault="00000000" w:rsidRPr="00000000" w14:paraId="000000F0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2uha8fihyim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Cómo implementarlo (JavaScript + Three.js):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&lt;div id="canvas-three" style="width: 100%; height: 450px;"&gt;&lt;/div&gt;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 src="https://cdnjs.cloudflare.com/ajax/libs/three.js/r128/three.min.js"&gt;&lt;/script&gt;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const container = document.getElementById('canvas-three');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const scene = new THREE.Scene();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scene.background = new THREE.Color(0x0f172a);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const camera = new THREE.PerspectiveCamera(60, container.clientWidth / container.clientHeight, 0.1, 1000);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camera.position.set(0, 5, 18);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const renderer = new THREE.WebGLRenderer({ antialias: true });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renderer.setSize(container.clientWidth, container.clientHeight);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container.appendChild(renderer.domElement);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const light = new THREE.PointLight(0xffffff, 1.2, 100);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light.position.set(10, 15, 15);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scene.add(light);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scene.add(new THREE.AmbientLight(0x404040));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// Estadios clínicos de la Cascada de Correa (Volumen ~ Magnitud de casos)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const estadios = [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nombre: "Normal/Gastritis", x: -9, radio: 2.2, color: 0x10b981 }, // Verde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nombre: "H. pylori (+)",   x: -4.5, radio: 1.8, color: 0xf59e0b }, // Amarillo (3.370)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nombre: "Atrofia/Metaplasia", x: 0.5, radio: 1.4, color: 0xf97316 }, // Naranja (1.755)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nombre: "Displasia",       x: 5,   radio: 0.9, color: 0xef4444 }, // Rojo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nombre: "Cáncer Detectado",x: 9,   radio: 0.5, color: 0x7f1d1d }  // Rojo oscuro (8)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];</w:t>
      </w:r>
    </w:p>
    <w:p w:rsidR="00000000" w:rsidDel="00000000" w:rsidP="00000000" w:rsidRDefault="00000000" w:rsidRPr="00000000" w14:paraId="0000010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const meshes = [];</w:t>
      </w:r>
    </w:p>
    <w:p w:rsidR="00000000" w:rsidDel="00000000" w:rsidP="00000000" w:rsidRDefault="00000000" w:rsidRPr="00000000" w14:paraId="0000010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estadios.forEach(e =&gt; {</w:t>
      </w:r>
    </w:p>
    <w:p w:rsidR="00000000" w:rsidDel="00000000" w:rsidP="00000000" w:rsidRDefault="00000000" w:rsidRPr="00000000" w14:paraId="0000011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const geometry = new THREE.SphereGeometry(e.radio, 32, 32);</w:t>
      </w:r>
    </w:p>
    <w:p w:rsidR="00000000" w:rsidDel="00000000" w:rsidP="00000000" w:rsidRDefault="00000000" w:rsidRPr="00000000" w14:paraId="0000011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const material = new THREE.MeshStandardMaterial({ </w:t>
      </w:r>
    </w:p>
    <w:p w:rsidR="00000000" w:rsidDel="00000000" w:rsidP="00000000" w:rsidRDefault="00000000" w:rsidRPr="00000000" w14:paraId="0000011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color: e.color, </w:t>
      </w:r>
    </w:p>
    <w:p w:rsidR="00000000" w:rsidDel="00000000" w:rsidP="00000000" w:rsidRDefault="00000000" w:rsidRPr="00000000" w14:paraId="0000011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roughness: 0.3,</w:t>
      </w:r>
    </w:p>
    <w:p w:rsidR="00000000" w:rsidDel="00000000" w:rsidP="00000000" w:rsidRDefault="00000000" w:rsidRPr="00000000" w14:paraId="0000011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metalness: 0.2</w:t>
      </w:r>
    </w:p>
    <w:p w:rsidR="00000000" w:rsidDel="00000000" w:rsidP="00000000" w:rsidRDefault="00000000" w:rsidRPr="00000000" w14:paraId="0000011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11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const sphere = new THREE.Mesh(geometry, material);</w:t>
      </w:r>
    </w:p>
    <w:p w:rsidR="00000000" w:rsidDel="00000000" w:rsidP="00000000" w:rsidRDefault="00000000" w:rsidRPr="00000000" w14:paraId="0000011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sphere.position.x = e.x;</w:t>
      </w:r>
    </w:p>
    <w:p w:rsidR="00000000" w:rsidDel="00000000" w:rsidP="00000000" w:rsidRDefault="00000000" w:rsidRPr="00000000" w14:paraId="0000011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scene.add(sphere);</w:t>
      </w:r>
    </w:p>
    <w:p w:rsidR="00000000" w:rsidDel="00000000" w:rsidP="00000000" w:rsidRDefault="00000000" w:rsidRPr="00000000" w14:paraId="0000011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meshes.push(sphere);</w:t>
      </w:r>
    </w:p>
    <w:p w:rsidR="00000000" w:rsidDel="00000000" w:rsidP="00000000" w:rsidRDefault="00000000" w:rsidRPr="00000000" w14:paraId="0000011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});</w:t>
      </w:r>
    </w:p>
    <w:p w:rsidR="00000000" w:rsidDel="00000000" w:rsidP="00000000" w:rsidRDefault="00000000" w:rsidRPr="00000000" w14:paraId="0000011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// Animación de rotación continua</w:t>
      </w:r>
    </w:p>
    <w:p w:rsidR="00000000" w:rsidDel="00000000" w:rsidP="00000000" w:rsidRDefault="00000000" w:rsidRPr="00000000" w14:paraId="0000011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function animate() {</w:t>
      </w:r>
    </w:p>
    <w:p w:rsidR="00000000" w:rsidDel="00000000" w:rsidP="00000000" w:rsidRDefault="00000000" w:rsidRPr="00000000" w14:paraId="0000011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requestAnimationFrame(animate);</w:t>
      </w:r>
    </w:p>
    <w:p w:rsidR="00000000" w:rsidDel="00000000" w:rsidP="00000000" w:rsidRDefault="00000000" w:rsidRPr="00000000" w14:paraId="0000011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meshes.forEach((m, idx) =&gt; {</w:t>
      </w:r>
    </w:p>
    <w:p w:rsidR="00000000" w:rsidDel="00000000" w:rsidP="00000000" w:rsidRDefault="00000000" w:rsidRPr="00000000" w14:paraId="0000012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m.rotation.y += 0.01 * (idx + 1);</w:t>
      </w:r>
    </w:p>
    <w:p w:rsidR="00000000" w:rsidDel="00000000" w:rsidP="00000000" w:rsidRDefault="00000000" w:rsidRPr="00000000" w14:paraId="0000012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});</w:t>
      </w:r>
    </w:p>
    <w:p w:rsidR="00000000" w:rsidDel="00000000" w:rsidP="00000000" w:rsidRDefault="00000000" w:rsidRPr="00000000" w14:paraId="0000012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renderer.render(scene, camera);</w:t>
      </w:r>
    </w:p>
    <w:p w:rsidR="00000000" w:rsidDel="00000000" w:rsidP="00000000" w:rsidRDefault="00000000" w:rsidRPr="00000000" w14:paraId="0000012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12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animate();</w:t>
      </w:r>
    </w:p>
    <w:p w:rsidR="00000000" w:rsidDel="00000000" w:rsidP="00000000" w:rsidRDefault="00000000" w:rsidRPr="00000000" w14:paraId="0000012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1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9nykqnt9o5l" w:id="8"/>
      <w:bookmarkEnd w:id="8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Matriz de Vulnerabilidad Socioeconómica y Estado Nutricional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Librería: D3plus.js (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BarChart</w:t>
      </w:r>
      <w:r w:rsidDel="00000000" w:rsidR="00000000" w:rsidRPr="00000000">
        <w:rPr>
          <w:b w:val="1"/>
          <w:bCs w:val="1"/>
          <w:rtl w:val="0"/>
        </w:rPr>
        <w:t xml:space="preserve"> o </w:t>
      </w:r>
      <w:r w:rsidDel="00000000" w:rsidR="00000000" w:rsidRPr="00000000">
        <w:rPr>
          <w:b w:val="1"/>
          <w:bCs w:val="1"/>
          <w:color w:val="188038"/>
          <w:rtl w:val="0"/>
        </w:rPr>
        <w:t xml:space="preserve">Treemap</w:t>
      </w:r>
      <w:r w:rsidDel="00000000" w:rsidR="00000000" w:rsidRPr="00000000">
        <w:rPr>
          <w:b w:val="1"/>
          <w:bCs w:val="1"/>
          <w:rtl w:val="0"/>
        </w:rPr>
        <w:t xml:space="preserve">).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0" w:after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 analítico: Exponer las determinantes de vulnerabilidad social que modulan el riesgo biológico en los 5.000 participantes: 86,2% en estratos socioeconómicos 0 o 1, 81,9% afiliados al régimen subsidiado, 53,6% con ingresos menores a $400.000 pesos, y la alta prevalencia de malnutrición por exceso (48,2% sobrepeso y 21,8% obesidad).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Utilidad comunitaria: Permite reflexionar en talleres de educación nutricional sobre cómo el bajo ingreso económico y el exceso de peso con dietas hipercalóricas sobrecargadas en sal o frituras se relacionan con la salud del estómago.</w:t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79w5b2bzra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Cómo implementarlo (JavaScript + D3plus):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HTML</w:t>
      </w:r>
    </w:p>
    <w:p w:rsidR="00000000" w:rsidDel="00000000" w:rsidP="00000000" w:rsidRDefault="00000000" w:rsidRPr="00000000" w14:paraId="0000012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&lt;div id="chart-nutricion" style="width: 100%; height: 400px;"&gt;&lt;/div&gt;</w:t>
      </w:r>
    </w:p>
    <w:p w:rsidR="00000000" w:rsidDel="00000000" w:rsidP="00000000" w:rsidRDefault="00000000" w:rsidRPr="00000000" w14:paraId="0000012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 src="https://cdn.jsdelivr.net/npm/d3plus@2"&gt;&lt;/script&gt;</w:t>
      </w:r>
    </w:p>
    <w:p w:rsidR="00000000" w:rsidDel="00000000" w:rsidP="00000000" w:rsidRDefault="00000000" w:rsidRPr="00000000" w14:paraId="0000012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&lt;script&gt;</w:t>
      </w:r>
    </w:p>
    <w:p w:rsidR="00000000" w:rsidDel="00000000" w:rsidP="00000000" w:rsidRDefault="00000000" w:rsidRPr="00000000" w14:paraId="0000012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const datosNutricion = [</w:t>
      </w:r>
    </w:p>
    <w:p w:rsidR="00000000" w:rsidDel="00000000" w:rsidP="00000000" w:rsidRDefault="00000000" w:rsidRPr="00000000" w14:paraId="0000013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condicion: "Bajo peso (Delgadez)", porcentaje: 0.4, grupo: "Déficit" },</w:t>
      </w:r>
    </w:p>
    <w:p w:rsidR="00000000" w:rsidDel="00000000" w:rsidP="00000000" w:rsidRDefault="00000000" w:rsidRPr="00000000" w14:paraId="0000013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condicion: "Peso Normal", porcentaje: 29.6, grupo: "Normopeso" },</w:t>
      </w:r>
    </w:p>
    <w:p w:rsidR="00000000" w:rsidDel="00000000" w:rsidP="00000000" w:rsidRDefault="00000000" w:rsidRPr="00000000" w14:paraId="00000132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condicion: "Sobrepeso", porcentaje: 48.2, grupo: "Exceso de Peso" },</w:t>
      </w:r>
    </w:p>
    <w:p w:rsidR="00000000" w:rsidDel="00000000" w:rsidP="00000000" w:rsidRDefault="00000000" w:rsidRPr="00000000" w14:paraId="00000133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{ condicion: "Obesidad (I, II y III)", porcentaje: 21.8, grupo: "Exceso de Peso" }</w:t>
      </w:r>
    </w:p>
    <w:p w:rsidR="00000000" w:rsidDel="00000000" w:rsidP="00000000" w:rsidRDefault="00000000" w:rsidRPr="00000000" w14:paraId="00000134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];</w:t>
      </w:r>
    </w:p>
    <w:p w:rsidR="00000000" w:rsidDel="00000000" w:rsidP="00000000" w:rsidRDefault="00000000" w:rsidRPr="00000000" w14:paraId="00000135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new d3plus.BarChart()</w:t>
      </w:r>
    </w:p>
    <w:p w:rsidR="00000000" w:rsidDel="00000000" w:rsidP="00000000" w:rsidRDefault="00000000" w:rsidRPr="00000000" w14:paraId="00000137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.select("#chart-nutricion")</w:t>
      </w:r>
    </w:p>
    <w:p w:rsidR="00000000" w:rsidDel="00000000" w:rsidP="00000000" w:rsidRDefault="00000000" w:rsidRPr="00000000" w14:paraId="00000138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.data(datosNutricion)</w:t>
      </w:r>
    </w:p>
    <w:p w:rsidR="00000000" w:rsidDel="00000000" w:rsidP="00000000" w:rsidRDefault="00000000" w:rsidRPr="00000000" w14:paraId="00000139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.groupBy("grupo")</w:t>
      </w:r>
    </w:p>
    <w:p w:rsidR="00000000" w:rsidDel="00000000" w:rsidP="00000000" w:rsidRDefault="00000000" w:rsidRPr="00000000" w14:paraId="0000013A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.x("condicion")</w:t>
      </w:r>
    </w:p>
    <w:p w:rsidR="00000000" w:rsidDel="00000000" w:rsidP="00000000" w:rsidRDefault="00000000" w:rsidRPr="00000000" w14:paraId="0000013B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.y("porcentaje")</w:t>
      </w:r>
    </w:p>
    <w:p w:rsidR="00000000" w:rsidDel="00000000" w:rsidP="00000000" w:rsidRDefault="00000000" w:rsidRPr="00000000" w14:paraId="0000013C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.color("grupo")</w:t>
      </w:r>
    </w:p>
    <w:p w:rsidR="00000000" w:rsidDel="00000000" w:rsidP="00000000" w:rsidRDefault="00000000" w:rsidRPr="00000000" w14:paraId="0000013D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.tooltipConfig({</w:t>
      </w:r>
    </w:p>
    <w:p w:rsidR="00000000" w:rsidDel="00000000" w:rsidP="00000000" w:rsidRDefault="00000000" w:rsidRPr="00000000" w14:paraId="0000013E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  body: d =&gt; `${d.porcentaje}% de los participantes evaluados`</w:t>
      </w:r>
    </w:p>
    <w:p w:rsidR="00000000" w:rsidDel="00000000" w:rsidP="00000000" w:rsidRDefault="00000000" w:rsidRPr="00000000" w14:paraId="0000013F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})</w:t>
      </w:r>
    </w:p>
    <w:p w:rsidR="00000000" w:rsidDel="00000000" w:rsidP="00000000" w:rsidRDefault="00000000" w:rsidRPr="00000000" w14:paraId="00000140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    .render();</w:t>
      </w:r>
    </w:p>
    <w:p w:rsidR="00000000" w:rsidDel="00000000" w:rsidP="00000000" w:rsidRDefault="00000000" w:rsidRPr="00000000" w14:paraId="00000141">
      <w:pPr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&lt;/script&gt;</w:t>
      </w:r>
    </w:p>
    <w:p w:rsidR="00000000" w:rsidDel="00000000" w:rsidP="00000000" w:rsidRDefault="00000000" w:rsidRPr="00000000" w14:paraId="0000014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kofqclb4sm" w:id="10"/>
      <w:bookmarkEnd w:id="10"/>
      <w:r w:rsidDel="00000000" w:rsidR="00000000" w:rsidRPr="00000000">
        <w:rPr>
          <w:b w:val="1"/>
          <w:bCs w:val="1"/>
          <w:color w:val="188038"/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Resumen de la Arquitectura de Visualización</w:t>
      </w:r>
    </w:p>
    <w:tbl>
      <w:tblPr>
        <w:tblStyle w:val="Table1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5"/>
        <w:gridCol w:w="1920"/>
        <w:gridCol w:w="2160"/>
        <w:gridCol w:w="2160"/>
        <w:gridCol w:w="2010"/>
        <w:tblGridChange w:id="0">
          <w:tblGrid>
            <w:gridCol w:w="525"/>
            <w:gridCol w:w="1920"/>
            <w:gridCol w:w="2160"/>
            <w:gridCol w:w="2160"/>
            <w:gridCol w:w="2010"/>
          </w:tblGrid>
        </w:tblGridChange>
      </w:tblGrid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Visualización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Librería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Variable Epidemiológica Central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Pregunta Clave que Responde a la Ciudadanía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Mapa de Calor y Marcadores Municipales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OpenStreetMap + Leaflet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Incidencia por zonas y prevalencias por municipio (Consacá, San Bernardo, etc.)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after="48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¿Qué tan alto es el riesgo en mi municipio frente a las otras zonas del departamento?</w:t>
            </w:r>
          </w:p>
          <w:p w:rsidR="00000000" w:rsidDel="00000000" w:rsidP="00000000" w:rsidRDefault="00000000" w:rsidRPr="00000000" w14:paraId="0000014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[cite: 1, 2]</w:t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Barras Comparativas de Doble Indicador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D3plus.js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Brecha entre </w:t>
            </w: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H. pylori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(67,4%) y LPM (35,1%) por subregión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after="48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¿Por qué en algunos municipios la bacteria hace más daño que en otros?</w:t>
            </w:r>
          </w:p>
          <w:p w:rsidR="00000000" w:rsidDel="00000000" w:rsidP="00000000" w:rsidRDefault="00000000" w:rsidRPr="00000000" w14:paraId="0000015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[cite: 1]</w:t>
            </w:r>
          </w:p>
        </w:tc>
      </w:tr>
      <w:tr>
        <w:trPr>
          <w:cantSplit w:val="0"/>
          <w:trHeight w:val="247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Treemap Jerárquico del Biobanco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D3plus.js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Distribución de más de 25.000 muestras biológicas criopreservadas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after="48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¿Qué se hizo con las muestras de sangre, saliva y biopsia que donamos al hospital?</w:t>
            </w:r>
          </w:p>
          <w:p w:rsidR="00000000" w:rsidDel="00000000" w:rsidP="00000000" w:rsidRDefault="00000000" w:rsidRPr="00000000" w14:paraId="00000159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[cite: 1, 2]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Cascada Carcinogénica 3D Interactiva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Three.js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Trayectoria de progresión celular y 8 casos asintomáticos detectados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after="48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¿Cómo avanza el daño del estómago y por qué la endoscopia a tiempo salva vidas?</w:t>
            </w:r>
          </w:p>
          <w:p w:rsidR="00000000" w:rsidDel="00000000" w:rsidP="00000000" w:rsidRDefault="00000000" w:rsidRPr="00000000" w14:paraId="0000015F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[cite: 1, 2]</w:t>
            </w:r>
          </w:p>
        </w:tc>
      </w:tr>
      <w:tr>
        <w:trPr>
          <w:cantSplit w:val="0"/>
          <w:trHeight w:val="276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Diagrama de Estado Nutricional y Pobreza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D3plus.js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70% exceso de peso (IMC) frente a 86,2% en estratos 0 y 1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spacing w:after="480" w:lineRule="auto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¿Cómo influyen mi alimentación diaria y mis condiciones económicas en la salud digestiva?</w:t>
            </w:r>
          </w:p>
          <w:p w:rsidR="00000000" w:rsidDel="00000000" w:rsidP="00000000" w:rsidRDefault="00000000" w:rsidRPr="00000000" w14:paraId="00000165">
            <w:pPr>
              <w:spacing w:after="48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[cite: 1, 2]</w:t>
            </w:r>
          </w:p>
        </w:tc>
      </w:tr>
    </w:tbl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c7c7c7"/>
        <w:sz w:val="21"/>
        <w:szCs w:val="21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b w:val="0"/>
        <w:bCs w:val="0"/>
        <w:i w:val="0"/>
        <w:iCs w:val="0"/>
        <w:smallCaps w:val="0"/>
        <w:color w:val="c7c7c7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