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B37F" w14:textId="77777777" w:rsidR="00D9654C" w:rsidRDefault="00142E62">
      <w:r>
        <w:rPr>
          <w:noProof/>
        </w:rPr>
        <w:drawing>
          <wp:anchor distT="0" distB="0" distL="114300" distR="114300" simplePos="0" relativeHeight="251653119" behindDoc="0" locked="0" layoutInCell="1" allowOverlap="1" wp14:anchorId="2058A128" wp14:editId="032B45F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2E26C9D3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" filled="f" stroked="f" strokeweight=".5pt">
            <o:lock v:ext="edit" aspectratio="t" verticies="t" text="t" shapetype="t"/>
            <v:textbox>
              <w:txbxContent>
                <w:p w14:paraId="40E4E7A9" w14:textId="77777777" w:rsidR="000C6912" w:rsidRPr="000C6912" w:rsidRDefault="00142E62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</w:t>
                  </w: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DeepL Pro</w:t>
                  </w: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>访问</w:t>
                  </w:r>
                  <w:hyperlink r:id="rId6">
                    <w:r>
                      <w:rPr>
                        <w:rFonts w:ascii="Roboto" w:hAnsi="Roboto"/>
                        <w:color w:val="006494"/>
                        <w:sz w:val="20"/>
                      </w:rPr>
                      <w:t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>，了解更多信息。</w:t>
                  </w:r>
                </w:p>
              </w:txbxContent>
            </v:textbox>
            <w10:wrap anchorx="page" anchory="page"/>
          </v:shape>
        </w:pict>
      </w:r>
      <w:r>
        <w:pict w14:anchorId="211981FE"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9"/>
        <w:gridCol w:w="3821"/>
      </w:tblGrid>
      <w:tr w:rsidR="00D538C6" w:rsidRPr="00657129" w14:paraId="5F48FF90" w14:textId="77777777" w:rsidTr="004B3457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6231DDBC" w14:textId="77777777" w:rsidR="00D538C6" w:rsidRPr="00657129" w:rsidRDefault="00D538C6" w:rsidP="008D11AB">
            <w:pPr>
              <w:jc w:val="both"/>
            </w:pPr>
            <w:r w:rsidRPr="00657129">
              <w:rPr>
                <w:noProof/>
                <w:lang w:eastAsia="en-GB"/>
              </w:rPr>
              <w:drawing>
                <wp:inline distT="0" distB="0" distL="0" distR="0" wp14:anchorId="6A9CABB0" wp14:editId="1773648B">
                  <wp:extent cx="1663700" cy="562806"/>
                  <wp:effectExtent l="0" t="0" r="0" b="0"/>
                  <wp:docPr id="1" name="Picture 1" descr="University of Leiceste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mg6\AppData\Local\Microsoft\Windows\INetCache\Content.Word\logo no bar 1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093" cy="57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</w:tcPr>
          <w:p w14:paraId="2E1463E4" w14:textId="77777777" w:rsidR="00D9654C" w:rsidRDefault="00142E62">
            <w:pPr>
              <w:jc w:val="both"/>
            </w:pPr>
            <w:r w:rsidRPr="00657129">
              <w:t xml:space="preserve">MA1254 - </w:t>
            </w:r>
            <w:r w:rsidR="004B3457" w:rsidRPr="00657129">
              <w:t>商业挑战</w:t>
            </w:r>
          </w:p>
        </w:tc>
      </w:tr>
    </w:tbl>
    <w:p w14:paraId="0E811A12" w14:textId="77777777" w:rsidR="00646BA2" w:rsidRPr="00657129" w:rsidRDefault="00646BA2" w:rsidP="008D11AB">
      <w:pPr>
        <w:jc w:val="both"/>
      </w:pPr>
    </w:p>
    <w:p w14:paraId="09D1E774" w14:textId="77777777" w:rsidR="00D9654C" w:rsidRDefault="00142E62">
      <w:pPr>
        <w:pStyle w:val="Title"/>
        <w:jc w:val="both"/>
      </w:pPr>
      <w:r w:rsidRPr="00657129">
        <w:t>Belvoir Dairies Limited</w:t>
      </w:r>
    </w:p>
    <w:p w14:paraId="54A9087C" w14:textId="77777777" w:rsidR="00D9654C" w:rsidRDefault="00142E62">
      <w:pPr>
        <w:pStyle w:val="Heading1"/>
        <w:jc w:val="both"/>
      </w:pPr>
      <w:r w:rsidRPr="000F25CE">
        <w:t>背景介绍</w:t>
      </w:r>
    </w:p>
    <w:p w14:paraId="73B7517D" w14:textId="77777777" w:rsidR="00D9654C" w:rsidRDefault="00142E62">
      <w:pPr>
        <w:jc w:val="both"/>
      </w:pPr>
      <w:r w:rsidRPr="00657129">
        <w:t>Belvoir Dairies Limited</w:t>
      </w:r>
      <w:r w:rsidRPr="00657129">
        <w:t>（</w:t>
      </w:r>
      <w:r w:rsidRPr="00657129">
        <w:t>BDL</w:t>
      </w:r>
      <w:r w:rsidRPr="00657129">
        <w:t>）是一家为专业奶酪店、熟食店和类似商店生产高质量奶酪的公司。它在莱斯特郡东北部的贝尔沃谷（发音为</w:t>
      </w:r>
      <w:r w:rsidRPr="00657129">
        <w:t>bee-v</w:t>
      </w:r>
      <w:r w:rsidRPr="00657129">
        <w:t>ə</w:t>
      </w:r>
      <w:r w:rsidRPr="00657129">
        <w:t>r</w:t>
      </w:r>
      <w:r w:rsidRPr="00657129">
        <w:t>）边缘经营着两个乳品厂，它生产三种类型的奶酪。</w:t>
      </w:r>
    </w:p>
    <w:p w14:paraId="5ABE1D72" w14:textId="77777777" w:rsidR="00D9654C" w:rsidRDefault="00142E62">
      <w:pPr>
        <w:pStyle w:val="ListParagraph"/>
        <w:numPr>
          <w:ilvl w:val="0"/>
          <w:numId w:val="2"/>
        </w:numPr>
        <w:jc w:val="both"/>
      </w:pPr>
      <w:r w:rsidRPr="00657129">
        <w:rPr>
          <w:i/>
          <w:iCs/>
        </w:rPr>
        <w:t>蓝贝尔瓦</w:t>
      </w:r>
      <w:r w:rsidRPr="00657129">
        <w:t>奶酪，是一种传统的蓝色脉络奶酪，类似于蓝斯蒂尔顿。这是</w:t>
      </w:r>
      <w:r w:rsidRPr="00657129">
        <w:t>BDL</w:t>
      </w:r>
      <w:r w:rsidRPr="00657129">
        <w:t>的优质产品。</w:t>
      </w:r>
    </w:p>
    <w:p w14:paraId="4A7C9420" w14:textId="77777777" w:rsidR="00D9654C" w:rsidRDefault="00142E62">
      <w:pPr>
        <w:pStyle w:val="ListParagraph"/>
        <w:numPr>
          <w:ilvl w:val="0"/>
          <w:numId w:val="2"/>
        </w:numPr>
        <w:jc w:val="both"/>
      </w:pPr>
      <w:r w:rsidRPr="00657129">
        <w:rPr>
          <w:i/>
          <w:iCs/>
        </w:rPr>
        <w:t>白贝尔瓦</w:t>
      </w:r>
      <w:r w:rsidRPr="00657129">
        <w:t>奶酪，是一种碎裂的白色奶酪，制作方法与蓝纹奶酪相同，但没有蓝纹。</w:t>
      </w:r>
    </w:p>
    <w:p w14:paraId="284B772D" w14:textId="77777777" w:rsidR="00D9654C" w:rsidRDefault="00142E62">
      <w:pPr>
        <w:pStyle w:val="ListParagraph"/>
        <w:numPr>
          <w:ilvl w:val="0"/>
          <w:numId w:val="2"/>
        </w:numPr>
        <w:jc w:val="both"/>
      </w:pPr>
      <w:r w:rsidRPr="00657129">
        <w:rPr>
          <w:i/>
          <w:iCs/>
        </w:rPr>
        <w:t>红贝尔瓦</w:t>
      </w:r>
      <w:r w:rsidRPr="00657129">
        <w:t>奶酪，是一种与切达奶酪相似的硬奶酪，但由于添加了天然的红色染料</w:t>
      </w:r>
      <w:r w:rsidRPr="00657129">
        <w:t>--</w:t>
      </w:r>
      <w:r w:rsidRPr="00657129">
        <w:t>红辣椒而染成红色。</w:t>
      </w:r>
    </w:p>
    <w:p w14:paraId="7227D43C" w14:textId="77777777" w:rsidR="00D9654C" w:rsidRDefault="00142E62">
      <w:pPr>
        <w:jc w:val="both"/>
      </w:pPr>
      <w:r w:rsidRPr="00657129">
        <w:t>该公司最近任命了一位新的首席执行官，她认为</w:t>
      </w:r>
      <w:r w:rsidRPr="00657129">
        <w:t>BDL</w:t>
      </w:r>
      <w:r w:rsidRPr="00657129">
        <w:t>的</w:t>
      </w:r>
      <w:r w:rsidRPr="00657129">
        <w:t>业绩不佳。她邀请你去检查</w:t>
      </w:r>
      <w:r w:rsidRPr="00657129">
        <w:t>BDL</w:t>
      </w:r>
      <w:r w:rsidRPr="00657129">
        <w:t>的运作并提出改进建议。</w:t>
      </w:r>
    </w:p>
    <w:p w14:paraId="7D05E84C" w14:textId="77777777" w:rsidR="00D9654C" w:rsidRDefault="00142E62">
      <w:pPr>
        <w:pStyle w:val="Heading1"/>
        <w:jc w:val="both"/>
      </w:pPr>
      <w:r w:rsidRPr="00657129">
        <w:t>奶酪制作</w:t>
      </w:r>
    </w:p>
    <w:p w14:paraId="66AD9807" w14:textId="77777777" w:rsidR="00D9654C" w:rsidRDefault="00142E62">
      <w:pPr>
        <w:jc w:val="both"/>
      </w:pPr>
      <w:r w:rsidRPr="00657129">
        <w:t>BDL</w:t>
      </w:r>
      <w:r w:rsidRPr="00657129">
        <w:t>通过使用凝固剂，即凝乳酶，将牛奶分成凝乳（固体部分）和乳清（液体部分）来制作奶酪。凝乳被沥干并压入特殊的圆柱形模具中，称为</w:t>
      </w:r>
      <w:r w:rsidRPr="00657129">
        <w:t xml:space="preserve"> "</w:t>
      </w:r>
      <w:r w:rsidRPr="00657129">
        <w:t>箍</w:t>
      </w:r>
      <w:r w:rsidRPr="00657129">
        <w:t>"</w:t>
      </w:r>
      <w:r w:rsidRPr="00657129">
        <w:t>，然后让其成熟，直到形成奶酪。平均来说，生产</w:t>
      </w:r>
      <w:r w:rsidRPr="00657129">
        <w:t>1</w:t>
      </w:r>
      <w:r w:rsidRPr="00657129">
        <w:t>公斤的奶酪</w:t>
      </w:r>
      <w:r w:rsidR="00085E35">
        <w:t>需要</w:t>
      </w:r>
      <w:r w:rsidRPr="00657129">
        <w:t>10</w:t>
      </w:r>
      <w:r w:rsidRPr="00657129">
        <w:t>升牛奶，而每个箍的重量为</w:t>
      </w:r>
      <w:r w:rsidRPr="00657129">
        <w:t>8</w:t>
      </w:r>
      <w:r w:rsidRPr="00657129">
        <w:t>公斤。在蓝色贝尔瓦奶酪中，添加了一种无害的蓝色霉菌培养物（</w:t>
      </w:r>
      <w:r w:rsidRPr="00657129">
        <w:t>Penicillium roqueforti</w:t>
      </w:r>
      <w:r w:rsidRPr="00657129">
        <w:t>），以产生独特的蓝色脉络。在红贝壳的情况下，添加了红木，使其具有独特的红色。蓝色和白色在大约</w:t>
      </w:r>
      <w:r w:rsidRPr="00657129">
        <w:t>9</w:t>
      </w:r>
      <w:r w:rsidRPr="00657129">
        <w:t>周后就可以出售，如果要达到最佳状态，必须在准备好的</w:t>
      </w:r>
      <w:r w:rsidRPr="00657129">
        <w:t>2-3</w:t>
      </w:r>
      <w:r w:rsidRPr="00657129">
        <w:t>周内出售。红色是一种较硬的奶酪，储存效果较好，可以在</w:t>
      </w:r>
      <w:r w:rsidRPr="00657129">
        <w:t>3-12</w:t>
      </w:r>
      <w:r w:rsidRPr="00657129">
        <w:t>个月后出售。</w:t>
      </w:r>
    </w:p>
    <w:p w14:paraId="2CAE3E74" w14:textId="77777777" w:rsidR="00D9654C" w:rsidRDefault="00142E62">
      <w:pPr>
        <w:pStyle w:val="Heading1"/>
        <w:jc w:val="both"/>
      </w:pPr>
      <w:r w:rsidRPr="00657129">
        <w:t>市场</w:t>
      </w:r>
    </w:p>
    <w:p w14:paraId="339EAFEC" w14:textId="77777777" w:rsidR="00D9654C" w:rsidRDefault="00142E62">
      <w:pPr>
        <w:jc w:val="both"/>
      </w:pPr>
      <w:r w:rsidRPr="00657129">
        <w:t>如前所述，</w:t>
      </w:r>
      <w:r w:rsidRPr="00657129">
        <w:t>BDL</w:t>
      </w:r>
      <w:r w:rsidRPr="00657129">
        <w:t>将其大部分产品出售给专业零售商。也有一个中间商市场，他们将产品卖给高端餐厅和类似的商店或用于出口，还有少量产品通过乳品店卖给个人客户。除个人客户外，产品通过快递发送，由客户支付运费。</w:t>
      </w:r>
    </w:p>
    <w:p w14:paraId="69CFCB05" w14:textId="77777777" w:rsidR="00D9654C" w:rsidRDefault="00142E62">
      <w:pPr>
        <w:jc w:val="both"/>
      </w:pPr>
      <w:r w:rsidRPr="00657129">
        <w:t>销售具有很强的季节性，蓝色和白色在圣诞节前的销售比例很大。红葡萄酒的销售显示出类似的趋势，但程度较轻。由于蓝奶酪和白奶酪必须在成熟度最高的时候出售，它们的生产是为了满足预期需求。红色是一种较硬的奶酪，储存性好，是在生产完所需的蓝色和白色后，用剩余的牛奶生产的。</w:t>
      </w:r>
    </w:p>
    <w:p w14:paraId="63AC7A4C" w14:textId="77777777" w:rsidR="000F25CE" w:rsidRDefault="000F25CE" w:rsidP="008D11AB">
      <w:pPr>
        <w:jc w:val="both"/>
      </w:pPr>
      <w:r>
        <w:br w:type="page"/>
      </w:r>
    </w:p>
    <w:p w14:paraId="6ADC9CA2" w14:textId="77777777" w:rsidR="00D9654C" w:rsidRDefault="00142E62">
      <w:pPr>
        <w:jc w:val="both"/>
      </w:pPr>
      <w:r w:rsidRPr="00657129">
        <w:lastRenderedPageBreak/>
        <w:t>目前的销售和销售价格的目标水平是：。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225"/>
        <w:gridCol w:w="3068"/>
      </w:tblGrid>
      <w:tr w:rsidR="00FD68F7" w:rsidRPr="00657129" w14:paraId="771D954E" w14:textId="77777777" w:rsidTr="00EB3F9D">
        <w:trPr>
          <w:jc w:val="center"/>
        </w:trPr>
        <w:tc>
          <w:tcPr>
            <w:tcW w:w="704" w:type="dxa"/>
            <w:shd w:val="clear" w:color="auto" w:fill="FFF2CC" w:themeFill="accent4" w:themeFillTint="33"/>
          </w:tcPr>
          <w:p w14:paraId="2C71E9B0" w14:textId="77777777" w:rsidR="00FD68F7" w:rsidRPr="00657129" w:rsidRDefault="00FD68F7" w:rsidP="008D11AB">
            <w:pPr>
              <w:jc w:val="both"/>
            </w:pPr>
          </w:p>
        </w:tc>
        <w:tc>
          <w:tcPr>
            <w:tcW w:w="2225" w:type="dxa"/>
            <w:shd w:val="clear" w:color="auto" w:fill="FFF2CC" w:themeFill="accent4" w:themeFillTint="33"/>
          </w:tcPr>
          <w:p w14:paraId="291EE213" w14:textId="77777777" w:rsidR="00D9654C" w:rsidRDefault="00142E62">
            <w:pPr>
              <w:jc w:val="both"/>
            </w:pPr>
            <w:r w:rsidRPr="00657129">
              <w:t>年销售</w:t>
            </w:r>
            <w:r w:rsidRPr="00657129">
              <w:t>量（吨）</w:t>
            </w:r>
          </w:p>
        </w:tc>
        <w:tc>
          <w:tcPr>
            <w:tcW w:w="3068" w:type="dxa"/>
            <w:shd w:val="clear" w:color="auto" w:fill="FFF2CC" w:themeFill="accent4" w:themeFillTint="33"/>
          </w:tcPr>
          <w:p w14:paraId="20D3C447" w14:textId="77777777" w:rsidR="00D9654C" w:rsidRDefault="00142E62">
            <w:pPr>
              <w:jc w:val="both"/>
            </w:pPr>
            <w:r w:rsidRPr="00657129">
              <w:t>平均销售价格（每公斤英镑）</w:t>
            </w:r>
          </w:p>
        </w:tc>
      </w:tr>
      <w:tr w:rsidR="00FD68F7" w:rsidRPr="00657129" w14:paraId="3DCC807A" w14:textId="77777777" w:rsidTr="00EB3F9D">
        <w:trPr>
          <w:jc w:val="center"/>
        </w:trPr>
        <w:tc>
          <w:tcPr>
            <w:tcW w:w="704" w:type="dxa"/>
            <w:shd w:val="clear" w:color="auto" w:fill="FBE4D5" w:themeFill="accent2" w:themeFillTint="33"/>
          </w:tcPr>
          <w:p w14:paraId="44F5D669" w14:textId="77777777" w:rsidR="00D9654C" w:rsidRDefault="00142E62">
            <w:pPr>
              <w:jc w:val="both"/>
            </w:pPr>
            <w:r w:rsidRPr="00657129">
              <w:t>蓝色</w:t>
            </w:r>
          </w:p>
        </w:tc>
        <w:tc>
          <w:tcPr>
            <w:tcW w:w="2225" w:type="dxa"/>
          </w:tcPr>
          <w:p w14:paraId="262F4466" w14:textId="77777777" w:rsidR="00D9654C" w:rsidRDefault="00142E62">
            <w:pPr>
              <w:jc w:val="both"/>
            </w:pPr>
            <w:r w:rsidRPr="00657129">
              <w:t>450</w:t>
            </w:r>
          </w:p>
        </w:tc>
        <w:tc>
          <w:tcPr>
            <w:tcW w:w="3068" w:type="dxa"/>
          </w:tcPr>
          <w:p w14:paraId="7E5FD71D" w14:textId="77777777" w:rsidR="00D9654C" w:rsidRDefault="00142E62">
            <w:pPr>
              <w:jc w:val="both"/>
            </w:pPr>
            <w:r w:rsidRPr="00657129">
              <w:t>10.50</w:t>
            </w:r>
          </w:p>
        </w:tc>
      </w:tr>
      <w:tr w:rsidR="00FD68F7" w:rsidRPr="00657129" w14:paraId="4F0B2BEE" w14:textId="77777777" w:rsidTr="00EB3F9D">
        <w:trPr>
          <w:jc w:val="center"/>
        </w:trPr>
        <w:tc>
          <w:tcPr>
            <w:tcW w:w="704" w:type="dxa"/>
            <w:shd w:val="clear" w:color="auto" w:fill="FBE4D5" w:themeFill="accent2" w:themeFillTint="33"/>
          </w:tcPr>
          <w:p w14:paraId="6969956B" w14:textId="77777777" w:rsidR="00D9654C" w:rsidRDefault="00142E62">
            <w:pPr>
              <w:jc w:val="both"/>
            </w:pPr>
            <w:r w:rsidRPr="00657129">
              <w:t>白</w:t>
            </w:r>
          </w:p>
        </w:tc>
        <w:tc>
          <w:tcPr>
            <w:tcW w:w="2225" w:type="dxa"/>
          </w:tcPr>
          <w:p w14:paraId="1296268E" w14:textId="77777777" w:rsidR="00D9654C" w:rsidRDefault="00142E62">
            <w:pPr>
              <w:jc w:val="both"/>
            </w:pPr>
            <w:r w:rsidRPr="00657129">
              <w:t>300</w:t>
            </w:r>
          </w:p>
        </w:tc>
        <w:tc>
          <w:tcPr>
            <w:tcW w:w="3068" w:type="dxa"/>
          </w:tcPr>
          <w:p w14:paraId="2551D2A8" w14:textId="77777777" w:rsidR="00D9654C" w:rsidRDefault="00142E62">
            <w:pPr>
              <w:jc w:val="both"/>
            </w:pPr>
            <w:r w:rsidRPr="00657129">
              <w:t>7.00</w:t>
            </w:r>
          </w:p>
        </w:tc>
      </w:tr>
      <w:tr w:rsidR="00FD68F7" w:rsidRPr="00657129" w14:paraId="65BC4CD7" w14:textId="77777777" w:rsidTr="00EB3F9D">
        <w:trPr>
          <w:jc w:val="center"/>
        </w:trPr>
        <w:tc>
          <w:tcPr>
            <w:tcW w:w="704" w:type="dxa"/>
            <w:shd w:val="clear" w:color="auto" w:fill="FBE4D5" w:themeFill="accent2" w:themeFillTint="33"/>
          </w:tcPr>
          <w:p w14:paraId="7AA12C70" w14:textId="77777777" w:rsidR="00D9654C" w:rsidRDefault="00142E62">
            <w:pPr>
              <w:jc w:val="both"/>
            </w:pPr>
            <w:r w:rsidRPr="00657129">
              <w:t>红色</w:t>
            </w:r>
          </w:p>
        </w:tc>
        <w:tc>
          <w:tcPr>
            <w:tcW w:w="2225" w:type="dxa"/>
          </w:tcPr>
          <w:p w14:paraId="1432C2DF" w14:textId="77777777" w:rsidR="00D9654C" w:rsidRDefault="00142E62">
            <w:pPr>
              <w:jc w:val="both"/>
            </w:pPr>
            <w:r w:rsidRPr="00657129">
              <w:t>450</w:t>
            </w:r>
          </w:p>
        </w:tc>
        <w:tc>
          <w:tcPr>
            <w:tcW w:w="3068" w:type="dxa"/>
          </w:tcPr>
          <w:p w14:paraId="7A6A93FD" w14:textId="77777777" w:rsidR="00D9654C" w:rsidRDefault="00142E62">
            <w:pPr>
              <w:jc w:val="both"/>
            </w:pPr>
            <w:r w:rsidRPr="00657129">
              <w:t>7.00</w:t>
            </w:r>
          </w:p>
        </w:tc>
      </w:tr>
    </w:tbl>
    <w:p w14:paraId="03DCBEBC" w14:textId="77777777" w:rsidR="00D9654C" w:rsidRDefault="00142E62">
      <w:pPr>
        <w:jc w:val="both"/>
      </w:pPr>
      <w:r>
        <w:t>BDL</w:t>
      </w:r>
      <w:r>
        <w:t>的</w:t>
      </w:r>
      <w:r w:rsidR="00FD68F7" w:rsidRPr="00657129">
        <w:t>销售部门认为，白色和红色的市场供应充足，不可能提高价格来盈利。然而，他们认为蓝色的市场对价格更敏感。他们的估计是，销售量对价格变化的反应如下。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410"/>
      </w:tblGrid>
      <w:tr w:rsidR="00FD68F7" w:rsidRPr="00657129" w14:paraId="6A9DDEBE" w14:textId="77777777" w:rsidTr="00FD68F7">
        <w:trPr>
          <w:jc w:val="center"/>
        </w:trPr>
        <w:tc>
          <w:tcPr>
            <w:tcW w:w="2547" w:type="dxa"/>
            <w:shd w:val="clear" w:color="auto" w:fill="FFF2CC" w:themeFill="accent4" w:themeFillTint="33"/>
          </w:tcPr>
          <w:p w14:paraId="468DD19E" w14:textId="77777777" w:rsidR="00D9654C" w:rsidRDefault="00142E62">
            <w:pPr>
              <w:jc w:val="both"/>
            </w:pPr>
            <w:r w:rsidRPr="00657129">
              <w:t>销售价格（每公斤英镑）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49AF7164" w14:textId="77777777" w:rsidR="00D9654C" w:rsidRDefault="00142E62">
            <w:pPr>
              <w:jc w:val="both"/>
            </w:pPr>
            <w:r w:rsidRPr="00657129">
              <w:t>年销售量（吨）</w:t>
            </w:r>
          </w:p>
        </w:tc>
      </w:tr>
      <w:tr w:rsidR="00FD68F7" w:rsidRPr="00657129" w14:paraId="4296C77A" w14:textId="77777777" w:rsidTr="00FD68F7">
        <w:trPr>
          <w:jc w:val="center"/>
        </w:trPr>
        <w:tc>
          <w:tcPr>
            <w:tcW w:w="2547" w:type="dxa"/>
          </w:tcPr>
          <w:p w14:paraId="457721EC" w14:textId="77777777" w:rsidR="00D9654C" w:rsidRDefault="00142E62">
            <w:pPr>
              <w:jc w:val="both"/>
            </w:pPr>
            <w:r w:rsidRPr="00657129">
              <w:t>12.00</w:t>
            </w:r>
          </w:p>
        </w:tc>
        <w:tc>
          <w:tcPr>
            <w:tcW w:w="2410" w:type="dxa"/>
          </w:tcPr>
          <w:p w14:paraId="065D4117" w14:textId="77777777" w:rsidR="00D9654C" w:rsidRDefault="00142E62">
            <w:pPr>
              <w:jc w:val="both"/>
            </w:pPr>
            <w:r w:rsidRPr="00657129">
              <w:t>350</w:t>
            </w:r>
          </w:p>
        </w:tc>
      </w:tr>
      <w:tr w:rsidR="00FD68F7" w:rsidRPr="00657129" w14:paraId="495FDE55" w14:textId="77777777" w:rsidTr="00FD68F7">
        <w:trPr>
          <w:jc w:val="center"/>
        </w:trPr>
        <w:tc>
          <w:tcPr>
            <w:tcW w:w="2547" w:type="dxa"/>
          </w:tcPr>
          <w:p w14:paraId="2D6F6F09" w14:textId="77777777" w:rsidR="00D9654C" w:rsidRDefault="00142E62">
            <w:pPr>
              <w:jc w:val="both"/>
            </w:pPr>
            <w:r w:rsidRPr="00657129">
              <w:t>10.50</w:t>
            </w:r>
          </w:p>
        </w:tc>
        <w:tc>
          <w:tcPr>
            <w:tcW w:w="2410" w:type="dxa"/>
          </w:tcPr>
          <w:p w14:paraId="27036C56" w14:textId="77777777" w:rsidR="00D9654C" w:rsidRDefault="00142E62">
            <w:pPr>
              <w:jc w:val="both"/>
            </w:pPr>
            <w:r w:rsidRPr="00657129">
              <w:t>450</w:t>
            </w:r>
          </w:p>
        </w:tc>
      </w:tr>
      <w:tr w:rsidR="00FD68F7" w:rsidRPr="00657129" w14:paraId="6E88A89F" w14:textId="77777777" w:rsidTr="00FD68F7">
        <w:trPr>
          <w:jc w:val="center"/>
        </w:trPr>
        <w:tc>
          <w:tcPr>
            <w:tcW w:w="2547" w:type="dxa"/>
          </w:tcPr>
          <w:p w14:paraId="7DE13A77" w14:textId="77777777" w:rsidR="00D9654C" w:rsidRDefault="00142E62">
            <w:pPr>
              <w:jc w:val="both"/>
            </w:pPr>
            <w:r w:rsidRPr="00657129">
              <w:t>9.00</w:t>
            </w:r>
          </w:p>
        </w:tc>
        <w:tc>
          <w:tcPr>
            <w:tcW w:w="2410" w:type="dxa"/>
          </w:tcPr>
          <w:p w14:paraId="448CF465" w14:textId="77777777" w:rsidR="00D9654C" w:rsidRDefault="00142E62">
            <w:pPr>
              <w:jc w:val="both"/>
            </w:pPr>
            <w:r w:rsidRPr="00657129">
              <w:t>650</w:t>
            </w:r>
          </w:p>
        </w:tc>
      </w:tr>
      <w:tr w:rsidR="00FD68F7" w:rsidRPr="00657129" w14:paraId="509233E5" w14:textId="77777777" w:rsidTr="00FD68F7">
        <w:trPr>
          <w:jc w:val="center"/>
        </w:trPr>
        <w:tc>
          <w:tcPr>
            <w:tcW w:w="2547" w:type="dxa"/>
          </w:tcPr>
          <w:p w14:paraId="0BB9C51D" w14:textId="77777777" w:rsidR="00D9654C" w:rsidRDefault="00142E62">
            <w:pPr>
              <w:jc w:val="both"/>
            </w:pPr>
            <w:r w:rsidRPr="00657129">
              <w:t>7.50</w:t>
            </w:r>
          </w:p>
        </w:tc>
        <w:tc>
          <w:tcPr>
            <w:tcW w:w="2410" w:type="dxa"/>
          </w:tcPr>
          <w:p w14:paraId="70CBABFE" w14:textId="77777777" w:rsidR="00D9654C" w:rsidRDefault="00142E62">
            <w:pPr>
              <w:jc w:val="both"/>
            </w:pPr>
            <w:r w:rsidRPr="00657129">
              <w:t>900</w:t>
            </w:r>
          </w:p>
        </w:tc>
      </w:tr>
    </w:tbl>
    <w:p w14:paraId="13DDC584" w14:textId="77777777" w:rsidR="00D9654C" w:rsidRDefault="00142E62">
      <w:pPr>
        <w:pStyle w:val="Heading1"/>
        <w:jc w:val="both"/>
      </w:pPr>
      <w:r w:rsidRPr="00657129">
        <w:t>原材料</w:t>
      </w:r>
    </w:p>
    <w:p w14:paraId="3DEF0CF4" w14:textId="77777777" w:rsidR="00D9654C" w:rsidRDefault="00142E62">
      <w:pPr>
        <w:spacing w:before="120"/>
        <w:jc w:val="both"/>
      </w:pPr>
      <w:r w:rsidRPr="00657129">
        <w:t>主要的原材料是鲜奶</w:t>
      </w:r>
      <w:r w:rsidR="000C626B" w:rsidRPr="00657129">
        <w:t>。目前，</w:t>
      </w:r>
      <w:r w:rsidRPr="00657129">
        <w:t>BDL</w:t>
      </w:r>
      <w:r w:rsidR="000C626B" w:rsidRPr="00657129">
        <w:t>使用</w:t>
      </w:r>
      <w:r w:rsidRPr="00657129">
        <w:t>自己的油罐车从当地的奶牛场合作社收集</w:t>
      </w:r>
      <w:r w:rsidR="000C626B" w:rsidRPr="00657129">
        <w:t>牛奶</w:t>
      </w:r>
      <w:r w:rsidRPr="00657129">
        <w:t>，该油罐车的容量为</w:t>
      </w:r>
      <w:r w:rsidRPr="00657129">
        <w:t>35,000</w:t>
      </w:r>
      <w:r w:rsidRPr="00657129">
        <w:t>升。</w:t>
      </w:r>
      <w:r w:rsidR="000C626B" w:rsidRPr="00657129">
        <w:t>BDL</w:t>
      </w:r>
      <w:r w:rsidRPr="00657129">
        <w:t>已经承诺在未来</w:t>
      </w:r>
      <w:r w:rsidRPr="00657129">
        <w:t>5</w:t>
      </w:r>
      <w:r w:rsidRPr="00657129">
        <w:t>年内从这些农场购买全部产量。平均每年</w:t>
      </w:r>
      <w:r w:rsidRPr="00657129">
        <w:t>1200</w:t>
      </w:r>
      <w:r w:rsidRPr="00657129">
        <w:t>万升，</w:t>
      </w:r>
      <w:r w:rsidR="000C626B" w:rsidRPr="00657129">
        <w:t>BDL</w:t>
      </w:r>
      <w:r w:rsidRPr="00657129">
        <w:t>为此支付每升</w:t>
      </w:r>
      <w:r w:rsidRPr="00657129">
        <w:t>26</w:t>
      </w:r>
      <w:r w:rsidRPr="00657129">
        <w:t>便士。</w:t>
      </w:r>
    </w:p>
    <w:p w14:paraId="16D0C8BB" w14:textId="77777777" w:rsidR="00D9654C" w:rsidRDefault="00142E62">
      <w:pPr>
        <w:jc w:val="both"/>
      </w:pPr>
      <w:r w:rsidRPr="00657129">
        <w:t>BDL</w:t>
      </w:r>
      <w:r w:rsidRPr="00657129">
        <w:t>的</w:t>
      </w:r>
      <w:r w:rsidR="000C626B" w:rsidRPr="00657129">
        <w:t>商务总监认为，每年</w:t>
      </w:r>
      <w:r w:rsidRPr="00657129">
        <w:t>应该可以从更远的农场</w:t>
      </w:r>
      <w:r w:rsidR="000C626B" w:rsidRPr="00657129">
        <w:t>额外</w:t>
      </w:r>
      <w:r w:rsidRPr="00657129">
        <w:t>购买</w:t>
      </w:r>
      <w:r w:rsidR="000C626B" w:rsidRPr="00657129">
        <w:t>300万升</w:t>
      </w:r>
      <w:r w:rsidRPr="00657129">
        <w:t>。然而，由于</w:t>
      </w:r>
      <w:r w:rsidRPr="00657129">
        <w:t>BDL</w:t>
      </w:r>
      <w:r w:rsidRPr="00657129">
        <w:t>的油罐车目前已被</w:t>
      </w:r>
      <w:r w:rsidR="00657129" w:rsidRPr="00657129">
        <w:t>充分利用</w:t>
      </w:r>
      <w:r w:rsidRPr="00657129">
        <w:t>，额外的牛奶</w:t>
      </w:r>
      <w:r w:rsidR="00657129" w:rsidRPr="00657129">
        <w:t>必须</w:t>
      </w:r>
      <w:r w:rsidRPr="00657129">
        <w:t>运送到</w:t>
      </w:r>
      <w:r w:rsidRPr="00657129">
        <w:t>BDL</w:t>
      </w:r>
      <w:r w:rsidRPr="00657129">
        <w:t>的乳品厂，</w:t>
      </w:r>
      <w:r w:rsidR="00FD68F7" w:rsidRPr="00657129">
        <w:t>每公升的</w:t>
      </w:r>
      <w:r w:rsidRPr="00657129">
        <w:t>运输成本约为</w:t>
      </w:r>
      <w:r w:rsidR="00FD68F7" w:rsidRPr="00657129">
        <w:t xml:space="preserve">4便士。 </w:t>
      </w:r>
    </w:p>
    <w:p w14:paraId="62B16A79" w14:textId="77777777" w:rsidR="00D9654C" w:rsidRDefault="00142E62">
      <w:pPr>
        <w:jc w:val="both"/>
      </w:pPr>
      <w:r w:rsidRPr="00657129">
        <w:t>牛奶作为一种天然产品，在质量上是可变的。就制作奶酪而言，关键的质量问题是黄油脂肪含量，因为这构成了制作奶酪的大部分凝乳。其牛奶供应的平均黄油脂肪含量为</w:t>
      </w:r>
      <w:r w:rsidRPr="00657129">
        <w:t>4%</w:t>
      </w:r>
      <w:r w:rsidR="00924B34">
        <w:t>，</w:t>
      </w:r>
      <w:r w:rsidRPr="00657129">
        <w:t>但根据天气和其他条件，可能在</w:t>
      </w:r>
      <w:r w:rsidR="009800C5" w:rsidRPr="00657129">
        <w:t>3%</w:t>
      </w:r>
      <w:r w:rsidRPr="00657129">
        <w:t>至</w:t>
      </w:r>
      <w:r w:rsidRPr="00657129">
        <w:t>5%</w:t>
      </w:r>
      <w:r w:rsidRPr="00657129">
        <w:t>之间。</w:t>
      </w:r>
    </w:p>
    <w:p w14:paraId="4B4E9B2B" w14:textId="77777777" w:rsidR="00D9654C" w:rsidRDefault="00657129">
      <w:pPr>
        <w:jc w:val="both"/>
      </w:pPr>
      <w:r w:rsidRPr="00657129">
        <w:t>除牛奶</w:t>
      </w:r>
      <w:r w:rsidR="00142E62" w:rsidRPr="00657129">
        <w:t>外，</w:t>
      </w:r>
      <w:r w:rsidR="00142E62" w:rsidRPr="00657129">
        <w:t>BDL</w:t>
      </w:r>
      <w:r w:rsidR="00924B34">
        <w:t>还</w:t>
      </w:r>
      <w:r w:rsidR="00142E62" w:rsidRPr="00657129">
        <w:t>购买了少量的腐植酸青霉菌、凝乳剂和其他材料</w:t>
      </w:r>
      <w:r w:rsidR="00142E62" w:rsidRPr="00657129">
        <w:rPr>
          <w:b/>
          <w:bCs/>
        </w:rPr>
        <w:t>。</w:t>
      </w:r>
    </w:p>
    <w:p w14:paraId="21A39A16" w14:textId="77777777" w:rsidR="00D9654C" w:rsidRDefault="00142E62">
      <w:pPr>
        <w:pStyle w:val="Heading1"/>
        <w:jc w:val="both"/>
      </w:pPr>
      <w:r w:rsidRPr="00657129">
        <w:t>业务</w:t>
      </w:r>
    </w:p>
    <w:p w14:paraId="1C5B1330" w14:textId="77777777" w:rsidR="00D9654C" w:rsidRDefault="00142E62">
      <w:pPr>
        <w:jc w:val="both"/>
      </w:pPr>
      <w:r w:rsidRPr="00657129">
        <w:t>BDL</w:t>
      </w:r>
      <w:r w:rsidRPr="00657129">
        <w:t>的奶站位于上巴塞特和下巴塞特（简称上、下）。每个乳品厂每周工作</w:t>
      </w:r>
      <w:r w:rsidRPr="00657129">
        <w:t>7</w:t>
      </w:r>
      <w:r w:rsidRPr="00657129">
        <w:t>天，一年</w:t>
      </w:r>
      <w:r w:rsidRPr="00657129">
        <w:t>52</w:t>
      </w:r>
      <w:r w:rsidRPr="00657129">
        <w:t>周，因为没有什么能力来储存原奶。上层只生产蓝色和白色，因为它没有生产红色的混合桶。相反，下层则生产所有三种</w:t>
      </w:r>
      <w:r w:rsidR="00924B34">
        <w:t>类型的</w:t>
      </w:r>
      <w:r w:rsidRPr="00657129">
        <w:t>奶酪。</w:t>
      </w:r>
    </w:p>
    <w:p w14:paraId="6CFBE011" w14:textId="77777777" w:rsidR="00D9654C" w:rsidRDefault="00142E62">
      <w:pPr>
        <w:jc w:val="both"/>
      </w:pPr>
      <w:r w:rsidRPr="00657129">
        <w:t>每个乳品厂生产的奶酪类型的划分主要由乳</w:t>
      </w:r>
      <w:r w:rsidRPr="00657129">
        <w:t>品厂的配置决定。每天都有一些变化</w:t>
      </w:r>
      <w:r w:rsidR="00EB3F9D" w:rsidRPr="00657129">
        <w:t>，</w:t>
      </w:r>
      <w:r w:rsidRPr="00657129">
        <w:t>但为了计划的目的，</w:t>
      </w:r>
      <w:r w:rsidR="00924B34">
        <w:t>我们可以</w:t>
      </w:r>
      <w:r w:rsidRPr="00657129">
        <w:t>假设分成。</w:t>
      </w:r>
      <w:r w:rsidRPr="00657129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5"/>
        <w:gridCol w:w="1985"/>
        <w:gridCol w:w="1985"/>
        <w:gridCol w:w="1985"/>
      </w:tblGrid>
      <w:tr w:rsidR="00EB3F9D" w:rsidRPr="00657129" w14:paraId="460432AC" w14:textId="77777777" w:rsidTr="00EB3F9D">
        <w:trPr>
          <w:jc w:val="center"/>
        </w:trPr>
        <w:tc>
          <w:tcPr>
            <w:tcW w:w="775" w:type="dxa"/>
            <w:shd w:val="clear" w:color="auto" w:fill="FFF2CC" w:themeFill="accent4" w:themeFillTint="33"/>
          </w:tcPr>
          <w:p w14:paraId="15CFDEE5" w14:textId="77777777" w:rsidR="00EB3F9D" w:rsidRPr="00657129" w:rsidRDefault="00EB3F9D" w:rsidP="008D11AB">
            <w:pPr>
              <w:jc w:val="both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62A6AE43" w14:textId="77777777" w:rsidR="00D9654C" w:rsidRDefault="00142E62">
            <w:pPr>
              <w:jc w:val="both"/>
            </w:pPr>
            <w:r w:rsidRPr="00657129">
              <w:t>蓝色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F782D96" w14:textId="77777777" w:rsidR="00D9654C" w:rsidRDefault="00142E62">
            <w:pPr>
              <w:jc w:val="both"/>
            </w:pPr>
            <w:r w:rsidRPr="00657129">
              <w:t>白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079A6E3" w14:textId="77777777" w:rsidR="00D9654C" w:rsidRDefault="00142E62">
            <w:pPr>
              <w:jc w:val="both"/>
            </w:pPr>
            <w:r w:rsidRPr="00657129">
              <w:t>红色</w:t>
            </w:r>
          </w:p>
        </w:tc>
      </w:tr>
      <w:tr w:rsidR="00EB3F9D" w:rsidRPr="00657129" w14:paraId="34BA7844" w14:textId="77777777" w:rsidTr="00EB3F9D">
        <w:trPr>
          <w:jc w:val="center"/>
        </w:trPr>
        <w:tc>
          <w:tcPr>
            <w:tcW w:w="775" w:type="dxa"/>
            <w:shd w:val="clear" w:color="auto" w:fill="FBE4D5" w:themeFill="accent2" w:themeFillTint="33"/>
          </w:tcPr>
          <w:p w14:paraId="2A18D304" w14:textId="77777777" w:rsidR="00D9654C" w:rsidRDefault="00142E62">
            <w:pPr>
              <w:jc w:val="both"/>
            </w:pPr>
            <w:r w:rsidRPr="00657129">
              <w:t>上层</w:t>
            </w:r>
          </w:p>
        </w:tc>
        <w:tc>
          <w:tcPr>
            <w:tcW w:w="1985" w:type="dxa"/>
          </w:tcPr>
          <w:p w14:paraId="156414D3" w14:textId="77777777" w:rsidR="00D9654C" w:rsidRDefault="00142E62">
            <w:pPr>
              <w:jc w:val="both"/>
            </w:pPr>
            <w:r w:rsidRPr="00657129">
              <w:t>55%</w:t>
            </w:r>
          </w:p>
        </w:tc>
        <w:tc>
          <w:tcPr>
            <w:tcW w:w="1985" w:type="dxa"/>
          </w:tcPr>
          <w:p w14:paraId="3B7FAA5C" w14:textId="77777777" w:rsidR="00D9654C" w:rsidRDefault="00142E62">
            <w:pPr>
              <w:jc w:val="both"/>
            </w:pPr>
            <w:r w:rsidRPr="00657129">
              <w:t>45%</w:t>
            </w:r>
          </w:p>
        </w:tc>
        <w:tc>
          <w:tcPr>
            <w:tcW w:w="1985" w:type="dxa"/>
          </w:tcPr>
          <w:p w14:paraId="2BB75EBE" w14:textId="77777777" w:rsidR="00D9654C" w:rsidRDefault="00142E62">
            <w:pPr>
              <w:jc w:val="both"/>
            </w:pPr>
            <w:r w:rsidRPr="00657129">
              <w:t>-</w:t>
            </w:r>
          </w:p>
        </w:tc>
      </w:tr>
      <w:tr w:rsidR="00EB3F9D" w:rsidRPr="00657129" w14:paraId="0D0D5831" w14:textId="77777777" w:rsidTr="00EB3F9D">
        <w:trPr>
          <w:jc w:val="center"/>
        </w:trPr>
        <w:tc>
          <w:tcPr>
            <w:tcW w:w="775" w:type="dxa"/>
            <w:shd w:val="clear" w:color="auto" w:fill="FBE4D5" w:themeFill="accent2" w:themeFillTint="33"/>
          </w:tcPr>
          <w:p w14:paraId="70A488FD" w14:textId="77777777" w:rsidR="00D9654C" w:rsidRDefault="00142E62">
            <w:pPr>
              <w:jc w:val="both"/>
            </w:pPr>
            <w:r w:rsidRPr="00657129">
              <w:t>较低</w:t>
            </w:r>
          </w:p>
        </w:tc>
        <w:tc>
          <w:tcPr>
            <w:tcW w:w="1985" w:type="dxa"/>
          </w:tcPr>
          <w:p w14:paraId="73284C44" w14:textId="77777777" w:rsidR="00D9654C" w:rsidRDefault="00142E62">
            <w:pPr>
              <w:jc w:val="both"/>
            </w:pPr>
            <w:r w:rsidRPr="00657129">
              <w:t>25%</w:t>
            </w:r>
          </w:p>
        </w:tc>
        <w:tc>
          <w:tcPr>
            <w:tcW w:w="1985" w:type="dxa"/>
          </w:tcPr>
          <w:p w14:paraId="6C02BE5E" w14:textId="77777777" w:rsidR="00D9654C" w:rsidRDefault="00142E62">
            <w:pPr>
              <w:jc w:val="both"/>
            </w:pPr>
            <w:r w:rsidRPr="00657129">
              <w:t>15%</w:t>
            </w:r>
          </w:p>
        </w:tc>
        <w:tc>
          <w:tcPr>
            <w:tcW w:w="1985" w:type="dxa"/>
          </w:tcPr>
          <w:p w14:paraId="404E0B1E" w14:textId="77777777" w:rsidR="00D9654C" w:rsidRDefault="00142E62">
            <w:pPr>
              <w:jc w:val="both"/>
            </w:pPr>
            <w:r w:rsidRPr="00657129">
              <w:t>60%</w:t>
            </w:r>
          </w:p>
        </w:tc>
      </w:tr>
    </w:tbl>
    <w:p w14:paraId="53FCFE8E" w14:textId="77777777" w:rsidR="00D9654C" w:rsidRDefault="00142E62">
      <w:pPr>
        <w:spacing w:before="120"/>
        <w:jc w:val="both"/>
        <w:rPr>
          <w:b/>
          <w:bCs/>
        </w:rPr>
      </w:pPr>
      <w:r w:rsidRPr="00657129">
        <w:t>最后，上层可能每年处理</w:t>
      </w:r>
      <w:r w:rsidRPr="00657129">
        <w:t>600</w:t>
      </w:r>
      <w:r w:rsidRPr="00657129">
        <w:t>万升，而下层可能每年处理</w:t>
      </w:r>
      <w:r w:rsidRPr="00657129">
        <w:t>900</w:t>
      </w:r>
      <w:r w:rsidRPr="00657129">
        <w:t>万升。目前，这两个工厂都以大约</w:t>
      </w:r>
      <w:r w:rsidRPr="00657129">
        <w:t>80%</w:t>
      </w:r>
      <w:r w:rsidRPr="00657129">
        <w:t>的产能运行。</w:t>
      </w:r>
    </w:p>
    <w:p w14:paraId="2BBE749D" w14:textId="77777777" w:rsidR="00D9654C" w:rsidRDefault="00142E62">
      <w:pPr>
        <w:pStyle w:val="Heading1"/>
        <w:jc w:val="both"/>
      </w:pPr>
      <w:r w:rsidRPr="00657129">
        <w:lastRenderedPageBreak/>
        <w:t>金融</w:t>
      </w:r>
    </w:p>
    <w:p w14:paraId="448C7B82" w14:textId="77777777" w:rsidR="00D9654C" w:rsidRDefault="00142E62">
      <w:pPr>
        <w:spacing w:before="120"/>
        <w:jc w:val="both"/>
      </w:pPr>
      <w:r w:rsidRPr="00657129">
        <w:t>为了会计和定价的目的，</w:t>
      </w:r>
      <w:r w:rsidR="00EB3F9D" w:rsidRPr="00657129">
        <w:t xml:space="preserve">BDL的财务部将每个工厂的成本分割如下。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5"/>
        <w:gridCol w:w="1985"/>
        <w:gridCol w:w="1985"/>
        <w:gridCol w:w="1985"/>
      </w:tblGrid>
      <w:tr w:rsidR="00EB3F9D" w:rsidRPr="00657129" w14:paraId="5B58CD13" w14:textId="77777777" w:rsidTr="00217625">
        <w:trPr>
          <w:jc w:val="center"/>
        </w:trPr>
        <w:tc>
          <w:tcPr>
            <w:tcW w:w="775" w:type="dxa"/>
            <w:shd w:val="clear" w:color="auto" w:fill="FFF2CC" w:themeFill="accent4" w:themeFillTint="33"/>
          </w:tcPr>
          <w:p w14:paraId="5C6B0736" w14:textId="77777777" w:rsidR="00EB3F9D" w:rsidRPr="00657129" w:rsidRDefault="00EB3F9D" w:rsidP="008D11AB">
            <w:pPr>
              <w:jc w:val="both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11008C6B" w14:textId="77777777" w:rsidR="00D9654C" w:rsidRDefault="00142E62">
            <w:pPr>
              <w:jc w:val="both"/>
            </w:pPr>
            <w:r w:rsidRPr="00657129">
              <w:t>蓝色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5D17AAA1" w14:textId="77777777" w:rsidR="00D9654C" w:rsidRDefault="00142E62">
            <w:pPr>
              <w:jc w:val="both"/>
            </w:pPr>
            <w:r w:rsidRPr="00657129">
              <w:t>白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FF9C072" w14:textId="77777777" w:rsidR="00D9654C" w:rsidRDefault="00142E62">
            <w:pPr>
              <w:jc w:val="both"/>
            </w:pPr>
            <w:r w:rsidRPr="00657129">
              <w:t>红色</w:t>
            </w:r>
          </w:p>
        </w:tc>
      </w:tr>
      <w:tr w:rsidR="00EB3F9D" w:rsidRPr="00657129" w14:paraId="43F7AC42" w14:textId="77777777" w:rsidTr="00217625">
        <w:trPr>
          <w:jc w:val="center"/>
        </w:trPr>
        <w:tc>
          <w:tcPr>
            <w:tcW w:w="775" w:type="dxa"/>
            <w:shd w:val="clear" w:color="auto" w:fill="FBE4D5" w:themeFill="accent2" w:themeFillTint="33"/>
          </w:tcPr>
          <w:p w14:paraId="78C02EE3" w14:textId="77777777" w:rsidR="00D9654C" w:rsidRDefault="00142E62">
            <w:pPr>
              <w:jc w:val="both"/>
            </w:pPr>
            <w:r w:rsidRPr="00657129">
              <w:t>上层</w:t>
            </w:r>
          </w:p>
        </w:tc>
        <w:tc>
          <w:tcPr>
            <w:tcW w:w="1985" w:type="dxa"/>
          </w:tcPr>
          <w:p w14:paraId="7FD3A443" w14:textId="77777777" w:rsidR="00D9654C" w:rsidRDefault="00142E62">
            <w:pPr>
              <w:jc w:val="both"/>
            </w:pPr>
            <w:r w:rsidRPr="00657129">
              <w:t>60%</w:t>
            </w:r>
          </w:p>
        </w:tc>
        <w:tc>
          <w:tcPr>
            <w:tcW w:w="1985" w:type="dxa"/>
          </w:tcPr>
          <w:p w14:paraId="75518A75" w14:textId="77777777" w:rsidR="00D9654C" w:rsidRDefault="00142E62">
            <w:pPr>
              <w:jc w:val="both"/>
            </w:pPr>
            <w:r w:rsidRPr="00657129">
              <w:t>40%</w:t>
            </w:r>
          </w:p>
        </w:tc>
        <w:tc>
          <w:tcPr>
            <w:tcW w:w="1985" w:type="dxa"/>
          </w:tcPr>
          <w:p w14:paraId="5439AEE7" w14:textId="77777777" w:rsidR="00D9654C" w:rsidRDefault="00142E62">
            <w:pPr>
              <w:jc w:val="both"/>
            </w:pPr>
            <w:r w:rsidRPr="00657129">
              <w:t>-</w:t>
            </w:r>
          </w:p>
        </w:tc>
      </w:tr>
      <w:tr w:rsidR="00EB3F9D" w:rsidRPr="00657129" w14:paraId="61210F7A" w14:textId="77777777" w:rsidTr="00217625">
        <w:trPr>
          <w:jc w:val="center"/>
        </w:trPr>
        <w:tc>
          <w:tcPr>
            <w:tcW w:w="775" w:type="dxa"/>
            <w:shd w:val="clear" w:color="auto" w:fill="FBE4D5" w:themeFill="accent2" w:themeFillTint="33"/>
          </w:tcPr>
          <w:p w14:paraId="0F983FBD" w14:textId="77777777" w:rsidR="00D9654C" w:rsidRDefault="00142E62">
            <w:pPr>
              <w:jc w:val="both"/>
            </w:pPr>
            <w:r w:rsidRPr="00657129">
              <w:t>较低</w:t>
            </w:r>
          </w:p>
        </w:tc>
        <w:tc>
          <w:tcPr>
            <w:tcW w:w="1985" w:type="dxa"/>
          </w:tcPr>
          <w:p w14:paraId="5ED1EE61" w14:textId="77777777" w:rsidR="00D9654C" w:rsidRDefault="00142E62">
            <w:pPr>
              <w:jc w:val="both"/>
            </w:pPr>
            <w:r w:rsidRPr="00657129">
              <w:t>30%</w:t>
            </w:r>
          </w:p>
        </w:tc>
        <w:tc>
          <w:tcPr>
            <w:tcW w:w="1985" w:type="dxa"/>
          </w:tcPr>
          <w:p w14:paraId="36B2EC56" w14:textId="77777777" w:rsidR="00D9654C" w:rsidRDefault="00142E62">
            <w:pPr>
              <w:jc w:val="both"/>
            </w:pPr>
            <w:r w:rsidRPr="00657129">
              <w:t>25%</w:t>
            </w:r>
          </w:p>
        </w:tc>
        <w:tc>
          <w:tcPr>
            <w:tcW w:w="1985" w:type="dxa"/>
          </w:tcPr>
          <w:p w14:paraId="092164B4" w14:textId="77777777" w:rsidR="00D9654C" w:rsidRDefault="00142E62">
            <w:pPr>
              <w:jc w:val="both"/>
            </w:pPr>
            <w:r w:rsidRPr="00657129">
              <w:t>45%</w:t>
            </w:r>
          </w:p>
        </w:tc>
      </w:tr>
    </w:tbl>
    <w:p w14:paraId="4C5B9D1A" w14:textId="77777777" w:rsidR="00D9654C" w:rsidRDefault="00142E62">
      <w:pPr>
        <w:spacing w:before="120"/>
        <w:jc w:val="both"/>
      </w:pPr>
      <w:r w:rsidRPr="00657129">
        <w:t>然而，这些数字的基础并不清楚，首席执行官希望</w:t>
      </w:r>
      <w:r>
        <w:t>评估</w:t>
      </w:r>
      <w:r w:rsidRPr="00657129">
        <w:t>这是否是一个用于定价的现实分配。为此，她收集了更多关于每周吞吐量、牛奶质量、成本等方面的细节。这些信息在所附的电子表格中进行了总结。</w:t>
      </w:r>
    </w:p>
    <w:p w14:paraId="71A6C9DB" w14:textId="77777777" w:rsidR="00D9654C" w:rsidRDefault="00142E62">
      <w:pPr>
        <w:pStyle w:val="Heading1"/>
        <w:jc w:val="both"/>
      </w:pPr>
      <w:r w:rsidRPr="00657129">
        <w:t>任务</w:t>
      </w:r>
    </w:p>
    <w:p w14:paraId="269AC77A" w14:textId="77777777" w:rsidR="00D9654C" w:rsidRDefault="00142E62">
      <w:pPr>
        <w:spacing w:before="120"/>
        <w:jc w:val="both"/>
      </w:pPr>
      <w:r>
        <w:t>莱斯特大学已经任命你们为顾问，并邀请你们</w:t>
      </w:r>
      <w:r w:rsidRPr="00657129">
        <w:t>根据上述信息和</w:t>
      </w:r>
      <w:r>
        <w:t>所附的电子表格来</w:t>
      </w:r>
      <w:r w:rsidRPr="00657129">
        <w:t>分析</w:t>
      </w:r>
      <w:r w:rsidRPr="00657129">
        <w:t>BDL</w:t>
      </w:r>
      <w:r w:rsidRPr="00657129">
        <w:t>的运作。首席执行官</w:t>
      </w:r>
      <w:r>
        <w:t>要求</w:t>
      </w:r>
      <w:r w:rsidR="00BA1586">
        <w:t>在</w:t>
      </w:r>
      <w:r w:rsidR="001D56A1">
        <w:t>10</w:t>
      </w:r>
      <w:r w:rsidR="00BA1586">
        <w:t>分钟的报告中了解</w:t>
      </w:r>
      <w:r>
        <w:t>分析的结果和改革的建议</w:t>
      </w:r>
      <w:r w:rsidR="00BA1586">
        <w:t>。她还要求为BDL的技术人员提供一份5页的报告，以及一份记录顾问工作的日记。</w:t>
      </w:r>
    </w:p>
    <w:p w14:paraId="1AE362F9" w14:textId="77777777" w:rsidR="00D9654C" w:rsidRDefault="00142E62">
      <w:pPr>
        <w:spacing w:before="120"/>
        <w:jc w:val="both"/>
      </w:pPr>
      <w:r>
        <w:t>由于</w:t>
      </w:r>
      <w:r>
        <w:t>BDL</w:t>
      </w:r>
      <w:r>
        <w:t>是一个非常重要的工业合作伙伴，莱斯特大学</w:t>
      </w:r>
      <w:r w:rsidR="006825CB">
        <w:t>敦促</w:t>
      </w:r>
      <w:r>
        <w:t>你</w:t>
      </w:r>
      <w:r w:rsidR="006825CB">
        <w:t>为</w:t>
      </w:r>
      <w:r>
        <w:t>分析提供充分和令人信服的理由</w:t>
      </w:r>
      <w:r w:rsidR="006825CB">
        <w:t>，你的变革建议，以及由此给BDL带来的好处。</w:t>
      </w:r>
    </w:p>
    <w:sectPr w:rsidR="00D96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7D1"/>
    <w:multiLevelType w:val="multilevel"/>
    <w:tmpl w:val="2078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53DB8"/>
    <w:multiLevelType w:val="hybridMultilevel"/>
    <w:tmpl w:val="E390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171950">
    <w:abstractNumId w:val="0"/>
  </w:num>
  <w:num w:numId="2" w16cid:durableId="126465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C6"/>
    <w:rsid w:val="00085E35"/>
    <w:rsid w:val="000C626B"/>
    <w:rsid w:val="000F25CE"/>
    <w:rsid w:val="00131699"/>
    <w:rsid w:val="00142E62"/>
    <w:rsid w:val="001B23A6"/>
    <w:rsid w:val="001D0B91"/>
    <w:rsid w:val="001D56A1"/>
    <w:rsid w:val="001F48E8"/>
    <w:rsid w:val="0031791A"/>
    <w:rsid w:val="003332B9"/>
    <w:rsid w:val="003A1A0F"/>
    <w:rsid w:val="003B0DDF"/>
    <w:rsid w:val="004066E9"/>
    <w:rsid w:val="00423D4F"/>
    <w:rsid w:val="00463269"/>
    <w:rsid w:val="004B3457"/>
    <w:rsid w:val="004D6344"/>
    <w:rsid w:val="004F22D4"/>
    <w:rsid w:val="004F7618"/>
    <w:rsid w:val="00567C27"/>
    <w:rsid w:val="00595F4C"/>
    <w:rsid w:val="005B1CAC"/>
    <w:rsid w:val="005E5CE6"/>
    <w:rsid w:val="005F3BB9"/>
    <w:rsid w:val="00646BA2"/>
    <w:rsid w:val="006472BE"/>
    <w:rsid w:val="006563FB"/>
    <w:rsid w:val="00657129"/>
    <w:rsid w:val="006772FB"/>
    <w:rsid w:val="006825CB"/>
    <w:rsid w:val="006911B2"/>
    <w:rsid w:val="006C1AA9"/>
    <w:rsid w:val="006C798C"/>
    <w:rsid w:val="006E646F"/>
    <w:rsid w:val="006F72BC"/>
    <w:rsid w:val="007002CA"/>
    <w:rsid w:val="007734BD"/>
    <w:rsid w:val="007B02D4"/>
    <w:rsid w:val="007D7AFA"/>
    <w:rsid w:val="0086037F"/>
    <w:rsid w:val="00862D6F"/>
    <w:rsid w:val="008C1608"/>
    <w:rsid w:val="008D11AB"/>
    <w:rsid w:val="00924B34"/>
    <w:rsid w:val="0092632E"/>
    <w:rsid w:val="009800C5"/>
    <w:rsid w:val="009940CC"/>
    <w:rsid w:val="0099708F"/>
    <w:rsid w:val="00A95FC9"/>
    <w:rsid w:val="00AC5525"/>
    <w:rsid w:val="00B03A2A"/>
    <w:rsid w:val="00B14C70"/>
    <w:rsid w:val="00B739EB"/>
    <w:rsid w:val="00BA1586"/>
    <w:rsid w:val="00BE5AA4"/>
    <w:rsid w:val="00C13586"/>
    <w:rsid w:val="00C9534C"/>
    <w:rsid w:val="00CC10B4"/>
    <w:rsid w:val="00D250F4"/>
    <w:rsid w:val="00D538C6"/>
    <w:rsid w:val="00D87033"/>
    <w:rsid w:val="00D9654C"/>
    <w:rsid w:val="00E80449"/>
    <w:rsid w:val="00E87128"/>
    <w:rsid w:val="00EB3F9D"/>
    <w:rsid w:val="00F613BE"/>
    <w:rsid w:val="00FD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D50518D"/>
  <w15:chartTrackingRefBased/>
  <w15:docId w15:val="{BFE4D6E0-38CB-D548-A0AD-DA243673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0C5"/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5CE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179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B3457"/>
    <w:pPr>
      <w:ind w:left="720"/>
      <w:contextualSpacing/>
    </w:pPr>
  </w:style>
  <w:style w:type="paragraph" w:styleId="NoSpacing">
    <w:name w:val="No Spacing"/>
    <w:uiPriority w:val="1"/>
    <w:qFormat/>
    <w:rsid w:val="004B3457"/>
  </w:style>
  <w:style w:type="paragraph" w:styleId="Title">
    <w:name w:val="Title"/>
    <w:basedOn w:val="Normal"/>
    <w:next w:val="Normal"/>
    <w:link w:val="TitleChar"/>
    <w:uiPriority w:val="10"/>
    <w:qFormat/>
    <w:rsid w:val="009800C5"/>
    <w:pPr>
      <w:spacing w:after="0"/>
      <w:contextualSpacing/>
    </w:pPr>
    <w:rPr>
      <w:rFonts w:eastAsiaTheme="majorEastAsia" w:cstheme="majorBidi"/>
      <w:b/>
      <w:bCs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800C5"/>
    <w:rPr>
      <w:rFonts w:eastAsiaTheme="majorEastAsia" w:cstheme="majorBidi"/>
      <w:b/>
      <w:bCs/>
      <w:spacing w:val="-10"/>
      <w:kern w:val="28"/>
      <w:sz w:val="36"/>
      <w:szCs w:val="3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F25CE"/>
    <w:rPr>
      <w:b/>
      <w:bCs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7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2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0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4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8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epl.com/pro?cta=edit-docu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Paganini, Alberto D.M. (Dr.)</dc:creator>
  <cp:keywords>, docId:E604827819896A74FFC672301922EACF</cp:keywords>
  <dc:description/>
  <cp:lastModifiedBy>Li, Junbiao</cp:lastModifiedBy>
  <cp:revision>2</cp:revision>
  <dcterms:created xsi:type="dcterms:W3CDTF">2022-05-10T10:33:00Z</dcterms:created>
  <dcterms:modified xsi:type="dcterms:W3CDTF">2022-05-10T10:33:00Z</dcterms:modified>
</cp:coreProperties>
</file>