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3680"/>
      </w:tblGrid>
      <w:tr w:rsidR="00D538C6" w:rsidRPr="00D538C6" w14:paraId="35FC6E00" w14:textId="77777777" w:rsidTr="0053332C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F22E148" w14:textId="0796AA5B" w:rsidR="00D538C6" w:rsidRPr="00D538C6" w:rsidRDefault="00D538C6">
            <w:pPr>
              <w:rPr>
                <w:lang w:val="en-GB"/>
              </w:rPr>
            </w:pPr>
            <w:r w:rsidRPr="00D538C6">
              <w:rPr>
                <w:noProof/>
                <w:lang w:val="en-GB" w:eastAsia="en-GB"/>
              </w:rPr>
              <w:drawing>
                <wp:inline distT="0" distB="0" distL="0" distR="0" wp14:anchorId="3A121AB5" wp14:editId="63976DB0">
                  <wp:extent cx="1663700" cy="562806"/>
                  <wp:effectExtent l="0" t="0" r="0" b="0"/>
                  <wp:docPr id="1" name="Picture 1" descr="University of Leicest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mg6\AppData\Local\Microsoft\Windows\INetCache\Content.Word\logo no bar 1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093" cy="57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A603002" w14:textId="77777777" w:rsidR="0053332C" w:rsidRDefault="00D538C6" w:rsidP="005C4CC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D538C6">
              <w:rPr>
                <w:b/>
                <w:bCs/>
                <w:sz w:val="28"/>
                <w:szCs w:val="28"/>
                <w:lang w:val="en-GB"/>
              </w:rPr>
              <w:t xml:space="preserve">MA1254 – </w:t>
            </w:r>
            <w:r w:rsidR="0053332C">
              <w:rPr>
                <w:b/>
                <w:bCs/>
                <w:sz w:val="28"/>
                <w:szCs w:val="28"/>
                <w:lang w:val="en-GB"/>
              </w:rPr>
              <w:t>Business challenge</w:t>
            </w:r>
          </w:p>
          <w:p w14:paraId="08295DB4" w14:textId="3CA28995" w:rsidR="005C4CCE" w:rsidRPr="005C4CCE" w:rsidRDefault="005C4CCE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Group ??</w:t>
            </w:r>
          </w:p>
        </w:tc>
      </w:tr>
    </w:tbl>
    <w:p w14:paraId="50116A83" w14:textId="428368CF" w:rsidR="00646BA2" w:rsidRPr="00D538C6" w:rsidRDefault="00646BA2">
      <w:pPr>
        <w:rPr>
          <w:lang w:val="en-GB"/>
        </w:rPr>
      </w:pPr>
    </w:p>
    <w:p w14:paraId="0D98D0C5" w14:textId="3B74373B" w:rsidR="00D538C6" w:rsidRDefault="00D538C6" w:rsidP="00203311">
      <w:pPr>
        <w:rPr>
          <w:b/>
          <w:bCs/>
          <w:sz w:val="36"/>
          <w:szCs w:val="36"/>
          <w:lang w:val="en-GB"/>
        </w:rPr>
      </w:pPr>
      <w:r w:rsidRPr="00D538C6">
        <w:rPr>
          <w:b/>
          <w:bCs/>
          <w:sz w:val="36"/>
          <w:szCs w:val="36"/>
          <w:lang w:val="en-GB"/>
        </w:rPr>
        <w:t xml:space="preserve">Consulting for </w:t>
      </w:r>
      <w:r w:rsidR="0053332C">
        <w:rPr>
          <w:b/>
          <w:bCs/>
          <w:sz w:val="36"/>
          <w:szCs w:val="36"/>
          <w:lang w:val="en-GB"/>
        </w:rPr>
        <w:t>Belvoir Dairy Limited</w:t>
      </w:r>
      <w:r w:rsidR="00296A92">
        <w:rPr>
          <w:b/>
          <w:bCs/>
          <w:sz w:val="36"/>
          <w:szCs w:val="36"/>
          <w:lang w:val="en-GB"/>
        </w:rPr>
        <w:t xml:space="preserve"> - Journal</w:t>
      </w:r>
    </w:p>
    <w:p w14:paraId="3A6326F0" w14:textId="77777777" w:rsidR="00203311" w:rsidRPr="00D538C6" w:rsidRDefault="00203311" w:rsidP="00203311">
      <w:pPr>
        <w:rPr>
          <w:lang w:val="en-GB"/>
        </w:rPr>
      </w:pPr>
    </w:p>
    <w:p w14:paraId="7A3DCAF6" w14:textId="1A8075E3" w:rsidR="00D538C6" w:rsidRDefault="00296A92" w:rsidP="00D538C6">
      <w:pPr>
        <w:rPr>
          <w:lang w:val="en-GB"/>
        </w:rPr>
      </w:pPr>
      <w:r w:rsidRPr="00296A92">
        <w:rPr>
          <w:b/>
          <w:bCs/>
          <w:lang w:val="en-GB"/>
        </w:rPr>
        <w:t>Team members:</w:t>
      </w:r>
      <w:r>
        <w:rPr>
          <w:lang w:val="en-GB"/>
        </w:rPr>
        <w:t xml:space="preserve"> Alberto Paganini (AP), John Smith (JS), Emma Taylor (JT)</w:t>
      </w:r>
    </w:p>
    <w:p w14:paraId="4D37447B" w14:textId="21BD33F3" w:rsidR="00764090" w:rsidRDefault="00764090" w:rsidP="00D538C6">
      <w:pPr>
        <w:rPr>
          <w:lang w:val="en-GB"/>
        </w:rPr>
      </w:pPr>
      <w:r w:rsidRPr="00764090">
        <w:rPr>
          <w:b/>
          <w:bCs/>
          <w:lang w:val="en-GB"/>
        </w:rPr>
        <w:t>Customer:</w:t>
      </w:r>
      <w:r>
        <w:rPr>
          <w:lang w:val="en-GB"/>
        </w:rPr>
        <w:t xml:space="preserve"> Belvoir Dairy Limited (BDL).</w:t>
      </w:r>
    </w:p>
    <w:p w14:paraId="708BAA90" w14:textId="391B4FC6" w:rsidR="00296A92" w:rsidRDefault="00296A92" w:rsidP="00D538C6">
      <w:pPr>
        <w:rPr>
          <w:lang w:val="en-GB"/>
        </w:rPr>
      </w:pPr>
    </w:p>
    <w:p w14:paraId="67D02356" w14:textId="6F79AE2A" w:rsidR="00296A92" w:rsidRDefault="00296A92" w:rsidP="00D538C6">
      <w:pPr>
        <w:rPr>
          <w:b/>
          <w:bCs/>
          <w:lang w:val="en-GB"/>
        </w:rPr>
      </w:pPr>
      <w:r>
        <w:rPr>
          <w:b/>
          <w:bCs/>
          <w:lang w:val="en-GB"/>
        </w:rPr>
        <w:t>01 March 2020 – Kick-off meeting</w:t>
      </w:r>
    </w:p>
    <w:p w14:paraId="2A1B825C" w14:textId="4C06260A" w:rsidR="00296A92" w:rsidRDefault="00CF7489" w:rsidP="00D538C6">
      <w:pPr>
        <w:rPr>
          <w:lang w:val="en-GB"/>
        </w:rPr>
      </w:pPr>
      <w:r>
        <w:rPr>
          <w:lang w:val="en-GB"/>
        </w:rPr>
        <w:t>BDL</w:t>
      </w:r>
      <w:r w:rsidR="00296A92">
        <w:rPr>
          <w:lang w:val="en-GB"/>
        </w:rPr>
        <w:t xml:space="preserve"> provide</w:t>
      </w:r>
      <w:r w:rsidR="00764090">
        <w:rPr>
          <w:lang w:val="en-GB"/>
        </w:rPr>
        <w:t xml:space="preserve">s </w:t>
      </w:r>
      <w:r w:rsidR="00296A92">
        <w:rPr>
          <w:lang w:val="en-GB"/>
        </w:rPr>
        <w:t xml:space="preserve">problem description and </w:t>
      </w:r>
      <w:r w:rsidR="00764090">
        <w:rPr>
          <w:lang w:val="en-GB"/>
        </w:rPr>
        <w:t>set</w:t>
      </w:r>
      <w:r w:rsidR="00296A92">
        <w:rPr>
          <w:lang w:val="en-GB"/>
        </w:rPr>
        <w:t xml:space="preserve"> delivery date for Tuesday 30 of March at 9am. </w:t>
      </w:r>
      <w:r w:rsidR="00764090">
        <w:rPr>
          <w:lang w:val="en-GB"/>
        </w:rPr>
        <w:t>BDL</w:t>
      </w:r>
      <w:r w:rsidR="00296A92">
        <w:rPr>
          <w:lang w:val="en-GB"/>
        </w:rPr>
        <w:t xml:space="preserve"> expects an analysis of the current situation, as well as recommendations and rationale for change. </w:t>
      </w:r>
      <w:proofErr w:type="gramStart"/>
      <w:r w:rsidR="00296A92">
        <w:rPr>
          <w:lang w:val="en-GB"/>
        </w:rPr>
        <w:t>AP, JS, and JT,</w:t>
      </w:r>
      <w:proofErr w:type="gramEnd"/>
      <w:r w:rsidR="00296A92">
        <w:rPr>
          <w:lang w:val="en-GB"/>
        </w:rPr>
        <w:t xml:space="preserve"> acknowledge receiving the problem description and agree on the delivery dat</w:t>
      </w:r>
      <w:r w:rsidR="00764090">
        <w:rPr>
          <w:lang w:val="en-GB"/>
        </w:rPr>
        <w:t>e</w:t>
      </w:r>
      <w:r w:rsidR="00296A92">
        <w:rPr>
          <w:lang w:val="en-GB"/>
        </w:rPr>
        <w:t>. AP, JS, and JT decide to study the problem description and reconvene on Wednesday at 3pm to discuss their insight.</w:t>
      </w:r>
    </w:p>
    <w:p w14:paraId="043B5043" w14:textId="7282D947" w:rsidR="00296A92" w:rsidRDefault="00296A92" w:rsidP="00D538C6">
      <w:pPr>
        <w:rPr>
          <w:lang w:val="en-GB"/>
        </w:rPr>
      </w:pPr>
    </w:p>
    <w:p w14:paraId="20D668D0" w14:textId="5847B5D2" w:rsidR="00296A92" w:rsidRPr="00296A92" w:rsidRDefault="00296A92" w:rsidP="00D538C6">
      <w:pPr>
        <w:rPr>
          <w:b/>
          <w:bCs/>
          <w:lang w:val="en-GB"/>
        </w:rPr>
      </w:pPr>
      <w:r w:rsidRPr="00296A92">
        <w:rPr>
          <w:b/>
          <w:bCs/>
          <w:lang w:val="en-GB"/>
        </w:rPr>
        <w:t>03 March 2020</w:t>
      </w:r>
    </w:p>
    <w:p w14:paraId="52171620" w14:textId="259B1C90" w:rsidR="00296A92" w:rsidRDefault="00296A92" w:rsidP="00D538C6">
      <w:pPr>
        <w:rPr>
          <w:lang w:val="en-GB"/>
        </w:rPr>
      </w:pPr>
      <w:r>
        <w:rPr>
          <w:lang w:val="en-GB"/>
        </w:rPr>
        <w:t xml:space="preserve">AP mentions that 1) </w:t>
      </w:r>
      <w:proofErr w:type="spellStart"/>
      <w:r>
        <w:rPr>
          <w:lang w:val="en-GB"/>
        </w:rPr>
        <w:t>blabla</w:t>
      </w:r>
      <w:proofErr w:type="spellEnd"/>
      <w:r>
        <w:rPr>
          <w:lang w:val="en-GB"/>
        </w:rPr>
        <w:t xml:space="preserve"> and 2) </w:t>
      </w:r>
      <w:proofErr w:type="spellStart"/>
      <w:r>
        <w:rPr>
          <w:lang w:val="en-GB"/>
        </w:rPr>
        <w:t>blabla</w:t>
      </w:r>
      <w:proofErr w:type="spellEnd"/>
      <w:r>
        <w:rPr>
          <w:lang w:val="en-GB"/>
        </w:rPr>
        <w:t>. JS agree on point 1</w:t>
      </w:r>
      <w:proofErr w:type="gramStart"/>
      <w:r>
        <w:rPr>
          <w:lang w:val="en-GB"/>
        </w:rPr>
        <w:t>), but</w:t>
      </w:r>
      <w:proofErr w:type="gramEnd"/>
      <w:r>
        <w:rPr>
          <w:lang w:val="en-GB"/>
        </w:rPr>
        <w:t xml:space="preserve"> suggests alternative interpretation on 2). JT mediates the perspectives. The team decides to first do …., and then do …</w:t>
      </w:r>
      <w:r w:rsidR="00764090">
        <w:rPr>
          <w:lang w:val="en-GB"/>
        </w:rPr>
        <w:t xml:space="preserve"> . The team will contact </w:t>
      </w:r>
      <w:r w:rsidR="00CF7489">
        <w:rPr>
          <w:lang w:val="en-GB"/>
        </w:rPr>
        <w:t>BDL</w:t>
      </w:r>
      <w:r w:rsidR="00764090">
        <w:rPr>
          <w:lang w:val="en-GB"/>
        </w:rPr>
        <w:t xml:space="preserve"> on Thursday 4 March for clarifying identified issue on point 2). The team will reconvene on 5 March to integrate customer’s clarification and plan future developments.</w:t>
      </w:r>
    </w:p>
    <w:p w14:paraId="4C24E32A" w14:textId="3E2BAFE1" w:rsidR="00764090" w:rsidRDefault="00764090" w:rsidP="00D538C6">
      <w:pPr>
        <w:rPr>
          <w:lang w:val="en-GB"/>
        </w:rPr>
      </w:pPr>
    </w:p>
    <w:p w14:paraId="2D071A9D" w14:textId="5495AD07" w:rsidR="00764090" w:rsidRPr="00764090" w:rsidRDefault="00764090" w:rsidP="00D538C6">
      <w:pPr>
        <w:rPr>
          <w:b/>
          <w:bCs/>
          <w:lang w:val="en-GB"/>
        </w:rPr>
      </w:pPr>
      <w:r w:rsidRPr="00764090">
        <w:rPr>
          <w:b/>
          <w:bCs/>
          <w:lang w:val="en-GB"/>
        </w:rPr>
        <w:t>04 March 2020</w:t>
      </w:r>
    </w:p>
    <w:p w14:paraId="0D1BD364" w14:textId="6451AD63" w:rsidR="00764090" w:rsidRDefault="00CF7489" w:rsidP="00D538C6">
      <w:pPr>
        <w:rPr>
          <w:lang w:val="en-GB"/>
        </w:rPr>
      </w:pPr>
      <w:r>
        <w:rPr>
          <w:lang w:val="en-GB"/>
        </w:rPr>
        <w:t>BDL</w:t>
      </w:r>
      <w:r w:rsidR="00764090">
        <w:rPr>
          <w:lang w:val="en-GB"/>
        </w:rPr>
        <w:t xml:space="preserve"> clarifies that</w:t>
      </w:r>
      <w:proofErr w:type="gramStart"/>
      <w:r w:rsidR="00764090">
        <w:rPr>
          <w:lang w:val="en-GB"/>
        </w:rPr>
        <w:t xml:space="preserve"> </w:t>
      </w:r>
      <w:proofErr w:type="gramEnd"/>
      <w:r>
        <w:rPr>
          <w:lang w:val="en-GB"/>
        </w:rPr>
        <w:t>…</w:t>
      </w:r>
    </w:p>
    <w:p w14:paraId="1F04B2DE" w14:textId="124EB250" w:rsidR="00764090" w:rsidRDefault="00764090" w:rsidP="00D538C6">
      <w:pPr>
        <w:rPr>
          <w:lang w:val="en-GB"/>
        </w:rPr>
      </w:pPr>
    </w:p>
    <w:p w14:paraId="701B5B5C" w14:textId="5DF533B7" w:rsidR="00764090" w:rsidRPr="00764090" w:rsidRDefault="00764090" w:rsidP="00D538C6">
      <w:pPr>
        <w:rPr>
          <w:b/>
          <w:bCs/>
          <w:lang w:val="en-GB"/>
        </w:rPr>
      </w:pPr>
      <w:r w:rsidRPr="00764090">
        <w:rPr>
          <w:b/>
          <w:bCs/>
          <w:lang w:val="en-GB"/>
        </w:rPr>
        <w:t>05 March 2020</w:t>
      </w:r>
    </w:p>
    <w:p w14:paraId="22CDDB7C" w14:textId="2AAA9273" w:rsidR="00764090" w:rsidRPr="00296A92" w:rsidRDefault="00764090" w:rsidP="00D538C6">
      <w:pPr>
        <w:rPr>
          <w:lang w:val="en-GB"/>
        </w:rPr>
      </w:pPr>
      <w:r>
        <w:rPr>
          <w:lang w:val="en-GB"/>
        </w:rPr>
        <w:t>….</w:t>
      </w:r>
    </w:p>
    <w:sectPr w:rsidR="00764090" w:rsidRPr="00296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6"/>
    <w:rsid w:val="00203311"/>
    <w:rsid w:val="00296A92"/>
    <w:rsid w:val="0053332C"/>
    <w:rsid w:val="00595F4C"/>
    <w:rsid w:val="005C4CCE"/>
    <w:rsid w:val="00646BA2"/>
    <w:rsid w:val="006F72BC"/>
    <w:rsid w:val="00764090"/>
    <w:rsid w:val="00A95FC9"/>
    <w:rsid w:val="00CF7489"/>
    <w:rsid w:val="00D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76B92"/>
  <w15:chartTrackingRefBased/>
  <w15:docId w15:val="{BFE4D6E0-38CB-D548-A0AD-DA243673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Alberto D.M. (Dr.)</dc:creator>
  <cp:keywords/>
  <dc:description/>
  <cp:lastModifiedBy>Alberto Paganini</cp:lastModifiedBy>
  <cp:revision>7</cp:revision>
  <dcterms:created xsi:type="dcterms:W3CDTF">2021-02-14T19:36:00Z</dcterms:created>
  <dcterms:modified xsi:type="dcterms:W3CDTF">2021-02-28T13:54:00Z</dcterms:modified>
</cp:coreProperties>
</file>