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" w:hAnsi="Helvetica" w:cs="Helvetica"/>
          <w:sz w:val="58"/>
          <w:sz-cs w:val="58"/>
          <w:b/>
          <w:spacing w:val="0"/>
          <w:color w:val="0D3C77"/>
        </w:rPr>
        <w:t xml:space="preserve">Modelagem (UML em PlantUML)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Fontes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.puml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versionadas nesta pasta; imagens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rendered/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(PNG + SVG). Para regenerar: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diagrams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(requer Java; usa o motor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Smetana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sem GraphViz).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Todos os diagramas refletem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fonte canônica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do projeto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src/types/domain.ts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src/types/rbac.ts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src/types/workflow.ts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o esquema do banco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migrations/001_init.sql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Diagrama de Classes (Domínio + MVC)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Diagrama de Sequência — Submeter + Aprovar (publicar)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Diagrama de Atividades — Fluxo de aprovação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(Bônus) Diagrama de Casos de Uso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(Bônus) Diagrama de Componentes (MVC)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