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РЕЗОНАНСНА ГЕНЕРАЦІЯ ЕЛЕКТРОЕНЕРГІЇ З ЕФІРУ</w:t>
      </w:r>
    </w:p>
    <w:p>
      <w:pPr>
        <w:spacing w:before="200"/>
        <w:jc w:val="center"/>
      </w:pPr>
      <w:r>
        <w:rPr>
          <w:rFonts w:ascii="Arial" w:cs="Arial" w:eastAsia="Arial" w:hAnsi="Arial"/>
          <w:color w:val="3D6098"/>
          <w:sz w:val="28"/>
          <w:szCs w:val="28"/>
        </w:rPr>
        <w:t xml:space="preserve">Практичний посібник з побудови установки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на основі патентів Капанадзе/Тюрка, теорії Тесла-трансформаторів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та академічних досліджень Стрєбкова, Денікольї, Джана та Крейвена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Синтез 7 джерел • Практичні розрахунки • Схемотехніка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1. Теоретичний фундамент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Ця установка базується на принципах резонансного зв’язку між двома індуктивно пов’язаними коливальними контурами (трансформатор Тесла) у поєднанні з механізмом саможивлення, описаним у патентах Капанадзе-Тюрка. Ключова ідея: при правильному резонансному налаштуванні двох зв’язаних контурів можна досягти повного переносу енергії з первинного у вторинний контур, а зворотний зв’язок дозволяє пристрою живити сам себе після початкового запуску.</w:t>
      </w:r>
    </w:p>
    <w:p>
      <w:pPr>
        <w:pStyle w:val="Heading2"/>
        <w:spacing w:after="200" w:before="300"/>
      </w:pPr>
      <w:r>
        <w:t xml:space="preserve">1.1. Зв’язані резонансні контури (за Денікольї)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Згідно з роботою Marco Denicolai (Review of Scientific Instruments, 2002), трансформатор Тесла описується як два індуктивно зв’язані демпфовані резонансні контури. Для ідеального випадку (без втрат) напруга на вторинному конденсаторі C2: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v2(t) = [2kV1 / √((1-T)² + 4k²T)] × √(L2/L1) × sin((w2+w1)/2 × t) × sin((w2-w1)/2 × t)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де k — коефіцієнт зв’язку, T = ω²₁/ω²₂ = L2C2/(L1C1) — коефіцієнт настройки, V1 — початкова напруга на C1.</w:t>
      </w:r>
    </w:p>
    <w:p>
      <w:pPr>
        <w:pStyle w:val="Heading2"/>
        <w:spacing w:after="200" w:before="300"/>
      </w:pPr>
      <w:r>
        <w:t xml:space="preserve">1.2. Умови повного переносу енергії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Для повного переносу всієї енергії з C1 на C2 необхідно: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Коефіцієнт настройки T = 1 (тобто ω1 = ω2, однакові резонансні частоти обох контурів)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Коефіцієнт зв’язку k з таблиці дискретних значень: k = (c² - a²)/(c² + a²), де c = a + 2b - 1</w:t>
      </w:r>
    </w:p>
    <w:p>
      <w:pPr>
        <w:pStyle w:val="Heading3"/>
        <w:spacing w:after="200" w:before="300"/>
      </w:pPr>
      <w:r>
        <w:t xml:space="preserve">Таблиця значень k для повного переносу енергії (T=1)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Біт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Цикли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 переносу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Найшвидший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Швидкий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Помірний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Повільний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0.133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Повільний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Дуже повільний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Швидкий (2-й біт)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0.724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Помірний (2-й біт)</w:t>
            </w:r>
          </w:p>
        </w:tc>
      </w:tr>
      <w:tr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Використ. в моделюванні Денікольї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Практичне значення: </w:t>
      </w:r>
      <w:r>
        <w:rPr>
          <w:rFonts w:ascii="Arial" w:cs="Arial" w:eastAsia="Arial" w:hAnsi="Arial"/>
          <w:sz w:val="22"/>
          <w:szCs w:val="22"/>
        </w:rPr>
        <w:t xml:space="preserve">Для реальної установки k = 0.600 (найщільніший зв’язок) дає перенос за 1 цикл, але створює проблеми діелектричного пробою між котушками. Оптимальний діапазон k = 0.1–0.3 забезпечує безпечну роботу при повному переносі за 2–4 цикли.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2. Архітектура Капанадзе (за патентами WO2008/103129 та WO2008/103130)</w:t>
      </w:r>
    </w:p>
    <w:p>
      <w:pPr>
        <w:pStyle w:val="Heading2"/>
        <w:spacing w:after="200" w:before="300"/>
      </w:pPr>
      <w:r>
        <w:t xml:space="preserve">2.1. Перший патент — «Незалежний енергетичний пристрій»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Пристрій складається з двох контурів: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Контур A (первинний): </w:t>
      </w:r>
      <w:r>
        <w:rPr>
          <w:rFonts w:ascii="Arial" w:cs="Arial" w:eastAsia="Arial" w:hAnsi="Arial"/>
          <w:sz w:val="22"/>
          <w:szCs w:val="22"/>
        </w:rPr>
        <w:t xml:space="preserve">Перемикач живлення (1) → Конденсатор (2) → Контактна група/розподілювач (3) → Високочастотний генератор (4) → Перший фільтр (5) → Перша котушка/бобіна (6) → Перший регулятор частоти (7)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Контур B (вторинний): </w:t>
      </w:r>
      <w:r>
        <w:rPr>
          <w:rFonts w:ascii="Arial" w:cs="Arial" w:eastAsia="Arial" w:hAnsi="Arial"/>
          <w:sz w:val="22"/>
          <w:szCs w:val="22"/>
        </w:rPr>
        <w:t xml:space="preserve">Другий фільтр (8) → Стабілізатор частоти (9) → Друга котушка/бобіна (10) → Другий регулятор частоти (11) → Вихід фаза/нейтраль (12, 13)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Зворотний зв’язок: </w:t>
      </w:r>
      <w:r>
        <w:rPr>
          <w:rFonts w:ascii="Arial" w:cs="Arial" w:eastAsia="Arial" w:hAnsi="Arial"/>
          <w:sz w:val="22"/>
          <w:szCs w:val="22"/>
        </w:rPr>
        <w:t xml:space="preserve">Позитивний кабель саможивлення (12a) та негативний кабель саможивлення (13a) з’єднані з перемикачем живлення. Через 1–2 секунди після запуску реле часу від’єднує початкове джерело (15), і пристрій працює автономно.</w:t>
      </w:r>
    </w:p>
    <w:p>
      <w:pPr>
        <w:pStyle w:val="Heading2"/>
        <w:spacing w:after="200" w:before="300"/>
      </w:pPr>
      <w:r>
        <w:t xml:space="preserve">2.2. Другий патент — «Економічний енергетичний трансформатор»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Ключова відмінність: додано підсилювач струму (9), який збільшує струм на виході відносно входу при збереженні напруги. Структура з 4 частин: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Частина 1: Джерело живлення (акумулятор/інвертор/мережа) (1, 2, 2A)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Частина 2: Перемикач (3) → Головна плата/генератор частоти (4) → Конденсатор (5) → Фільтр 1 (6) → Бобіна 1 (7)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Частина 3: Бобіна 2 (8) → Підсилювач струму (9) → Фільтр 2 (10) → Регулятор частоти (11) → Стабілізатор фази (12) → Навантаження (13)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Частина 4: Кабелі зворотного живлення (14, 15) — частина енергії повертається для живлення Частини 1</w:t>
      </w:r>
    </w:p>
    <w:p>
      <w:r>
        <w:br w:type="page"/>
      </w:r>
    </w:p>
    <w:p>
      <w:pPr>
        <w:pStyle w:val="Heading1"/>
        <w:spacing w:after="200" w:before="300"/>
      </w:pPr>
      <w:r>
        <w:t xml:space="preserve">3. Практичне проектування установки</w:t>
      </w:r>
    </w:p>
    <w:p>
      <w:pPr>
        <w:pStyle w:val="Heading2"/>
        <w:spacing w:after="200" w:before="300"/>
      </w:pPr>
      <w:r>
        <w:t xml:space="preserve">3.1. Вибір первинної котушки (за Джана та ін., IEEE Access 2023)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Порівняльний аналіз трьох типів первинної котушки на основі ANSYS-моделювання при 15 кВ, 50 Гц: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Плоска спіраль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Гвинтова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Зворотно-конічна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Щільність струму (A/m²)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1.2E10–3.3E11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4.5E11–6.2E11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2.1E11–4.1E11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Омічні втрати (W/m³)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4.4E14–1.3E15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3.1E15–5.7E15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8.8E14–2.6E15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Напруженість E (V/cm)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26.4–50.3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68.4–121.1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40.1–68.6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Щільність заряду (C/m²)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2.3E-8–4.7E-8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5.5E-8–1.1E-7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3.3E-8–6.1E-8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Вміст енергії (J/m³)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3E-5–1.5E-4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2.5E-4–6.1E-4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1.1E-4–1.8E-4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Глибина скін-ефекту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Найглибша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Найменша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Середня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Висновок: </w:t>
      </w:r>
      <w:r>
        <w:rPr>
          <w:rFonts w:ascii="Arial" w:cs="Arial" w:eastAsia="Arial" w:hAnsi="Arial"/>
          <w:sz w:val="22"/>
          <w:szCs w:val="22"/>
        </w:rPr>
        <w:t xml:space="preserve">Плоска спіральна котушка — оптимальний вибір для первинної сторони. Вона має в 2.38 разів нижчу щільність струму, в 5 разів менші омічні втрати та в 2.47 разів нижчу напруженість електричного поля порівняно з гвинтовою. Це мінімізує корону, зворотні розряди та перегрів.</w:t>
      </w:r>
    </w:p>
    <w:p>
      <w:pPr>
        <w:pStyle w:val="Heading2"/>
        <w:spacing w:after="200" w:before="300"/>
      </w:pPr>
      <w:r>
        <w:t xml:space="preserve">3.2. Формули для розрахунку котушок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Індуктивність плоскої спіральної котушки (формула Вілера):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L_fsc = N²p × R²p / (8Rp + 11Cp)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де Np — кількість витків, Rp — середній радіус, Cp — товщина котушки.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Індуктивність гвинтової (вторинної) котушки: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L_s = N²s × R²s / (9Rs + 10Hs)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де Ns — кількість витків, Rs — радіус, Hs — висота.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Резонансна частота первинного контуру: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F_rp = 1 / (2π√(Lp × Ctc))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Критична умова: </w:t>
      </w:r>
      <w:r>
        <w:rPr>
          <w:rFonts w:ascii="Arial" w:cs="Arial" w:eastAsia="Arial" w:hAnsi="Arial"/>
          <w:sz w:val="22"/>
          <w:szCs w:val="22"/>
        </w:rPr>
        <w:t xml:space="preserve">F_rp = F_rs (резонансні частоти обох контурів повинні збігатися для T = 1)</w:t>
      </w:r>
    </w:p>
    <w:p>
      <w:pPr>
        <w:pStyle w:val="Heading2"/>
        <w:spacing w:after="200" w:before="300"/>
      </w:pPr>
      <w:r>
        <w:t xml:space="preserve">3.3. Покращення вторинної котушки (за Крейвеном та ін., 2017)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Дослідження Loughborough University показало, що реверс напрямку намотки 10–22.5% витків вторинної котушки з верхнього кінця зменшує вищі моди (f3, f5, f7) на 10–14% по Q-фактору, залишаючи фундаментальну частоту f1 практично без змін (~250 кГц, Q~200).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Практичний рецепт: </w:t>
      </w:r>
      <w:r>
        <w:rPr>
          <w:rFonts w:ascii="Arial" w:cs="Arial" w:eastAsia="Arial" w:hAnsi="Arial"/>
          <w:sz w:val="22"/>
          <w:szCs w:val="22"/>
        </w:rPr>
        <w:t xml:space="preserve">Вторинну котушку намотувати як одношарову соленоїдну, 90% витків в одному напрямку, останні 10% — в зворотному. Це покращує спектральну чистоту виходу.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4. Підбір компонентів</w:t>
      </w:r>
    </w:p>
    <w:p>
      <w:pPr>
        <w:pStyle w:val="Heading2"/>
        <w:spacing w:after="200" w:before="300"/>
      </w:pPr>
      <w:r>
        <w:t xml:space="preserve">4.1. Провідник для первинної котушки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Найкращий: Мідна трубка з тонкими стінками — чудовий провідник для ВЧ, гладка округла поверхня зменшує коронні втрати, комерційно доступна різних діаметрів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Альтернатива 1: Посріблена мідна стрічка — найвища провідність, але може створювати корону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Альтернатива 2: Ліцендрат (Litz wire) — мінімізує скін-ефект і ефект близькості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НЕ використовувати: Суцільний дріт, плетену стрічку, багатожильний кабель — значні втрати від скін-ефекту та корони</w:t>
      </w:r>
    </w:p>
    <w:p>
      <w:pPr>
        <w:pStyle w:val="Heading2"/>
        <w:spacing w:after="200" w:before="300"/>
      </w:pPr>
      <w:r>
        <w:t xml:space="preserve">4.2. Конденсаторний банк (MMC)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Напруга банку: Vtc = Vdc × Ncs (де Vdc — номінальна напруга одного конденсатора, Ncs — кількість послідовних)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Ємність банку: Ctc = (Cs × Ncp) / Ncs (де Cs — ємність одного, Ncp — кількість паралельних)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Для установки масштабу ~20 кВт (як у Стрєбкова): починати з конденсаторів 2 кВ, послідовно-паралельна матриця для досягнення потрібної ємності при 15+ кВ.</w:t>
      </w:r>
    </w:p>
    <w:p>
      <w:pPr>
        <w:pStyle w:val="Heading2"/>
        <w:spacing w:after="200" w:before="300"/>
      </w:pPr>
      <w:r>
        <w:t xml:space="preserve">4.3. Іскровий розрядник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Статичний іскровий розрядник — найпростіший варіант. Зазор регулюється відповідно до напруги живлення. Частота розряду залежить від частоти мережі і не регулюється вручну. Для більш контрольованого розряду — роторний розрядник.</w:t>
      </w:r>
    </w:p>
    <w:p>
      <w:pPr>
        <w:pStyle w:val="Heading2"/>
        <w:spacing w:after="200" w:before="300"/>
      </w:pPr>
      <w:r>
        <w:t xml:space="preserve">4.4. Верхнє навантаження (Top-load)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Ємність сферичного top-load: Ctl = (κ / κe) × Rtl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де κ — діелектрична стала, Rtl — радіус сфери, κe = 8.99×10⁹ (стала Кулона).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Тороїдний top-load також підходить і дає рівномірніший розподіл поля.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5. Порядок збірки та налаштування</w:t>
      </w:r>
    </w:p>
    <w:p>
      <w:pPr>
        <w:pStyle w:val="Heading2"/>
        <w:spacing w:after="200" w:before="300"/>
      </w:pPr>
      <w:r>
        <w:t xml:space="preserve">5.1. Алгоритм побудови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Розрахувати параметри вторинної котушки (Ls, Frs) виходячи з бажаної вихідної напруги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Визначити ємність top-load (Ctl) — або виміряти, або розрахувати за формулою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Розрахувати резонансну частоту вторинного контуру: Frs = 1/(2π√(Ls×Ctl))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Спроектувати конденсаторний банк (Ctc) для потрібної напруги/ємності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Розрахувати індуктивність первинної котушки: Lp = 1/((2πFrs)² × Ctc) — щоб Frp = Frs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Намотати первинну плоску спіральну котушку з мідної трубки з відводами для точного налаштування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Намотати вторинну котушку: 90% витків в одному напрямку + 10% реверсних (за Крейвеном)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Встановити стабілізатор частоти та підсилювач струму (за патентом WO2008/103130)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Організувати зворотний зв’язок: частина вихідної енергії повертається до первинного контуру через кабелі саможивлення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Налаштувати T=1 переміщенням відводу первинної котушки та обрати k з таблиці Денікольї</w:t>
      </w:r>
    </w:p>
    <w:p>
      <w:pPr>
        <w:pStyle w:val="Heading2"/>
        <w:spacing w:after="200" w:before="300"/>
      </w:pPr>
      <w:r>
        <w:t xml:space="preserve">5.2. Критичні параметри налаштування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Коефіцієнт настройки T: </w:t>
      </w:r>
      <w:r>
        <w:rPr>
          <w:rFonts w:ascii="Arial" w:cs="Arial" w:eastAsia="Arial" w:hAnsi="Arial"/>
          <w:sz w:val="22"/>
          <w:szCs w:val="22"/>
        </w:rPr>
        <w:t xml:space="preserve">ПОВИНЕН бути = 1. Для цього Frp = Frs. Найпрактичніший спосіб підстроювання — переміщення відводу первинної котушки (за Денікольї: «the most practical mean to perform tuning is to move the tap feeding the primary coil»).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Коефіцієнт зв’язку k: </w:t>
      </w:r>
      <w:r>
        <w:rPr>
          <w:rFonts w:ascii="Arial" w:cs="Arial" w:eastAsia="Arial" w:hAnsi="Arial"/>
          <w:sz w:val="22"/>
          <w:szCs w:val="22"/>
        </w:rPr>
        <w:t xml:space="preserve">Обирати з таблиці дискретних значень. k=0.6 дає найшвидший перенос (1 цикл), але потребує дуже тісного зв’язку. k=0.28 (3 витки, 2 цикли) або k=0.18 (5/6, 3 цикли) — більш практичні значення.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Мінімізація втрат: </w:t>
      </w:r>
      <w:r>
        <w:rPr>
          <w:rFonts w:ascii="Arial" w:cs="Arial" w:eastAsia="Arial" w:hAnsi="Arial"/>
          <w:sz w:val="22"/>
          <w:szCs w:val="22"/>
        </w:rPr>
        <w:t xml:space="preserve">Денікольї підкреслює: «it is crucial to reach the maximum voltage at the secondary in the shortest time, to minimize losses». Тому в демпфованій системі краще обирати вищі k (менше циклів до повного переносу).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6. Механізм саможивлення (за патентами Капанадзе)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Обидва патенти описують однаковий базовий принцип саможивлення: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Початковий запуск від акумулятора/мережі через перемикач живлення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Конденсатор заряджається, генератор частоти створює ВЧ коливання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Першій котушці передається стабілізована ВЧ, вона створює електромагнітне поле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Різниця полів між котушками стабілізується частотним стабілізатором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Друга котушка генерує електроенергію, яка регулюється до 220В/50Гц або 110В/60Гц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Через 1–2 секунди кабелі зворотного зв’язку (12a, 13a) подають частину енергії назад до перемикача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Реле часу на перемикачі від’єднує початкове джерело — пристрій працює автономно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Ключовий момент з патенту WO2008/103130: </w:t>
      </w:r>
      <w:r>
        <w:rPr>
          <w:rFonts w:ascii="Arial" w:cs="Arial" w:eastAsia="Arial" w:hAnsi="Arial"/>
          <w:sz w:val="22"/>
          <w:szCs w:val="22"/>
        </w:rPr>
        <w:t xml:space="preserve">Підсилювач струму (9) збільшує різницю між полями котушок, дозволяючи виходу мати вищий струм при тій самій напрузі. Це — механізм «надлишкової» енергії.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7. Контекст з книги Стрєбкова та нотаток Тесла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Книга Д.С. Стрєбкова та А.І. Некрасова «Резонансні методи отримання, передачі та застосування електроенергії» (5-е видання, 2016, 520 стор., ВИЭСХ, під егідою ЮНЕСКО) описує: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Однопровідні хвилеводні лінії для передачі енергії з різних матеріалів (мідь, алюміній, вуглець, вольфрам, вода, вологий ґрунт, ITO-покриття)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Безпровідну передачу енергії через електронний промінь, лазер та мікрохвильове випромінювання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Високовольтні генератори та плазмові пристрої для технологічних застосувань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Експериментальну систему резонансної передачі потужністю 20 кВт на 10 кВ, дальністю 1.7 км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Нотатки Тесла з Колорадо-Спрінгс (1899–1900, 232 стор.) — оригінальні лабораторні записи, де Тесла експериментував з потужними резонансними трансформаторами та спостерігав ефекти, які лягли в основу патентів типу Капанадзе.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8. Приклад розрахунку установки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Цільові параметри: вихідна напруга ~100 кВ, потужність ~1 кВт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Крок 1: Вторинна котушка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Ns = 1600 витків, Rs = 57 мм (діаметр 114 мм), Hs = 570 мм (як у Крейвена)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Ls = 1600² × 0.057² / (9×0.057 + 10×0.570) = 8,316,416 × 0.00325 / 6.213 = ~1,342 / 6.213 ≈ 0.216 H ≈ 216 мГн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Крок 2: Top-load (тороїд)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Ctl ≈ 20 пФ (виміряна або розрахована, як у Крейвена)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Крок 3: Резонансна частота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Frs = 1/(2π√(0.216 × 20×10⁻¹²)) ≈ 1/(2π × 2.078×10⁻⁶) ≈ 76.6 кГц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Крок 4: Конденсаторний банк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Обираємо Ctc = 17.5 нФ при 10 кВ (як у Крейвена)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Крок 5: Первинна котушка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Lp = 1/((2π × 76600)² × 17.5×10⁻⁹) ≈ 1/(2.316×11 × 1.75×10⁻⁸) ≈ ~247 мкГн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Плоска спіральна котушка з мідної трубки Ø6мм, ~8–10 витків, зовнішній діаметр ~400 мм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Крок 6: Коефіцієнт зв’язку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Обираємо k = 0.280 (a=3, c=4) — повний перенос за 2 цикли, помірна відстань між котушками</w:t>
      </w:r>
    </w:p>
    <w:p>
      <w:r>
        <w:br w:type="page"/>
      </w:r>
    </w:p>
    <w:p>
      <w:pPr>
        <w:pStyle w:val="Heading1"/>
        <w:spacing w:after="200" w:before="300"/>
      </w:pPr>
      <w:r>
        <w:t xml:space="preserve">9. Техніка безпеки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УВАГА: Установка працює з напругами 10–100+ кВ та високочастотними струмами. СМЕРТЕЛЬНА НЕБЕЗПЕКА.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Завжди заземлювати базу вторинної котушки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Використовувати розрядники для захисту конденсаторів і трансформатора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Забезпечити достатню ізоляцію між первинною та вторинною котушками (запобігання пробою)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Конденсаторний банк зберігає смертельну енергію — завжди розряджати перед роботою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Працювати у добре вентильованому приміщенні (озон від іскрових розрядів)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Ніколи не працювати на самоті — завжди мати поруч людину, що знає першу допомогу</w:t>
      </w:r>
    </w:p>
    <w:p>
      <w:pPr>
        <w:pStyle w:val="Heading1"/>
        <w:spacing w:after="200" w:before="300"/>
      </w:pPr>
      <w:r>
        <w:t xml:space="preserve">10. Використані джерела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WO 2008/103129 A1 — Turk M., Kapanadze T. «Independent Energy Device», PCT/TR2007/000050, 2008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WO 2008/103130 A1 — Turk M., Kapanadze T. «Energy Transformer», PCT/TR2007/000062, 2008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Denicolai M. «Optimal performance for Tesla transformers», Rev. Sci. Instrum. 73(9), 2002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Jana S. et al. «An Improved Parametric Method for Selecting Different Types of Tesla Transformer Primary Coil», IEEE Access 11, 2023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Craven R.M., Smith I.R., Novac B.M. «Improvements to Secondary Windings of Tesla Transformers», Applied Physics Research 9(1), 2017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Стребков Д.С., Некрасов А.И. «Резонансные методы получения, передачи и применения электрической энергии», 5-е изд., Москва: ВИЭСХ, 2016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Тесла Н. «Колорадо-Спрингс. Дневники 1899–1900» (переклад російською)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Resonant Aether Energy Extraction —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B4C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2026-02-28T22:40:10.542Z</dcterms:created>
  <dcterms:modified xsi:type="dcterms:W3CDTF">2026-02-28T22:40:10.543Z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