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899y6r8yfpr4"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Vicente Andres Vasquez Gonzalez</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y540u68y5tun"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Administrar la configuración de ambientes, servicios de aplicaciones y bases de datos en un</w:t>
            </w:r>
          </w:p>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entorno empresarial simulado a fin de habilitar operatividad o asegurar la continuidad de</w:t>
            </w:r>
          </w:p>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los sistemas que apoyan los procesos de negocio de acuerdo con los estándares definidos</w:t>
            </w:r>
          </w:p>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por la industria.</w:t>
            </w: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left"/>
              <w:rPr>
                <w:b w:val="1"/>
                <w:sz w:val="18"/>
                <w:szCs w:val="18"/>
              </w:rPr>
            </w:pPr>
            <w:r w:rsidDel="00000000" w:rsidR="00000000" w:rsidRPr="00000000">
              <w:rPr>
                <w:b w:val="1"/>
                <w:sz w:val="18"/>
                <w:szCs w:val="18"/>
                <w:rtl w:val="0"/>
              </w:rPr>
              <w:t xml:space="preserve">Esta competencia abarca una amplia variedad de materias, lo que me permite tener un dominio aceptable al combinar habilidades tanto en gestión como en programación. Dado que cubre diversas áreas, es fundamental considerarla en el proyecto para asegurar un enfoque integral y completo.</w:t>
            </w:r>
          </w:p>
        </w:tc>
      </w:tr>
      <w:tr>
        <w:trPr>
          <w:cantSplit w:val="0"/>
          <w:trHeight w:val="576" w:hRule="atLeast"/>
          <w:tblHeader w:val="0"/>
        </w:trPr>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Considero que esta es una competencia de alto dominio, ya que se refiere al manejo de objetivos mediante el uso de diversas tecnologías, como programación web, de escritorio, arquitectura, calidad de software e integración de plataformas. Estos son aspectos clave para nuestro proyecto, en el cual debemos cumplir con objetivos específicos.</w:t>
            </w:r>
          </w:p>
        </w:tc>
      </w:tr>
      <w:tr>
        <w:trPr>
          <w:cantSplit w:val="0"/>
          <w:trHeight w:val="591" w:hRule="atLeast"/>
          <w:tblHeader w:val="0"/>
        </w:trPr>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left"/>
              <w:rPr>
                <w:b w:val="1"/>
                <w:sz w:val="18"/>
                <w:szCs w:val="18"/>
              </w:rPr>
            </w:pPr>
            <w:r w:rsidDel="00000000" w:rsidR="00000000" w:rsidRPr="00000000">
              <w:rPr>
                <w:b w:val="1"/>
                <w:sz w:val="18"/>
                <w:szCs w:val="18"/>
                <w:rtl w:val="0"/>
              </w:rPr>
              <w:t xml:space="preserve">       X </w:t>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left"/>
              <w:rPr>
                <w:b w:val="1"/>
                <w:sz w:val="18"/>
                <w:szCs w:val="18"/>
              </w:rPr>
            </w:pPr>
            <w:r w:rsidDel="00000000" w:rsidR="00000000" w:rsidRPr="00000000">
              <w:rPr>
                <w:b w:val="1"/>
                <w:sz w:val="18"/>
                <w:szCs w:val="18"/>
                <w:rtl w:val="0"/>
              </w:rPr>
              <w:t xml:space="preserve">Esta competencia tiene un enfoque hacia los objetivos, pero considero que está más orientada a las prácticas durante el desarrollo, abarcando áreas como algoritmos, desarrollo web, de escritorio, móvil, machine learning y deep learning. En todos estos campos, es fundamental aplicar buenas prácticas, y creo que tengo un alto dominio en este aspecto. Además, para nuestro proyecto es crucial emplear buenas prácticas y patrones de diseño adecuados.</w:t>
            </w:r>
          </w:p>
        </w:tc>
      </w:tr>
      <w:tr>
        <w:trPr>
          <w:cantSplit w:val="0"/>
          <w:trHeight w:val="672.5390625" w:hRule="atLeast"/>
          <w:tblHeader w:val="0"/>
        </w:trPr>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Programar consultas o rutinas para manipular información de una base de datos de acuerdo con los requerimientos de la organización</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En cuanto a bases de datos, esta competencia está relacionada con el manejo de bases de datos, consultas, programación de bases de datos y Big Data. Poseo un conocimiento aceptable en estas áreas, lo cual me permite manejarlas de manera eficiente para el proyecto actual.</w:t>
            </w:r>
          </w:p>
        </w:tc>
      </w:tr>
      <w:tr>
        <w:trPr>
          <w:cantSplit w:val="0"/>
          <w:trHeight w:val="2681.71875" w:hRule="atLeast"/>
          <w:tblHeader w:val="0"/>
        </w:trPr>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Construir el modelo arquitectónico de una solución sistémica que soporte los procesos de negocio de acuerdo con los requerimientos de la organización y estándares de la industria</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Esta competencia está relacionada con la arquitectura, ingeniería de software, integración de plataformas, BPM e inteligencia de negocios. Aunque tengo un dominio aceptable en estas áreas, son fundamentales para el proyecto, ya que se requiere una arquitectura sólida y la integración con otras partes de la aplicación.</w:t>
            </w:r>
          </w:p>
        </w:tc>
      </w:tr>
      <w:tr>
        <w:trPr>
          <w:cantSplit w:val="0"/>
          <w:trHeight w:val="576" w:hRule="atLeast"/>
          <w:tblHeader w:val="0"/>
        </w:trPr>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Realizar pruebas de calidad tanto de los productos como de los procesos utilizando buenas prácticas definidas por la industria</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sz w:val="18"/>
                <w:szCs w:val="18"/>
              </w:rPr>
            </w:pPr>
            <w:r w:rsidDel="00000000" w:rsidR="00000000" w:rsidRPr="00000000">
              <w:rPr>
                <w:b w:val="1"/>
                <w:sz w:val="18"/>
                <w:szCs w:val="18"/>
                <w:rtl w:val="0"/>
              </w:rPr>
              <w:t xml:space="preserve">Realizar pruebas de calidad es una competencia en la que tengo un conocimiento aceptable, especialmente en áreas como calidad de software, ingeniería de software (testing) e integración de plataformas. Esta competencia es crucial para el proyecto, ya que no podríamos entregar un producto sin haberlo probado adecuadamente.</w:t>
            </w: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D2RuzWHFKyXfogvwWaVBSoz5w==">CgMxLjAyDmguODk5eTZyOHlmcHI0Mg5oLnk1NDB1Njh5NXR1bjgAciExWmlhb2tlNkd4aWNmUi0xSG5EYmZqV3VFZlh0eG5PRmg=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