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C3787A">
        <w:rPr>
          <w:rFonts w:ascii="Times New Roman" w:hAnsi="Times New Roman" w:cs="Times New Roman"/>
          <w:sz w:val="36"/>
          <w:szCs w:val="36"/>
          <w:lang w:val="uk-UA"/>
        </w:rPr>
        <w:t>10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C3787A" w:rsidRPr="00C3787A">
        <w:rPr>
          <w:rFonts w:ascii="Times New Roman" w:hAnsi="Times New Roman" w:cs="Times New Roman"/>
          <w:sz w:val="36"/>
          <w:szCs w:val="36"/>
          <w:lang w:val="uk-UA"/>
        </w:rPr>
        <w:t>SIP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421297" w:rsidRDefault="00421297" w:rsidP="004212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lastRenderedPageBreak/>
        <w:t>П</w:t>
      </w:r>
      <w:r w:rsidRPr="00421297"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 xml:space="preserve">ротоколи встановлення сесії </w:t>
      </w:r>
    </w:p>
    <w:p w:rsidR="007143BB" w:rsidRPr="00C3787A" w:rsidRDefault="00C3787A" w:rsidP="00421297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SIP — протокол прикладного рівня, розроблений IETF MMUSIC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Working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Group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і пропонований стандарт на спосіб установки, зміни і завершення користувацького сеансу, що включає мультимедійні елементи, такі як відео або голос, миттєві повідомлення, он-лайн ігри та віртуальну реальність.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Опис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hAnsi="Times New Roman" w:cs="Times New Roman"/>
          <w:noProof/>
          <w:sz w:val="28"/>
          <w:lang w:val="uk-UA" w:eastAsia="uk-UA" w:bidi="ar-SA"/>
        </w:rPr>
        <w:drawing>
          <wp:anchor distT="0" distB="0" distL="114300" distR="114300" simplePos="0" relativeHeight="251658240" behindDoc="0" locked="0" layoutInCell="1" allowOverlap="1">
            <wp:simplePos x="1083733" y="2032000"/>
            <wp:positionH relativeFrom="column">
              <wp:align>left</wp:align>
            </wp:positionH>
            <wp:positionV relativeFrom="paragraph">
              <wp:align>top</wp:align>
            </wp:positionV>
            <wp:extent cx="3090545" cy="4411345"/>
            <wp:effectExtent l="0" t="0" r="0" b="8255"/>
            <wp:wrapSquare wrapText="bothSides"/>
            <wp:docPr id="2" name="Рисунок 2" descr="https://upload.wikimedia.org/wikipedia/commons/thumb/9/9c/SIP_session_setup_example.svg/325px-SIP_session_setup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9/9c/SIP_session_setup_example.svg/325px-SIP_session_setup_exampl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 w:type="textWrapping" w:clear="all"/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Приклад обміну повідомле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ннями між двома користувачами 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протолом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SIP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встоновлення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і припинення прямого мультимедійного з'єднання.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Протокол ініціювання сеансів 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Session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Initiation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— є протоколом прикладного рівня і призначається для організації, модифікації і завершення сеансів зв'язку: мультимедійних конференцій, телефонних з'єднань і розпо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ділу мультимедійної інформації.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>Протокол SIP розроблений комітетом IETF, а специфікації протоколу представлені в документі RFC 3261. В основу протоко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лу закладені наступні принципи: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Персональна мобільність користувачів. Користувачі можуть переміщатися без обмежень в межах мережі, тому послуги зв'язку повинні надаватися їм у будь-якому місці цієї мережі. Користувачеві надається унікальний ідентифікатор, а мережа надає йому послуги зв'язку незалежно від того, де він знаходиться. Для цього користувач за допомогою спеціального повідомлення інформує мережу про свої 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переміщення.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Масштабованість мережі характеризується, в першу чергу, можливістю збільшення кількості елементів мережі при її розширенні. Серверна структура мережі, побудованої на базі протоколу SIP, 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повністю відповідає цій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вимозі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Розширюваність протоколу характеризується можливістю доповнення протоколу новими функціями при введенні нових послуг та його адаптації до роботи з різними додатками. Розширення функцій протоколу SIP може бути здійснена за рахунок введення нових заголовків 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і типів повідомлень.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Інтеграція в стек існуючих протоколів Інтернет, розроблених IETF. Протокол SIP є частиною складної архітектури, розробленої комітетом IETF. Ця архітектура містить у собі також протокол резервування ресурсів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Resource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Reservation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RSVP; RFC 2205), транспортний протокол реального часу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Real-Time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Transport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RTP; RFC 1889), протокол передачі потоків у реальному часі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Real-Time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Streaming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RTSP; RFC 2326), протокол опису параметрів зв'язку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Session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Description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, SDP; RFC 2327) та інші. Однак функції протоколу SIP не залежать 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ні від одного з цих протоколів.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Взаємодія з іншими протоколами сигналізації. Протокол SIP може бути використаний спільно з протоколом Н.323. Можливо також взаємодія протоколу SIP з системами сигналізації ТМЗК — EDSS1 і ОКС № 7. Для спрощення такої взаємодії сигнальні повідомлення протоколу SIP можуть переносити не тільки SIP-адресу, але й телефонний номер формату Е.164 або будь-якого іншого формату. Крім того, протокол SIP, нарівні з протоколами 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 xml:space="preserve">H.323 і ISUP, може застосовуватися для забезпечення функціонування пристроїв управління шлюзами, в цьому випадку він повинен взаємодіяти з протоколом MGCP або MEGACO. Важливою особливістю протоколу SIP є його незалежність від транспортних технологій. Як транспорт можна використовувати протоколи Х.25,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Frame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Relay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, AAL5, IPX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Структура повідомлень SIP не залежить від о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браної транспортної технології.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Сигнальні повідомлення SIP можуть переноситися не тільки протоколом транспортного рівня UDP, але і протоколом ТСР. Протокол UDP дозволяє швидше, ніж TCP, доставляти сигнальну інформацію (навіть з урахуванням повторної передачі непідтверджених повідомлень), а також вести паралельний пошук місця розташування користувачів і передавати запрошення до участі в сеансі зв'язку в режимі під LGPL. У свою чергу, протокол ТСР спрощує роботу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міжмережевими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екранами, а також гарантує надійну доставку даних. При використанні протоколу ТСР різні повідомлення, що відносяться до одного виклику, або можуть передаватися по одному TCP-з'єднанні, або для кожного запиту і відповіді на нього може відкриватися окреме TCP-з'єднання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SIP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багаторівневим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протоколом.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Його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функціонування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описується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комплексом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слабко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пов'язаних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незалежних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етапів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мережі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містить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деякий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означає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підтримує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групу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даного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кожен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працює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по протоколу SIP,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містить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Крім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того,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специфіковані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роботи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SIP,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логічними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а не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фізичними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дійсності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фізичний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виконувати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різних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логічних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залежно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покладених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нього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обов'язків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Нижній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 синтаксис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кодування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Кодування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використанням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розширеної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граматики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Backus-Naur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Form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(BNF).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Повне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BNF-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міститься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RFC 3261, структура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буде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розглянута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Другий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програмної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реалізації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протоколу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транспортним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як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посилає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приймає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як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отримує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посилає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мережі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Транспортний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протоколу описаний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Третій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стороною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використанням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транспортного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стороні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разом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усіма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відповідями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стороною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здійснює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повторну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передачу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прикладного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відповідей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повідомляє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верхній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проткокола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разі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таймауту. Будь-яка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операція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яку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агента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(UAC),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реалізується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допомогою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роботи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наведено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параграфі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Агенти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(UA) 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проксі-сервери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збереженням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станів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stateful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проксі-сервери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містять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противагу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 без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збереження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станів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-сервер) не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включає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частину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звану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транзакцією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частину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звану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транзакцією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Кожна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них представлена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кінцевим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автоматом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machine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пов'язаних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певного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знаходиться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вище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називається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користувачем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transaction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TU).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Кожен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із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об'єктів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крім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-сервера,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користувачем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Коли TU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бажає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окрему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передає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 разом з IP-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адресою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портом і типом транспортного протоколу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місця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призначення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визначають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куди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потрібно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запит. TU,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створив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також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скасувати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Коли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скасовує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потребує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щоб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припинив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подальшу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повернувся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вихідний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стан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цієї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передав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певним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кодом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помилки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lastRenderedPageBreak/>
        <w:t>здійснюється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допомогою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CANCEL,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свою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власну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але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свої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щодо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скасовуємо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транзакції</w:t>
      </w:r>
      <w:proofErr w:type="spellEnd"/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сервер агента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stateful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проксі-сервери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реєстрації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містять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програмне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забезпечення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ядро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core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), яка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відрізняє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один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одного. Ядра, 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винятком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ядра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-сервера,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(TU). Попри те,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функціонування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ядер UAC і UAS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залежить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існують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деякі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загальні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правила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всіх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типів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описані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UAC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стосуються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процесу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для UAS вони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стосуються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Оскільки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реєстрація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відіграє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важливу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роль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протоколі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SIP, UAS,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працювати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c запитом REGISTER,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свою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назву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реєстрації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registrar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). Роботу ядер UAC і UAS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REGISTER.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висвітлюється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робота UAC і UAS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із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запитом OPTIONS,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використовуваного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отримання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інформації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функціональні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можливості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UA.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Решта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основний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RFC для SIP (RFC 3261),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надсилаються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режимі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являє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собою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рівноправну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взаємодію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двох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агентів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по протоколу SIP, яке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триває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певний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час.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встановлює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послідовність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UA 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забезпечує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вірну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маршрутизацію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Запит INVITE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єдиним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типом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встановлює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рекомендації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RFC 3261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згодом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розширення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визначили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два таких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SUBSCRIBE і REFER). Коли UAC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відсилає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режимі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крім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загальних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 UAC,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описаних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дотримується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роботи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із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запитами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ході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Параграф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поняття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діалогах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процедури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підтримки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додаток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до процедур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режимі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Найважливіший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протоколі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INVITE,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встановлює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сесію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учасниками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з'єднання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Сесія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сукупність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учасників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з'єднання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медіапотоків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ними,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метою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обміну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інформацією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Протокол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володіє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такими характеристиками: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Простота: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включає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тільки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шість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методів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).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Незалежність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транспортного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використовувати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UDP, TCP, ATM і т.д.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Економічність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: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формуються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основі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тексту.</w:t>
      </w:r>
    </w:p>
    <w:p w:rsidR="00C3787A" w:rsidRPr="00421297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en-US"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Стандартними елементами в SIP-мережі є: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Agent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(термінал): за протоколом SIP встановлюються з'єднання «клієнт-сервер». Клієнт встановлює з'єднання, а сервер приймає виклики, але так зазвичай телефонний апарат (або програмний телефон) може як встановлювати так і приймати дзвінки, то виходить що він одночасно грає роль і клієнта і сервера (хоча в реалізації протоколу це не є обов'язковим критерієм) — в цьому випадку його називають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Agent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(UA) або термінал.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Проксі-сервер: проксі-сервер приймає запити і проводить з ним деякі дії (наприклад визначає місцеположення клієнта, виробляє переадресацію або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перенаправлення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виклику та ін.) Він також може встановлювати власні з'єднання. Найчастіше проксі-сервер суміщають з сервером визначення місцеположення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-сервер), у такому випадку його називають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Registrar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-сервером.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Сервер визначення місця розташування або сервер реєстрації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): даний вид сервера служить для реєстрації користувачів. Реєстрація користувача проводиться для визначення його поточної IP-адреси, для того щоб можна було зробити виклик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@ IP-адреса. У разі якщо користувач переміститься в інше місце і / або не має певної IP-адреси, його поточну адресу можна буде визначити після того, як він зареєструється на сервері реєстрації. Таким чином клієнт залишиться доступний за однією і тією ж SIP-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адресою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незалежно від того, де насправді знаходиться.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>Сервер переадресації: звертається до сервера реєстрації для визначення поточної IP-адреси користувача, але на відміну від проксі-сервера тільки «переадресує» клієнта, а не встановлює власні з'єднання.</w:t>
      </w:r>
    </w:p>
    <w:p w:rsid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Проксі-сервери в SIP-мережі також можуть вносити зміни до повідомлень котрі передаються — це дозволяє без перешкод проходити NAT у випадку якщо проксі-сервер стоїть на NAT-маршрутизаторі (також можлива настройка проксі-сервера, що знаходиться за NAT у випадку якщо на останньому неможливо встановити проксі-сервер — для цього буде потрібно задати параметри переадресації так, щоб отриманий проксі-сервер став «віртуальним сервером»). Крім цього проксі-сервери можна об'єднувати в «ланцюжки», які дозволяють використовувати телефонію, навіть якщо кінцева точка (UA) знаходиться відразу за декількома NAT-шлюзами.</w:t>
      </w:r>
    </w:p>
    <w:p w:rsidR="00421297" w:rsidRDefault="00421297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</w:p>
    <w:p w:rsidR="00421297" w:rsidRPr="00421297" w:rsidRDefault="00421297" w:rsidP="004212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>Схеми</w:t>
      </w:r>
      <w:r w:rsidRPr="00421297"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 xml:space="preserve"> проходження пакетів під час  дзвінка</w:t>
      </w:r>
    </w:p>
    <w:p w:rsidR="00C3787A" w:rsidRDefault="00C3787A" w:rsidP="00C3787A">
      <w:pPr>
        <w:spacing w:line="360" w:lineRule="auto"/>
        <w:jc w:val="both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5940425" cy="4330075"/>
            <wp:effectExtent l="0" t="0" r="3175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97" w:rsidRDefault="00421297" w:rsidP="00C3787A">
      <w:pPr>
        <w:spacing w:line="360" w:lineRule="auto"/>
        <w:jc w:val="both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5F327A88" wp14:editId="2E939663">
            <wp:extent cx="5940425" cy="4540885"/>
            <wp:effectExtent l="0" t="0" r="3175" b="0"/>
            <wp:docPr id="5" name="Рисунок 5" descr="Основні варіанти підключення SIP-телефонії | TE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сновні варіанти підключення SIP-телефонії | TE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2CE20BC9" wp14:editId="76EAF9BB">
            <wp:extent cx="3810000" cy="2861945"/>
            <wp:effectExtent l="0" t="0" r="0" b="0"/>
            <wp:docPr id="4" name="Рисунок 4" descr="Скорочуємо витрати на зв'яз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корочуємо витрати на зв'яз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297" w:rsidRPr="00C3787A" w:rsidRDefault="00421297" w:rsidP="00C3787A">
      <w:pPr>
        <w:spacing w:line="360" w:lineRule="auto"/>
        <w:jc w:val="both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</w:p>
    <w:sectPr w:rsidR="00421297" w:rsidRPr="00C3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9169C"/>
    <w:multiLevelType w:val="multilevel"/>
    <w:tmpl w:val="08C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D37C3"/>
    <w:rsid w:val="0019275F"/>
    <w:rsid w:val="003C76B8"/>
    <w:rsid w:val="003F2885"/>
    <w:rsid w:val="00421297"/>
    <w:rsid w:val="00427D91"/>
    <w:rsid w:val="004E64AB"/>
    <w:rsid w:val="005E19F2"/>
    <w:rsid w:val="007143BB"/>
    <w:rsid w:val="00750D5D"/>
    <w:rsid w:val="00780C03"/>
    <w:rsid w:val="007A31A2"/>
    <w:rsid w:val="00886002"/>
    <w:rsid w:val="008A2AF2"/>
    <w:rsid w:val="009B1294"/>
    <w:rsid w:val="00B858D2"/>
    <w:rsid w:val="00C15B85"/>
    <w:rsid w:val="00C3787A"/>
    <w:rsid w:val="00CF3FA9"/>
    <w:rsid w:val="00D7225E"/>
    <w:rsid w:val="00E824FA"/>
    <w:rsid w:val="00F31323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297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8A2AF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styleId="a5">
    <w:name w:val="Strong"/>
    <w:basedOn w:val="a0"/>
    <w:uiPriority w:val="22"/>
    <w:qFormat/>
    <w:rsid w:val="008A2AF2"/>
    <w:rPr>
      <w:b/>
      <w:bCs/>
    </w:rPr>
  </w:style>
  <w:style w:type="character" w:styleId="a6">
    <w:name w:val="Hyperlink"/>
    <w:basedOn w:val="a0"/>
    <w:uiPriority w:val="99"/>
    <w:unhideWhenUsed/>
    <w:rsid w:val="008A2AF2"/>
    <w:rPr>
      <w:color w:val="0000FF"/>
      <w:u w:val="single"/>
    </w:rPr>
  </w:style>
  <w:style w:type="character" w:customStyle="1" w:styleId="ctatext">
    <w:name w:val="ctatext"/>
    <w:basedOn w:val="a0"/>
    <w:rsid w:val="008A2AF2"/>
  </w:style>
  <w:style w:type="character" w:customStyle="1" w:styleId="posttitle">
    <w:name w:val="posttitle"/>
    <w:basedOn w:val="a0"/>
    <w:rsid w:val="008A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6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9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7275</Words>
  <Characters>4148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2023-06-28T05:59:00Z</dcterms:created>
  <dcterms:modified xsi:type="dcterms:W3CDTF">2023-06-28T06:03:00Z</dcterms:modified>
</cp:coreProperties>
</file>