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7F002B">
      <w:pPr>
        <w:pStyle w:val="5"/>
      </w:pPr>
      <w:bookmarkStart w:id="0" w:name="_Toc31284"/>
      <w:r>
        <w:rPr>
          <w:rFonts w:hint="eastAsia"/>
        </w:rPr>
        <w:t>3.2.3本期业务目标</w:t>
      </w:r>
      <w:bookmarkEnd w:id="0"/>
    </w:p>
    <w:p w14:paraId="162993B0">
      <w:r>
        <w:rPr>
          <w:rFonts w:hint="eastAsia"/>
        </w:rPr>
        <w:t>按照《</w:t>
      </w:r>
      <w:r>
        <w:t>“</w:t>
      </w:r>
      <w:r>
        <w:rPr>
          <w:rFonts w:hint="eastAsia"/>
        </w:rPr>
        <w:t>十四五</w:t>
      </w:r>
      <w:r>
        <w:t>”</w:t>
      </w:r>
      <w:r>
        <w:rPr>
          <w:rFonts w:hint="eastAsia"/>
        </w:rPr>
        <w:t>国家消防工作规划》、《消防救援队伍信息化发展规划（</w:t>
      </w:r>
      <w:r>
        <w:t>2019-2022</w:t>
      </w:r>
      <w:r>
        <w:rPr>
          <w:rFonts w:hint="eastAsia"/>
        </w:rPr>
        <w:t>）》、《</w:t>
      </w:r>
      <w:r>
        <w:rPr>
          <w:rFonts w:hint="eastAsia"/>
          <w:lang w:eastAsia="zh-CN"/>
        </w:rPr>
        <w:t>XXX</w:t>
      </w:r>
      <w:r>
        <w:rPr>
          <w:rFonts w:hint="eastAsia"/>
        </w:rPr>
        <w:t>省“智慧消防”建设规划（</w:t>
      </w:r>
      <w:r>
        <w:t>2021—2025</w:t>
      </w:r>
      <w:r>
        <w:rPr>
          <w:rFonts w:hint="eastAsia"/>
        </w:rPr>
        <w:t>）》文件要求，充分运用物联网、大数据、云计算、人工智能等先进技术，将标准规范凝聚成底座、业务成果凝聚成数据、处置规程凝聚成知识、经验判断凝聚成模型、工作协同凝聚成模块，推动火灾防控、灭火救援、队伍管理、综合保障等业务相互深度结合，持续提升我省消防救援智能化水平，形成</w:t>
      </w:r>
      <w:r>
        <w:rPr>
          <w:rFonts w:hint="eastAsia"/>
          <w:lang w:eastAsia="zh-CN"/>
        </w:rPr>
        <w:t>XXX</w:t>
      </w:r>
      <w:r>
        <w:rPr>
          <w:rFonts w:hint="eastAsia"/>
        </w:rPr>
        <w:t>“智慧消防”新生态，缓解政府部门及相关行业主管部门火灾防控压力，提升消防救援队伍的灭火救援水平，加强队伍管理规范有序，增强综合保障高效运转，真正实现“智慧消防”全面感知、动态监测、智能预警、扁平指挥、快速处置、精准监管、人性服务的目标。</w:t>
      </w:r>
    </w:p>
    <w:p w14:paraId="22C0E24D">
      <w:r>
        <w:rPr>
          <w:rFonts w:hint="eastAsia"/>
        </w:rPr>
        <w:t>通过数据中台与应用管理、运行支撑能力建设，实现业务应用的数据共享与智能管理，并根据消防业务数字化需求，建设火灾防控、灭火救援、队伍管理、综合保障等四大业务系统应用。</w:t>
      </w:r>
      <w:bookmarkStart w:id="18" w:name="_GoBack"/>
      <w:bookmarkEnd w:id="18"/>
    </w:p>
    <w:p w14:paraId="62546C9F">
      <w:pPr>
        <w:pStyle w:val="6"/>
      </w:pPr>
      <w:r>
        <w:rPr>
          <w:rFonts w:hint="eastAsia"/>
        </w:rPr>
        <w:t>3.2.3.1火灾防控更高效</w:t>
      </w:r>
    </w:p>
    <w:p w14:paraId="1FDF5D09">
      <w:pPr>
        <w:rPr>
          <w:rFonts w:hint="eastAsia"/>
        </w:rPr>
      </w:pPr>
      <w:r>
        <w:rPr>
          <w:rFonts w:hint="eastAsia"/>
        </w:rPr>
        <w:t>通过信息化、技术化手段，重塑火灾防控态势研判流程，使原先报告式、报表式消防态势分析能够实现动态展示、分析研判，结合区域和建筑火灾风险评估模型对区域火灾风险进行量化风险分析，提升全省火灾防控态势研判分析能力。</w:t>
      </w:r>
    </w:p>
    <w:p w14:paraId="00FE1F82">
      <w:pPr>
        <w:pStyle w:val="2"/>
      </w:pPr>
      <w:r>
        <w:rPr>
          <w:rFonts w:hint="eastAsia"/>
        </w:rPr>
        <w:t>消防监管工作方面，构建以信息化工具为载体的立体智能火灾防控体系，落实五大责任，强化消防部门、政府行业部门、第三方服务机构、消防所、联动力量、社会单位和公众的履责效能，能够实现各层级消防管理任务的协同开展，以及数据的电子化汇总分析。</w:t>
      </w:r>
    </w:p>
    <w:p w14:paraId="40B88FD5">
      <w:pPr>
        <w:pStyle w:val="2"/>
      </w:pPr>
      <w:r>
        <w:rPr>
          <w:rFonts w:hint="eastAsia"/>
        </w:rPr>
        <w:t>加强对消防物联网数据的使用与合规监测，实现物联网监测反馈待处置警情（一分钟内响应处置）的处置及时率达到95%以上，物联网监测反馈警情核警率达到100%，提高全省火灾防控临灾响应能力。</w:t>
      </w:r>
    </w:p>
    <w:p w14:paraId="5F0C9591">
      <w:r>
        <w:rPr>
          <w:rFonts w:hint="eastAsia"/>
        </w:rPr>
        <w:t>针对火灾风险评估等工作，加强信息化数据搜集、汇总、分析功能，规范工作流程与采集内容，使得火灾风险评估工作数据能够不断积累，为火灾防控工作提供有力的数据支撑。</w:t>
      </w:r>
    </w:p>
    <w:p w14:paraId="4F2E0109">
      <w:pPr>
        <w:pStyle w:val="6"/>
      </w:pPr>
      <w:r>
        <w:rPr>
          <w:rFonts w:hint="eastAsia"/>
        </w:rPr>
        <w:t>3.2.3.2应急救援更科学</w:t>
      </w:r>
    </w:p>
    <w:p w14:paraId="3B6F5640">
      <w:pPr>
        <w:rPr>
          <w:rFonts w:hint="eastAsia"/>
        </w:rPr>
      </w:pPr>
      <w:r>
        <w:rPr>
          <w:rFonts w:hint="eastAsia"/>
        </w:rPr>
        <w:t>结合部局“一短三快”能力要求，进一步落实“全灾种、大应急”的应急救援转变要求，构建面向地质灾害、自然灾害、城市灭火救援的综合指挥模式，以智能接处警、消防智能指挥系统为核心，为各支队提供智能接处警核心能力支撑，最高实现全省720路并发电话报警，实现全省80%以上警情的录入由人工录入升级为智能填写，实现75%以上的警情由人工调派升级为AI电脑智能调派，实现对全省所有警情案件的从出警到扑灭归队的全过程管理，通过大数据、人工智能、物联网等先进技术，实现多元化报警信息采集与智能识别分析并通过智能化预案库，缩短接警调派时间；实现与道路交通、社会车辆的灭火救援道路信息共享，实现对消防车辆的“绿色护航”，加快到场速度；联勤联动方面，通过信息化手段，实现对社会消防资源的采集录入与档案建立，实现对全省8000个联勤联动单位的联动管理和灭火救援通知，能够根据火场信息，快速调动周边消防救援资源，提升灭火救援战斗展开速度。</w:t>
      </w:r>
    </w:p>
    <w:p w14:paraId="4FDDAB45">
      <w:pPr>
        <w:pStyle w:val="6"/>
      </w:pPr>
      <w:r>
        <w:rPr>
          <w:rFonts w:hint="eastAsia"/>
        </w:rPr>
        <w:t>3.2.3.3队伍管理更精细</w:t>
      </w:r>
    </w:p>
    <w:p w14:paraId="18AD97FA">
      <w:r>
        <w:rPr>
          <w:rFonts w:hint="eastAsia"/>
        </w:rPr>
        <w:t>全面推行消防站精细化智能管理，以规范“四个秩序”为主线，以信息化应用为抓手，以提升作战、管理、教育效能为目的，着力打造正规化、信息化和智能化管理工作于一体的消防站智能化管理体系，为续写</w:t>
      </w:r>
      <w:r>
        <w:rPr>
          <w:rFonts w:hint="eastAsia"/>
          <w:lang w:eastAsia="zh-CN"/>
        </w:rPr>
        <w:t>XXX</w:t>
      </w:r>
      <w:r>
        <w:rPr>
          <w:rFonts w:hint="eastAsia"/>
        </w:rPr>
        <w:t>消防“立标示范、争先创优”新篇章提供强大科技支撑。本期通过建立智慧队站管理应用，实现队站管理试点队站的请休假、公务用车、岗位练兵、访客管理、日常检查的无纸化办公；将不少于</w:t>
      </w:r>
      <w:r>
        <w:t>50</w:t>
      </w:r>
      <w:r>
        <w:rPr>
          <w:rFonts w:hint="eastAsia"/>
        </w:rPr>
        <w:t>辆公务用车纳入系统管理；配备队伍管理使用账号不少于2</w:t>
      </w:r>
      <w:r>
        <w:t>0</w:t>
      </w:r>
      <w:r>
        <w:rPr>
          <w:rFonts w:hint="eastAsia"/>
        </w:rPr>
        <w:t>个；将</w:t>
      </w:r>
      <w:r>
        <w:t>19年至今的岗位练兵计划和实际执行情况导入系统</w:t>
      </w:r>
      <w:r>
        <w:rPr>
          <w:rFonts w:hint="eastAsia"/>
        </w:rPr>
        <w:t>。实现秩序更加正规、管理更加科学、教育更加灵活、练兵更加高效、安防更加全面、工作形成闭环和基层减负增效的目标。</w:t>
      </w:r>
    </w:p>
    <w:p w14:paraId="1EA7683C">
      <w:pPr>
        <w:pStyle w:val="6"/>
      </w:pPr>
      <w:r>
        <w:rPr>
          <w:rFonts w:hint="eastAsia"/>
        </w:rPr>
        <w:t>3.2.3.4综合保障更便捷</w:t>
      </w:r>
    </w:p>
    <w:p w14:paraId="656A1242">
      <w:r>
        <w:rPr>
          <w:rFonts w:hint="eastAsia"/>
        </w:rPr>
        <w:t>综合保障方面，真正发挥信息化</w:t>
      </w:r>
      <w:r>
        <w:t>“</w:t>
      </w:r>
      <w:r>
        <w:rPr>
          <w:rFonts w:hint="eastAsia"/>
        </w:rPr>
        <w:t>提升管理效能、减轻工作负担</w:t>
      </w:r>
      <w:r>
        <w:t>”</w:t>
      </w:r>
      <w:r>
        <w:rPr>
          <w:rFonts w:hint="eastAsia"/>
        </w:rPr>
        <w:t>的作用，大力发展自动化、移动化采集手段，推进人员管理、绩效评价、财务管理、装备管理、营房管理等向数据化、智能化转变，准确掌握人、车、物管理基本情况和人员思想动态，及时发现和解决队伍管理各类风险隐患，不断提升消防救援队伍管理正规化、精细化、智能化、科学化水平。本期通过建立装备智能化管理应用，外部服务方面，全面适应“放管服”改革，建成高效便捷的消防政务“微服务”，将消防政务信息查询、一级消防工程师、隐患举报纳入公众服务查询的统一入口，为公众在火灾隐患举报、火灾报警、业务办理、信息查询和消防宣传等方面提供便捷高效的服务。将5</w:t>
      </w:r>
      <w:r>
        <w:t>00</w:t>
      </w:r>
      <w:r>
        <w:rPr>
          <w:rFonts w:hint="eastAsia"/>
        </w:rPr>
        <w:t>件以上装备物资纳入系统管理。为实现全省消防装备的统一管理与智能调配奠定基础。</w:t>
      </w:r>
    </w:p>
    <w:p w14:paraId="5604600B">
      <w:pPr>
        <w:pStyle w:val="5"/>
      </w:pPr>
      <w:bookmarkStart w:id="1" w:name="_Toc19882"/>
      <w:r>
        <w:rPr>
          <w:rFonts w:hint="eastAsia"/>
        </w:rPr>
        <w:t>3.2.4 本期信息化目标</w:t>
      </w:r>
      <w:bookmarkEnd w:id="1"/>
    </w:p>
    <w:p w14:paraId="3F4FD54B">
      <w:r>
        <w:rPr>
          <w:rFonts w:hint="eastAsia"/>
        </w:rPr>
        <w:t>遵循应急管理部信息化战略规划的总体框架，结合我省消防信息化发展基础和业务需求，构建统一的消防救援信息化体系，最终形成消防感知资源支撑、消防云网资源支撑、安全共享的技术支撑、智慧联动的业务应用，实现“智慧消防”监管与服务两大核心目标，打通指挥信息网与政务网通信连接，全面提升火灾防控、灭火救援效能，为社会公共安全和人民群众生命财产安全保驾护航。</w:t>
      </w:r>
    </w:p>
    <w:p w14:paraId="1D6293C8">
      <w:pPr>
        <w:pStyle w:val="6"/>
      </w:pPr>
      <w:r>
        <w:rPr>
          <w:rFonts w:hint="eastAsia"/>
        </w:rPr>
        <w:t>3.2.4.1 云网资源信息化目标</w:t>
      </w:r>
    </w:p>
    <w:p w14:paraId="4F5064CE">
      <w:r>
        <w:rPr>
          <w:rFonts w:hint="eastAsia"/>
        </w:rPr>
        <w:t>实现消防指挥信息网</w:t>
      </w:r>
      <w:r>
        <w:t>-</w:t>
      </w:r>
      <w:r>
        <w:rPr>
          <w:rFonts w:hint="eastAsia"/>
        </w:rPr>
        <w:t>电子政务外网</w:t>
      </w:r>
      <w:r>
        <w:t>-</w:t>
      </w:r>
      <w:r>
        <w:rPr>
          <w:rFonts w:hint="eastAsia"/>
        </w:rPr>
        <w:t>互联网资源共享的三网互联互通，</w:t>
      </w:r>
      <w:r>
        <w:rPr>
          <w:rFonts w:hint="eastAsia"/>
          <w:lang w:eastAsia="zh-Hans"/>
        </w:rPr>
        <w:t>指挥信息网具备移动终端接入管理能力</w:t>
      </w:r>
      <w:r>
        <w:rPr>
          <w:rFonts w:hint="eastAsia"/>
        </w:rPr>
        <w:t>。</w:t>
      </w:r>
    </w:p>
    <w:p w14:paraId="4D2C8109">
      <w:pPr>
        <w:rPr>
          <w:lang w:eastAsia="zh-Hans"/>
        </w:rPr>
      </w:pPr>
      <w:r>
        <w:rPr>
          <w:rFonts w:hint="eastAsia"/>
          <w:lang w:eastAsia="zh-Hans"/>
        </w:rPr>
        <w:t>需要在指挥信息网、电子政务外网外侧、电子政务外网互联网侧具有部署业务应用系统的云网资源。</w:t>
      </w:r>
    </w:p>
    <w:p w14:paraId="64A4D2A6">
      <w:pPr>
        <w:pStyle w:val="6"/>
      </w:pPr>
      <w:r>
        <w:rPr>
          <w:rFonts w:hint="eastAsia"/>
        </w:rPr>
        <w:t xml:space="preserve">3.2.4.2 </w:t>
      </w:r>
      <w:r>
        <w:rPr>
          <w:rFonts w:hint="eastAsia"/>
          <w:lang w:eastAsia="zh-Hans"/>
        </w:rPr>
        <w:t>业务支撑</w:t>
      </w:r>
      <w:r>
        <w:rPr>
          <w:rFonts w:hint="eastAsia"/>
        </w:rPr>
        <w:t>信息化目标</w:t>
      </w:r>
    </w:p>
    <w:p w14:paraId="2E124261">
      <w:pPr>
        <w:numPr>
          <w:ilvl w:val="0"/>
          <w:numId w:val="1"/>
        </w:numPr>
      </w:pPr>
      <w:r>
        <w:rPr>
          <w:rFonts w:hint="eastAsia"/>
        </w:rPr>
        <w:t>数据协同方面</w:t>
      </w:r>
    </w:p>
    <w:p w14:paraId="7D653CD7">
      <w:pPr>
        <w:rPr>
          <w:lang w:eastAsia="zh-Hans"/>
        </w:rPr>
      </w:pPr>
      <w:r>
        <w:rPr>
          <w:rFonts w:hint="eastAsia"/>
          <w:lang w:eastAsia="zh-Hans"/>
        </w:rPr>
        <w:t>（</w:t>
      </w:r>
      <w:r>
        <w:rPr>
          <w:lang w:eastAsia="zh-Hans"/>
        </w:rPr>
        <w:t>1</w:t>
      </w:r>
      <w:r>
        <w:rPr>
          <w:rFonts w:hint="eastAsia"/>
          <w:lang w:eastAsia="zh-Hans"/>
        </w:rPr>
        <w:t>）建设“智慧消防”的数据</w:t>
      </w:r>
      <w:r>
        <w:rPr>
          <w:rFonts w:hint="eastAsia"/>
        </w:rPr>
        <w:t>中台</w:t>
      </w:r>
      <w:r>
        <w:rPr>
          <w:rFonts w:hint="eastAsia"/>
          <w:lang w:eastAsia="zh-Hans"/>
        </w:rPr>
        <w:t>。通过</w:t>
      </w:r>
      <w:r>
        <w:rPr>
          <w:rFonts w:hint="eastAsia"/>
        </w:rPr>
        <w:t>数据中台建设</w:t>
      </w:r>
      <w:r>
        <w:rPr>
          <w:rFonts w:hint="eastAsia"/>
          <w:lang w:eastAsia="zh-Hans"/>
        </w:rPr>
        <w:t>为各类消防数据接入、处理、管控、服务、安全等数据治理工作提供安全的、便捷的、智能的数据治理工具支撑。</w:t>
      </w:r>
    </w:p>
    <w:p w14:paraId="524C6690">
      <w:pPr>
        <w:rPr>
          <w:rFonts w:hint="eastAsia"/>
          <w:lang w:eastAsia="zh-Hans"/>
        </w:rPr>
      </w:pPr>
      <w:r>
        <w:rPr>
          <w:rFonts w:hint="eastAsia"/>
          <w:lang w:eastAsia="zh-Hans"/>
        </w:rPr>
        <w:t>（</w:t>
      </w:r>
      <w:r>
        <w:rPr>
          <w:lang w:eastAsia="zh-Hans"/>
        </w:rPr>
        <w:t>2</w:t>
      </w:r>
      <w:r>
        <w:rPr>
          <w:rFonts w:hint="eastAsia"/>
          <w:lang w:eastAsia="zh-Hans"/>
        </w:rPr>
        <w:t>）历史数据治理迁移。通过将原消防力量云平台沉淀的消防力量、消防水源、灭火救援、消防重点单位历史数据，快速形成“智慧消防”基础数据库。</w:t>
      </w:r>
    </w:p>
    <w:p w14:paraId="65BD6DF4">
      <w:pPr>
        <w:numPr>
          <w:ilvl w:val="0"/>
          <w:numId w:val="1"/>
        </w:numPr>
        <w:rPr>
          <w:lang w:eastAsia="zh-Hans"/>
        </w:rPr>
      </w:pPr>
      <w:r>
        <w:rPr>
          <w:rFonts w:hint="eastAsia"/>
        </w:rPr>
        <w:t>系统集约化建设</w:t>
      </w:r>
      <w:r>
        <w:rPr>
          <w:rFonts w:hint="eastAsia"/>
          <w:lang w:eastAsia="zh-Hans"/>
        </w:rPr>
        <w:t>方面</w:t>
      </w:r>
    </w:p>
    <w:p w14:paraId="0517374D">
      <w:pPr>
        <w:rPr>
          <w:lang w:eastAsia="zh-Hans"/>
        </w:rPr>
      </w:pPr>
      <w:r>
        <w:rPr>
          <w:rFonts w:hint="eastAsia"/>
          <w:lang w:eastAsia="zh-Hans"/>
        </w:rPr>
        <w:t>建立贯穿三网的服务总线及相关配套能力，构建基于能力复用的松耦合架构，降低应用的发展建设的复杂度，提升应用建设对网络环境、安全要求、管理要求的适应能力，进一步实现集约化可持续发展。</w:t>
      </w:r>
    </w:p>
    <w:p w14:paraId="646E1AA5">
      <w:pPr>
        <w:numPr>
          <w:ilvl w:val="0"/>
          <w:numId w:val="1"/>
        </w:numPr>
      </w:pPr>
      <w:r>
        <w:rPr>
          <w:rFonts w:hint="eastAsia"/>
        </w:rPr>
        <w:t>社会联动方面</w:t>
      </w:r>
    </w:p>
    <w:p w14:paraId="796D35D3">
      <w:pPr>
        <w:rPr>
          <w:lang w:eastAsia="zh-Hans"/>
        </w:rPr>
      </w:pPr>
      <w:r>
        <w:rPr>
          <w:rFonts w:hint="eastAsia"/>
        </w:rPr>
        <w:t>构建社会联动能力支撑系统，在高精度地图的基础上，实现交通车道级救援规划、街景展示、人口展示功能，同交通系统对接实现“绿波护航”功能，能够通过软件系统联动社会车辆提醒对救援车辆进行避让</w:t>
      </w:r>
      <w:r>
        <w:rPr>
          <w:rFonts w:hint="eastAsia"/>
          <w:lang w:eastAsia="zh-Hans"/>
        </w:rPr>
        <w:t>。</w:t>
      </w:r>
    </w:p>
    <w:p w14:paraId="779A9A17">
      <w:pPr>
        <w:pStyle w:val="6"/>
      </w:pPr>
      <w:r>
        <w:rPr>
          <w:rFonts w:hint="eastAsia"/>
        </w:rPr>
        <w:t>3.2.4.3 保障体系信息化目标</w:t>
      </w:r>
    </w:p>
    <w:p w14:paraId="173B90B1">
      <w:pPr>
        <w:numPr>
          <w:ilvl w:val="0"/>
          <w:numId w:val="2"/>
        </w:numPr>
      </w:pPr>
      <w:r>
        <w:rPr>
          <w:rFonts w:hint="eastAsia"/>
        </w:rPr>
        <w:t>运维管理体系建设目标</w:t>
      </w:r>
    </w:p>
    <w:p w14:paraId="3D3B6BD5">
      <w:r>
        <w:rPr>
          <w:rFonts w:hint="eastAsia"/>
        </w:rPr>
        <w:t>在指挥信息网构建统一运维系统，面向指挥信息网内全要素</w:t>
      </w:r>
      <w:r>
        <w:t>IT</w:t>
      </w:r>
      <w:r>
        <w:rPr>
          <w:rFonts w:hint="eastAsia"/>
        </w:rPr>
        <w:t>设备与应用系统以及电子政务外网部署的智慧消防应用提供运维管理支撑，建立平台统一运维保障体系，促进被动运维向主动运维方式转变。</w:t>
      </w:r>
    </w:p>
    <w:p w14:paraId="53C234EE">
      <w:pPr>
        <w:numPr>
          <w:ilvl w:val="0"/>
          <w:numId w:val="2"/>
        </w:numPr>
      </w:pPr>
      <w:r>
        <w:rPr>
          <w:rFonts w:hint="eastAsia"/>
        </w:rPr>
        <w:t>技术规范体系建设目标</w:t>
      </w:r>
    </w:p>
    <w:p w14:paraId="1F362801">
      <w:r>
        <w:rPr>
          <w:rFonts w:hint="eastAsia"/>
          <w:lang w:eastAsia="zh-Hans"/>
        </w:rPr>
        <w:t>规范方面</w:t>
      </w:r>
      <w:r>
        <w:rPr>
          <w:rFonts w:hint="eastAsia"/>
        </w:rPr>
        <w:t>，建设具有科学性、系统性、先进性、可扩展性的“智慧消防”统一规范体系，用于指导、规范和服务“智慧消防”信息化建设与运行。从基础、数据、应用三个层面，建设面向全省消防队伍的“智慧消防”规范体系，包含总体技术规范、应用开发规范、应用运行支撑规范等</w:t>
      </w:r>
      <w:r>
        <w:t>11</w:t>
      </w:r>
      <w:r>
        <w:rPr>
          <w:rFonts w:hint="eastAsia"/>
        </w:rPr>
        <w:t>项规范，在未来运行过程中逐步推动规范的标准化升级。</w:t>
      </w:r>
    </w:p>
    <w:p w14:paraId="367B1EA3">
      <w:pPr>
        <w:pStyle w:val="6"/>
      </w:pPr>
      <w:r>
        <w:rPr>
          <w:rFonts w:hint="eastAsia"/>
        </w:rPr>
        <w:t>3.2.4.4 安全防护信息化目标</w:t>
      </w:r>
    </w:p>
    <w:p w14:paraId="0B5184DA">
      <w:pPr>
        <w:rPr>
          <w:rFonts w:eastAsia="简宋"/>
        </w:rPr>
      </w:pPr>
      <w:r>
        <w:rPr>
          <w:rFonts w:hint="eastAsia"/>
        </w:rPr>
        <w:t>依据网络安全等级保护、密码应用安全等相关规定要求，建立指挥信息网、电子政务外网统一安全体系，从多个层面开展安全体系建设，满足管理、基础环境、应用、数据、服务等层面的安全需求。“智慧消防”安全体系由指挥信息网和电子政务外网两部分构成，其中电子政务外网侧基础安全防护相关部分由省级政务云统一提供。网络安全保障体系的目标包括：</w:t>
      </w:r>
    </w:p>
    <w:p w14:paraId="059ECC6C">
      <w:r>
        <w:rPr>
          <w:rFonts w:hint="eastAsia"/>
        </w:rPr>
        <w:t>通过建设数据交换系统、数据总线，利用政务云的网闸，在指挥信息网、电子政务外网外网侧、电子政务外网互联网侧完成信息共享，采用安全措施实现指挥信息网与电子政务网的互联互通，支撑</w:t>
      </w:r>
      <w:r>
        <w:rPr>
          <w:rFonts w:hint="eastAsia"/>
          <w:lang w:eastAsia="zh-Hans"/>
        </w:rPr>
        <w:t>“火灾防控多元共治、应急救援科学智能、队伍管理正规精细、公众服务普惠便捷和应急通信融通可靠”的消防信息化新格局。</w:t>
      </w:r>
    </w:p>
    <w:p w14:paraId="2CB9DB22">
      <w:pPr>
        <w:rPr>
          <w:lang w:eastAsia="zh-Hans"/>
        </w:rPr>
      </w:pPr>
      <w:r>
        <w:rPr>
          <w:rFonts w:hint="eastAsia"/>
        </w:rPr>
        <w:t>合规要求、纵深防御。</w:t>
      </w:r>
      <w:r>
        <w:rPr>
          <w:rFonts w:hint="eastAsia"/>
          <w:lang w:eastAsia="zh-Hans"/>
        </w:rPr>
        <w:t>遵循网络安全法、《网络安全等级保护基本要求》</w:t>
      </w:r>
      <w:r>
        <w:rPr>
          <w:lang w:eastAsia="zh-Hans"/>
        </w:rPr>
        <w:t>GB/T22239-2019</w:t>
      </w:r>
      <w:r>
        <w:rPr>
          <w:rFonts w:hint="eastAsia"/>
          <w:lang w:eastAsia="zh-Hans"/>
        </w:rPr>
        <w:t>、《信息安全技术信息系统密码应用基本要求》</w:t>
      </w:r>
      <w:r>
        <w:rPr>
          <w:lang w:eastAsia="zh-Hans"/>
        </w:rPr>
        <w:t>GB/T39786-2021</w:t>
      </w:r>
      <w:r>
        <w:rPr>
          <w:rFonts w:hint="eastAsia"/>
          <w:lang w:eastAsia="zh-Hans"/>
        </w:rPr>
        <w:t>等相关规定，以合规要求、威胁对抗、有效防御为目标，</w:t>
      </w:r>
      <w:r>
        <w:rPr>
          <w:rFonts w:hint="eastAsia"/>
        </w:rPr>
        <w:t>总队建设合法合规、纵深防御的</w:t>
      </w:r>
      <w:r>
        <w:rPr>
          <w:rFonts w:hint="eastAsia"/>
          <w:lang w:eastAsia="zh-Hans"/>
        </w:rPr>
        <w:t>网络安全管控体系，保障</w:t>
      </w:r>
      <w:r>
        <w:rPr>
          <w:rFonts w:hint="eastAsia"/>
        </w:rPr>
        <w:t>等级保护</w:t>
      </w:r>
      <w:r>
        <w:rPr>
          <w:rFonts w:hint="eastAsia"/>
          <w:lang w:eastAsia="zh-Hans"/>
        </w:rPr>
        <w:t>三级信息系统。该</w:t>
      </w:r>
      <w:r>
        <w:rPr>
          <w:rFonts w:hint="eastAsia"/>
        </w:rPr>
        <w:t>体系</w:t>
      </w:r>
      <w:r>
        <w:rPr>
          <w:rFonts w:hint="eastAsia"/>
          <w:lang w:eastAsia="zh-Hans"/>
        </w:rPr>
        <w:t>综合运用信息安全、大数据分析和密码技术，建设覆盖用户、终端、网络、应用、数据等方面的安全防护机制，统一身份认证体系、密码保护体系</w:t>
      </w:r>
      <w:r>
        <w:rPr>
          <w:rFonts w:hint="eastAsia"/>
        </w:rPr>
        <w:t>、</w:t>
      </w:r>
      <w:r>
        <w:rPr>
          <w:rFonts w:hint="eastAsia"/>
          <w:lang w:eastAsia="zh-Hans"/>
        </w:rPr>
        <w:t>安全保障体系。在</w:t>
      </w:r>
      <w:r>
        <w:rPr>
          <w:rFonts w:hint="eastAsia"/>
          <w:lang w:eastAsia="zh-CN"/>
        </w:rPr>
        <w:t>XXX</w:t>
      </w:r>
      <w:r>
        <w:rPr>
          <w:rFonts w:hint="eastAsia"/>
          <w:lang w:eastAsia="zh-Hans"/>
        </w:rPr>
        <w:t>消防指挥</w:t>
      </w:r>
      <w:r>
        <w:rPr>
          <w:rFonts w:hint="eastAsia"/>
        </w:rPr>
        <w:t>信息</w:t>
      </w:r>
      <w:r>
        <w:rPr>
          <w:rFonts w:hint="eastAsia"/>
          <w:lang w:eastAsia="zh-Hans"/>
        </w:rPr>
        <w:t>网，围绕系统设计、建设、运行阶段，同步实施信息化系统基础安全能力建设、网络安全保障系统建设</w:t>
      </w:r>
      <w:r>
        <w:rPr>
          <w:rFonts w:hint="eastAsia"/>
        </w:rPr>
        <w:t>。在电子政务外网，充分利用政务云提供的各项安全能力，实现等级保护与密码应用相关要求。</w:t>
      </w:r>
    </w:p>
    <w:p w14:paraId="65065142">
      <w:r>
        <w:rPr>
          <w:rFonts w:hint="eastAsia"/>
          <w:lang w:eastAsia="zh-Hans"/>
        </w:rPr>
        <w:t>主动防御、安全韧性</w:t>
      </w:r>
      <w:r>
        <w:rPr>
          <w:rFonts w:hint="eastAsia"/>
        </w:rPr>
        <w:t>。基于“一个中心”（管理中心）管理下的“三重保护”（计算环境安全、区域边界安全、网络通信安全）的安全理论。建设业务安全管理系统，保障消防业务网络安全可用可管，实现事前可防、事中可控、事后可查。建立健全安全管理规范，开展安全运营，实现“智慧消防”全要素管理、全流程监控、动态安全态势感知，确保可信可管可控。</w:t>
      </w:r>
    </w:p>
    <w:p w14:paraId="0A4CA2C1">
      <w:pPr>
        <w:pStyle w:val="6"/>
      </w:pPr>
      <w:r>
        <w:rPr>
          <w:rFonts w:hint="eastAsia"/>
        </w:rPr>
        <w:t>3.2.4.5 应用系统信息化目标</w:t>
      </w:r>
    </w:p>
    <w:p w14:paraId="7B3786CF">
      <w:r>
        <w:rPr>
          <w:rFonts w:hint="eastAsia"/>
        </w:rPr>
        <w:t>建设完善消防应用系统，主要是提供一致性的全业务领域覆盖的应用系统，围绕火灾防控、灭火救援、队伍管理、综合保障四大业务域，建设“智慧消防”四大业务系统，以新一代信息化技术应用和数据汇聚融合为核心，强化顶层设计和过程管控，重构优化消防感知网络、基础通信网、数据应用支撑、业务应用体系，推动形成服务为本、能力开放、数据驱动、一体融通的消防特色信息化新架构，有效支撑全省消防业务管理和分析决策需求。</w:t>
      </w:r>
    </w:p>
    <w:p w14:paraId="20FE782C">
      <w:pPr>
        <w:numPr>
          <w:ilvl w:val="0"/>
          <w:numId w:val="3"/>
        </w:numPr>
        <w:ind w:left="420" w:firstLine="60" w:firstLineChars="25"/>
        <w:rPr>
          <w:b/>
        </w:rPr>
      </w:pPr>
      <w:r>
        <w:rPr>
          <w:rFonts w:hint="eastAsia"/>
        </w:rPr>
        <w:t>火灾防控信息化目标</w:t>
      </w:r>
    </w:p>
    <w:p w14:paraId="1CBCDAF7">
      <w:pPr>
        <w:rPr>
          <w:highlight w:val="yellow"/>
        </w:rPr>
      </w:pPr>
      <w:r>
        <w:rPr>
          <w:rFonts w:hint="eastAsia"/>
        </w:rPr>
        <w:t>围绕火灾防控各责任主体防控工作需求，汇聚经过治理的火灾防控动静态业务数据，综合运用物联网、大数据、云计算等信息化技术和火灾防控治理相关科学模型，为决策指挥领导提供防控决策辅助指挥棒、为各级消防救援队伍监管力量、政府行业部门消防安全管理力量、各类型社会单位提供防控协同工作台，构建“用数据研判评估、用数据预知预警、用数据辅助决策、用数据加强协同”的火灾防控工作新机制。</w:t>
      </w:r>
    </w:p>
    <w:p w14:paraId="5B0A65E7">
      <w:r>
        <w:rPr>
          <w:rFonts w:hint="eastAsia"/>
        </w:rPr>
        <w:t>为省消防救援总队防火监督处室、</w:t>
      </w:r>
      <w:r>
        <w:rPr>
          <w:rFonts w:hint="eastAsia" w:ascii="宋体" w:hAnsi="宋体" w:cs="仿宋"/>
        </w:rPr>
        <w:t>省市县和消防所共四级消防防火机构、</w:t>
      </w:r>
      <w:r>
        <w:rPr>
          <w:rFonts w:hint="eastAsia"/>
        </w:rPr>
        <w:t>政府行业部门等提供辅助工具和抓手，辅助</w:t>
      </w:r>
      <w:r>
        <w:rPr>
          <w:rFonts w:hint="eastAsia" w:ascii="仿宋" w:hAnsi="仿宋" w:cs="仿宋"/>
        </w:rPr>
        <w:t>各消防责任主体对辖区各单位整体消防安全隐患进行宏观掌控，并掌握隐患数据，对社会单位的安全监督管理，</w:t>
      </w:r>
      <w:r>
        <w:rPr>
          <w:rFonts w:hint="eastAsia"/>
        </w:rPr>
        <w:t>解决</w:t>
      </w:r>
      <w:r>
        <w:rPr>
          <w:rFonts w:hint="eastAsia" w:ascii="仿宋" w:hAnsi="仿宋" w:cs="仿宋"/>
        </w:rPr>
        <w:t>全省防控相关数据汇聚不全面、不及时、不精准，缺少科学的、实时的区域风险评估手段，全省火灾防控宏观把控不足，缺少针对省内各地市火灾防控工作执行不力、处置不及时问题的有效干预手段和工具等问题。</w:t>
      </w:r>
    </w:p>
    <w:p w14:paraId="23421739">
      <w:pPr>
        <w:numPr>
          <w:ilvl w:val="0"/>
          <w:numId w:val="3"/>
        </w:numPr>
        <w:ind w:left="420" w:firstLine="60" w:firstLineChars="25"/>
        <w:rPr>
          <w:b/>
        </w:rPr>
      </w:pPr>
      <w:r>
        <w:rPr>
          <w:rFonts w:hint="eastAsia"/>
        </w:rPr>
        <w:t>灭火救援信息化目标</w:t>
      </w:r>
    </w:p>
    <w:p w14:paraId="702040A8">
      <w:r>
        <w:rPr>
          <w:rFonts w:hint="eastAsia"/>
        </w:rPr>
        <w:t>灭火救援方面，通过全省灭火救援态势感知、智能指挥系统增强版、智能接处警、联勤联动力量调派应用建设，建立智能语义识别、力量精准调派等数字化救援能力，落实消防救援局灭火救援“一短三快”能力要求。</w:t>
      </w:r>
    </w:p>
    <w:p w14:paraId="0498C476">
      <w:pPr>
        <w:numPr>
          <w:ilvl w:val="0"/>
          <w:numId w:val="4"/>
        </w:numPr>
      </w:pPr>
      <w:r>
        <w:rPr>
          <w:rFonts w:hint="eastAsia"/>
        </w:rPr>
        <w:t>为省消防总队指挥中心建设全省灭火救援态势感知建设，对全省实时救援基础信息、战备执勤、全省救援指挥、火灾分布热力等进行直观了解；</w:t>
      </w:r>
    </w:p>
    <w:p w14:paraId="34C7BA9F">
      <w:pPr>
        <w:numPr>
          <w:ilvl w:val="0"/>
          <w:numId w:val="4"/>
        </w:numPr>
      </w:pPr>
      <w:r>
        <w:rPr>
          <w:rFonts w:hint="eastAsia"/>
        </w:rPr>
        <w:t>全省统筹建设智能接处警应用，在“两地三中心”构想的基础上，</w:t>
      </w:r>
      <w:r>
        <w:rPr>
          <w:rFonts w:hint="eastAsia"/>
          <w:color w:val="000000"/>
        </w:rPr>
        <w:t>总队统一建设接处警软件、数据汇聚中心和统一外围接口，将软件配发给各支队，各支队自行建设话务语音接入；总队预留话务中心接口，作为各支队的灾备，当中队话务中断时，总队快速接入，进行接警；</w:t>
      </w:r>
      <w:r>
        <w:rPr>
          <w:rFonts w:hint="eastAsia"/>
        </w:rPr>
        <w:t>辅助各消防支队接警和调派消防大队、消防队（站）、企事业专职消防队、消防车辆、物资等；</w:t>
      </w:r>
    </w:p>
    <w:p w14:paraId="5E630EB8">
      <w:pPr>
        <w:numPr>
          <w:ilvl w:val="0"/>
          <w:numId w:val="4"/>
        </w:numPr>
      </w:pPr>
      <w:r>
        <w:rPr>
          <w:rFonts w:hint="eastAsia"/>
        </w:rPr>
        <w:t>为</w:t>
      </w:r>
      <w:r>
        <w:rPr>
          <w:rFonts w:hint="eastAsia"/>
          <w:lang w:eastAsia="zh-CN"/>
        </w:rPr>
        <w:t>XXX</w:t>
      </w:r>
      <w:r>
        <w:rPr>
          <w:rFonts w:hint="eastAsia"/>
        </w:rPr>
        <w:t>全省消防指挥建设智能指挥增强版，针对地质灾害、自然灾害、城市灭火救援的综合指挥模式，在目前已建成的智能指挥系统的基础上，应用大数据、人工智能等技术，推动智能指挥平台向</w:t>
      </w:r>
      <w:r>
        <w:t>“</w:t>
      </w:r>
      <w:r>
        <w:rPr>
          <w:rFonts w:hint="eastAsia"/>
        </w:rPr>
        <w:t>智能化</w:t>
      </w:r>
      <w:r>
        <w:t>”</w:t>
      </w:r>
      <w:r>
        <w:rPr>
          <w:rFonts w:hint="eastAsia"/>
        </w:rPr>
        <w:t>、</w:t>
      </w:r>
      <w:r>
        <w:t>“</w:t>
      </w:r>
      <w:r>
        <w:rPr>
          <w:rFonts w:hint="eastAsia"/>
        </w:rPr>
        <w:t>全灾种</w:t>
      </w:r>
      <w:r>
        <w:t>”</w:t>
      </w:r>
      <w:r>
        <w:rPr>
          <w:rFonts w:hint="eastAsia"/>
        </w:rPr>
        <w:t>需求升级演变；</w:t>
      </w:r>
    </w:p>
    <w:p w14:paraId="5DFDFB92">
      <w:pPr>
        <w:numPr>
          <w:ilvl w:val="0"/>
          <w:numId w:val="4"/>
        </w:numPr>
      </w:pPr>
      <w:r>
        <w:rPr>
          <w:rFonts w:hint="eastAsia"/>
        </w:rPr>
        <w:t>为全省联动力量建设联勤联动力量调度管理应用，辅助其参与救援工作。</w:t>
      </w:r>
    </w:p>
    <w:p w14:paraId="147136EA">
      <w:pPr>
        <w:numPr>
          <w:ilvl w:val="0"/>
          <w:numId w:val="3"/>
        </w:numPr>
        <w:ind w:left="420" w:firstLine="60" w:firstLineChars="25"/>
        <w:rPr>
          <w:b/>
        </w:rPr>
      </w:pPr>
      <w:r>
        <w:rPr>
          <w:rFonts w:hint="eastAsia"/>
        </w:rPr>
        <w:t>队伍管理信息化目标</w:t>
      </w:r>
    </w:p>
    <w:p w14:paraId="3C5FDACC">
      <w:r>
        <w:rPr>
          <w:rFonts w:hint="eastAsia"/>
        </w:rPr>
        <w:t>队伍管理方面，通过建立智慧队站管理应用，对消防队站进行精细化管理，打造正规化、信息化和智能化管理工作于一体的消防站智能化管理体系，提升作战、管理、教育效能。</w:t>
      </w:r>
    </w:p>
    <w:p w14:paraId="6DE4024E">
      <w:pPr>
        <w:numPr>
          <w:ilvl w:val="0"/>
          <w:numId w:val="3"/>
        </w:numPr>
        <w:ind w:left="420" w:firstLine="60" w:firstLineChars="25"/>
      </w:pPr>
      <w:r>
        <w:rPr>
          <w:rFonts w:hint="eastAsia"/>
        </w:rPr>
        <w:t>综合保障信息化目标</w:t>
      </w:r>
    </w:p>
    <w:p w14:paraId="3BBA765B">
      <w:r>
        <w:rPr>
          <w:rFonts w:hint="eastAsia"/>
        </w:rPr>
        <w:t>综合保障方面，通过建立面向公众的服务应用，实现消防社会业务的有效归集，打通消防隐患举报与处置流程。</w:t>
      </w:r>
    </w:p>
    <w:p w14:paraId="6F691129">
      <w:pPr>
        <w:numPr>
          <w:ilvl w:val="0"/>
          <w:numId w:val="5"/>
        </w:numPr>
      </w:pPr>
      <w:r>
        <w:rPr>
          <w:rFonts w:hint="eastAsia"/>
        </w:rPr>
        <w:t>建设公众服务应用，为公众提供政务信息查询、消防安全隐患举报、</w:t>
      </w:r>
      <w:r>
        <w:t>119</w:t>
      </w:r>
      <w:r>
        <w:rPr>
          <w:rFonts w:hint="eastAsia"/>
        </w:rPr>
        <w:t>报警、消防知识查询等功能的统一入口；</w:t>
      </w:r>
    </w:p>
    <w:p w14:paraId="7C62C780">
      <w:pPr>
        <w:numPr>
          <w:ilvl w:val="0"/>
          <w:numId w:val="5"/>
        </w:numPr>
      </w:pPr>
      <w:r>
        <w:rPr>
          <w:rFonts w:hint="eastAsia"/>
        </w:rPr>
        <w:t>通过建立装备智能化管理应用，实现装备、物资、车辆等智能化管理，进而实现对全省消防装备的统一管理与智能调配。实现对装备、物资、车辆等数据精准采集，并在支队、总队之间可顺畅传输；并且能够对装备、物资、车辆等采集数据进行智能分析，为决策分析、后续采购等提供辅助参考。</w:t>
      </w:r>
    </w:p>
    <w:p w14:paraId="19DD25D1">
      <w:pPr>
        <w:spacing w:before="240" w:after="240"/>
        <w:ind w:firstLine="0" w:firstLineChars="0"/>
        <w:jc w:val="left"/>
        <w:outlineLvl w:val="1"/>
        <w:rPr>
          <w:rFonts w:ascii="黑体" w:hAnsi="黑体" w:eastAsia="黑体"/>
          <w:kern w:val="0"/>
          <w:sz w:val="36"/>
          <w:szCs w:val="36"/>
        </w:rPr>
      </w:pPr>
      <w:bookmarkStart w:id="2" w:name="_Toc17077"/>
      <w:r>
        <w:rPr>
          <w:rFonts w:hint="eastAsia" w:ascii="黑体" w:hAnsi="黑体" w:eastAsia="黑体"/>
          <w:kern w:val="0"/>
          <w:sz w:val="36"/>
          <w:szCs w:val="36"/>
        </w:rPr>
        <w:t>3.3需求分析</w:t>
      </w:r>
      <w:bookmarkEnd w:id="2"/>
    </w:p>
    <w:p w14:paraId="0388CA11">
      <w:pPr>
        <w:pStyle w:val="5"/>
      </w:pPr>
      <w:bookmarkStart w:id="3" w:name="_Toc31106"/>
      <w:r>
        <w:rPr>
          <w:rFonts w:hint="eastAsia"/>
        </w:rPr>
        <w:t>3.3.1业务需求和流程分析</w:t>
      </w:r>
      <w:bookmarkEnd w:id="3"/>
    </w:p>
    <w:p w14:paraId="27D5C443">
      <w:pPr>
        <w:pStyle w:val="4"/>
        <w:ind w:firstLine="480"/>
      </w:pPr>
      <w:r>
        <w:rPr>
          <w:rFonts w:hint="eastAsia"/>
        </w:rPr>
        <w:t>在前面已经叙述过消防按职能分为四个业务板块进行建设，结合当前情况进行系统建设，提高消防工作效率。</w:t>
      </w:r>
    </w:p>
    <w:p w14:paraId="41F6AEA4">
      <w:pPr>
        <w:pStyle w:val="4"/>
        <w:ind w:firstLine="480"/>
      </w:pPr>
      <w:r>
        <w:rPr>
          <w:rFonts w:hint="eastAsia"/>
          <w:color w:val="FF0000"/>
        </w:rPr>
        <w:t>火灾防控业务，</w:t>
      </w:r>
      <w:r>
        <w:rPr>
          <w:rFonts w:hint="eastAsia"/>
        </w:rPr>
        <w:t>由社会单位消防管理数据、消防监督管理数据、火灾风险评估数据等内部数据，和全省社会单位数据等外部数据支撑，社会单位及建筑数据、物联网监测数据、火灾隐患数据等同时支撑火灾防控业务和灭火救援业务；全省气象历史信息、实时信息、气象预警信息等外部数据，支撑火灾防控的风险评估和灭火救援的指挥工作。火灾防控业务将消防安全责任落实情况和动态风险评估情况向灭火救援业务同步，向综合保障业务同步新闻宣传素材。</w:t>
      </w:r>
    </w:p>
    <w:p w14:paraId="43063806">
      <w:pPr>
        <w:pStyle w:val="4"/>
        <w:ind w:firstLine="480"/>
      </w:pPr>
      <w:r>
        <w:rPr>
          <w:rFonts w:hint="eastAsia"/>
        </w:rPr>
        <w:t>灭火救援业务，由警情数据、预案与战例数据、战评数据等数据支撑，社会单位及建筑数据、物联网监测数据、火灾隐患数据等同时支撑灭火救援业务同时支撑火灾防控业务；天网视频、交通流量、红绿灯控制信息，社会应急力量队伍信息、各部门应急预案信息、重大危险源分布多种救援设备分布和数量信息等外部数据，支撑灭火救援业务中的接处警和救援指挥等工作。灭火救援业务接受火灾防控业务的消防责任落实和动态风险评估情况，向火灾防控业务同步接处警和救援情况。灭火救援业务接收综合保障业务的装备物资保障情况，向综合保障业务同步新闻宣传素材，接收队伍管理业务的干部、人员技能特长情况等数据。</w:t>
      </w:r>
    </w:p>
    <w:p w14:paraId="4B31A894">
      <w:pPr>
        <w:rPr>
          <w:rFonts w:hint="eastAsia"/>
        </w:rPr>
      </w:pPr>
      <w:r>
        <w:rPr>
          <w:rFonts w:hint="eastAsia"/>
        </w:rPr>
        <w:t>队伍管理业务，由人员管理数据、营房数据、战备秩序数据、工作秩序数据、训练秩序数据、生活秩序数据等数据支撑。在队伍管理过程中，车辆使用情况、物资使用情况等同综合保障业务同步，并向综合保障业务提供新闻宣传素材，同时接收灭火救援的救援情况和战评情况。</w:t>
      </w:r>
    </w:p>
    <w:p w14:paraId="5848E7EF">
      <w:pPr>
        <w:rPr>
          <w:rFonts w:hint="eastAsia"/>
        </w:rPr>
      </w:pPr>
      <w:r>
        <w:rPr>
          <w:rFonts w:hint="eastAsia"/>
        </w:rPr>
        <w:t>综合保障业务，由公众服务数据、新闻宣传数据、车辆数据、装备物资数据支撑综合保障业务。综合保障业务接收的隐患举报数据，向火灾防控业务同步；接收火灾防控业务、灭火救援业务、队伍管理业务的同步的新闻宣传素材，接收队伍管理业务的车辆及物资的应用情况。</w:t>
      </w:r>
    </w:p>
    <w:p w14:paraId="37E81778">
      <w:pPr>
        <w:pStyle w:val="15"/>
      </w:pPr>
      <w:r>
        <w:object>
          <v:shape id="_x0000_i1025" o:spt="75" type="#_x0000_t75" style="height:329pt;width:459.95pt;" o:ole="t" filled="f" o:preferrelative="t" stroked="f" coordsize="21600,21600">
            <v:path/>
            <v:fill on="f" focussize="0,0"/>
            <v:stroke on="f"/>
            <v:imagedata r:id="rId7" o:title=""/>
            <o:lock v:ext="edit" aspectratio="t"/>
            <w10:wrap type="none"/>
            <w10:anchorlock/>
          </v:shape>
          <o:OLEObject Type="Embed" ProgID="Visio.Drawing.11" ShapeID="_x0000_i1025" DrawAspect="Content" ObjectID="_1468075725" r:id="rId6">
            <o:LockedField>false</o:LockedField>
          </o:OLEObject>
        </w:object>
      </w:r>
      <w:r>
        <w:rPr>
          <w:rFonts w:hint="eastAsia" w:ascii="黑体" w:hAnsi="黑体" w:cs="黑体"/>
        </w:rPr>
        <w:t>图3-5 业务需求流程示意图</w:t>
      </w:r>
    </w:p>
    <w:p w14:paraId="180C443E">
      <w:pPr>
        <w:pStyle w:val="6"/>
      </w:pPr>
      <w:r>
        <w:rPr>
          <w:rFonts w:hint="eastAsia"/>
        </w:rPr>
        <w:t>3.3.1.1火灾防控业务</w:t>
      </w:r>
    </w:p>
    <w:p w14:paraId="0D3C281D">
      <w:pPr>
        <w:widowControl/>
        <w:spacing w:after="120"/>
        <w:rPr>
          <w:kern w:val="0"/>
          <w:szCs w:val="20"/>
        </w:rPr>
      </w:pPr>
      <w:r>
        <w:rPr>
          <w:rFonts w:hint="eastAsia"/>
          <w:kern w:val="0"/>
          <w:szCs w:val="20"/>
        </w:rPr>
        <w:t>火灾防控工作的核心是要能防住火灾风险、隐患，控住初起火情，降低全省社会面起火成灾概率。根据《中华人民共和国消防法》和《</w:t>
      </w:r>
      <w:r>
        <w:rPr>
          <w:rFonts w:hint="eastAsia"/>
          <w:kern w:val="0"/>
          <w:szCs w:val="20"/>
          <w:lang w:eastAsia="zh-CN"/>
        </w:rPr>
        <w:t>XXX</w:t>
      </w:r>
      <w:r>
        <w:rPr>
          <w:rFonts w:hint="eastAsia"/>
          <w:kern w:val="0"/>
          <w:szCs w:val="20"/>
        </w:rPr>
        <w:t>省消防安全责任制实施办法》要求，履行</w:t>
      </w:r>
      <w:r>
        <w:rPr>
          <w:rFonts w:hint="eastAsia"/>
          <w:kern w:val="0"/>
          <w:szCs w:val="20"/>
          <w:lang w:eastAsia="zh-CN"/>
        </w:rPr>
        <w:t>XXX</w:t>
      </w:r>
      <w:r>
        <w:rPr>
          <w:rFonts w:hint="eastAsia"/>
          <w:kern w:val="0"/>
          <w:szCs w:val="20"/>
        </w:rPr>
        <w:t>省火灾防控工作的主体包括</w:t>
      </w:r>
      <w:r>
        <w:rPr>
          <w:rFonts w:hint="eastAsia"/>
          <w:kern w:val="0"/>
          <w:szCs w:val="20"/>
          <w:lang w:eastAsia="zh-CN"/>
        </w:rPr>
        <w:t>XXX</w:t>
      </w:r>
      <w:r>
        <w:rPr>
          <w:rFonts w:hint="eastAsia"/>
          <w:kern w:val="0"/>
          <w:szCs w:val="20"/>
        </w:rPr>
        <w:t>省各级政府、行业部门、</w:t>
      </w:r>
      <w:r>
        <w:rPr>
          <w:rFonts w:hint="eastAsia"/>
          <w:kern w:val="0"/>
          <w:szCs w:val="20"/>
          <w:lang w:eastAsia="zh-CN"/>
        </w:rPr>
        <w:t>XXX</w:t>
      </w:r>
      <w:r>
        <w:rPr>
          <w:rFonts w:hint="eastAsia"/>
          <w:kern w:val="0"/>
          <w:szCs w:val="20"/>
        </w:rPr>
        <w:t>省各级消防救援队伍、各类型社会单位和社会公众。根据国家消防救援局《国家综合性消防救援队伍2023年工作要点》，关于“加快推进‘智慧消防’和物联感知建设，汇集行业部门数据资源，构建消防监管大数据库，积极应用视频监控、大数据分析、人工智能等技术，提升风险防控、监测预警能力和监管执法精准性”的要求，本次将充分运用智能化技术连接起各类消防安全责任主体并对火灾防控业务协同的各环节进行流程再造，具体设计如下：</w:t>
      </w:r>
    </w:p>
    <w:p w14:paraId="1A3E7136">
      <w:pPr>
        <w:pStyle w:val="2"/>
        <w:ind w:firstLine="0" w:firstLineChars="0"/>
      </w:pPr>
      <w:r>
        <w:object>
          <v:shape id="_x0000_i1026" o:spt="75" type="#_x0000_t75" style="height:414.45pt;width:413.9pt;" o:ole="t" filled="f" stroked="f" coordsize="21600,21600">
            <v:path/>
            <v:fill on="f" focussize="0,0"/>
            <v:stroke on="f"/>
            <v:imagedata r:id="rId9" o:title=""/>
            <o:lock v:ext="edit" aspectratio="t"/>
            <w10:wrap type="none"/>
            <w10:anchorlock/>
          </v:shape>
          <o:OLEObject Type="Embed" ProgID="Visio.Drawing.11" ShapeID="_x0000_i1026" DrawAspect="Content" ObjectID="_1468075726" r:id="rId8">
            <o:LockedField>false</o:LockedField>
          </o:OLEObject>
        </w:object>
      </w:r>
    </w:p>
    <w:p w14:paraId="416FC4A1">
      <w:pPr>
        <w:pStyle w:val="15"/>
      </w:pPr>
      <w:r>
        <w:rPr>
          <w:rFonts w:hint="eastAsia" w:ascii="黑体" w:hAnsi="黑体" w:cs="黑体"/>
        </w:rPr>
        <w:t xml:space="preserve">图3-6 </w:t>
      </w:r>
      <w:r>
        <w:rPr>
          <w:rFonts w:hint="eastAsia"/>
        </w:rPr>
        <w:t>火灾防控业务流程</w:t>
      </w:r>
    </w:p>
    <w:p w14:paraId="6363BB92">
      <w:pPr>
        <w:pStyle w:val="7"/>
      </w:pPr>
      <w:r>
        <w:t>3.</w:t>
      </w:r>
      <w:r>
        <w:rPr>
          <w:rFonts w:hint="eastAsia"/>
        </w:rPr>
        <w:t>3</w:t>
      </w:r>
      <w:r>
        <w:t>.1.1.1</w:t>
      </w:r>
      <w:r>
        <w:rPr>
          <w:rFonts w:hint="eastAsia"/>
        </w:rPr>
        <w:t>全省火灾防控态势研判工作</w:t>
      </w:r>
    </w:p>
    <w:p w14:paraId="71472380">
      <w:pPr>
        <w:widowControl/>
      </w:pPr>
      <w:r>
        <w:rPr>
          <w:rFonts w:hint="eastAsia"/>
        </w:rPr>
        <w:t>场景描述：全省的火灾防控形势分析工作的主要参与者包括国家消防救援局防火处人员、省消防救援总队防火处人员、市消防救援支队防火监督人员以及区县消防救援大队防火监督人员。总队防火处用户、支队防火监督用户和区县大队防火监督用户基于共同、准确的防控工作数据源，以全省通用的区域火灾风险评估方法为支撑，分别对辖区进行量化风险分析，帮助防火监督部门领导从宏观维度掌握辖区整体火灾防控形势和防控工作薄弱点。同时，对火灾防控工作涉及到细分工作进行分析，从微观上了解每一项工作落实情况。当总队级人员发现各地市、区县防控工作的薄弱环节时，进行干预指导。按照国家消防救援局要求，按期制作全省火灾防控形势分析报告并报送给国家消防救援局防火处。</w:t>
      </w:r>
    </w:p>
    <w:p w14:paraId="7F8F50B9">
      <w:pPr>
        <w:widowControl/>
        <w:spacing w:after="120"/>
        <w:rPr>
          <w:kern w:val="0"/>
          <w:szCs w:val="20"/>
        </w:rPr>
      </w:pPr>
      <w:r>
        <w:rPr>
          <w:kern w:val="0"/>
          <w:szCs w:val="20"/>
        </w:rPr>
        <w:t>具体的业务需求如下：</w:t>
      </w:r>
    </w:p>
    <w:p w14:paraId="5FD44A0C">
      <w:pPr>
        <w:widowControl/>
        <w:numPr>
          <w:ilvl w:val="0"/>
          <w:numId w:val="6"/>
        </w:numPr>
        <w:spacing w:after="120"/>
        <w:ind w:firstLineChars="0"/>
        <w:rPr>
          <w:kern w:val="0"/>
          <w:szCs w:val="20"/>
        </w:rPr>
      </w:pPr>
      <w:r>
        <w:rPr>
          <w:rFonts w:hint="eastAsia"/>
          <w:kern w:val="0"/>
          <w:szCs w:val="20"/>
        </w:rPr>
        <w:t>火灾防控形势分析报告制作</w:t>
      </w:r>
    </w:p>
    <w:p w14:paraId="2B87859E">
      <w:r>
        <w:rPr>
          <w:rFonts w:hint="eastAsia"/>
        </w:rPr>
        <w:t>省消防救援总队防火处人员和市消防救援支队防火监督人员汇总区域火灾防控数据，结合区域火灾风险评估给出的分析报告，制作对应的区域火灾防控形势分析报告并由总队防火处报送至国家消防救援局防火处。</w:t>
      </w:r>
    </w:p>
    <w:p w14:paraId="0737AAB6">
      <w:pPr>
        <w:widowControl/>
        <w:numPr>
          <w:ilvl w:val="0"/>
          <w:numId w:val="6"/>
        </w:numPr>
        <w:spacing w:after="120"/>
        <w:ind w:firstLineChars="0"/>
        <w:rPr>
          <w:kern w:val="0"/>
          <w:szCs w:val="20"/>
        </w:rPr>
      </w:pPr>
      <w:r>
        <w:rPr>
          <w:rFonts w:hint="eastAsia"/>
          <w:kern w:val="0"/>
          <w:szCs w:val="20"/>
        </w:rPr>
        <w:t>区域火灾风险评估</w:t>
      </w:r>
    </w:p>
    <w:p w14:paraId="7D7E8938">
      <w:r>
        <w:rPr>
          <w:rFonts w:hint="eastAsia"/>
        </w:rPr>
        <w:t>制定全省通用的火灾风险评估方法，收集风险评估所需的相关动静态数据并进行区域和单体建筑消防安全风险量化评估。通过对量化分析结果进行分析对比，找出全身范围内火灾风险较高的城市及其对应的防控薄弱环节。</w:t>
      </w:r>
    </w:p>
    <w:p w14:paraId="77D3DDC9">
      <w:pPr>
        <w:widowControl/>
        <w:numPr>
          <w:ilvl w:val="0"/>
          <w:numId w:val="6"/>
        </w:numPr>
        <w:spacing w:after="120"/>
        <w:ind w:firstLineChars="0"/>
        <w:rPr>
          <w:kern w:val="0"/>
          <w:szCs w:val="20"/>
        </w:rPr>
      </w:pPr>
      <w:r>
        <w:rPr>
          <w:rFonts w:hint="eastAsia"/>
          <w:kern w:val="0"/>
          <w:szCs w:val="20"/>
        </w:rPr>
        <w:t>全省火灾防控细项工作分析</w:t>
      </w:r>
    </w:p>
    <w:p w14:paraId="6DBC9ACF">
      <w:r>
        <w:rPr>
          <w:rFonts w:hint="eastAsia"/>
        </w:rPr>
        <w:t>按照不同维度汇总分析全省火灾隐患、监督管理、历史火灾、火灾调查、行业部门消防工作落实以及社会单位和技术服务机构消防工作落实情况等动静态数据，并针对每一项工作进行数据分析，掌握全省火灾防控工作落实情况。</w:t>
      </w:r>
    </w:p>
    <w:p w14:paraId="794D78D2">
      <w:pPr>
        <w:widowControl/>
        <w:numPr>
          <w:ilvl w:val="0"/>
          <w:numId w:val="6"/>
        </w:numPr>
        <w:spacing w:after="120"/>
        <w:ind w:firstLineChars="0"/>
        <w:rPr>
          <w:kern w:val="0"/>
          <w:szCs w:val="20"/>
        </w:rPr>
      </w:pPr>
      <w:r>
        <w:rPr>
          <w:rFonts w:hint="eastAsia"/>
          <w:kern w:val="0"/>
          <w:szCs w:val="20"/>
        </w:rPr>
        <w:t>行业主管部门年度消防工作评价</w:t>
      </w:r>
    </w:p>
    <w:p w14:paraId="32C28351">
      <w:r>
        <w:rPr>
          <w:rFonts w:hint="eastAsia"/>
        </w:rPr>
        <w:t>省、市、区县三级消防救援队伍防火监督人员汇总年度内同级行业主管部门消防工作落实情况，并对其年度工作进行评价打分。</w:t>
      </w:r>
    </w:p>
    <w:p w14:paraId="562242CB">
      <w:pPr>
        <w:widowControl/>
        <w:spacing w:after="120"/>
        <w:rPr>
          <w:kern w:val="0"/>
          <w:szCs w:val="20"/>
        </w:rPr>
      </w:pPr>
      <w:r>
        <w:rPr>
          <w:kern w:val="0"/>
          <w:szCs w:val="20"/>
        </w:rPr>
        <w:t>（</w:t>
      </w:r>
      <w:r>
        <w:rPr>
          <w:rFonts w:hint="eastAsia"/>
          <w:kern w:val="0"/>
          <w:szCs w:val="20"/>
        </w:rPr>
        <w:t>5</w:t>
      </w:r>
      <w:r>
        <w:rPr>
          <w:kern w:val="0"/>
          <w:szCs w:val="20"/>
        </w:rPr>
        <w:t>）</w:t>
      </w:r>
      <w:r>
        <w:rPr>
          <w:rFonts w:hint="eastAsia"/>
          <w:kern w:val="0"/>
          <w:szCs w:val="20"/>
        </w:rPr>
        <w:t>防控薄弱环节纠正</w:t>
      </w:r>
    </w:p>
    <w:p w14:paraId="5B6D2E55">
      <w:r>
        <w:t>省消防救援总队</w:t>
      </w:r>
      <w:r>
        <w:rPr>
          <w:rFonts w:hint="eastAsia"/>
        </w:rPr>
        <w:t>防火处人员结合宏观风险评估和防控细项工作对比，发现当前省内各地市支队和各区县大队火灾防控工作的薄弱环节，并给出针对性的干预指令，下发至对应支大队，实现全省火灾防控分析结果的实战应用。</w:t>
      </w:r>
    </w:p>
    <w:p w14:paraId="7C1C6DA0">
      <w:pPr>
        <w:pStyle w:val="7"/>
        <w:rPr>
          <w:rFonts w:hint="eastAsia"/>
        </w:rPr>
      </w:pPr>
      <w:r>
        <w:t>3.4.1.1.2</w:t>
      </w:r>
      <w:r>
        <w:rPr>
          <w:rFonts w:hint="eastAsia"/>
        </w:rPr>
        <w:t>监督执法工作</w:t>
      </w:r>
    </w:p>
    <w:p w14:paraId="30E74E8E">
      <w:r>
        <w:rPr>
          <w:rFonts w:hint="eastAsia"/>
        </w:rPr>
        <w:t>业务场景描述：消防监督执法工作的主要参与者包括国家消防救援局防火处人员、省消防救援总队防火处人员、市消防救援支队防火监督人员、区县消防救援大队防火监督人员、镇街消防所人员、公安派出所消防监督人员、行业主管部门人员、社会单位人员以及城市合规运行监测中心监测值守人员。其中城市合规运行监测中心是为了应对全省海量的社会单位或公共消防设施监测数据处理及不合规运行分析而设置的第三方监测中心。社会单位主要是作为被检查对象，一方面做好自身消防安全管理工作另一方面接受政府各类消防监管力量的监督检查并针对检查发现的问题进行及时整改。国家消防救援局防火处人员主要以接收各省消防救援队伍监督检查工作执行情况并根据全国火灾防控形势分析、重大舆情、重特大火灾情况等制定临时性专项整治任务下发至各省。</w:t>
      </w:r>
      <w:r>
        <w:t>省</w:t>
      </w:r>
      <w:r>
        <w:rPr>
          <w:rFonts w:hint="eastAsia"/>
        </w:rPr>
        <w:t>消防救援总队因无列管的消防安全重点单位，故防火处人员原则上不参与防火监督检查工作。平时，总队主要负责指导全省各地市对全省消防监督检查人员库、社会单位库的管理维护。同时，结合全省火灾防控形势分析、重大舆情、重特大火灾情况以及消防局下发的专项整治任务制定全省临时性专项整治任务和常态化消防监督检查任务执行规则并下发到各支大队。</w:t>
      </w:r>
    </w:p>
    <w:p w14:paraId="3B53708B">
      <w:pPr>
        <w:widowControl/>
        <w:spacing w:after="120"/>
        <w:rPr>
          <w:kern w:val="0"/>
          <w:szCs w:val="20"/>
        </w:rPr>
      </w:pPr>
      <w:r>
        <w:rPr>
          <w:rFonts w:hint="eastAsia"/>
          <w:kern w:val="0"/>
          <w:szCs w:val="20"/>
        </w:rPr>
        <w:t>支大队防火监督人员分别主要针对各自负责的消防安全重点单位开展常态性监督执法和专项整治工作。公安派出所和镇街消防所人员主要负责辖区内非消防安全重点单位的常态性监督执法和专项整治工作。行业主管部门主要负责辖区内行业管辖单位的常态性监督检查工作和专项整治工作。</w:t>
      </w:r>
    </w:p>
    <w:p w14:paraId="6DC6C407">
      <w:r>
        <w:rPr>
          <w:rFonts w:hint="eastAsia"/>
        </w:rPr>
        <w:t>常态性监督执法工作从工作流程上看，主要包括监督检查任务生成、监督检查任务执行、监督检查任务反馈、监督检查工作管理、行政执法等。其中镇街消防所除负责监督检查外，还负责辖区内单位信息采集汇总和接收1</w:t>
      </w:r>
      <w:r>
        <w:t>19</w:t>
      </w:r>
      <w:r>
        <w:rPr>
          <w:rFonts w:hint="eastAsia"/>
        </w:rPr>
        <w:t>指挥中心下发的救援协同指令，就近开展救援工作。</w:t>
      </w:r>
    </w:p>
    <w:p w14:paraId="0DB198A6">
      <w:pPr>
        <w:widowControl/>
        <w:spacing w:after="120"/>
        <w:rPr>
          <w:kern w:val="0"/>
          <w:szCs w:val="20"/>
        </w:rPr>
      </w:pPr>
      <w:r>
        <w:rPr>
          <w:kern w:val="0"/>
          <w:szCs w:val="20"/>
        </w:rPr>
        <w:t>专项整治工作</w:t>
      </w:r>
      <w:r>
        <w:rPr>
          <w:rFonts w:hint="eastAsia"/>
          <w:kern w:val="0"/>
          <w:szCs w:val="20"/>
        </w:rPr>
        <w:t>从工作流程上看，主要包括专项监督检查任务生成、专项监督检查、检查结果反馈等工作。</w:t>
      </w:r>
    </w:p>
    <w:p w14:paraId="6BFFFE7D">
      <w:r>
        <w:rPr>
          <w:rFonts w:hint="eastAsia"/>
        </w:rPr>
        <w:t>常态性监督执法工作</w:t>
      </w:r>
      <w:r>
        <w:t>具体业务需求如下：</w:t>
      </w:r>
    </w:p>
    <w:p w14:paraId="5614ED80">
      <w:pPr>
        <w:widowControl/>
        <w:numPr>
          <w:ilvl w:val="0"/>
          <w:numId w:val="7"/>
        </w:numPr>
        <w:spacing w:after="120"/>
        <w:ind w:firstLineChars="0"/>
      </w:pPr>
      <w:r>
        <w:rPr>
          <w:rFonts w:hint="eastAsia"/>
        </w:rPr>
        <w:t>监督检查任务生成</w:t>
      </w:r>
    </w:p>
    <w:p w14:paraId="5CC1652A">
      <w:r>
        <w:t>支大队防火监督人员</w:t>
      </w:r>
      <w:r>
        <w:rPr>
          <w:rFonts w:hint="eastAsia"/>
        </w:rPr>
        <w:t>监督检查任务来源包括民众举报投诉形成的检查任务、公众聚集场所开业前检查申请形成的监督检查任务、双随机一公开生成的日常监督检查任务以及复查任务。监督检查任务从上述四个来源生成并按照支队和大队列管单位不同，生成支大队两级不同的监督检查任务。镇街消防所除了负责辖区内非重点单位的监督检查外，还负责落实对民众举报投诉案件的真实性核查，并将核查结果反馈给相应的支大队防火监督用户。行业主管部门监督检查任务生成主要根据同级消防救援队伍发出的协同防控需求为指引，生成相应的协同监督检查任务。</w:t>
      </w:r>
    </w:p>
    <w:p w14:paraId="6E543043">
      <w:pPr>
        <w:numPr>
          <w:ilvl w:val="0"/>
          <w:numId w:val="7"/>
        </w:numPr>
        <w:ind w:firstLineChars="0"/>
        <w:contextualSpacing/>
      </w:pPr>
      <w:r>
        <w:t>监督检查任务执行</w:t>
      </w:r>
    </w:p>
    <w:p w14:paraId="4143DDD1">
      <w:pPr>
        <w:ind w:firstLine="424" w:firstLineChars="177"/>
      </w:pPr>
      <w:r>
        <w:rPr>
          <w:rFonts w:hint="eastAsia"/>
        </w:rPr>
        <w:t>市消防救援支队防火监督人员、区县消防救援大队防火监督人员、镇街消防所人员、公安派出所消防监督人员、行业主管部门人员接收到监督检查任务后，依照不同对象的监督检查表单，线下对相应单位开展监督检查工作。同时，针对合规运行监测中心反馈的对应单位的消防设施运行合规情况和日常消防管理情况跟进行线上针对性处置。</w:t>
      </w:r>
    </w:p>
    <w:p w14:paraId="41DC041E">
      <w:pPr>
        <w:ind w:left="426" w:firstLine="0" w:firstLineChars="0"/>
      </w:pPr>
      <w:r>
        <w:t>（</w:t>
      </w:r>
      <w:r>
        <w:rPr>
          <w:rFonts w:hint="eastAsia"/>
        </w:rPr>
        <w:t>3</w:t>
      </w:r>
      <w:r>
        <w:t>）监督检查任务反馈</w:t>
      </w:r>
    </w:p>
    <w:p w14:paraId="52118230">
      <w:pPr>
        <w:ind w:firstLine="424" w:firstLineChars="177"/>
      </w:pPr>
      <w:r>
        <w:rPr>
          <w:rFonts w:hint="eastAsia"/>
        </w:rPr>
        <w:t>市消防救援支队防火监督人员、区县消防救援大队防火监督人员、镇街消防所人员、公安派出所消防监督人员、行业主管部门人员将现场监督检查情况记录下来并统一汇入消防监督管理系统中。</w:t>
      </w:r>
    </w:p>
    <w:p w14:paraId="294F179B">
      <w:pPr>
        <w:ind w:firstLine="424" w:firstLineChars="177"/>
      </w:pPr>
      <w:r>
        <w:t>（</w:t>
      </w:r>
      <w:r>
        <w:rPr>
          <w:rFonts w:hint="eastAsia"/>
        </w:rPr>
        <w:t>4</w:t>
      </w:r>
      <w:r>
        <w:t>）监督检查工作管理</w:t>
      </w:r>
    </w:p>
    <w:p w14:paraId="183F9294">
      <w:pPr>
        <w:ind w:firstLine="426" w:firstLineChars="0"/>
      </w:pPr>
      <w:r>
        <w:rPr>
          <w:rFonts w:hint="eastAsia"/>
        </w:rPr>
        <w:t>市消防救援支队防火监督人员、区县消防救援大队防火监督人员、镇街消防所人员、公安派出所消防监督人员、行业主管部门人员对自身日常监督检查过程中依据的基础信息（包括检查人员信息、检查单位信息、管辖单位信息、物联网监测报警规则、单位所属行业主管部门、行业主管部门消防安全责任清单等信息）和工作执行情况进行维护和统计分析展示。</w:t>
      </w:r>
    </w:p>
    <w:p w14:paraId="3FCF0C21">
      <w:pPr>
        <w:widowControl/>
        <w:spacing w:after="120"/>
        <w:ind w:left="-53" w:leftChars="-22"/>
      </w:pPr>
      <w:r>
        <w:rPr>
          <w:rFonts w:hint="eastAsia"/>
        </w:rPr>
        <w:t>市消防救援支队防火监督人员、区县消防救援大队防火监督人员针对辖区内火灾风险高的单位，可制定专门的防火巡查检查任务并下发给相应单位，跟踪其执行情况。</w:t>
      </w:r>
    </w:p>
    <w:p w14:paraId="17F2FD3E">
      <w:pPr>
        <w:widowControl/>
        <w:spacing w:after="120"/>
        <w:ind w:left="480" w:firstLine="86" w:firstLineChars="36"/>
        <w:rPr>
          <w:kern w:val="0"/>
        </w:rPr>
      </w:pPr>
      <w:r>
        <w:t>（</w:t>
      </w:r>
      <w:r>
        <w:rPr>
          <w:rFonts w:hint="eastAsia"/>
        </w:rPr>
        <w:t>5</w:t>
      </w:r>
      <w:r>
        <w:t>）</w:t>
      </w:r>
      <w:r>
        <w:rPr>
          <w:kern w:val="0"/>
        </w:rPr>
        <w:t>行政执法</w:t>
      </w:r>
    </w:p>
    <w:p w14:paraId="2E16F632">
      <w:pPr>
        <w:ind w:firstLine="426" w:firstLineChars="0"/>
      </w:pPr>
      <w:r>
        <w:rPr>
          <w:rFonts w:hint="eastAsia"/>
        </w:rPr>
        <w:t>市消防救援支队防火监督人员、区县消防救援大队防火监督人员、镇街消防所人员、公安派出所消防监督人员根据自身行政执法权限，对照消防行政法规，对监督检查中发现的需要进行行政处罚的事项开具行政处罚法律文书并送到相应社会单位。</w:t>
      </w:r>
    </w:p>
    <w:p w14:paraId="4513BE25">
      <w:pPr>
        <w:ind w:left="480" w:firstLine="87" w:firstLineChars="0"/>
      </w:pPr>
      <w:r>
        <w:t>（</w:t>
      </w:r>
      <w:r>
        <w:rPr>
          <w:rFonts w:hint="eastAsia"/>
        </w:rPr>
        <w:t>6</w:t>
      </w:r>
      <w:r>
        <w:t>）信息采集</w:t>
      </w:r>
    </w:p>
    <w:p w14:paraId="01589BD7">
      <w:pPr>
        <w:ind w:firstLine="426" w:firstLineChars="0"/>
      </w:pPr>
      <w:r>
        <w:t>镇街消防所</w:t>
      </w:r>
      <w:r>
        <w:rPr>
          <w:rFonts w:hint="eastAsia"/>
        </w:rPr>
        <w:t>针对辖区内非消防安全重点单位（如老旧小区、城中村等进行），对其它建筑物信息、单位信息进行现场采集并保存。</w:t>
      </w:r>
    </w:p>
    <w:p w14:paraId="0AE5F5A3">
      <w:pPr>
        <w:ind w:left="284" w:firstLine="283" w:firstLineChars="0"/>
      </w:pPr>
      <w:r>
        <w:t>（</w:t>
      </w:r>
      <w:r>
        <w:rPr>
          <w:rFonts w:hint="eastAsia"/>
        </w:rPr>
        <w:t>7</w:t>
      </w:r>
      <w:r>
        <w:t>）</w:t>
      </w:r>
      <w:r>
        <w:rPr>
          <w:rFonts w:hint="eastAsia"/>
        </w:rPr>
        <w:t>火警处置协同</w:t>
      </w:r>
    </w:p>
    <w:p w14:paraId="481A4DFF">
      <w:pPr>
        <w:ind w:left="-53" w:leftChars="-22"/>
      </w:pPr>
      <w:r>
        <w:t>镇街消防所人员</w:t>
      </w:r>
      <w:r>
        <w:rPr>
          <w:rFonts w:hint="eastAsia"/>
        </w:rPr>
        <w:t>接收1</w:t>
      </w:r>
      <w:r>
        <w:t>19接处警系统下发的救援协同指令，根据指令</w:t>
      </w:r>
      <w:r>
        <w:rPr>
          <w:rFonts w:hint="eastAsia"/>
        </w:rPr>
        <w:t>要求快速赶到警情现场开展初期救援并将现场情况反馈给后方1</w:t>
      </w:r>
      <w:r>
        <w:t>19指挥中心。</w:t>
      </w:r>
    </w:p>
    <w:p w14:paraId="25368683">
      <w:pPr>
        <w:widowControl/>
        <w:spacing w:after="120"/>
        <w:rPr>
          <w:kern w:val="0"/>
          <w:szCs w:val="20"/>
        </w:rPr>
      </w:pPr>
      <w:r>
        <w:rPr>
          <w:kern w:val="0"/>
          <w:szCs w:val="20"/>
        </w:rPr>
        <w:t>专项整治工作具体业务需求如下：</w:t>
      </w:r>
    </w:p>
    <w:p w14:paraId="562A9206">
      <w:pPr>
        <w:numPr>
          <w:ilvl w:val="0"/>
          <w:numId w:val="8"/>
        </w:numPr>
        <w:ind w:firstLineChars="0"/>
        <w:contextualSpacing/>
      </w:pPr>
      <w:r>
        <w:rPr>
          <w:rFonts w:hint="eastAsia"/>
        </w:rPr>
        <w:t>专项监督检查任务生成</w:t>
      </w:r>
    </w:p>
    <w:p w14:paraId="725C033D">
      <w:pPr>
        <w:contextualSpacing/>
      </w:pPr>
      <w:r>
        <w:rPr>
          <w:rFonts w:hint="eastAsia"/>
        </w:rPr>
        <w:t>省消防救援总队结合全省火灾防控形势分析、重大舆情、重特大火灾情况以及消防局下发的专项整治任务制定全省临时性专项整治任务。</w:t>
      </w:r>
    </w:p>
    <w:p w14:paraId="3B2D87E4">
      <w:pPr>
        <w:widowControl/>
        <w:numPr>
          <w:ilvl w:val="0"/>
          <w:numId w:val="8"/>
        </w:numPr>
        <w:spacing w:after="120"/>
        <w:ind w:firstLineChars="0"/>
        <w:rPr>
          <w:kern w:val="0"/>
          <w:szCs w:val="20"/>
        </w:rPr>
      </w:pPr>
      <w:r>
        <w:rPr>
          <w:kern w:val="0"/>
          <w:szCs w:val="20"/>
        </w:rPr>
        <w:t>专项监督检查</w:t>
      </w:r>
    </w:p>
    <w:p w14:paraId="65BDE0C6">
      <w:r>
        <w:rPr>
          <w:rFonts w:hint="eastAsia"/>
        </w:rPr>
        <w:t>市消防救援支队防火监督人员、区县消防救援大队防火监督人员、镇街消防所人员、公安派出所消防监督人员、行业主管部门人员接收各自的专项整治任务后，去任务现场进行现场检查。</w:t>
      </w:r>
    </w:p>
    <w:p w14:paraId="74CF9CDA">
      <w:pPr>
        <w:widowControl/>
        <w:numPr>
          <w:ilvl w:val="0"/>
          <w:numId w:val="8"/>
        </w:numPr>
        <w:spacing w:after="120"/>
        <w:ind w:firstLineChars="0"/>
        <w:rPr>
          <w:kern w:val="0"/>
          <w:szCs w:val="20"/>
        </w:rPr>
      </w:pPr>
      <w:r>
        <w:rPr>
          <w:rFonts w:hint="eastAsia"/>
          <w:kern w:val="0"/>
          <w:szCs w:val="20"/>
        </w:rPr>
        <w:t>检查结果反馈</w:t>
      </w:r>
    </w:p>
    <w:p w14:paraId="5FD592EC">
      <w:r>
        <w:rPr>
          <w:rFonts w:hint="eastAsia"/>
        </w:rPr>
        <w:t>市消防救援支队防火监督人员、区县消防救援大队防火监督人员、镇街消防所人员、公安派出所消防监督人员、行业主管部门人员将各自负责的检查单位监督检查结果反馈上来，并通过消防监督管理系统进行统一汇总。对于检查发现的问题，通知相应单位进行整改并跟踪整改情况。</w:t>
      </w:r>
    </w:p>
    <w:p w14:paraId="30A7A9C0">
      <w:pPr>
        <w:widowControl/>
        <w:spacing w:after="120"/>
        <w:rPr>
          <w:kern w:val="0"/>
          <w:szCs w:val="20"/>
        </w:rPr>
      </w:pPr>
      <w:r>
        <w:rPr>
          <w:kern w:val="0"/>
          <w:szCs w:val="20"/>
        </w:rPr>
        <w:t>城市消防合规运行监测工作具体业务需求如下：</w:t>
      </w:r>
    </w:p>
    <w:p w14:paraId="1318EA5C">
      <w:pPr>
        <w:widowControl/>
        <w:numPr>
          <w:ilvl w:val="0"/>
          <w:numId w:val="9"/>
        </w:numPr>
        <w:spacing w:after="120"/>
        <w:ind w:firstLineChars="0"/>
        <w:rPr>
          <w:rFonts w:hint="eastAsia"/>
          <w:kern w:val="0"/>
          <w:szCs w:val="20"/>
        </w:rPr>
      </w:pPr>
      <w:r>
        <w:rPr>
          <w:rFonts w:hint="eastAsia"/>
          <w:kern w:val="0"/>
          <w:szCs w:val="20"/>
        </w:rPr>
        <w:t>监测值守</w:t>
      </w:r>
    </w:p>
    <w:p w14:paraId="412BF126">
      <w:pPr>
        <w:rPr>
          <w:rFonts w:hint="eastAsia"/>
        </w:rPr>
      </w:pPr>
      <w:r>
        <w:rPr>
          <w:rFonts w:hint="eastAsia"/>
        </w:rPr>
        <w:t>当接收到城市消防合规运行异常报警信号时，第一时间查看该异常信号详情，并根据异常信号处置流程开展相应的处置动作并通知相应人员。</w:t>
      </w:r>
    </w:p>
    <w:p w14:paraId="0B97D758">
      <w:pPr>
        <w:rPr>
          <w:rFonts w:hint="eastAsia"/>
        </w:rPr>
      </w:pPr>
      <w:r>
        <w:rPr>
          <w:rFonts w:hint="eastAsia"/>
        </w:rPr>
        <w:t>（2）公共设施监测</w:t>
      </w:r>
    </w:p>
    <w:p w14:paraId="61FAC7C7">
      <w:pPr>
        <w:rPr>
          <w:rFonts w:hint="eastAsia"/>
        </w:rPr>
      </w:pPr>
      <w:r>
        <w:rPr>
          <w:rFonts w:hint="eastAsia"/>
        </w:rPr>
        <w:t>对城市公共消防设施进行实时监测，当发现公共消防设施有异常信号反馈时，根据处置流程开展相应处置动作并通知相关责任部门协调处理。</w:t>
      </w:r>
    </w:p>
    <w:p w14:paraId="366543DA">
      <w:pPr>
        <w:rPr>
          <w:rFonts w:hint="eastAsia"/>
        </w:rPr>
      </w:pPr>
      <w:r>
        <w:rPr>
          <w:rFonts w:hint="eastAsia"/>
        </w:rPr>
        <w:t>（3）服务监测</w:t>
      </w:r>
    </w:p>
    <w:p w14:paraId="3AA26008">
      <w:r>
        <w:rPr>
          <w:rFonts w:hint="eastAsia"/>
        </w:rPr>
        <w:t>对技术服务机构的维保任务及执行情况进行跟踪管理，对社会单位日常消防工作合规性进行跟踪管理。</w:t>
      </w:r>
    </w:p>
    <w:p w14:paraId="3815F014">
      <w:pPr>
        <w:widowControl/>
        <w:spacing w:after="120"/>
        <w:rPr>
          <w:kern w:val="0"/>
          <w:szCs w:val="20"/>
        </w:rPr>
      </w:pPr>
      <w:r>
        <w:rPr>
          <w:rFonts w:hint="eastAsia"/>
          <w:kern w:val="0"/>
          <w:szCs w:val="20"/>
        </w:rPr>
        <w:t>社会单位消防安全自主管理工作具体业务需求如下：</w:t>
      </w:r>
    </w:p>
    <w:p w14:paraId="509EC1AC">
      <w:pPr>
        <w:widowControl/>
      </w:pPr>
      <w:r>
        <w:rPr>
          <w:rFonts w:hint="eastAsia"/>
        </w:rPr>
        <w:t>（1）消防值守工作</w:t>
      </w:r>
    </w:p>
    <w:p w14:paraId="040758BC">
      <w:pPr>
        <w:widowControl/>
      </w:pPr>
      <w:r>
        <w:rPr>
          <w:rFonts w:hint="eastAsia"/>
        </w:rPr>
        <w:t>按消防规范要求，消防中控室应保证</w:t>
      </w:r>
      <w:r>
        <w:t>24</w:t>
      </w:r>
      <w:r>
        <w:rPr>
          <w:rFonts w:hint="eastAsia"/>
        </w:rPr>
        <w:t>小时双人值班。消防值班人员按时到岗，和上一班人员进行交接，了解上一班值班过程中的消防设施运行情况，消防事件处置情况，待完成工作和本班需关注事项等。</w:t>
      </w:r>
    </w:p>
    <w:p w14:paraId="650CFC4A">
      <w:pPr>
        <w:widowControl/>
      </w:pPr>
      <w:r>
        <w:rPr>
          <w:rFonts w:hint="eastAsia"/>
        </w:rPr>
        <w:t>（</w:t>
      </w:r>
      <w:r>
        <w:t>2</w:t>
      </w:r>
      <w:r>
        <w:rPr>
          <w:rFonts w:hint="eastAsia"/>
        </w:rPr>
        <w:t>）消防事件处置工作</w:t>
      </w:r>
    </w:p>
    <w:p w14:paraId="4799FCDE">
      <w:pPr>
        <w:widowControl/>
      </w:pPr>
      <w:r>
        <w:rPr>
          <w:rFonts w:hint="eastAsia"/>
        </w:rPr>
        <w:t>当发生火警预警、故障事件、消防设施动作等，需消防工作人员快速响应，到现场进行处置，并将处置情况快速和消防中控室进行汇报。</w:t>
      </w:r>
    </w:p>
    <w:p w14:paraId="09DDD15E">
      <w:pPr>
        <w:widowControl/>
      </w:pPr>
      <w:r>
        <w:rPr>
          <w:rFonts w:hint="eastAsia"/>
        </w:rPr>
        <w:t>（</w:t>
      </w:r>
      <w:r>
        <w:t>3</w:t>
      </w:r>
      <w:r>
        <w:rPr>
          <w:rFonts w:hint="eastAsia"/>
        </w:rPr>
        <w:t>）隐患处置工作</w:t>
      </w:r>
    </w:p>
    <w:p w14:paraId="28DF4548">
      <w:pPr>
        <w:widowControl/>
      </w:pPr>
      <w:r>
        <w:rPr>
          <w:rFonts w:hint="eastAsia"/>
        </w:rPr>
        <w:t>当发现消防安全隐患或接收到上级监管部门发送的隐患处置任务时，及时进行处置。</w:t>
      </w:r>
    </w:p>
    <w:p w14:paraId="5E4B2528">
      <w:pPr>
        <w:widowControl/>
      </w:pPr>
      <w:r>
        <w:rPr>
          <w:rFonts w:hint="eastAsia"/>
        </w:rPr>
        <w:t>（</w:t>
      </w:r>
      <w:r>
        <w:t>4</w:t>
      </w:r>
      <w:r>
        <w:rPr>
          <w:rFonts w:hint="eastAsia"/>
        </w:rPr>
        <w:t>）消防安全管理工作</w:t>
      </w:r>
    </w:p>
    <w:p w14:paraId="59999131">
      <w:r>
        <w:rPr>
          <w:rFonts w:hint="eastAsia"/>
        </w:rPr>
        <w:t>单位消防安全工作人员拟定消控室值班计划、防火巡查值班计划、防火巡查计划、设施巡查计划等，并对各项任务的落实情况进行检查。接收上级监管部门下发的巡检巡查任务并执行反馈。</w:t>
      </w:r>
    </w:p>
    <w:p w14:paraId="29D2C9F6">
      <w:pPr>
        <w:widowControl/>
        <w:numPr>
          <w:ilvl w:val="0"/>
          <w:numId w:val="6"/>
        </w:numPr>
        <w:spacing w:after="120"/>
        <w:ind w:firstLineChars="0"/>
        <w:rPr>
          <w:kern w:val="0"/>
          <w:szCs w:val="20"/>
        </w:rPr>
      </w:pPr>
      <w:r>
        <w:rPr>
          <w:rFonts w:hint="eastAsia"/>
          <w:kern w:val="0"/>
          <w:szCs w:val="20"/>
        </w:rPr>
        <w:t>单位火灾风险分析</w:t>
      </w:r>
    </w:p>
    <w:p w14:paraId="5ABA2A2B">
      <w:r>
        <w:rPr>
          <w:rFonts w:hint="eastAsia"/>
        </w:rPr>
        <w:t>汇总本单位的日常消防管理数据和历史火灾数据，依托建筑火灾风险评估模型对本单位火灾风险进行量化分析。</w:t>
      </w:r>
    </w:p>
    <w:p w14:paraId="3C66AA29">
      <w:pPr>
        <w:widowControl/>
        <w:spacing w:after="120"/>
        <w:rPr>
          <w:kern w:val="0"/>
          <w:szCs w:val="20"/>
        </w:rPr>
      </w:pPr>
      <w:r>
        <w:rPr>
          <w:kern w:val="0"/>
          <w:szCs w:val="20"/>
        </w:rPr>
        <w:t>（</w:t>
      </w:r>
      <w:r>
        <w:rPr>
          <w:rFonts w:hint="eastAsia"/>
          <w:kern w:val="0"/>
          <w:szCs w:val="20"/>
        </w:rPr>
        <w:t>6</w:t>
      </w:r>
      <w:r>
        <w:rPr>
          <w:kern w:val="0"/>
          <w:szCs w:val="20"/>
        </w:rPr>
        <w:t>）</w:t>
      </w:r>
      <w:r>
        <w:rPr>
          <w:rFonts w:hint="eastAsia"/>
          <w:kern w:val="0"/>
          <w:szCs w:val="20"/>
        </w:rPr>
        <w:t>信息填报</w:t>
      </w:r>
    </w:p>
    <w:p w14:paraId="7D264899">
      <w:pPr>
        <w:rPr>
          <w:rFonts w:hint="eastAsia"/>
        </w:rPr>
      </w:pPr>
      <w:r>
        <w:rPr>
          <w:rFonts w:hint="eastAsia"/>
        </w:rPr>
        <w:t>社会单位消防安全工作人员对本单位基本信息、建筑信息、综合安全信息、消防重点部位信息、所属行业信息进行填报。</w:t>
      </w:r>
    </w:p>
    <w:p w14:paraId="3C48FBF4">
      <w:pPr>
        <w:pStyle w:val="6"/>
        <w:ind w:firstLine="560"/>
      </w:pPr>
      <w:r>
        <w:rPr>
          <w:rFonts w:hint="eastAsia"/>
        </w:rPr>
        <w:t>3.3.1.2灭火救援业务</w:t>
      </w:r>
    </w:p>
    <w:p w14:paraId="60BF43E9">
      <w:pPr>
        <w:pStyle w:val="2"/>
      </w:pPr>
      <w:r>
        <w:rPr>
          <w:rFonts w:hint="eastAsia"/>
        </w:rPr>
        <w:t>随着消防救援队伍改革转隶和职能任务拓展，在“全灾种、大应急”条件下的灭火救援需求发生较大变化，特别是落编定岗和机构调整后，接处警调度、灭火救援和作战指挥等业务模式也需结合实际同步调整，以满足新形势下消防救援队伍的全新职责需要。同时，针对灭火救援工作，国家消防救援局也提出了“一短三快”（即接警时间短、处警速度快、到场速度快、战斗展开快）能力要求。</w:t>
      </w:r>
      <w:r>
        <w:t xml:space="preserve"> </w:t>
      </w:r>
      <w:r>
        <w:rPr>
          <w:rFonts w:hint="eastAsia"/>
        </w:rPr>
        <w:t>在当前的灭火救援工作中需要充分运用智能化手段，来提升灭火救援工作效率。</w:t>
      </w:r>
    </w:p>
    <w:p w14:paraId="30375860">
      <w:pPr>
        <w:ind w:firstLine="0" w:firstLineChars="0"/>
        <w:sectPr>
          <w:pgSz w:w="11906" w:h="16838"/>
          <w:pgMar w:top="1440" w:right="1803" w:bottom="1440" w:left="1803" w:header="850" w:footer="992" w:gutter="0"/>
          <w:cols w:space="720" w:num="1"/>
        </w:sectPr>
      </w:pPr>
      <w:r>
        <w:t>.</w:t>
      </w:r>
    </w:p>
    <w:p w14:paraId="784D3C9D">
      <w:pPr>
        <w:ind w:firstLine="0" w:firstLineChars="0"/>
      </w:pPr>
      <w:r>
        <w:object>
          <v:shape id="_x0000_i1027" o:spt="75" type="#_x0000_t75" style="height:305.2pt;width:697.55pt;" o:ole="t" filled="f" stroked="f" coordsize="21600,21600">
            <v:path/>
            <v:fill on="f" focussize="0,0"/>
            <v:stroke on="f"/>
            <v:imagedata r:id="rId11" o:title=""/>
            <o:lock v:ext="edit" aspectratio="t"/>
            <w10:wrap type="none"/>
            <w10:anchorlock/>
          </v:shape>
          <o:OLEObject Type="Embed" ProgID="Visio.Drawing.11" ShapeID="_x0000_i1027" DrawAspect="Content" ObjectID="_1468075727" r:id="rId10">
            <o:LockedField>false</o:LockedField>
          </o:OLEObject>
        </w:object>
      </w:r>
    </w:p>
    <w:p w14:paraId="715E87BB">
      <w:pPr>
        <w:pStyle w:val="2"/>
      </w:pPr>
    </w:p>
    <w:p w14:paraId="190B40D8">
      <w:pPr>
        <w:pStyle w:val="15"/>
        <w:rPr>
          <w:rFonts w:hint="eastAsia" w:ascii="黑体" w:hAnsi="黑体" w:cs="黑体"/>
        </w:rPr>
        <w:sectPr>
          <w:pgSz w:w="16838" w:h="11906" w:orient="landscape"/>
          <w:pgMar w:top="1803" w:right="1440" w:bottom="1803" w:left="1440" w:header="850" w:footer="992" w:gutter="0"/>
          <w:cols w:space="720" w:num="1"/>
        </w:sectPr>
      </w:pPr>
      <w:r>
        <w:rPr>
          <w:rFonts w:hint="eastAsia" w:ascii="黑体" w:hAnsi="黑体" w:cs="黑体"/>
        </w:rPr>
        <w:t>图3-7灭火救援业务流程</w:t>
      </w:r>
    </w:p>
    <w:p w14:paraId="7485E2EA">
      <w:pPr>
        <w:pStyle w:val="7"/>
      </w:pPr>
      <w:r>
        <w:t>3.</w:t>
      </w:r>
      <w:r>
        <w:rPr>
          <w:rFonts w:hint="eastAsia"/>
        </w:rPr>
        <w:t>3</w:t>
      </w:r>
      <w:r>
        <w:t>.1.2.1</w:t>
      </w:r>
      <w:r>
        <w:rPr>
          <w:rFonts w:hint="eastAsia"/>
        </w:rPr>
        <w:t>全省灭火救援态势研判工作</w:t>
      </w:r>
    </w:p>
    <w:p w14:paraId="732AE9E3">
      <w:pPr>
        <w:numPr>
          <w:ilvl w:val="0"/>
          <w:numId w:val="10"/>
        </w:numPr>
      </w:pPr>
      <w:r>
        <w:rPr>
          <w:rFonts w:hint="eastAsia"/>
        </w:rPr>
        <w:t>场景描述</w:t>
      </w:r>
    </w:p>
    <w:p w14:paraId="4FF42A74">
      <w:pPr>
        <w:pStyle w:val="2"/>
      </w:pPr>
      <w:r>
        <w:rPr>
          <w:rFonts w:hint="eastAsia"/>
        </w:rPr>
        <w:t>当发生灾害的时候，指挥中心决策者需要对灾害情况、周边救援力量以及现场救援处置情况进行全貌的了解，并从灾害发生、救援途中、到场、处置、增援、归队全流程直观可视化的把控。</w:t>
      </w:r>
    </w:p>
    <w:p w14:paraId="62961F14">
      <w:r>
        <w:rPr>
          <w:rFonts w:hint="eastAsia" w:ascii="宋体" w:hAnsi="宋体"/>
        </w:rPr>
        <w:t>传统的灭火救援指挥手段落后且缺乏科学的分析支撑，主要依靠经验进行指挥难免会出现错误导致救援不及时或是消防资源的浪费。亟需</w:t>
      </w:r>
      <w:r>
        <w:rPr>
          <w:rFonts w:hint="eastAsia"/>
        </w:rPr>
        <w:t>通过计算引擎、分析引擎、大屏可视化工具等新兴技术应用，围绕</w:t>
      </w:r>
      <w:r>
        <w:rPr>
          <w:rFonts w:hint="eastAsia"/>
          <w:lang w:eastAsia="zh-CN"/>
        </w:rPr>
        <w:t>XXX</w:t>
      </w:r>
      <w:r>
        <w:rPr>
          <w:rFonts w:hint="eastAsia"/>
        </w:rPr>
        <w:t>省消防救援指挥业务需要，打造集数据分析、数据可视化展示、科学辅助指挥于一体的全省灭火救援态势感知。</w:t>
      </w:r>
    </w:p>
    <w:p w14:paraId="0BE70E97">
      <w:pPr>
        <w:rPr>
          <w:rFonts w:ascii="宋体" w:hAnsi="宋体"/>
        </w:rPr>
      </w:pPr>
      <w:r>
        <w:rPr>
          <w:rFonts w:hint="eastAsia"/>
        </w:rPr>
        <w:t>通过总队指挥中心大屏幕高清可视化呈现全省消防警情信息、区域分布、全省消防救援力量信息、装备信息、重点单位信息、值班信息以及各类型灾情发生及处置的全过程信息，包括报警、接警、处警、途中、现场处置、指挥决策等情况。以一张图的形式多维度展示灭火救援各类信息。本次</w:t>
      </w:r>
      <w:r>
        <w:rPr>
          <w:rFonts w:hint="eastAsia" w:ascii="宋体" w:hAnsi="宋体"/>
        </w:rPr>
        <w:t>建设</w:t>
      </w:r>
      <w:r>
        <w:rPr>
          <w:rFonts w:hint="eastAsia"/>
        </w:rPr>
        <w:t>救援基础信息可视化、战备执勤可视化、全省救援指挥可视化、火灾分布热力图等功能，</w:t>
      </w:r>
      <w:r>
        <w:rPr>
          <w:rFonts w:hint="eastAsia" w:ascii="宋体" w:hAnsi="宋体"/>
        </w:rPr>
        <w:t>为各级消防救援人员提供全方位、立体化决策信息支撑,实现“一张图指挥，一张图调度、一张图决策、一张图分析”，提升应急救援科学化、智能化水平。</w:t>
      </w:r>
    </w:p>
    <w:p w14:paraId="18E14943">
      <w:pPr>
        <w:widowControl/>
        <w:numPr>
          <w:ilvl w:val="0"/>
          <w:numId w:val="10"/>
        </w:numPr>
      </w:pPr>
      <w:r>
        <w:rPr>
          <w:rFonts w:hint="eastAsia"/>
        </w:rPr>
        <w:t>业务需求如下</w:t>
      </w:r>
    </w:p>
    <w:p w14:paraId="06E848C0">
      <w:pPr>
        <w:widowControl/>
      </w:pPr>
      <w:r>
        <w:rPr>
          <w:rFonts w:hint="eastAsia"/>
        </w:rPr>
        <w:t>省消防总队指挥中心需结合灭火救援工作、接处警情况、战备情况、救援情况等，对全省的灭火救援态势进行研判，以便于对全省的灭火救援工作进行指导，对于重点地区的救援工作进行辅助指导。具体包括基础信息分析、战备执勤分析、救援指挥工作研判、火灾分布分析等几项工作。</w:t>
      </w:r>
    </w:p>
    <w:p w14:paraId="1187660C">
      <w:r>
        <w:rPr>
          <w:rFonts w:hint="eastAsia"/>
        </w:rPr>
        <w:t>（</w:t>
      </w:r>
      <w:r>
        <w:t>1</w:t>
      </w:r>
      <w:r>
        <w:rPr>
          <w:rFonts w:hint="eastAsia"/>
        </w:rPr>
        <w:t>）基础信息分析流程</w:t>
      </w:r>
    </w:p>
    <w:p w14:paraId="4F87A3C2">
      <w:r>
        <w:rPr>
          <w:rFonts w:hint="eastAsia"/>
        </w:rPr>
        <w:t>总队指挥中心和战训部门根据全省消防装备、车辆、救援人员力量、建筑、重点单位、水源数据进行分析，研判是否满足当前救援需求。比如：针对高层建筑，通过一张图分析建筑周边的水源数量、消防救援力量分布、人员数量、救援车辆状态、特种救援车辆（云梯登高车、高空喷射车）、高层建筑预案完整度等，来判断目前的消防救援装备力量是否满足灭火救援要求。</w:t>
      </w:r>
    </w:p>
    <w:p w14:paraId="7B8B9E33">
      <w:r>
        <w:rPr>
          <w:rFonts w:hint="eastAsia"/>
        </w:rPr>
        <w:t>（</w:t>
      </w:r>
      <w:r>
        <w:t>2</w:t>
      </w:r>
      <w:r>
        <w:rPr>
          <w:rFonts w:hint="eastAsia"/>
        </w:rPr>
        <w:t>）战备执勤分析流程</w:t>
      </w:r>
    </w:p>
    <w:p w14:paraId="4183E1CA">
      <w:r>
        <w:rPr>
          <w:rFonts w:hint="eastAsia"/>
        </w:rPr>
        <w:t>总队指挥中心和战训部门根据全省战备执勤信息数据，并结合各区域情况、警情情况等进行分析，研判是否满足当前救援需求。比如：通过一张图查看某区域的某个时段的警情数量的走势曲线，结合该区域的战备执勤队站、人员、联勤联动力量，判断是否对该区域增加战备执勤人数。</w:t>
      </w:r>
    </w:p>
    <w:p w14:paraId="7190BC64">
      <w:r>
        <w:rPr>
          <w:rFonts w:hint="eastAsia"/>
        </w:rPr>
        <w:t>（</w:t>
      </w:r>
      <w:r>
        <w:t>3</w:t>
      </w:r>
      <w:r>
        <w:rPr>
          <w:rFonts w:hint="eastAsia"/>
        </w:rPr>
        <w:t>）救援指挥工作研判流程</w:t>
      </w:r>
    </w:p>
    <w:p w14:paraId="61305C83">
      <w:r>
        <w:rPr>
          <w:rFonts w:hint="eastAsia"/>
        </w:rPr>
        <w:t>总队指挥中心和战训部门根据全省灾情位置、作战实力分布、处置对象信息、灾情处置全过程信息数据进行分析，研判全省救援指挥工作达标情况。比如：根据某个警情从报警、调派、到场、灾情处置过程研判该警情的指挥人员对警情的调派和处置是否准确得当。从而给予奖励和处罚。</w:t>
      </w:r>
    </w:p>
    <w:p w14:paraId="4759DF27">
      <w:r>
        <w:rPr>
          <w:rFonts w:hint="eastAsia"/>
        </w:rPr>
        <w:t>（</w:t>
      </w:r>
      <w:r>
        <w:t>4</w:t>
      </w:r>
      <w:r>
        <w:rPr>
          <w:rFonts w:hint="eastAsia"/>
        </w:rPr>
        <w:t>）火灾分布分析流程</w:t>
      </w:r>
    </w:p>
    <w:p w14:paraId="777420FA">
      <w:r>
        <w:rPr>
          <w:rFonts w:hint="eastAsia"/>
        </w:rPr>
        <w:t>总队指挥中心和战训部门根据火灾分布及处置情况数据进行分析，研判全省灾情态势情况。比如：通过查看全省灾情热力图或撒点图，结合时间、空间来分析全省灾情走势情况，提供相关报告给领导决策使用。</w:t>
      </w:r>
    </w:p>
    <w:p w14:paraId="1BB60492">
      <w:pPr>
        <w:pStyle w:val="7"/>
      </w:pPr>
      <w:r>
        <w:t>3.</w:t>
      </w:r>
      <w:r>
        <w:rPr>
          <w:rFonts w:hint="eastAsia"/>
        </w:rPr>
        <w:t>3</w:t>
      </w:r>
      <w:r>
        <w:t>.1.2.2 119</w:t>
      </w:r>
      <w:r>
        <w:rPr>
          <w:rFonts w:hint="eastAsia"/>
        </w:rPr>
        <w:t>接处警工作</w:t>
      </w:r>
    </w:p>
    <w:p w14:paraId="64513607">
      <w:pPr>
        <w:rPr>
          <w:rFonts w:hint="eastAsia"/>
        </w:rPr>
      </w:pPr>
      <w:r>
        <w:rPr>
          <w:rFonts w:hint="eastAsia"/>
        </w:rPr>
        <w:t>1. 场景描述</w:t>
      </w:r>
    </w:p>
    <w:p w14:paraId="5A41E1DD">
      <w:pPr>
        <w:pStyle w:val="2"/>
      </w:pPr>
      <w:r>
        <w:rPr>
          <w:rFonts w:hint="eastAsia"/>
        </w:rPr>
        <w:t>消防指挥中心受理社会群众的1</w:t>
      </w:r>
      <w:r>
        <w:t>19</w:t>
      </w:r>
      <w:r>
        <w:rPr>
          <w:rFonts w:hint="eastAsia"/>
        </w:rPr>
        <w:t>报警电话、互联网微信小程序报警、物联网监控中心传来的感知报警等多源报警信息，通过智能语音识别和文字转写、灾害关键字提取并结合运营商提供的报警电话定位服务确定报警地址和灾害类型及等级。在地图上显示地址周边的水源、重点单位并根据灾害地址自动分析周边救援力量，并通过智能调派规则和模型，自动规划到达现场的最短路径，自动调派最近的救援力量赶赴现场进行处置。</w:t>
      </w:r>
    </w:p>
    <w:p w14:paraId="4B47CF97">
      <w:r>
        <w:rPr>
          <w:rFonts w:hint="eastAsia"/>
        </w:rPr>
        <w:t>2. 业务需求</w:t>
      </w:r>
    </w:p>
    <w:p w14:paraId="2E391AFA">
      <w:r>
        <w:rPr>
          <w:rFonts w:hint="eastAsia"/>
        </w:rPr>
        <w:t>（1）多类型报警手段统一接入的需求</w:t>
      </w:r>
    </w:p>
    <w:p w14:paraId="33F27D6A">
      <w:r>
        <w:rPr>
          <w:rFonts w:hint="eastAsia"/>
        </w:rPr>
        <w:t>随着经济社会和技术的发展，互联网报警、技防报警接入成为趋势，系统建设需接入群众微信小程序报警和物联网监测报警。同时制定接口标准，预留与其他新兴互联网报警和技防报警手段对接接口。</w:t>
      </w:r>
    </w:p>
    <w:p w14:paraId="66A6DC27">
      <w:r>
        <w:rPr>
          <w:rFonts w:hint="eastAsia"/>
        </w:rPr>
        <w:t>（2）提高接处警效率的需求</w:t>
      </w:r>
    </w:p>
    <w:p w14:paraId="7AA7B359">
      <w:r>
        <w:rPr>
          <w:rFonts w:hint="eastAsia"/>
        </w:rPr>
        <w:t>通过引入语音识别等智能化手段，在接警过程中根据通话内容进行实时语音转译、关键问题提醒、规范用语提示，提高接警录入效率，实现规范接警、规避风险的目标。</w:t>
      </w:r>
    </w:p>
    <w:p w14:paraId="4DED2231">
      <w:r>
        <w:rPr>
          <w:rFonts w:hint="eastAsia"/>
        </w:rPr>
        <w:t>（3）提高警情定位精准度的需求</w:t>
      </w:r>
    </w:p>
    <w:p w14:paraId="1989A9A4">
      <w:r>
        <w:rPr>
          <w:rFonts w:hint="eastAsia"/>
        </w:rPr>
        <w:t>需进一步提高报警定位的成功率和精准率，基于报警电话定位，充分利用互联网数据资源，整合地名地址定位、地理要素定位、移动应用定位等多类定位手段，获取相关位置数据，利用综合定位智能算法，将各类位置信息互为补充，计算出更加精确的警情位置，提高定位精准度，达到快速准确定位警情的目的，实现警情自动匹配到辖区或就近消防救援站。</w:t>
      </w:r>
    </w:p>
    <w:p w14:paraId="58F3D78F">
      <w:r>
        <w:rPr>
          <w:rFonts w:hint="eastAsia"/>
        </w:rPr>
        <w:t>（4）精准调派的需求</w:t>
      </w:r>
    </w:p>
    <w:p w14:paraId="5A43A729">
      <w:r>
        <w:rPr>
          <w:rFonts w:hint="eastAsia"/>
        </w:rPr>
        <w:t>通过引入时空分析、深度学习等智能化手段，将经验培养转化为机器学习，结合空间位置、路径、时间等多种要素，由系统计算匹配出最佳车辆装备和路线，提高调派精准度。</w:t>
      </w:r>
    </w:p>
    <w:p w14:paraId="45832CD4">
      <w:r>
        <w:rPr>
          <w:rFonts w:hint="eastAsia"/>
        </w:rPr>
        <w:t>（5）运维管理的需求</w:t>
      </w:r>
    </w:p>
    <w:p w14:paraId="7CB011B8">
      <w:r>
        <w:rPr>
          <w:rFonts w:hint="eastAsia"/>
        </w:rPr>
        <w:t>接处警系统需7×24小时不间断稳定、可靠运行，而服务器内存溢出、硬盘满负荷运行、网络异常中断等不可避免的问题，将导致系统运行故障、录音文件丢失等情况，需要建立运行监控模块，对关键设备、网络、座席以及相关服务等进行实时监控，并能够及时预警、提示，实现对系统情况的实时动态掌握，防患于未然。</w:t>
      </w:r>
    </w:p>
    <w:p w14:paraId="7EF92CB6">
      <w:r>
        <w:rPr>
          <w:rFonts w:hint="eastAsia"/>
        </w:rPr>
        <w:t>（6）基础数据管理的需求</w:t>
      </w:r>
    </w:p>
    <w:p w14:paraId="7AF18822">
      <w:r>
        <w:rPr>
          <w:rFonts w:hint="eastAsia"/>
        </w:rPr>
        <w:t>建设基础数据管理功能，便于业务数据维护，提高数据实时性、可用性，同时满足各层级围绕接处警数据的报表、分析、研判等应用需求。</w:t>
      </w:r>
    </w:p>
    <w:p w14:paraId="23439316">
      <w:r>
        <w:rPr>
          <w:rFonts w:hint="eastAsia"/>
        </w:rPr>
        <w:t>（7）联网汇聚的需求</w:t>
      </w:r>
    </w:p>
    <w:p w14:paraId="4AA548C3">
      <w:r>
        <w:rPr>
          <w:rFonts w:hint="eastAsia"/>
        </w:rPr>
        <w:t>消防接处警系统是消防指挥体系中重要一环，纵向贯通消防救援局、总队、支队、消防救援站及救援现场五个层级。需建立高可靠的联网汇聚服务，实现接处警数据稳定高效传输、数据资源交互共享、纵向贯通横向联动的目标。</w:t>
      </w:r>
    </w:p>
    <w:p w14:paraId="1751A4B3">
      <w:r>
        <w:rPr>
          <w:rFonts w:hint="eastAsia"/>
        </w:rPr>
        <w:t>（8）决策分析、指挥调度的需求</w:t>
      </w:r>
    </w:p>
    <w:p w14:paraId="7765D8D4">
      <w:r>
        <w:rPr>
          <w:rFonts w:hint="eastAsia"/>
        </w:rPr>
        <w:t xml:space="preserve">通过对警情数据的积累，逐步形成案例库、模型库、知识库等接处警大数据库，为消防接警智能化调派和作战方案制定提供决策支持。在出现重大灾情时，可实时查看灾情发展情况、调度处置过程，进行力量的调派、指令的下发，为辅助决策、指挥调度提供应用支撑。 </w:t>
      </w:r>
    </w:p>
    <w:p w14:paraId="481A53DF">
      <w:pPr>
        <w:pStyle w:val="7"/>
      </w:pPr>
      <w:r>
        <w:t>3.</w:t>
      </w:r>
      <w:r>
        <w:rPr>
          <w:rFonts w:hint="eastAsia"/>
        </w:rPr>
        <w:t>3</w:t>
      </w:r>
      <w:r>
        <w:t>.1.2.3</w:t>
      </w:r>
      <w:r>
        <w:rPr>
          <w:rFonts w:hint="eastAsia"/>
        </w:rPr>
        <w:t>救援指挥工作</w:t>
      </w:r>
    </w:p>
    <w:p w14:paraId="0A246C9A">
      <w:pPr>
        <w:widowControl/>
        <w:numPr>
          <w:ilvl w:val="0"/>
          <w:numId w:val="11"/>
        </w:numPr>
        <w:rPr>
          <w:rFonts w:hint="eastAsia" w:ascii="宋体" w:hAnsi="宋体"/>
        </w:rPr>
      </w:pPr>
      <w:r>
        <w:rPr>
          <w:rFonts w:hint="eastAsia" w:ascii="宋体" w:hAnsi="宋体"/>
        </w:rPr>
        <w:t>场景描述</w:t>
      </w:r>
    </w:p>
    <w:p w14:paraId="0312A63B">
      <w:pPr>
        <w:widowControl/>
        <w:rPr>
          <w:rFonts w:hint="eastAsia" w:ascii="宋体" w:hAnsi="宋体"/>
        </w:rPr>
      </w:pPr>
      <w:r>
        <w:rPr>
          <w:rFonts w:hint="eastAsia" w:ascii="宋体" w:hAnsi="宋体"/>
        </w:rPr>
        <w:t>当指挥中心接到群众的地质灾害方面的报警信息，指挥中心迅速通过音视频连线相关地质灾害部门和应急部门，通过系统呼叫地质灾害方面的专家参与音视频会商。系统通过灾害类型智能匹配与其相似程度较高的单位处置预案，筛选出适合于本次灾情的预案信息并推送给现场指挥人员。同时，在地图上查看地质灾害监测站的位置和传来的监测信息。通过车辆装备信息感知，获取随车装备信息，根据灾害情况调派相应车辆和装备、人员尽快赶到现场进行救援。</w:t>
      </w:r>
    </w:p>
    <w:p w14:paraId="48721DAE">
      <w:pPr>
        <w:widowControl/>
        <w:numPr>
          <w:ilvl w:val="0"/>
          <w:numId w:val="11"/>
        </w:numPr>
      </w:pPr>
      <w:r>
        <w:rPr>
          <w:rFonts w:hint="eastAsia"/>
        </w:rPr>
        <w:t>业务需求</w:t>
      </w:r>
    </w:p>
    <w:p w14:paraId="331B5CF8">
      <w:pPr>
        <w:widowControl/>
        <w:rPr>
          <w:rFonts w:hint="eastAsia" w:ascii="宋体" w:hAnsi="宋体"/>
        </w:rPr>
      </w:pPr>
      <w:r>
        <w:rPr>
          <w:rFonts w:hint="eastAsia" w:ascii="宋体" w:hAnsi="宋体"/>
        </w:rPr>
        <w:t>目前，</w:t>
      </w:r>
      <w:r>
        <w:rPr>
          <w:rFonts w:hint="eastAsia" w:ascii="宋体" w:hAnsi="宋体"/>
          <w:lang w:eastAsia="zh-CN"/>
        </w:rPr>
        <w:t>XXX</w:t>
      </w:r>
      <w:r>
        <w:rPr>
          <w:rFonts w:hint="eastAsia" w:ascii="宋体" w:hAnsi="宋体"/>
        </w:rPr>
        <w:t>省消防救援总队在2</w:t>
      </w:r>
      <w:r>
        <w:rPr>
          <w:rFonts w:ascii="宋体" w:hAnsi="宋体"/>
        </w:rPr>
        <w:t>020</w:t>
      </w:r>
      <w:r>
        <w:rPr>
          <w:rFonts w:hint="eastAsia" w:ascii="宋体" w:hAnsi="宋体"/>
        </w:rPr>
        <w:t>年已建成智能指挥系统基础功能和标准功能。随着消防改革的不断深入，消防救援队伍灭火救援的职能定位从单一灾种向全灾种大应急转变，现有的智能指挥系统在应对各类灾害事故救援指挥需求时，存在应用场景的功能缺失。如对地震地质灾害、自然灾害等应急救援的指挥需求。</w:t>
      </w:r>
    </w:p>
    <w:p w14:paraId="663CEA37">
      <w:pPr>
        <w:widowControl/>
        <w:rPr>
          <w:rFonts w:ascii="宋体" w:hAnsi="宋体"/>
        </w:rPr>
      </w:pPr>
      <w:r>
        <w:rPr>
          <w:rFonts w:hint="eastAsia" w:ascii="宋体" w:hAnsi="宋体"/>
          <w:lang w:eastAsia="zh-CN"/>
        </w:rPr>
        <w:t>XXX</w:t>
      </w:r>
      <w:r>
        <w:rPr>
          <w:rFonts w:hint="eastAsia" w:ascii="宋体" w:hAnsi="宋体"/>
        </w:rPr>
        <w:t>省消防救援队伍需发挥消防救援队伍在大应急中的中坚作用，在原有智能指挥系统的建设基础之上，建设增强功能。建设主体是省总队指挥中心，建设的通用服务供各支队指挥中心调用；需围绕地质灾害、自然灾害、城市灭火救援等不同类型灾情指挥的需求，建立一套针对地质灾害、自然灾害、城市灭火救援的综合指挥模式；在目前已建成的智能指挥平台的基础上，进行智能化升级改造及应用场景功能拓展，强化大数据、人工智能等技术，推动智能指挥平台向适应“智能化”“全灾种”需求升级演变，打造新一代的智能指挥系统为救援指挥提供更强大的信息支持和辅助决策。</w:t>
      </w:r>
    </w:p>
    <w:p w14:paraId="7A7E650B">
      <w:pPr>
        <w:pStyle w:val="7"/>
      </w:pPr>
      <w:r>
        <w:t>3.</w:t>
      </w:r>
      <w:r>
        <w:rPr>
          <w:rFonts w:hint="eastAsia"/>
        </w:rPr>
        <w:t>3</w:t>
      </w:r>
      <w:r>
        <w:t xml:space="preserve">.1.2.4 </w:t>
      </w:r>
      <w:r>
        <w:rPr>
          <w:rFonts w:hint="eastAsia"/>
        </w:rPr>
        <w:t>联动力量调度工作</w:t>
      </w:r>
    </w:p>
    <w:p w14:paraId="4984BED3">
      <w:pPr>
        <w:widowControl/>
        <w:numPr>
          <w:ilvl w:val="0"/>
          <w:numId w:val="12"/>
        </w:numPr>
        <w:rPr>
          <w:rFonts w:hint="eastAsia"/>
        </w:rPr>
      </w:pPr>
      <w:r>
        <w:rPr>
          <w:rFonts w:hint="eastAsia"/>
        </w:rPr>
        <w:t>场景描述</w:t>
      </w:r>
    </w:p>
    <w:p w14:paraId="6FE3BD11">
      <w:pPr>
        <w:pStyle w:val="2"/>
      </w:pPr>
      <w:r>
        <w:rPr>
          <w:rFonts w:hint="eastAsia"/>
        </w:rPr>
        <w:t>消防指挥中心受理社会群众火灾报警，调派最近的消防救援站赶赴现场，同时，在地图上圈选灾害点附近5</w:t>
      </w:r>
      <w:r>
        <w:t>00</w:t>
      </w:r>
      <w:r>
        <w:rPr>
          <w:rFonts w:hint="eastAsia"/>
        </w:rPr>
        <w:t>米范围内的联勤联动力量，联动通知灾害点附近的小型站、微型站、社会专职队赶往现场。附近的联勤联动队伍通过软件获取消防指挥中心发来的警情信息，迅速赶往现场进行前期处置，并将现场视频、图片等信息上传反馈给指挥中心和现场赶来的消防救援队伍。</w:t>
      </w:r>
    </w:p>
    <w:p w14:paraId="57B5EA1E">
      <w:pPr>
        <w:pStyle w:val="2"/>
      </w:pPr>
      <w:r>
        <w:rPr>
          <w:rFonts w:hint="eastAsia" w:ascii="宋体" w:hAnsi="宋体"/>
        </w:rPr>
        <w:t>根据国家消防救援局十四五规划，现代城市消防建设中，以特勤消防站重点，标准型消防站为中心，微型站、小型站等联勤联动力量作为补充的消防力量是我国城市现代化进程中提高火灾抗御能力的有效途径。发挥小、微型站的“小、快、灵”的优势，打造城市5分钟消防圈。</w:t>
      </w:r>
    </w:p>
    <w:p w14:paraId="3DAF34FC">
      <w:pPr>
        <w:widowControl/>
        <w:rPr>
          <w:rFonts w:ascii="宋体" w:hAnsi="宋体"/>
        </w:rPr>
      </w:pPr>
      <w:r>
        <w:rPr>
          <w:rFonts w:hint="eastAsia" w:ascii="宋体" w:hAnsi="宋体"/>
        </w:rPr>
        <w:t>由省消防总队进行统一建设，各支队进行分级部署，开展指挥救援联勤联动端与指挥中心实时联动同步应用建设，基于移动终端开展警情处置、日常管理、消息管理等业务应用，整合联动消防救援站和外部各类联勤联动力量，总体实现协同作战移动化、便捷化、高效化。</w:t>
      </w:r>
    </w:p>
    <w:p w14:paraId="068038A1">
      <w:pPr>
        <w:numPr>
          <w:ilvl w:val="0"/>
          <w:numId w:val="12"/>
        </w:numPr>
      </w:pPr>
      <w:r>
        <w:rPr>
          <w:rFonts w:hint="eastAsia"/>
        </w:rPr>
        <w:t>业务需求如下</w:t>
      </w:r>
    </w:p>
    <w:p w14:paraId="7BD1FFB7">
      <w:r>
        <w:rPr>
          <w:rFonts w:hint="eastAsia"/>
        </w:rPr>
        <w:t>调度联动力量参与救援，能够作为消防力量的有效补充，助力消防救援顺利开展。联动力量可先于救援人员到达现场，开展人员疏散、警戒隔离等工作。主要包括接警、辅助救援等业务。</w:t>
      </w:r>
    </w:p>
    <w:p w14:paraId="5E98D5B7">
      <w:pPr>
        <w:pStyle w:val="2"/>
        <w:rPr>
          <w:rFonts w:ascii="宋体" w:hAnsi="宋体"/>
        </w:rPr>
      </w:pPr>
      <w:r>
        <w:rPr>
          <w:rFonts w:hint="eastAsia" w:ascii="宋体" w:hAnsi="宋体"/>
        </w:rPr>
        <w:t>（1）警情联动流程</w:t>
      </w:r>
    </w:p>
    <w:p w14:paraId="340074F8">
      <w:pPr>
        <w:pStyle w:val="2"/>
        <w:rPr>
          <w:rFonts w:ascii="宋体" w:hAnsi="宋体"/>
        </w:rPr>
      </w:pPr>
      <w:r>
        <w:rPr>
          <w:rFonts w:hint="eastAsia" w:ascii="宋体" w:hAnsi="宋体"/>
        </w:rPr>
        <w:t>指挥中心接听119报警电话，将警情位置等相关详细信息进行记录，向灾情地周边的联动力量通过电话等形式同步警情信息。联动力量接收指挥中心同步的警情位置、有无人员被困等信息。</w:t>
      </w:r>
    </w:p>
    <w:p w14:paraId="745A895C">
      <w:pPr>
        <w:pStyle w:val="2"/>
        <w:rPr>
          <w:rFonts w:ascii="宋体" w:hAnsi="宋体"/>
        </w:rPr>
      </w:pPr>
      <w:r>
        <w:rPr>
          <w:rFonts w:hint="eastAsia" w:ascii="宋体" w:hAnsi="宋体"/>
        </w:rPr>
        <w:t>（2）辅助救援流程</w:t>
      </w:r>
    </w:p>
    <w:p w14:paraId="6CC99E66">
      <w:pPr>
        <w:pStyle w:val="2"/>
        <w:rPr>
          <w:rFonts w:ascii="宋体" w:hAnsi="宋体"/>
        </w:rPr>
      </w:pPr>
      <w:r>
        <w:rPr>
          <w:rFonts w:hint="eastAsia" w:ascii="宋体" w:hAnsi="宋体"/>
        </w:rPr>
        <w:t>根据警情级别和发展情况确定调派范围，向联动力量下发救援任务，在联动力量先于救援人员到达现场后，将现场情况及时和救援人员和指挥中心进行反馈，并开展警戒隔离、人员疏散、车道畅通保障、初期火灾扑救等工作，为救援工作争取宝贵时间。</w:t>
      </w:r>
    </w:p>
    <w:p w14:paraId="6D43042C">
      <w:pPr>
        <w:pStyle w:val="6"/>
      </w:pPr>
      <w:r>
        <w:rPr>
          <w:rFonts w:hint="eastAsia"/>
        </w:rPr>
        <w:t>3.</w:t>
      </w:r>
      <w:r>
        <w:t>3</w:t>
      </w:r>
      <w:r>
        <w:rPr>
          <w:rFonts w:hint="eastAsia"/>
        </w:rPr>
        <w:t>.1.3队伍管理业务</w:t>
      </w:r>
    </w:p>
    <w:p w14:paraId="009B710C">
      <w:pPr>
        <w:pStyle w:val="2"/>
      </w:pPr>
      <w:r>
        <w:rPr>
          <w:rFonts w:hint="eastAsia"/>
        </w:rPr>
        <w:t>应急管理部消防救援局在2018年消防转制之后提出了消防队伍正规化管理和四个秩序，消防救援队伍改革转隶和职能任务拓展，在“全灾种、大应急”条件下的队伍管理需求发生较大变化，“人员可管、装备可感、战斗力可量化”已成为新形势下对消防救援队伍的建设需要。在当前的队伍管理工作中需要充分运用智能化手段，来提升灭火救援工作效率。</w:t>
      </w:r>
    </w:p>
    <w:p w14:paraId="7FEBFCFA">
      <w:r>
        <w:rPr>
          <w:rFonts w:hint="eastAsia"/>
        </w:rPr>
        <w:t>队伍管理方面，是对消防队站的人员、车辆、门禁、访客等等进行管理，涉及请休假、公务用车、岗位练兵、访客管理、日常检查等业务。</w:t>
      </w:r>
    </w:p>
    <w:p w14:paraId="5B639F94">
      <w:pPr>
        <w:pStyle w:val="2"/>
        <w:ind w:firstLine="0" w:firstLineChars="0"/>
      </w:pPr>
      <w:r>
        <w:object>
          <v:shape id="_x0000_i1028" o:spt="75" type="#_x0000_t75" style="height:376.85pt;width:414.1pt;" o:ole="t" filled="f" o:preferrelative="t" stroked="f" coordsize="21600,21600">
            <v:path/>
            <v:fill on="f" focussize="0,0"/>
            <v:stroke on="f"/>
            <v:imagedata r:id="rId13" o:title=""/>
            <o:lock v:ext="edit" aspectratio="t"/>
            <w10:wrap type="none"/>
            <w10:anchorlock/>
          </v:shape>
          <o:OLEObject Type="Embed" ProgID="Visio.Drawing.11" ShapeID="_x0000_i1028" DrawAspect="Content" ObjectID="_1468075728" r:id="rId12">
            <o:LockedField>false</o:LockedField>
          </o:OLEObject>
        </w:object>
      </w:r>
    </w:p>
    <w:p w14:paraId="1877E9CB">
      <w:pPr>
        <w:pStyle w:val="15"/>
      </w:pPr>
      <w:r>
        <w:rPr>
          <w:rFonts w:hint="eastAsia" w:ascii="黑体" w:hAnsi="黑体" w:cs="黑体"/>
        </w:rPr>
        <w:t xml:space="preserve">图3-8 </w:t>
      </w:r>
      <w:r>
        <w:rPr>
          <w:rFonts w:hint="eastAsia"/>
        </w:rPr>
        <w:t>队伍管理业务流程</w:t>
      </w:r>
    </w:p>
    <w:p w14:paraId="26970B69">
      <w:pPr>
        <w:pStyle w:val="7"/>
      </w:pPr>
      <w:r>
        <w:rPr>
          <w:rFonts w:hint="eastAsia"/>
        </w:rPr>
        <w:t>3</w:t>
      </w:r>
      <w:r>
        <w:t>.3.1.3.1请休假</w:t>
      </w:r>
      <w:r>
        <w:rPr>
          <w:rFonts w:hint="eastAsia"/>
        </w:rPr>
        <w:t>管理</w:t>
      </w:r>
    </w:p>
    <w:p w14:paraId="61786876">
      <w:pPr>
        <w:rPr>
          <w:rFonts w:cs="宋体"/>
        </w:rPr>
      </w:pPr>
      <w:r>
        <w:rPr>
          <w:rFonts w:hint="eastAsia" w:cs="宋体"/>
        </w:rPr>
        <w:t>场景描述：消防队员在队站管理软件工具上填写请休假申请，提交后队伍领导即可看到申请，对请休假情况进行审核；消防队伍的请休假情况，上级消防机构可通过队站管理软件及时查看。消防队员在指定日期休假，按日期归队后在队站管理软件进行销假，不能按期归队员可通过软件系统向消防队伍提交延期销假申请，上级消防机构可通过队站管理软件实时查看请休假情况。</w:t>
      </w:r>
    </w:p>
    <w:p w14:paraId="18B331D5">
      <w:r>
        <w:rPr>
          <w:rFonts w:hint="eastAsia"/>
        </w:rPr>
        <w:t>业务需求如下：</w:t>
      </w:r>
    </w:p>
    <w:p w14:paraId="625DB249">
      <w:r>
        <w:rPr>
          <w:rFonts w:hint="eastAsia"/>
        </w:rPr>
        <w:t>1、基于线上的请休假审批管理的需求</w:t>
      </w:r>
    </w:p>
    <w:p w14:paraId="644FED93">
      <w:pPr>
        <w:pStyle w:val="2"/>
        <w:rPr>
          <w:rFonts w:hint="eastAsia"/>
        </w:rPr>
      </w:pPr>
      <w:r>
        <w:rPr>
          <w:rFonts w:hint="eastAsia"/>
        </w:rPr>
        <w:t>改变当前依靠台账管理的模式，开发请休假管理的线上工具，在线上进行请休假申请和审批工作，减少纸质流转，提高工作效率。</w:t>
      </w:r>
    </w:p>
    <w:p w14:paraId="2BB65D50">
      <w:r>
        <w:rPr>
          <w:rFonts w:hint="eastAsia"/>
        </w:rPr>
        <w:t>2、对请休假地对维度快速统计的需求</w:t>
      </w:r>
    </w:p>
    <w:p w14:paraId="73974CB3">
      <w:pPr>
        <w:pStyle w:val="2"/>
      </w:pPr>
      <w:r>
        <w:rPr>
          <w:rFonts w:hint="eastAsia"/>
        </w:rPr>
        <w:t>基于线上的请休假管理，对消防整体、各单位或部门的请休假情况进行快速统计，在需要较大规模救援等情况时，可快速查看能调动的救援力量情况。</w:t>
      </w:r>
    </w:p>
    <w:p w14:paraId="068D17F0">
      <w:pPr>
        <w:rPr>
          <w:rFonts w:hint="eastAsia"/>
        </w:rPr>
      </w:pPr>
      <w:r>
        <w:rPr>
          <w:rFonts w:hint="eastAsia"/>
        </w:rPr>
        <w:t>3、请休假数据同其他系统互通共享的需求</w:t>
      </w:r>
    </w:p>
    <w:p w14:paraId="28DDE23F">
      <w:pPr>
        <w:pStyle w:val="2"/>
        <w:rPr>
          <w:rFonts w:hint="eastAsia"/>
        </w:rPr>
      </w:pPr>
      <w:r>
        <w:rPr>
          <w:rFonts w:hint="eastAsia"/>
        </w:rPr>
        <w:t>请休假情况需同人事管理系统等系统互通共享数据，便于为人事评价等提供数据参考。</w:t>
      </w:r>
    </w:p>
    <w:p w14:paraId="0D20F0C6">
      <w:pPr>
        <w:pStyle w:val="7"/>
      </w:pPr>
      <w:r>
        <w:rPr>
          <w:rFonts w:hint="eastAsia"/>
        </w:rPr>
        <w:t>3</w:t>
      </w:r>
      <w:r>
        <w:t>.3.1.3.2公务用车</w:t>
      </w:r>
      <w:r>
        <w:rPr>
          <w:rFonts w:hint="eastAsia"/>
        </w:rPr>
        <w:t>管理</w:t>
      </w:r>
    </w:p>
    <w:p w14:paraId="25B8DDB7">
      <w:pPr>
        <w:rPr>
          <w:rFonts w:ascii="宋体" w:hAnsi="宋体"/>
        </w:rPr>
      </w:pPr>
      <w:r>
        <w:rPr>
          <w:rFonts w:hint="eastAsia" w:cs="宋体"/>
        </w:rPr>
        <w:t>场景描述：</w:t>
      </w:r>
      <w:r>
        <w:rPr>
          <w:rFonts w:ascii="宋体" w:hAnsi="宋体"/>
        </w:rPr>
        <w:t>公务</w:t>
      </w:r>
      <w:r>
        <w:rPr>
          <w:rFonts w:hint="eastAsia" w:ascii="宋体" w:hAnsi="宋体"/>
        </w:rPr>
        <w:t>用车需由公务用车部门事前进行用车申请，在队站管理软件填写审批单，内容包括用车事项、用车时间、用车时长等内容。软件对消防队伍主要领导进行提醒，由领导审批通过后，流转到所在队伍的勤务队（班）进行用车保障，多级消防队伍或相关处室可实时查看用车情况。</w:t>
      </w:r>
    </w:p>
    <w:p w14:paraId="48ACAB23">
      <w:r>
        <w:rPr>
          <w:rFonts w:hint="eastAsia"/>
        </w:rPr>
        <w:t>业务需求如下：</w:t>
      </w:r>
    </w:p>
    <w:p w14:paraId="086F2B44">
      <w:r>
        <w:rPr>
          <w:rFonts w:hint="eastAsia"/>
        </w:rPr>
        <w:t>1、应用信息化手段对公务用车进行管理的需求</w:t>
      </w:r>
    </w:p>
    <w:p w14:paraId="4A8F95E2">
      <w:pPr>
        <w:pStyle w:val="2"/>
        <w:rPr>
          <w:rFonts w:hint="eastAsia"/>
        </w:rPr>
      </w:pPr>
      <w:r>
        <w:rPr>
          <w:rFonts w:hint="eastAsia"/>
        </w:rPr>
        <w:t>改变当前依靠台账管理的模式，开发公务用车管理的信息化工具，在线上进行公务用车申请和审批工作，减少纸质流转，提高工作效率。</w:t>
      </w:r>
    </w:p>
    <w:p w14:paraId="1258E87C">
      <w:r>
        <w:rPr>
          <w:rFonts w:hint="eastAsia"/>
        </w:rPr>
        <w:t>2、公务用车数据在多级消防救援队伍中实时反映的需求</w:t>
      </w:r>
    </w:p>
    <w:p w14:paraId="674C398B">
      <w:pPr>
        <w:pStyle w:val="2"/>
        <w:rPr>
          <w:rFonts w:hint="eastAsia"/>
        </w:rPr>
      </w:pPr>
      <w:r>
        <w:rPr>
          <w:rFonts w:hint="eastAsia"/>
        </w:rPr>
        <w:t>公务用车情况，应在消防救援队伍中实时反映，本级和上一级消防机构可实时查看公务用车情况，以便对当前消防工作情况进行评估。</w:t>
      </w:r>
    </w:p>
    <w:p w14:paraId="714A8253">
      <w:pPr>
        <w:rPr>
          <w:rFonts w:hint="eastAsia"/>
        </w:rPr>
      </w:pPr>
      <w:r>
        <w:rPr>
          <w:rFonts w:hint="eastAsia"/>
        </w:rPr>
        <w:t>3、对公务用车情况自动统计分析的需求</w:t>
      </w:r>
    </w:p>
    <w:p w14:paraId="3E744797">
      <w:pPr>
        <w:pStyle w:val="2"/>
        <w:rPr>
          <w:rFonts w:hint="eastAsia"/>
        </w:rPr>
      </w:pPr>
      <w:r>
        <w:rPr>
          <w:rFonts w:hint="eastAsia"/>
        </w:rPr>
        <w:t>需对各单位的公务用车情况进行自动统计分析，一方面指导车辆保养维护等工作，另一方面对车辆的合理调配进行合理化建议。</w:t>
      </w:r>
    </w:p>
    <w:p w14:paraId="459FEBA1">
      <w:pPr>
        <w:pStyle w:val="7"/>
      </w:pPr>
      <w:r>
        <w:rPr>
          <w:rFonts w:hint="eastAsia"/>
        </w:rPr>
        <w:t>3</w:t>
      </w:r>
      <w:r>
        <w:t>.3.1.3.3岗位练兵</w:t>
      </w:r>
      <w:r>
        <w:rPr>
          <w:rFonts w:hint="eastAsia"/>
        </w:rPr>
        <w:t>管理</w:t>
      </w:r>
    </w:p>
    <w:p w14:paraId="7DDC0E24">
      <w:pPr>
        <w:rPr>
          <w:rFonts w:ascii="宋体" w:hAnsi="宋体"/>
        </w:rPr>
      </w:pPr>
      <w:r>
        <w:rPr>
          <w:rFonts w:hint="eastAsia" w:cs="宋体"/>
        </w:rPr>
        <w:t>场景描述：</w:t>
      </w:r>
      <w:r>
        <w:rPr>
          <w:rFonts w:hint="eastAsia"/>
        </w:rPr>
        <w:t>基于队伍管理软件制定训练计划，在训练时，基于软件工具录入每次各消防队员的</w:t>
      </w:r>
      <w:r>
        <w:rPr>
          <w:rFonts w:hint="eastAsia" w:ascii="宋体" w:hAnsi="宋体"/>
        </w:rPr>
        <w:t>体能训练和技能训练成绩，后续可通过队伍管理软件进行成绩分析。</w:t>
      </w:r>
    </w:p>
    <w:p w14:paraId="4C539C2B">
      <w:r>
        <w:rPr>
          <w:rFonts w:hint="eastAsia"/>
        </w:rPr>
        <w:t>业务需求如下：</w:t>
      </w:r>
    </w:p>
    <w:p w14:paraId="126E5B24">
      <w:r>
        <w:rPr>
          <w:rFonts w:hint="eastAsia"/>
        </w:rPr>
        <w:t>1、训练计划在线共享的需求</w:t>
      </w:r>
    </w:p>
    <w:p w14:paraId="07177128">
      <w:pPr>
        <w:pStyle w:val="2"/>
      </w:pPr>
      <w:r>
        <w:rPr>
          <w:rFonts w:hint="eastAsia"/>
        </w:rPr>
        <w:t>各单位的岗位练兵计划，需在线进行共享，改变目前靠纸质上报的形式，提升效率，使上级消防机构能及时了解各单位的训练计划，进行计划调整指导。</w:t>
      </w:r>
    </w:p>
    <w:p w14:paraId="2F34BBF0">
      <w:r>
        <w:rPr>
          <w:rFonts w:hint="eastAsia"/>
        </w:rPr>
        <w:t>2、实时记录训练情况的需求</w:t>
      </w:r>
    </w:p>
    <w:p w14:paraId="794029C7">
      <w:pPr>
        <w:pStyle w:val="2"/>
      </w:pPr>
      <w:r>
        <w:rPr>
          <w:rFonts w:hint="eastAsia"/>
        </w:rPr>
        <w:t>需对训练情况和训练成绩进行实时记录，实时录入到信息化系统，以保障成绩记录的实时性和准确性。</w:t>
      </w:r>
    </w:p>
    <w:p w14:paraId="4ED35CAD">
      <w:r>
        <w:rPr>
          <w:rFonts w:hint="eastAsia"/>
        </w:rPr>
        <w:t>3、对训练情况进行统计分析的需求</w:t>
      </w:r>
    </w:p>
    <w:p w14:paraId="2A2F0DCA">
      <w:pPr>
        <w:pStyle w:val="2"/>
      </w:pPr>
      <w:r>
        <w:rPr>
          <w:rFonts w:hint="eastAsia"/>
        </w:rPr>
        <w:t>系统需对训练情况和训练成绩进行统计分析，便于队伍领导及时发现薄弱点，有针对性进行训练调整，更好服务于救援工作。</w:t>
      </w:r>
    </w:p>
    <w:p w14:paraId="43456158">
      <w:pPr>
        <w:pStyle w:val="2"/>
        <w:rPr>
          <w:rFonts w:hint="eastAsia"/>
        </w:rPr>
      </w:pPr>
      <w:r>
        <w:rPr>
          <w:rFonts w:hint="eastAsia"/>
        </w:rPr>
        <w:t>4、和其他系统数据互通的需求</w:t>
      </w:r>
    </w:p>
    <w:p w14:paraId="6165E424">
      <w:pPr>
        <w:pStyle w:val="2"/>
        <w:rPr>
          <w:rFonts w:hint="eastAsia"/>
        </w:rPr>
      </w:pPr>
      <w:r>
        <w:rPr>
          <w:rFonts w:hint="eastAsia"/>
        </w:rPr>
        <w:t>岗位练兵数据，需和其他系统进行数据互通共享，便于救援指挥时，对各救援队伍的技能掌握情况有全面直观了解。</w:t>
      </w:r>
    </w:p>
    <w:p w14:paraId="0E3F289C">
      <w:pPr>
        <w:pStyle w:val="7"/>
      </w:pPr>
      <w:r>
        <w:rPr>
          <w:rFonts w:hint="eastAsia"/>
        </w:rPr>
        <w:t>3</w:t>
      </w:r>
      <w:r>
        <w:t>.3.1.3.4访客管理</w:t>
      </w:r>
    </w:p>
    <w:p w14:paraId="0273E45E">
      <w:r>
        <w:rPr>
          <w:rFonts w:hint="eastAsia" w:cs="宋体"/>
        </w:rPr>
        <w:t>场景描述：</w:t>
      </w:r>
      <w:r>
        <w:rPr>
          <w:rFonts w:hint="eastAsia"/>
        </w:rPr>
        <w:t>在访客到访前，接待部门对访客情况在队伍管理软件进行登记，填写访客来访放行申请，直属领导在线审批后，流转到通勤保障班组，访客到访时候，查验身份信息，登记访客信息和来访情况，相关领导和上级消防机构可实时查看访客到访情况。</w:t>
      </w:r>
    </w:p>
    <w:p w14:paraId="18D5373C">
      <w:r>
        <w:rPr>
          <w:rFonts w:hint="eastAsia"/>
        </w:rPr>
        <w:t>业务需求如下：</w:t>
      </w:r>
    </w:p>
    <w:p w14:paraId="37E6CC9E">
      <w:r>
        <w:rPr>
          <w:rFonts w:hint="eastAsia"/>
        </w:rPr>
        <w:t>1、基于线上的访客申请的需求</w:t>
      </w:r>
    </w:p>
    <w:p w14:paraId="26F5F334">
      <w:pPr>
        <w:pStyle w:val="2"/>
        <w:rPr>
          <w:rFonts w:hint="eastAsia"/>
        </w:rPr>
      </w:pPr>
      <w:r>
        <w:rPr>
          <w:rFonts w:hint="eastAsia"/>
        </w:rPr>
        <w:t>改变当前依靠台账管理的模式，开发访客管理的信息化工具，在线上进行访客访问申请和审批工作，减少纸质流转，提高工作效率。</w:t>
      </w:r>
    </w:p>
    <w:p w14:paraId="2478B282">
      <w:pPr>
        <w:pStyle w:val="2"/>
        <w:rPr>
          <w:rFonts w:hint="eastAsia"/>
        </w:rPr>
      </w:pPr>
      <w:r>
        <w:rPr>
          <w:rFonts w:hint="eastAsia"/>
        </w:rPr>
        <w:t>2、登记访客信息的需求</w:t>
      </w:r>
    </w:p>
    <w:p w14:paraId="1BC5BC17">
      <w:pPr>
        <w:pStyle w:val="2"/>
        <w:rPr>
          <w:rFonts w:hint="eastAsia"/>
        </w:rPr>
      </w:pPr>
      <w:r>
        <w:rPr>
          <w:rFonts w:hint="eastAsia"/>
        </w:rPr>
        <w:t>对访客信息、访问时间、访问时长等信息需进行信息化登记，减少对台账统计不全、数据汇总不及时等问题。</w:t>
      </w:r>
    </w:p>
    <w:p w14:paraId="4792EB5F">
      <w:pPr>
        <w:pStyle w:val="2"/>
      </w:pPr>
      <w:r>
        <w:rPr>
          <w:rFonts w:hint="eastAsia"/>
        </w:rPr>
        <w:t>3、访客情况统计的需求</w:t>
      </w:r>
    </w:p>
    <w:p w14:paraId="6DA36630">
      <w:pPr>
        <w:rPr>
          <w:rFonts w:hint="eastAsia"/>
        </w:rPr>
      </w:pPr>
      <w:r>
        <w:rPr>
          <w:rFonts w:hint="eastAsia"/>
        </w:rPr>
        <w:t>系统对访客情况进行统计，便于后续优化消防队伍管理提供数据参考。</w:t>
      </w:r>
    </w:p>
    <w:p w14:paraId="3AB7A12D">
      <w:pPr>
        <w:pStyle w:val="7"/>
      </w:pPr>
      <w:r>
        <w:rPr>
          <w:rFonts w:hint="eastAsia"/>
        </w:rPr>
        <w:t>3</w:t>
      </w:r>
      <w:r>
        <w:t>.3.1.3.5日常检查</w:t>
      </w:r>
    </w:p>
    <w:p w14:paraId="1BA8E3EF">
      <w:pPr>
        <w:rPr>
          <w:rFonts w:hint="eastAsia"/>
        </w:rPr>
      </w:pPr>
      <w:r>
        <w:rPr>
          <w:rFonts w:hint="eastAsia" w:cs="宋体"/>
        </w:rPr>
        <w:t>场景描述：</w:t>
      </w:r>
      <w:r>
        <w:rPr>
          <w:rFonts w:hint="eastAsia"/>
        </w:rPr>
        <w:t>各消防队伍领导不定期队消防队伍内部进行</w:t>
      </w:r>
      <w:r>
        <w:rPr>
          <w:rFonts w:hint="eastAsia" w:ascii="宋体" w:hAnsi="宋体"/>
        </w:rPr>
        <w:t>内务卫生、队容风纪和饮酒情况等进行检查，系统记录检查情况和结果，上级消防机构可实时查看检查情况。</w:t>
      </w:r>
    </w:p>
    <w:p w14:paraId="52F711C9">
      <w:r>
        <w:rPr>
          <w:rFonts w:hint="eastAsia"/>
        </w:rPr>
        <w:t>业务需求如下：</w:t>
      </w:r>
    </w:p>
    <w:p w14:paraId="15AC2E98">
      <w:r>
        <w:rPr>
          <w:rFonts w:hint="eastAsia"/>
        </w:rPr>
        <w:t>1、利用信息化工具记录日常检查情况的需求</w:t>
      </w:r>
    </w:p>
    <w:p w14:paraId="0347891E">
      <w:pPr>
        <w:pStyle w:val="2"/>
      </w:pPr>
      <w:r>
        <w:rPr>
          <w:rFonts w:hint="eastAsia"/>
        </w:rPr>
        <w:t>需对日常检查情况和检查结果进行实时记录，实时录入到信息化系统，以保障检查结果的实时性和准确性。</w:t>
      </w:r>
    </w:p>
    <w:p w14:paraId="5C1159F0">
      <w:pPr>
        <w:pStyle w:val="2"/>
      </w:pPr>
      <w:r>
        <w:rPr>
          <w:rFonts w:hint="eastAsia"/>
        </w:rPr>
        <w:t>2、对检查情况进行多级共享的需求</w:t>
      </w:r>
    </w:p>
    <w:p w14:paraId="1C7518F2">
      <w:pPr>
        <w:rPr>
          <w:rFonts w:hint="eastAsia"/>
        </w:rPr>
      </w:pPr>
      <w:r>
        <w:rPr>
          <w:rFonts w:hint="eastAsia"/>
        </w:rPr>
        <w:t>需对检查情况在多级消防机构间进行共享，便于对消防队伍的实际情况有全面直观的了解。</w:t>
      </w:r>
    </w:p>
    <w:p w14:paraId="09287A46">
      <w:pPr>
        <w:rPr>
          <w:rFonts w:hint="eastAsia"/>
        </w:rPr>
      </w:pPr>
      <w:r>
        <w:rPr>
          <w:rFonts w:hint="eastAsia"/>
        </w:rPr>
        <w:t>3、将检查情况进行汇总分析的需求</w:t>
      </w:r>
    </w:p>
    <w:p w14:paraId="5D25B308">
      <w:pPr>
        <w:rPr>
          <w:rFonts w:hint="eastAsia"/>
        </w:rPr>
      </w:pPr>
      <w:r>
        <w:rPr>
          <w:rFonts w:hint="eastAsia"/>
        </w:rPr>
        <w:t>需将检查情况进行汇总分析，为队伍管理处室能快速找出薄弱点，进行针对性调整。</w:t>
      </w:r>
    </w:p>
    <w:p w14:paraId="27D6C2A9">
      <w:pPr>
        <w:pStyle w:val="6"/>
      </w:pPr>
      <w:r>
        <w:rPr>
          <w:rFonts w:hint="eastAsia"/>
        </w:rPr>
        <w:t>3.</w:t>
      </w:r>
      <w:r>
        <w:t>3</w:t>
      </w:r>
      <w:r>
        <w:rPr>
          <w:rFonts w:hint="eastAsia"/>
        </w:rPr>
        <w:t>.1.4综合保障业务</w:t>
      </w:r>
    </w:p>
    <w:p w14:paraId="087DEBDB">
      <w:r>
        <w:rPr>
          <w:rFonts w:hint="eastAsia"/>
          <w:lang w:eastAsia="zh-CN"/>
        </w:rPr>
        <w:t>XXX</w:t>
      </w:r>
      <w:r>
        <w:rPr>
          <w:rFonts w:hint="eastAsia"/>
        </w:rPr>
        <w:t>省消防十四五规划当中，对消防综合保障提出了新的要求，要求通过信息化建设，实现档案管理数字化、综合办公无纸化、移动化；推动后勤保障高效运转、物资采购阳光透明；实现车辆装备全要素管理、营房管理全过程掌控。考虑到目前使用的营房管理系统、被装管理系统、固定资产管理系统均是部局于2010年统建配发，且主要功能倾向于数据统计上报，缺乏精细化、智能化管理能力，为此应建设全省一体的装备物资管理系统，实现全省装备物资的精细化管理，加强对应急救援工作的能力支撑。</w:t>
      </w:r>
    </w:p>
    <w:p w14:paraId="460EBFE2">
      <w:r>
        <w:rPr>
          <w:rFonts w:hint="eastAsia"/>
        </w:rPr>
        <w:t>综合保障方面，对外进行消防服务和宣传，对内进行队伍正常运行和战斗力的保障工作，具体涉及公众服务、新闻宣传、消防装备物资管理等业务。</w:t>
      </w:r>
    </w:p>
    <w:p w14:paraId="063DDB52">
      <w:pPr>
        <w:pStyle w:val="2"/>
        <w:ind w:firstLine="0" w:firstLineChars="0"/>
      </w:pPr>
      <w:r>
        <w:object>
          <v:shape id="_x0000_i1029" o:spt="75" type="#_x0000_t75" style="height:276.4pt;width:414.15pt;" o:ole="t" filled="f" stroked="f" coordsize="21600,21600">
            <v:path/>
            <v:fill on="f" focussize="0,0"/>
            <v:stroke on="f"/>
            <v:imagedata r:id="rId15" o:title=""/>
            <o:lock v:ext="edit" aspectratio="t"/>
            <w10:wrap type="none"/>
            <w10:anchorlock/>
          </v:shape>
          <o:OLEObject Type="Embed" ProgID="Visio.Drawing.11" ShapeID="_x0000_i1029" DrawAspect="Content" ObjectID="_1468075729" r:id="rId14">
            <o:LockedField>false</o:LockedField>
          </o:OLEObject>
        </w:object>
      </w:r>
    </w:p>
    <w:p w14:paraId="67CC155E">
      <w:pPr>
        <w:pStyle w:val="15"/>
      </w:pPr>
      <w:r>
        <w:rPr>
          <w:rFonts w:hint="eastAsia" w:ascii="黑体" w:hAnsi="黑体" w:cs="黑体"/>
        </w:rPr>
        <w:t>图3-9</w:t>
      </w:r>
      <w:r>
        <w:rPr>
          <w:rFonts w:hint="eastAsia"/>
        </w:rPr>
        <w:t>综合保障业务流程</w:t>
      </w:r>
    </w:p>
    <w:p w14:paraId="1D88D19A">
      <w:pPr>
        <w:pStyle w:val="7"/>
      </w:pPr>
      <w:r>
        <w:rPr>
          <w:rFonts w:hint="eastAsia"/>
        </w:rPr>
        <w:t>3</w:t>
      </w:r>
      <w:r>
        <w:t>.3.1.3.1</w:t>
      </w:r>
      <w:r>
        <w:rPr>
          <w:rFonts w:hint="eastAsia"/>
        </w:rPr>
        <w:t>公众服务</w:t>
      </w:r>
    </w:p>
    <w:p w14:paraId="2EC236AD">
      <w:pPr>
        <w:rPr>
          <w:rFonts w:hint="eastAsia"/>
        </w:rPr>
      </w:pPr>
      <w:r>
        <w:rPr>
          <w:rFonts w:hint="eastAsia"/>
        </w:rPr>
        <w:t xml:space="preserve">公众可通过统一入口，查询消防相关的政务公开信息，进行隐患举报等操作。 </w:t>
      </w:r>
    </w:p>
    <w:p w14:paraId="6478A34C">
      <w:r>
        <w:rPr>
          <w:rFonts w:hint="eastAsia"/>
        </w:rPr>
        <w:t>场景描述一：当某一公众查询消防审批事项时，可登录消防总队官网，选择查询事项，跳转到政务网进行查询。</w:t>
      </w:r>
    </w:p>
    <w:p w14:paraId="49EE1EED">
      <w:r>
        <w:rPr>
          <w:rFonts w:hint="eastAsia"/>
        </w:rPr>
        <w:t>场景描述二：民众在购置某一消防产品时，可在消防总队官网查询消防产品公示和消防检查结果，作为购置该产品的参考。</w:t>
      </w:r>
    </w:p>
    <w:p w14:paraId="5DD86537">
      <w:r>
        <w:rPr>
          <w:rFonts w:hint="eastAsia"/>
        </w:rPr>
        <w:t>场景描述三：随着生活水平提高，公众对消防知识的渴求日益增长，缺少消防专业网站满足公众对消防知识的渴求，建设综合保障系统（消防微课堂、消防资讯），为公众提供查询消防常识、资讯的途径。</w:t>
      </w:r>
    </w:p>
    <w:p w14:paraId="2697428F">
      <w:r>
        <w:rPr>
          <w:rFonts w:hint="eastAsia"/>
        </w:rPr>
        <w:t>场景描述四：公众通过电话报警时，难以将现场情况描述清楚，通过微信公众号上传火情发展情况和火场周边情况，便于指挥中心直观了解，为救援人员制定救援预案提供参考。</w:t>
      </w:r>
    </w:p>
    <w:p w14:paraId="6C054AA0">
      <w:r>
        <w:rPr>
          <w:rFonts w:hint="eastAsia"/>
        </w:rPr>
        <w:t>场景描述五：当公众在某地相对某一建筑进行详细了解时，可扫描建筑二维码了解该建筑（或单位）的详细消防安全信息。</w:t>
      </w:r>
    </w:p>
    <w:p w14:paraId="71F5B6AB">
      <w:r>
        <w:rPr>
          <w:rFonts w:hint="eastAsia"/>
        </w:rPr>
        <w:t>业务需求如下：</w:t>
      </w:r>
    </w:p>
    <w:p w14:paraId="1094B478">
      <w:r>
        <w:rPr>
          <w:rFonts w:hint="eastAsia"/>
        </w:rPr>
        <w:t>1、整合公众服务入口的需求</w:t>
      </w:r>
    </w:p>
    <w:p w14:paraId="73AC3DEA">
      <w:pPr>
        <w:widowControl/>
        <w:rPr>
          <w:rFonts w:ascii="宋体" w:hAnsi="宋体"/>
          <w:kern w:val="0"/>
        </w:rPr>
      </w:pPr>
      <w:r>
        <w:rPr>
          <w:rFonts w:hint="eastAsia" w:ascii="宋体" w:hAnsi="宋体"/>
          <w:kern w:val="0"/>
        </w:rPr>
        <w:t>整合对接部局统建、</w:t>
      </w:r>
      <w:r>
        <w:rPr>
          <w:rFonts w:hint="eastAsia" w:ascii="宋体" w:hAnsi="宋体"/>
          <w:kern w:val="0"/>
          <w:lang w:eastAsia="zh-CN"/>
        </w:rPr>
        <w:t>XXX</w:t>
      </w:r>
      <w:r>
        <w:rPr>
          <w:rFonts w:hint="eastAsia" w:ascii="宋体" w:hAnsi="宋体"/>
          <w:kern w:val="0"/>
        </w:rPr>
        <w:t>省政务服务已有应用数据，包括接收</w:t>
      </w:r>
      <w:r>
        <w:rPr>
          <w:rFonts w:hint="eastAsia" w:ascii="宋体" w:hAnsi="宋体"/>
          <w:kern w:val="0"/>
          <w:lang w:eastAsia="zh-CN"/>
        </w:rPr>
        <w:t>XXX</w:t>
      </w:r>
      <w:r>
        <w:rPr>
          <w:rFonts w:hint="eastAsia" w:ascii="宋体" w:hAnsi="宋体"/>
          <w:kern w:val="0"/>
        </w:rPr>
        <w:t>政务系统和12345服务平台的公众聚集场所投入使用、营业前告知承诺办理、火灾事故认定复核、消防工程师注册审批、火灾隐患举报等数据，打造入口统一、功能全面、普惠便捷的公共服务应用。</w:t>
      </w:r>
    </w:p>
    <w:p w14:paraId="02C7D9DE">
      <w:pPr>
        <w:widowControl/>
        <w:rPr>
          <w:rFonts w:ascii="宋体" w:hAnsi="宋体"/>
          <w:kern w:val="0"/>
        </w:rPr>
      </w:pPr>
      <w:r>
        <w:rPr>
          <w:rFonts w:ascii="宋体" w:hAnsi="宋体"/>
          <w:kern w:val="0"/>
        </w:rPr>
        <w:t>2</w:t>
      </w:r>
      <w:r>
        <w:rPr>
          <w:rFonts w:hint="eastAsia" w:ascii="宋体" w:hAnsi="宋体"/>
          <w:kern w:val="0"/>
        </w:rPr>
        <w:t>、应用信息化强化公众服务的需求</w:t>
      </w:r>
    </w:p>
    <w:p w14:paraId="7E8ADBC9">
      <w:pPr>
        <w:widowControl/>
        <w:rPr>
          <w:rFonts w:ascii="宋体" w:hAnsi="宋体"/>
          <w:kern w:val="0"/>
        </w:rPr>
      </w:pPr>
      <w:r>
        <w:rPr>
          <w:rFonts w:hint="eastAsia" w:ascii="宋体" w:hAnsi="宋体"/>
          <w:kern w:val="0"/>
        </w:rPr>
        <w:t>利用信息化应用，建强公众与城市火灾防控和救援工作的连接器，实现</w:t>
      </w:r>
      <w:r>
        <w:rPr>
          <w:rFonts w:hint="eastAsia"/>
        </w:rPr>
        <w:t>政务便民查询、消防监督信息公开、消防微课堂、消防资讯、微信火灾报警、消防信息展示等功能，</w:t>
      </w:r>
      <w:r>
        <w:rPr>
          <w:rFonts w:hint="eastAsia" w:ascii="宋体" w:hAnsi="宋体"/>
          <w:kern w:val="0"/>
        </w:rPr>
        <w:t>服务民众与城市消防治理能力共同提升、双向促进的目标。</w:t>
      </w:r>
    </w:p>
    <w:p w14:paraId="7295B6A0">
      <w:pPr>
        <w:rPr>
          <w:rFonts w:hint="eastAsia"/>
        </w:rPr>
      </w:pPr>
      <w:r>
        <w:t>3</w:t>
      </w:r>
      <w:r>
        <w:rPr>
          <w:rFonts w:hint="eastAsia"/>
        </w:rPr>
        <w:t>、充分调度民众参与消防工作的需求</w:t>
      </w:r>
    </w:p>
    <w:p w14:paraId="55F2AC59">
      <w:pPr>
        <w:rPr>
          <w:rFonts w:hint="eastAsia"/>
        </w:rPr>
      </w:pPr>
      <w:r>
        <w:rPr>
          <w:rFonts w:hint="eastAsia"/>
        </w:rPr>
        <w:t>在公众服务方面，应结合“互联网</w:t>
      </w:r>
      <w:r>
        <w:t>+</w:t>
      </w:r>
      <w:r>
        <w:rPr>
          <w:rFonts w:hint="eastAsia"/>
        </w:rPr>
        <w:t>消防政务”要求，深化消防领域“放管服”改革，整合现有综合保障公众服务资源（科普教育基地网络预约平台、消防志愿者注册管理平台等），拓展消防“微集群”功能，发动群众使用火灾隐患随手拍等小应用、小程序，树立大应急宣传理念，建立消防宣传平台，收集、管理、共享各类宣传培训素材和产品。</w:t>
      </w:r>
    </w:p>
    <w:p w14:paraId="5A84B209">
      <w:pPr>
        <w:pStyle w:val="7"/>
        <w:rPr>
          <w:rFonts w:hint="eastAsia"/>
        </w:rPr>
      </w:pPr>
      <w:r>
        <w:rPr>
          <w:rFonts w:hint="eastAsia"/>
        </w:rPr>
        <w:t>3</w:t>
      </w:r>
      <w:r>
        <w:t>.3.1.3.2</w:t>
      </w:r>
      <w:r>
        <w:rPr>
          <w:rFonts w:hint="eastAsia"/>
        </w:rPr>
        <w:t>新闻宣传业务</w:t>
      </w:r>
    </w:p>
    <w:p w14:paraId="06114A50">
      <w:pPr>
        <w:rPr>
          <w:rFonts w:hint="eastAsia"/>
        </w:rPr>
      </w:pPr>
      <w:r>
        <w:rPr>
          <w:rFonts w:hint="eastAsia"/>
        </w:rPr>
        <w:t>总队新闻宣传处对公众服务情况和公众关心的热点问题进行分析，通过消防总队官网、各主流网站等向公众提供公众需求较为迫切的消防知识、常识、资讯等内容。</w:t>
      </w:r>
    </w:p>
    <w:p w14:paraId="6DAC03C8">
      <w:r>
        <w:rPr>
          <w:rFonts w:hint="eastAsia"/>
        </w:rPr>
        <w:t>场景描述一：当需要对全省消防的便民服务情况进行宏观掌握时，需从不同维度对便民服务情况进行分析，为新闻宣传提供支撑。</w:t>
      </w:r>
    </w:p>
    <w:p w14:paraId="0D218BD7">
      <w:r>
        <w:rPr>
          <w:rFonts w:hint="eastAsia"/>
        </w:rPr>
        <w:t>场景描述二：当需对消防科普基地进行受欢迎程度排名时，对公众的预约情况进行分析，并对消防科普基地的宣传提供参考。</w:t>
      </w:r>
    </w:p>
    <w:p w14:paraId="0A76811D">
      <w:r>
        <w:rPr>
          <w:rFonts w:hint="eastAsia"/>
        </w:rPr>
        <w:t>场景描述三：当对消防服务总览进行整理了解时，可基于地图进行各地公众访问情况查看，查看访问人数、社会单位消防安全状况等内容。</w:t>
      </w:r>
    </w:p>
    <w:p w14:paraId="3CE68FBB">
      <w:r>
        <w:rPr>
          <w:rFonts w:hint="eastAsia"/>
        </w:rPr>
        <w:t>场景描述四：当需对全省或某一地的公众消防安全意识和消防安全水平进行评估时，通过公众火灾隐患举报分析进行辅助评估，从而有针对性地进行消防宣传。</w:t>
      </w:r>
    </w:p>
    <w:p w14:paraId="0D3D8445">
      <w:pPr>
        <w:rPr>
          <w:rFonts w:ascii="仿宋" w:hAnsi="仿宋" w:cs="仿宋"/>
        </w:rPr>
      </w:pPr>
      <w:r>
        <w:rPr>
          <w:rFonts w:hint="eastAsia" w:ascii="仿宋" w:hAnsi="仿宋" w:cs="仿宋"/>
        </w:rPr>
        <w:t>场景五:当需要对当前已提供的消防素材进行分析时，通过消防素材的访问情况，统计各类型消防素材的访问时长，了解公众的关心热点所在。</w:t>
      </w:r>
    </w:p>
    <w:p w14:paraId="5389C66B">
      <w:r>
        <w:rPr>
          <w:rFonts w:hint="eastAsia"/>
        </w:rPr>
        <w:t>业务需求如下：</w:t>
      </w:r>
    </w:p>
    <w:p w14:paraId="4586D399">
      <w:r>
        <w:rPr>
          <w:rFonts w:hint="eastAsia"/>
        </w:rPr>
        <w:t>1、进行消防综合保障支撑能力分析的需求</w:t>
      </w:r>
    </w:p>
    <w:p w14:paraId="5A29983C">
      <w:r>
        <w:rPr>
          <w:rFonts w:hint="eastAsia"/>
        </w:rPr>
        <w:t>需由省消防总队新闻宣传处建设面向公众的综合保障支撑能力应用，通过整合消防政务、公众预约、公众服务、隐患举报、民众消防学习等数据，分析</w:t>
      </w:r>
      <w:r>
        <w:rPr>
          <w:rFonts w:hint="eastAsia"/>
          <w:lang w:eastAsia="zh-CN"/>
        </w:rPr>
        <w:t>XXX</w:t>
      </w:r>
      <w:r>
        <w:rPr>
          <w:rFonts w:hint="eastAsia"/>
        </w:rPr>
        <w:t>省消防安全公众服务质效，构建综合保障支撑能力应用，逐步提高办事效率，优化办事体验，推动服务模式向“以服务人民为中心”转变。</w:t>
      </w:r>
    </w:p>
    <w:p w14:paraId="6E2B2219">
      <w:pPr>
        <w:rPr>
          <w:rFonts w:hint="eastAsia"/>
        </w:rPr>
      </w:pPr>
      <w:r>
        <w:t>2</w:t>
      </w:r>
      <w:r>
        <w:rPr>
          <w:rFonts w:hint="eastAsia"/>
        </w:rPr>
        <w:t>、根据综合保障分析情况进行消防精准宣传的需求</w:t>
      </w:r>
    </w:p>
    <w:p w14:paraId="07DF861E">
      <w:r>
        <w:rPr>
          <w:rFonts w:hint="eastAsia"/>
        </w:rPr>
        <w:t>将政府便民服务分析、公众预约分析、公众服务总览、公众火灾隐患举报分析、消防知识素材分析等结果，指导消防宣传方向，提升广大群众消防安全意识，实现消防安全群防群治。</w:t>
      </w:r>
    </w:p>
    <w:p w14:paraId="22217046">
      <w:pPr>
        <w:pStyle w:val="7"/>
      </w:pPr>
      <w:r>
        <w:rPr>
          <w:rFonts w:hint="eastAsia"/>
        </w:rPr>
        <w:t>3</w:t>
      </w:r>
      <w:r>
        <w:t>.3.1.3.3</w:t>
      </w:r>
      <w:r>
        <w:rPr>
          <w:rFonts w:hint="eastAsia"/>
        </w:rPr>
        <w:t>装备物资管理</w:t>
      </w:r>
    </w:p>
    <w:p w14:paraId="3BFFFD0B">
      <w:r>
        <w:rPr>
          <w:rFonts w:hint="eastAsia"/>
        </w:rPr>
        <w:t>装备物资管理方面，改变分散建设、技术水平不一的现状，为总队、支队精准决策提供人、车、物等数据支撑。本期建设，聚焦实战需要，改变当前装备管理靠台账、统计数据靠报送的现状。应用综合保障软件系统对消防队伍的装备、器材等进行管理，可对装备数据进行统计，上一级消防机构通过软件实时查看装备物资数据。</w:t>
      </w:r>
    </w:p>
    <w:p w14:paraId="053A6E2F">
      <w:r>
        <w:rPr>
          <w:rFonts w:hint="eastAsia"/>
        </w:rPr>
        <w:t>场景描述一：当库管人员对库存器材采购</w:t>
      </w:r>
      <w:r>
        <w:t>、入库、领用等</w:t>
      </w:r>
      <w:r>
        <w:rPr>
          <w:rFonts w:hint="eastAsia"/>
        </w:rPr>
        <w:t>管理，以维护库存器材的数据准确性，并辅助进行盘点等操作；主管处室可通过系统实时查看库存器材种类和数量。</w:t>
      </w:r>
    </w:p>
    <w:p w14:paraId="02478AF0">
      <w:pPr>
        <w:pStyle w:val="2"/>
        <w:rPr>
          <w:rFonts w:hint="eastAsia"/>
        </w:rPr>
      </w:pPr>
      <w:r>
        <w:rPr>
          <w:rFonts w:hint="eastAsia"/>
        </w:rPr>
        <w:t>场景描述二：个人使用防护装备时，需要对个人防护装备的基本信息、装备使用方法、装备维护方法等进行了解，消防队伍对装备进行管理和维修，达到年限后需对装备报废更换。</w:t>
      </w:r>
    </w:p>
    <w:p w14:paraId="23F022F1">
      <w:r>
        <w:rPr>
          <w:rFonts w:hint="eastAsia"/>
        </w:rPr>
        <w:t>场景描述三：当发生特种灾害时，查询前往救援的车辆所随车所带装备的种类和数量。</w:t>
      </w:r>
    </w:p>
    <w:p w14:paraId="4C2A0150">
      <w:pPr>
        <w:pStyle w:val="2"/>
      </w:pPr>
      <w:r>
        <w:rPr>
          <w:rFonts w:hint="eastAsia"/>
        </w:rPr>
        <w:t>场景描述四：对被装进行管理，包括信息管理、标签管理以及盘点等，并对结果进行统计分析，为被装购置等提供数据参考。</w:t>
      </w:r>
    </w:p>
    <w:p w14:paraId="5BF26EB4">
      <w:pPr>
        <w:rPr>
          <w:rFonts w:ascii="宋体" w:hAnsi="宋体"/>
          <w:bCs/>
        </w:rPr>
      </w:pPr>
      <w:r>
        <w:rPr>
          <w:rFonts w:hint="eastAsia"/>
        </w:rPr>
        <w:t>场景描述五：当需要采购装备时，可征求下辖各单位意见，进行</w:t>
      </w:r>
      <w:r>
        <w:rPr>
          <w:rFonts w:ascii="宋体" w:hAnsi="宋体"/>
          <w:bCs/>
        </w:rPr>
        <w:t>需求提报、参数编制</w:t>
      </w:r>
      <w:r>
        <w:rPr>
          <w:rFonts w:hint="eastAsia" w:ascii="宋体" w:hAnsi="宋体"/>
          <w:bCs/>
        </w:rPr>
        <w:t>等，从而进行采购和</w:t>
      </w:r>
      <w:r>
        <w:rPr>
          <w:rFonts w:ascii="宋体" w:hAnsi="宋体"/>
          <w:bCs/>
        </w:rPr>
        <w:t>验收</w:t>
      </w:r>
      <w:r>
        <w:rPr>
          <w:rFonts w:hint="eastAsia" w:ascii="宋体" w:hAnsi="宋体"/>
          <w:bCs/>
        </w:rPr>
        <w:t>。</w:t>
      </w:r>
    </w:p>
    <w:p w14:paraId="76B2D267">
      <w:r>
        <w:rPr>
          <w:rFonts w:hint="eastAsia"/>
        </w:rPr>
        <w:t>业务需求如下：</w:t>
      </w:r>
    </w:p>
    <w:p w14:paraId="5AA4A087">
      <w:r>
        <w:rPr>
          <w:rFonts w:hint="eastAsia"/>
        </w:rPr>
        <w:t>1、进行装备物资智能管理的需求</w:t>
      </w:r>
    </w:p>
    <w:p w14:paraId="026BCE2B">
      <w:r>
        <w:rPr>
          <w:rFonts w:hint="eastAsia"/>
        </w:rPr>
        <w:t>建立科学高效的消防装备物资智能管理应用，建设库存器材装备管理、个人防护装备管理、随车装备管理、被装管理、装备采购管理等功能。发挥信息化</w:t>
      </w:r>
      <w:r>
        <w:t>“</w:t>
      </w:r>
      <w:r>
        <w:rPr>
          <w:rFonts w:hint="eastAsia"/>
        </w:rPr>
        <w:t>提升管理效能、减轻工作负担</w:t>
      </w:r>
      <w:r>
        <w:t>”</w:t>
      </w:r>
      <w:r>
        <w:rPr>
          <w:rFonts w:hint="eastAsia"/>
        </w:rPr>
        <w:t>的作用，</w:t>
      </w:r>
    </w:p>
    <w:p w14:paraId="22C99F71">
      <w:r>
        <w:rPr>
          <w:rFonts w:hint="eastAsia"/>
        </w:rPr>
        <w:t>2、装备物资智能管理数据同其他系统数据互通共享的需求</w:t>
      </w:r>
    </w:p>
    <w:p w14:paraId="3DED00A1">
      <w:r>
        <w:rPr>
          <w:rFonts w:hint="eastAsia"/>
        </w:rPr>
        <w:t>实现装备物资智能管理数据同其他系统数据互通共享，进一步实现国家综合性消防救援队伍和多种形式消防队伍管理数据化、智能化，准确掌握人、车、物管理基本情况和动态，包括营房管理、战勤保障、装备管理、车辆管理、被装管理、采购管理等内容，不断提升消防救援队伍管理正规化、精细化、智能化、科学化水平。</w:t>
      </w:r>
    </w:p>
    <w:p w14:paraId="7742F6D9">
      <w:pPr>
        <w:pStyle w:val="5"/>
      </w:pPr>
      <w:bookmarkStart w:id="4" w:name="_Toc9921"/>
      <w:bookmarkStart w:id="5" w:name="OLE_LINK6"/>
      <w:r>
        <w:rPr>
          <w:rFonts w:hint="eastAsia"/>
        </w:rPr>
        <w:t>3.3.2系统功能需求分析</w:t>
      </w:r>
      <w:bookmarkEnd w:id="4"/>
      <w:bookmarkEnd w:id="5"/>
    </w:p>
    <w:p w14:paraId="6D6BFE6A">
      <w:pPr>
        <w:pStyle w:val="6"/>
      </w:pPr>
      <w:r>
        <w:rPr>
          <w:rFonts w:hint="eastAsia"/>
        </w:rPr>
        <w:t>3.3.2.1火灾防控业务系统功能需求分析</w:t>
      </w:r>
    </w:p>
    <w:p w14:paraId="02FA6A43">
      <w:r>
        <w:rPr>
          <w:rFonts w:hint="eastAsia"/>
        </w:rPr>
        <w:t>当前</w:t>
      </w:r>
      <w:r>
        <w:rPr>
          <w:rFonts w:hint="eastAsia"/>
          <w:lang w:eastAsia="zh-CN"/>
        </w:rPr>
        <w:t>XXX</w:t>
      </w:r>
      <w:r>
        <w:rPr>
          <w:rFonts w:hint="eastAsia"/>
        </w:rPr>
        <w:t>省火灾防控工作存在的风险隐患源头监管手段匮乏、范围有限、能力不强以及各类消防安全责任主体协同共管水平亟待提高的问题，亟需以强化落实《</w:t>
      </w:r>
      <w:r>
        <w:rPr>
          <w:rFonts w:hint="eastAsia"/>
          <w:lang w:eastAsia="zh-CN"/>
        </w:rPr>
        <w:t>XXX</w:t>
      </w:r>
      <w:r>
        <w:rPr>
          <w:rFonts w:hint="eastAsia"/>
        </w:rPr>
        <w:t>省消防安全责任制实施办法》为抓手，以一体化的设计思路为指引，在部局下发系统（全国火灾与警情统计系统、消防监督管理系统、双随机、一公开监管平台、社会消防技术服务机构监督管理、消防产品质量监督管理系统等），总队自建系统（消防控制室标准化管理系统等），以及部分支队自建的系统（消防物联网络监控管理系统、重点单位远程监控、智慧消防安全服务系统）的基础上，应用大数据等新技术，拓展消防应用深度和用户范围，为全省各级消防救援队伍、各级政府行业主管部门、消防所、消防安全运行监控中心、各类社会单位等各类消防安全责任主体构建一套立体化、智能化的火灾防控业务系统。</w:t>
      </w:r>
    </w:p>
    <w:p w14:paraId="4836ED4A">
      <w:pPr>
        <w:pStyle w:val="2"/>
        <w:rPr>
          <w:rFonts w:hint="eastAsia"/>
        </w:rPr>
      </w:pPr>
      <w:r>
        <w:rPr>
          <w:rFonts w:hint="eastAsia"/>
        </w:rPr>
        <w:t>根据业务需求分析情况，火灾防控业务的主要用户对象包括省消防救援总队、地市及区县消防救援大队、镇街消防所、公安派出所、行业主管部门、消防合规运行监测中心、社会单位六大类用户。同时，考虑到火灾风险评估属于所有消防监管用户的共性需求，故将其作为独立的应用进行功能需求分析。</w:t>
      </w:r>
    </w:p>
    <w:p w14:paraId="2843B5F5">
      <w:pPr>
        <w:numPr>
          <w:ilvl w:val="0"/>
          <w:numId w:val="13"/>
        </w:numPr>
      </w:pPr>
      <w:r>
        <w:rPr>
          <w:rFonts w:hint="eastAsia"/>
        </w:rPr>
        <w:t>全省火灾防控综合一张图—用户对象：总队防火处</w:t>
      </w:r>
    </w:p>
    <w:p w14:paraId="22260BF2">
      <w:r>
        <w:rPr>
          <w:rFonts w:hint="eastAsia" w:ascii="仿宋" w:hAnsi="仿宋" w:cs="仿宋"/>
        </w:rPr>
        <w:t>目前，全省防控相关数据汇聚不全面、不及时、不精准，缺少科学的、实时的区域风险评估手段，全省火灾防控宏观把控不足，缺少针对省内各地市火灾防控工作执行不力、处置不及时问题的有效干预手段和工具等问题。当前亟需建设</w:t>
      </w:r>
      <w:r>
        <w:rPr>
          <w:rFonts w:hint="eastAsia"/>
        </w:rPr>
        <w:t>基于区域火灾风险评估模型实时分析结果数据、火灾防控业务系统新建系统反馈数据、本期项目新接入的火灾防控相关的外部数据，按照宏观到微观、内部管理到外部管理、过去到现在三大维度展示</w:t>
      </w:r>
      <w:r>
        <w:rPr>
          <w:rFonts w:hint="eastAsia"/>
          <w:lang w:eastAsia="zh-CN"/>
        </w:rPr>
        <w:t>XXX</w:t>
      </w:r>
      <w:r>
        <w:rPr>
          <w:rFonts w:hint="eastAsia"/>
        </w:rPr>
        <w:t>省火灾防控整体态势，具体建设消防安全指数、城市安全指数排行、隐患分析、监督管理、社会面管理、火灾防控总览、行业火灾隐患趋势、历史上的今天、干预指令下发等功能。</w:t>
      </w:r>
    </w:p>
    <w:p w14:paraId="64ED9791">
      <w:pPr>
        <w:numPr>
          <w:ilvl w:val="0"/>
          <w:numId w:val="13"/>
        </w:numPr>
      </w:pPr>
      <w:r>
        <w:rPr>
          <w:rFonts w:hint="eastAsia"/>
        </w:rPr>
        <w:t>消防安全综合监管</w:t>
      </w:r>
    </w:p>
    <w:p w14:paraId="3344AD77">
      <w:pPr>
        <w:numPr>
          <w:ilvl w:val="0"/>
          <w:numId w:val="14"/>
        </w:numPr>
        <w:rPr>
          <w:rFonts w:ascii="仿宋" w:hAnsi="仿宋" w:cs="仿宋"/>
        </w:rPr>
      </w:pPr>
      <w:r>
        <w:rPr>
          <w:rFonts w:hint="eastAsia" w:ascii="仿宋" w:hAnsi="仿宋" w:cs="仿宋"/>
        </w:rPr>
        <w:t>消防机构消防安全监管</w:t>
      </w:r>
      <w:r>
        <w:rPr>
          <w:rFonts w:hint="eastAsia"/>
        </w:rPr>
        <w:t>—用户对象：支大队防火处</w:t>
      </w:r>
    </w:p>
    <w:p w14:paraId="56E50C40">
      <w:r>
        <w:rPr>
          <w:rFonts w:hint="eastAsia" w:ascii="仿宋" w:hAnsi="仿宋" w:cs="仿宋"/>
        </w:rPr>
        <w:t>原有消防监督管理系统，是在消防内部使用的消防安全管理系统，未和已建物联网系统打通，不能实时获取物联网数据，也未考虑外部数据对接接口；当前，在解决“警力有限、责任无边”问题的背景下，需建设省市县和消防所共四级火灾立体智能防控体系，</w:t>
      </w:r>
      <w:r>
        <w:rPr>
          <w:rFonts w:hint="eastAsia"/>
        </w:rPr>
        <w:t>基于物联网、大数据技术，结合消防监督管理系统和</w:t>
      </w:r>
      <w:r>
        <w:t>“</w:t>
      </w:r>
      <w:r>
        <w:rPr>
          <w:rFonts w:hint="eastAsia"/>
        </w:rPr>
        <w:t>双随机，一公开</w:t>
      </w:r>
      <w:r>
        <w:t>”</w:t>
      </w:r>
      <w:r>
        <w:rPr>
          <w:rFonts w:hint="eastAsia"/>
        </w:rPr>
        <w:t>系统数据，通过汇聚社会单位消防安全履责数据，辅助消防监督人员发现火灾防控薄弱环节，优化配置防控力量，精准开展火灾防控工作，为实现靶向治理提供信息化支撑。</w:t>
      </w:r>
      <w:r>
        <w:rPr>
          <w:rFonts w:hint="eastAsia" w:ascii="仿宋" w:hAnsi="仿宋" w:cs="仿宋"/>
        </w:rPr>
        <w:t>通过信息化应用辅助创新消防监管服务模式，构建新型消防治理体系，实现火灾风险隐患动态感知，实现自顶向下决策指导、自下而上数据汇聚，打通与政府部门、企事业单位和社会群众的连接通道，全面提升全省火灾风险智能分析和基层防控治理水平。</w:t>
      </w:r>
      <w:r>
        <w:rPr>
          <w:rFonts w:hint="eastAsia"/>
        </w:rPr>
        <w:t>将上述功能拆分为火灾隐患一张图、首页工作台、工作日志、物联网监测、综合防控、隐患跟踪、消防监督、社会单位、隐患排查报告、技术服务机构监管、综合管理等功能。</w:t>
      </w:r>
    </w:p>
    <w:p w14:paraId="597053D3">
      <w:pPr>
        <w:numPr>
          <w:ilvl w:val="0"/>
          <w:numId w:val="14"/>
        </w:numPr>
        <w:rPr>
          <w:rFonts w:ascii="仿宋" w:hAnsi="仿宋" w:cs="仿宋"/>
        </w:rPr>
      </w:pPr>
      <w:r>
        <w:rPr>
          <w:rFonts w:hint="eastAsia" w:ascii="仿宋" w:hAnsi="仿宋" w:cs="仿宋"/>
        </w:rPr>
        <w:t>消防安全责任落实辅助</w:t>
      </w:r>
      <w:r>
        <w:rPr>
          <w:rFonts w:hint="eastAsia"/>
        </w:rPr>
        <w:t>—用户对象：镇街消防所</w:t>
      </w:r>
    </w:p>
    <w:p w14:paraId="15C9F2CA">
      <w:r>
        <w:rPr>
          <w:rFonts w:hint="eastAsia" w:ascii="仿宋" w:hAnsi="仿宋" w:cs="仿宋"/>
        </w:rPr>
        <w:t>当前，在各地筹建的消防所工作已经有序开展，</w:t>
      </w:r>
      <w:r>
        <w:rPr>
          <w:rFonts w:hint="eastAsia"/>
        </w:rPr>
        <w:t>需建设应用在平时可辅助消防所工作人员定期按流程进行消防隐患检查，当发现有消防隐患时，可按系统的引导对消防隐患进行分类、定位、拍照、上传等操作，进行隐患的分级分类整改处置。同时消防所工作人员可使用该应用对自己负责的区域内的不同类型社会单位建筑信息进行补录、更新。发生火灾时，消防所工作管理应用可以接收到警情，工作人员可上传火场文字、音频、视频信息至消防接处警系统，辅助判断火场信息，并开展人员疏散、警戒隔离和初期火灾扑救等工作。</w:t>
      </w:r>
      <w:r>
        <w:rPr>
          <w:rFonts w:hint="eastAsia" w:ascii="仿宋" w:hAnsi="仿宋" w:cs="仿宋"/>
        </w:rPr>
        <w:t>需建设</w:t>
      </w:r>
      <w:r>
        <w:rPr>
          <w:rFonts w:hint="eastAsia"/>
        </w:rPr>
        <w:t>基层网格信息采集、巡检管理、考核管理、建筑消防设施巡查、消防知识查询、火警信息联动等内容</w:t>
      </w:r>
      <w:r>
        <w:rPr>
          <w:rFonts w:hint="eastAsia" w:ascii="宋体" w:hAnsi="宋体"/>
        </w:rPr>
        <w:t>等功能。</w:t>
      </w:r>
    </w:p>
    <w:p w14:paraId="1B9179FC">
      <w:pPr>
        <w:numPr>
          <w:ilvl w:val="0"/>
          <w:numId w:val="14"/>
        </w:numPr>
        <w:rPr>
          <w:rFonts w:ascii="仿宋" w:hAnsi="仿宋" w:cs="仿宋"/>
        </w:rPr>
      </w:pPr>
      <w:r>
        <w:rPr>
          <w:rFonts w:hint="eastAsia" w:ascii="仿宋" w:hAnsi="仿宋" w:cs="仿宋"/>
        </w:rPr>
        <w:t>行业单位消防安全监管</w:t>
      </w:r>
      <w:r>
        <w:rPr>
          <w:rFonts w:hint="eastAsia"/>
        </w:rPr>
        <w:t>—用户对象：行业主管部门</w:t>
      </w:r>
    </w:p>
    <w:p w14:paraId="6F3B4957">
      <w:r>
        <w:rPr>
          <w:rFonts w:hint="eastAsia" w:ascii="仿宋" w:hAnsi="仿宋" w:cs="仿宋"/>
        </w:rPr>
        <w:t>各地政府和负有消防安全主体责任的各级行业主管部门需应用工具辅助消防工作开展，</w:t>
      </w:r>
      <w:r>
        <w:rPr>
          <w:rFonts w:hint="eastAsia"/>
        </w:rPr>
        <w:t>为其提供所属行业消防隐患数据，帮助其针对辖管的行业单位进行针对性消防监管，通过全过程记录消防行业主管部门工作数据，帮助其全面落实消防安全主体责任。支持与国家信用公示平台对接，上传处罚决定书。</w:t>
      </w:r>
      <w:r>
        <w:rPr>
          <w:rFonts w:hint="eastAsia" w:ascii="仿宋" w:hAnsi="仿宋" w:cs="仿宋"/>
        </w:rPr>
        <w:t>对辖区各行业整体消防安全隐患进行宏观掌控，并掌握行业的隐患数据，辅助行业主管部门对本行业所属单位的安全监督管理，帮助其针对辖管的行业单位进行针对性消防监管，亟需建设</w:t>
      </w:r>
      <w:r>
        <w:rPr>
          <w:rFonts w:hint="eastAsia"/>
        </w:rPr>
        <w:t>部门基础信息查询、行业监管信息推送、部门联合惩戒、安全监管、行业数据统计等功能。</w:t>
      </w:r>
    </w:p>
    <w:p w14:paraId="1CF058AA">
      <w:pPr>
        <w:numPr>
          <w:ilvl w:val="0"/>
          <w:numId w:val="14"/>
        </w:numPr>
        <w:rPr>
          <w:rFonts w:ascii="仿宋" w:hAnsi="仿宋" w:cs="仿宋"/>
        </w:rPr>
      </w:pPr>
      <w:r>
        <w:rPr>
          <w:rFonts w:hint="eastAsia" w:ascii="仿宋" w:hAnsi="仿宋" w:cs="仿宋"/>
        </w:rPr>
        <w:t>公安派出所消防监督管理</w:t>
      </w:r>
      <w:r>
        <w:rPr>
          <w:rFonts w:hint="eastAsia"/>
        </w:rPr>
        <w:t>—用户对象：公安派出所</w:t>
      </w:r>
    </w:p>
    <w:p w14:paraId="72572292">
      <w:pPr>
        <w:rPr>
          <w:rFonts w:ascii="仿宋" w:hAnsi="仿宋" w:cs="仿宋"/>
        </w:rPr>
      </w:pPr>
      <w:r>
        <w:rPr>
          <w:rFonts w:hint="eastAsia" w:ascii="仿宋" w:hAnsi="仿宋" w:cs="仿宋"/>
          <w:lang w:eastAsia="zh-CN"/>
        </w:rPr>
        <w:t>XXX</w:t>
      </w:r>
      <w:r>
        <w:rPr>
          <w:rFonts w:hint="eastAsia" w:ascii="仿宋" w:hAnsi="仿宋" w:cs="仿宋"/>
        </w:rPr>
        <w:t>省内各地市公安派出所消防监督人员负有消防监督检查的责任，</w:t>
      </w:r>
      <w:r>
        <w:rPr>
          <w:rFonts w:hint="eastAsia"/>
        </w:rPr>
        <w:t>通过构建全省统一的派出所消防监督检查应用模块，与消防监督管理系统保持数据对接。通过该小程序帮助派出所消防监督人员查看其辖管区域内的社会单位消防设施运行状态情况和单位人员消防工作执行情况，辅助其进行现场监督检查并上载相应的监督执法数据，充分利用派出所这个基层监管力量。</w:t>
      </w:r>
      <w:r>
        <w:rPr>
          <w:rFonts w:hint="eastAsia" w:ascii="仿宋" w:hAnsi="仿宋" w:cs="仿宋"/>
        </w:rPr>
        <w:t>需为公安派出所构建建设</w:t>
      </w:r>
      <w:r>
        <w:rPr>
          <w:rFonts w:hint="eastAsia"/>
        </w:rPr>
        <w:t>单位基础信息、检查任务、现场检查、物联网监测总览、单位监管详情等内容，</w:t>
      </w:r>
      <w:r>
        <w:rPr>
          <w:rFonts w:hint="eastAsia" w:ascii="仿宋" w:hAnsi="仿宋" w:cs="仿宋"/>
        </w:rPr>
        <w:t>助力进一步筑牢</w:t>
      </w:r>
      <w:r>
        <w:rPr>
          <w:rFonts w:hint="eastAsia" w:ascii="仿宋" w:hAnsi="仿宋" w:cs="仿宋"/>
          <w:lang w:eastAsia="zh-CN"/>
        </w:rPr>
        <w:t>XXX</w:t>
      </w:r>
      <w:r>
        <w:rPr>
          <w:rFonts w:hint="eastAsia" w:ascii="仿宋" w:hAnsi="仿宋" w:cs="仿宋"/>
        </w:rPr>
        <w:t>省防控底线。</w:t>
      </w:r>
    </w:p>
    <w:p w14:paraId="42109452">
      <w:pPr>
        <w:numPr>
          <w:ilvl w:val="0"/>
          <w:numId w:val="13"/>
        </w:numPr>
      </w:pPr>
      <w:r>
        <w:rPr>
          <w:rFonts w:hint="eastAsia"/>
        </w:rPr>
        <w:t>城市消防合规运行监测—用户对象：监测中心值守人员</w:t>
      </w:r>
    </w:p>
    <w:p w14:paraId="5B385D55">
      <w:r>
        <w:rPr>
          <w:rFonts w:hint="eastAsia" w:ascii="仿宋" w:hAnsi="仿宋" w:cs="仿宋"/>
        </w:rPr>
        <w:t>按现有的消防工作模式，消防力量有限，但责任无边，难以全面对消防安全责任落实进行全面监管。需通过引入第三方为消防服务，</w:t>
      </w:r>
      <w:r>
        <w:rPr>
          <w:rFonts w:hint="eastAsia"/>
        </w:rPr>
        <w:t>接入</w:t>
      </w:r>
      <w:r>
        <w:rPr>
          <w:rFonts w:hint="eastAsia"/>
          <w:lang w:eastAsia="zh-CN"/>
        </w:rPr>
        <w:t>XXX</w:t>
      </w:r>
      <w:r>
        <w:rPr>
          <w:rFonts w:hint="eastAsia"/>
        </w:rPr>
        <w:t>省已有消防物联网监控系统以及各地市已建消防物联网系统并新增城市公共消防设施监测功能，实现对</w:t>
      </w:r>
      <w:r>
        <w:rPr>
          <w:rFonts w:hint="eastAsia"/>
          <w:lang w:eastAsia="zh-CN"/>
        </w:rPr>
        <w:t>XXX</w:t>
      </w:r>
      <w:r>
        <w:rPr>
          <w:rFonts w:hint="eastAsia"/>
        </w:rPr>
        <w:t>省公共消防设施和各类型社会单位消防安全运行状态的实时监测。省级消防安全运行监控中心值守人员可基于本系统对省内火灾防控监测网反馈的各类火警、预警、隐患数据进行</w:t>
      </w:r>
      <w:r>
        <w:t>7*24</w:t>
      </w:r>
      <w:r>
        <w:rPr>
          <w:rFonts w:hint="eastAsia"/>
        </w:rPr>
        <w:t>小时监测并根据实际情况与相应社会单位或其他相关部门进行实时语音、短信以及系统通知指令互通，从而与社会单位共同织密单位消防安全自我防控网。</w:t>
      </w:r>
      <w:r>
        <w:rPr>
          <w:rFonts w:hint="eastAsia" w:ascii="仿宋" w:hAnsi="仿宋" w:cs="仿宋"/>
        </w:rPr>
        <w:t>实现</w:t>
      </w:r>
      <w:r>
        <w:rPr>
          <w:rFonts w:hint="eastAsia"/>
        </w:rPr>
        <w:t>首页信息展示、监测值守一张图、监测值守、公共设施监测、服务监管、运营报表、系统配置等功能。</w:t>
      </w:r>
    </w:p>
    <w:p w14:paraId="56CEAB76">
      <w:pPr>
        <w:numPr>
          <w:ilvl w:val="0"/>
          <w:numId w:val="13"/>
        </w:numPr>
      </w:pPr>
      <w:r>
        <w:rPr>
          <w:rFonts w:hint="eastAsia"/>
        </w:rPr>
        <w:t>社会</w:t>
      </w:r>
      <w:r>
        <w:rPr>
          <w:rFonts w:hint="eastAsia"/>
          <w:bCs/>
        </w:rPr>
        <w:t>单位</w:t>
      </w:r>
      <w:r>
        <w:rPr>
          <w:rFonts w:hint="eastAsia"/>
        </w:rPr>
        <w:t>消防安全自主管理—用户对象：社会单位消防安全工作人员</w:t>
      </w:r>
    </w:p>
    <w:p w14:paraId="304C7990">
      <w:pPr>
        <w:rPr>
          <w:rFonts w:ascii="仿宋" w:hAnsi="仿宋" w:cs="仿宋"/>
        </w:rPr>
      </w:pPr>
      <w:r>
        <w:rPr>
          <w:rFonts w:hint="eastAsia" w:ascii="仿宋" w:hAnsi="仿宋" w:cs="仿宋"/>
        </w:rPr>
        <w:t>社会单位的消防安全工作人员和管理人员，存在消防专业性不强、水平参差不齐、责任心不够等问题，和日复一日的单调工作叠加，造成消防安全管理差强人意。</w:t>
      </w:r>
      <w:r>
        <w:rPr>
          <w:rFonts w:hint="eastAsia"/>
        </w:rPr>
        <w:t>以消防物联网、移动互联网技术为支撑，以城市消防安全管理需求为导向，构建社会单位消防安全自主管理应用，与</w:t>
      </w:r>
      <w:r>
        <w:rPr>
          <w:rFonts w:hint="eastAsia"/>
          <w:lang w:eastAsia="zh-CN"/>
        </w:rPr>
        <w:t>XXX</w:t>
      </w:r>
      <w:r>
        <w:rPr>
          <w:rFonts w:hint="eastAsia"/>
        </w:rPr>
        <w:t>省工商行政管理局单位工商管理相关系统对接，定期同步单位工商信息，同时为</w:t>
      </w:r>
      <w:r>
        <w:rPr>
          <w:rFonts w:hint="eastAsia"/>
          <w:lang w:eastAsia="zh-CN"/>
        </w:rPr>
        <w:t>XXX</w:t>
      </w:r>
      <w:r>
        <w:rPr>
          <w:rFonts w:hint="eastAsia"/>
        </w:rPr>
        <w:t>省各类社会单位提供便捷的单位消防安全数据采集、录入、管理、更新工具以及与市县级消防监管系统的数据共享、业务交互，先建立实用基础功能，再结合数据情况逐步完善功能，逐步形成不断迭代更新的</w:t>
      </w:r>
      <w:r>
        <w:rPr>
          <w:rFonts w:hint="eastAsia"/>
          <w:lang w:eastAsia="zh-CN"/>
        </w:rPr>
        <w:t>XXX</w:t>
      </w:r>
      <w:r>
        <w:rPr>
          <w:rFonts w:hint="eastAsia"/>
        </w:rPr>
        <w:t>省社会单位消防安全数据底座。</w:t>
      </w:r>
      <w:r>
        <w:rPr>
          <w:rFonts w:hint="eastAsia" w:ascii="仿宋" w:hAnsi="仿宋" w:cs="仿宋"/>
        </w:rPr>
        <w:t>需为社会单位建设</w:t>
      </w:r>
      <w:r>
        <w:rPr>
          <w:rFonts w:hint="eastAsia"/>
        </w:rPr>
        <w:t>社会单位工商信息同步、社会单位基本信息采集更新、社会单位消防信息采集更新、社会单位综合安全信息采集更新、社会单位自我管理、移动</w:t>
      </w:r>
      <w:r>
        <w:t>app</w:t>
      </w:r>
      <w:r>
        <w:rPr>
          <w:rFonts w:hint="eastAsia"/>
        </w:rPr>
        <w:t>应用等内容。</w:t>
      </w:r>
      <w:r>
        <w:rPr>
          <w:rFonts w:hint="eastAsia" w:ascii="仿宋" w:hAnsi="仿宋" w:cs="仿宋"/>
        </w:rPr>
        <w:t>配发到全省各社会单位进行应用，为全省各单位提供进行消防安全管理的工具，指导社会单位更好的落实消防安全责任，提升消防安全水平。</w:t>
      </w:r>
    </w:p>
    <w:p w14:paraId="12D5A969">
      <w:pPr>
        <w:numPr>
          <w:ilvl w:val="0"/>
          <w:numId w:val="13"/>
        </w:numPr>
      </w:pPr>
      <w:r>
        <w:rPr>
          <w:rFonts w:hint="eastAsia"/>
        </w:rPr>
        <w:t>火灾风险评估—用户对象：各类消防监管力量</w:t>
      </w:r>
    </w:p>
    <w:p w14:paraId="52FFD12A">
      <w:pPr>
        <w:rPr>
          <w:rFonts w:ascii="仿宋" w:hAnsi="仿宋" w:cs="仿宋"/>
        </w:rPr>
      </w:pPr>
      <w:r>
        <w:rPr>
          <w:rFonts w:hint="eastAsia" w:ascii="仿宋" w:hAnsi="仿宋" w:cs="仿宋"/>
        </w:rPr>
        <w:t>需对单位基础信息进行采集管理、对建筑基础信息进行采集管理、对社会单位所属行业进行管理。同时对隐患归属和巡查情况进行管理，并基于上述信息对行业主管部门年度消防工作进行考评和管理。结合上述动静态数据，通过调用区域火灾风险评估模型生成火灾风险评估报告。</w:t>
      </w:r>
    </w:p>
    <w:p w14:paraId="7CFE3477">
      <w:pPr>
        <w:pStyle w:val="6"/>
      </w:pPr>
      <w:r>
        <w:rPr>
          <w:rFonts w:hint="eastAsia"/>
        </w:rPr>
        <w:t>3.3.2.2灭火救援业务系统功能需求分析</w:t>
      </w:r>
    </w:p>
    <w:p w14:paraId="7FDD6304">
      <w:pPr>
        <w:numPr>
          <w:ilvl w:val="0"/>
          <w:numId w:val="15"/>
        </w:numPr>
      </w:pPr>
      <w:r>
        <w:rPr>
          <w:rFonts w:hint="eastAsia"/>
        </w:rPr>
        <w:t>全省灭火救援态势感知</w:t>
      </w:r>
    </w:p>
    <w:p w14:paraId="26086D79">
      <w:pPr>
        <w:numPr>
          <w:ilvl w:val="0"/>
          <w:numId w:val="16"/>
        </w:numPr>
      </w:pPr>
      <w:r>
        <w:rPr>
          <w:rFonts w:hint="eastAsia"/>
        </w:rPr>
        <w:t>救援基础信息可视化功能</w:t>
      </w:r>
    </w:p>
    <w:p w14:paraId="6CA9BCC3">
      <w:r>
        <w:rPr>
          <w:rFonts w:hint="eastAsia"/>
        </w:rPr>
        <w:t>对</w:t>
      </w:r>
      <w:r>
        <w:rPr>
          <w:rFonts w:hint="eastAsia"/>
          <w:lang w:eastAsia="zh-CN"/>
        </w:rPr>
        <w:t>XXX</w:t>
      </w:r>
      <w:r>
        <w:rPr>
          <w:rFonts w:hint="eastAsia"/>
        </w:rPr>
        <w:t>全省消防车辆、人员、装备、值班排班、执勤信息和联勤保障单位信息、高低大化老幼古标等八大类建筑、消防水源信息在GIS地图上可视化呈现，支持全省一张图查看，也可根据行政区划分区域查看。</w:t>
      </w:r>
    </w:p>
    <w:p w14:paraId="3D11AE99">
      <w:pPr>
        <w:numPr>
          <w:ilvl w:val="0"/>
          <w:numId w:val="16"/>
        </w:numPr>
      </w:pPr>
      <w:r>
        <w:rPr>
          <w:rFonts w:hint="eastAsia"/>
        </w:rPr>
        <w:t>战备执勤信息可视化功能</w:t>
      </w:r>
    </w:p>
    <w:p w14:paraId="4FDD5347">
      <w:pPr>
        <w:pStyle w:val="2"/>
      </w:pPr>
      <w:r>
        <w:rPr>
          <w:rFonts w:hint="eastAsia"/>
        </w:rPr>
        <w:t>通过地图或各种统计形式在GIS地图上对战备执勤信息进行展示，实现对相关信息的总览及查询。支持全省一张图查看，也可根据行政区划分区域查看。主要功能包括消防警情列表、预警信息展示、消防警情分析。</w:t>
      </w:r>
    </w:p>
    <w:p w14:paraId="193A045F">
      <w:pPr>
        <w:numPr>
          <w:ilvl w:val="0"/>
          <w:numId w:val="16"/>
        </w:numPr>
      </w:pPr>
      <w:r>
        <w:rPr>
          <w:rFonts w:hint="eastAsia"/>
        </w:rPr>
        <w:t>全省救援指挥可视化功能</w:t>
      </w:r>
    </w:p>
    <w:p w14:paraId="6AF3EA5A">
      <w:r>
        <w:rPr>
          <w:rFonts w:hint="eastAsia"/>
        </w:rPr>
        <w:t>针对某个具体灾情，以可视化呈现为基础，基于地图、视频、图表等多种形式综合展现灾情、消防水源、作战实力分布、处置对象信息、辅助决策信息，实现灾情信息实时化、作战对象精准化、指挥调度可视化、辅助决策科学化。</w:t>
      </w:r>
    </w:p>
    <w:p w14:paraId="6BCBFCFD">
      <w:pPr>
        <w:numPr>
          <w:ilvl w:val="0"/>
          <w:numId w:val="16"/>
        </w:numPr>
      </w:pPr>
      <w:r>
        <w:rPr>
          <w:rFonts w:hint="eastAsia"/>
        </w:rPr>
        <w:t>火灾分布热力图</w:t>
      </w:r>
    </w:p>
    <w:p w14:paraId="5CB39B18">
      <w:r>
        <w:rPr>
          <w:rFonts w:hint="eastAsia"/>
        </w:rPr>
        <w:t>通过热力图对当前全省火灾分布情况进行展示，以警情数量渲染地图颜色，颜色越深表示警情数量越多，颜色越浅表示警情数量越少，通过火灾分布热力图可以很直观的看到全省警情分布，了解警情集中地带，为后期警情防控提供辅助决策。</w:t>
      </w:r>
    </w:p>
    <w:p w14:paraId="7C509F28">
      <w:pPr>
        <w:numPr>
          <w:ilvl w:val="0"/>
          <w:numId w:val="15"/>
        </w:numPr>
      </w:pPr>
      <w:r>
        <w:rPr>
          <w:rFonts w:hint="eastAsia"/>
          <w:bCs/>
        </w:rPr>
        <w:t>智能</w:t>
      </w:r>
      <w:r>
        <w:rPr>
          <w:rFonts w:hint="eastAsia"/>
        </w:rPr>
        <w:t>接处警</w:t>
      </w:r>
    </w:p>
    <w:p w14:paraId="16F463C8">
      <w:pPr>
        <w:pStyle w:val="2"/>
        <w:rPr>
          <w:rFonts w:hint="eastAsia"/>
        </w:rPr>
      </w:pPr>
      <w:r>
        <w:t>119接处警系统由部局在2010年前后统一配发建设，系统架构长期未做重大升级，运行负荷较大，在功能上、性能上、数据汇集支撑等方面已难以满足当前接处警工作的需求，不满足消防救援职能向“全灾种、大应急”的转变和部局“一短三快”接处警能力要求，也不满足构建全省接处警“两地三中心”的架构要求。为此，应急管理部消防救援局在2020年下发了智能接处警建设通知和智能接处警“一方案三标准”建设标准规范，要求全国各地开展智能接处警系统建设。同时，部局下发了“一短三快”（即接警时间短、处警速度快、到场速度快、战斗展开快）的能力</w:t>
      </w:r>
      <w:r>
        <w:rPr>
          <w:rFonts w:hint="eastAsia"/>
        </w:rPr>
        <w:t>要求通知，并对全国各地消防进行智能接处警建设及功能应用进行考核。新建智能接处警系统需要历史接处警数据作为支撑，将目前</w:t>
      </w:r>
      <w:r>
        <w:t>119接处警历史警情数据迁移到新的智能接处警系统中。</w:t>
      </w:r>
    </w:p>
    <w:p w14:paraId="7B2E5C1C">
      <w:pPr>
        <w:numPr>
          <w:ilvl w:val="0"/>
          <w:numId w:val="17"/>
        </w:numPr>
        <w:rPr>
          <w:rFonts w:ascii="宋体" w:hAnsi="宋体"/>
          <w:szCs w:val="32"/>
        </w:rPr>
      </w:pPr>
      <w:r>
        <w:rPr>
          <w:rFonts w:hint="eastAsia"/>
        </w:rPr>
        <w:t>综合</w:t>
      </w:r>
      <w:r>
        <w:rPr>
          <w:rFonts w:hint="eastAsia" w:ascii="宋体" w:hAnsi="宋体"/>
          <w:szCs w:val="32"/>
        </w:rPr>
        <w:t>报警审理功能</w:t>
      </w:r>
    </w:p>
    <w:p w14:paraId="373FB225">
      <w:pPr>
        <w:pStyle w:val="2"/>
        <w:rPr>
          <w:rFonts w:ascii="宋体" w:hAnsi="宋体"/>
          <w:szCs w:val="32"/>
        </w:rPr>
      </w:pPr>
      <w:r>
        <w:rPr>
          <w:rFonts w:hint="eastAsia" w:ascii="宋体" w:hAnsi="宋体"/>
          <w:szCs w:val="32"/>
        </w:rPr>
        <w:t>随着互联网、物联网技术的成熟和设备的普及，警情的来源渠道更加丰富。基于互联网的报警，如微信报警、基于物联网的城市远程监控系统报警、物联网传感报警（统称技防报警），均有接入需求。</w:t>
      </w:r>
    </w:p>
    <w:p w14:paraId="515A5ED4">
      <w:pPr>
        <w:numPr>
          <w:ilvl w:val="0"/>
          <w:numId w:val="17"/>
        </w:numPr>
        <w:rPr>
          <w:rFonts w:ascii="宋体" w:hAnsi="宋体"/>
          <w:szCs w:val="32"/>
        </w:rPr>
      </w:pPr>
      <w:r>
        <w:rPr>
          <w:rFonts w:hint="eastAsia" w:ascii="宋体" w:hAnsi="宋体"/>
          <w:szCs w:val="32"/>
        </w:rPr>
        <w:t>警情</w:t>
      </w:r>
      <w:r>
        <w:rPr>
          <w:rFonts w:hint="eastAsia"/>
        </w:rPr>
        <w:t>受理</w:t>
      </w:r>
      <w:r>
        <w:rPr>
          <w:rFonts w:hint="eastAsia" w:ascii="宋体" w:hAnsi="宋体"/>
          <w:szCs w:val="32"/>
        </w:rPr>
        <w:t>功能</w:t>
      </w:r>
    </w:p>
    <w:p w14:paraId="18A7B5F1">
      <w:pPr>
        <w:pStyle w:val="2"/>
        <w:rPr>
          <w:rFonts w:ascii="宋体" w:hAnsi="宋体"/>
          <w:szCs w:val="32"/>
        </w:rPr>
      </w:pPr>
      <w:r>
        <w:rPr>
          <w:rFonts w:hint="eastAsia" w:ascii="宋体" w:hAnsi="宋体"/>
          <w:szCs w:val="32"/>
        </w:rPr>
        <w:t>报警人拨打119电话，</w:t>
      </w:r>
      <w:r>
        <w:rPr>
          <w:rFonts w:hint="eastAsia"/>
          <w:szCs w:val="32"/>
        </w:rPr>
        <w:t>话务交换设备</w:t>
      </w:r>
      <w:r>
        <w:rPr>
          <w:rFonts w:hint="eastAsia" w:ascii="宋体" w:hAnsi="宋体"/>
          <w:szCs w:val="32"/>
        </w:rPr>
        <w:t>接收到话务信息后首先进入IVR电话排队流程，将电话分配到接警座席并调用综合报警定位服务查询报警位置信息，座席振铃后接警员摘机进行警情受理。</w:t>
      </w:r>
    </w:p>
    <w:p w14:paraId="5B3C92B0">
      <w:pPr>
        <w:rPr>
          <w:rFonts w:ascii="宋体" w:hAnsi="宋体"/>
          <w:szCs w:val="32"/>
        </w:rPr>
      </w:pPr>
      <w:r>
        <w:rPr>
          <w:rFonts w:hint="eastAsia" w:ascii="宋体" w:hAnsi="宋体"/>
          <w:szCs w:val="32"/>
        </w:rPr>
        <w:t>通过获取接报警的双声道语音流音频，利用智能语音识别技术将音频数据进行实时识别并转写成文字，自动提取警情信息关键点填写到报警单中，缩短接警员手工填单时间，提升接警录入效率；</w:t>
      </w:r>
    </w:p>
    <w:p w14:paraId="57D95E44">
      <w:pPr>
        <w:numPr>
          <w:ilvl w:val="0"/>
          <w:numId w:val="17"/>
        </w:numPr>
        <w:rPr>
          <w:rFonts w:ascii="宋体" w:hAnsi="宋体"/>
          <w:szCs w:val="32"/>
        </w:rPr>
      </w:pPr>
      <w:r>
        <w:rPr>
          <w:rFonts w:hint="eastAsia" w:ascii="宋体" w:hAnsi="宋体"/>
          <w:szCs w:val="32"/>
        </w:rPr>
        <w:t>警情</w:t>
      </w:r>
      <w:r>
        <w:rPr>
          <w:rFonts w:hint="eastAsia"/>
        </w:rPr>
        <w:t>调度</w:t>
      </w:r>
      <w:r>
        <w:rPr>
          <w:rFonts w:hint="eastAsia" w:ascii="宋体" w:hAnsi="宋体"/>
          <w:szCs w:val="32"/>
        </w:rPr>
        <w:t>功能</w:t>
      </w:r>
    </w:p>
    <w:p w14:paraId="72C99F29">
      <w:pPr>
        <w:pStyle w:val="2"/>
        <w:rPr>
          <w:rFonts w:ascii="宋体" w:hAnsi="宋体"/>
          <w:szCs w:val="32"/>
        </w:rPr>
      </w:pPr>
      <w:r>
        <w:rPr>
          <w:rFonts w:hint="eastAsia" w:ascii="宋体" w:hAnsi="宋体"/>
          <w:szCs w:val="32"/>
        </w:rPr>
        <w:t>通过首批力量调派，接警员在初步向报警人确认警情类型及警情位置后，系统将结合空间位置自动推算灾点所属消防救援站，快速通知首战力量做好出动准备。接警员根据报警人后续提供的警情详细信息进行力量调派，做到提前准备、快速响应，实现处警速度提升。同时联动通知相关救援站。当警情发生升级时需提醒接警员，并对警情进行增援调派。当支队救援力量无法满足作战需求时，需要对总队提出跨区域增援请求。</w:t>
      </w:r>
    </w:p>
    <w:p w14:paraId="167CB4F4">
      <w:pPr>
        <w:numPr>
          <w:ilvl w:val="0"/>
          <w:numId w:val="17"/>
        </w:numPr>
        <w:rPr>
          <w:rFonts w:ascii="宋体" w:hAnsi="宋体"/>
          <w:szCs w:val="32"/>
        </w:rPr>
      </w:pPr>
      <w:r>
        <w:rPr>
          <w:rFonts w:hint="eastAsia" w:ascii="宋体" w:hAnsi="宋体"/>
          <w:szCs w:val="32"/>
        </w:rPr>
        <w:t>警情</w:t>
      </w:r>
      <w:r>
        <w:rPr>
          <w:rFonts w:hint="eastAsia"/>
        </w:rPr>
        <w:t>受理</w:t>
      </w:r>
      <w:r>
        <w:rPr>
          <w:rFonts w:hint="eastAsia" w:ascii="宋体" w:hAnsi="宋体"/>
          <w:szCs w:val="32"/>
        </w:rPr>
        <w:t>终端功能</w:t>
      </w:r>
    </w:p>
    <w:p w14:paraId="12B4F030">
      <w:pPr>
        <w:pStyle w:val="2"/>
      </w:pPr>
      <w:r>
        <w:rPr>
          <w:rFonts w:hint="eastAsia"/>
        </w:rPr>
        <w:t>消防救援站接收消防支队指挥中心下发的救援指令，同时打印出车单并联动警灯、警铃、车库门。消防救援站可在地图上看到灾害地点以及周边消防资源，并可将处置信息反馈到支队指挥中心。</w:t>
      </w:r>
    </w:p>
    <w:p w14:paraId="2D897F29">
      <w:pPr>
        <w:numPr>
          <w:ilvl w:val="0"/>
          <w:numId w:val="17"/>
        </w:numPr>
        <w:rPr>
          <w:rFonts w:ascii="宋体" w:hAnsi="宋体"/>
          <w:szCs w:val="32"/>
        </w:rPr>
      </w:pPr>
      <w:r>
        <w:rPr>
          <w:rFonts w:hint="eastAsia" w:ascii="宋体" w:hAnsi="宋体"/>
          <w:szCs w:val="32"/>
        </w:rPr>
        <w:t>警情受理移动端功能</w:t>
      </w:r>
    </w:p>
    <w:p w14:paraId="788C25CD">
      <w:pPr>
        <w:pStyle w:val="2"/>
        <w:rPr>
          <w:rFonts w:ascii="宋体" w:hAnsi="宋体"/>
          <w:szCs w:val="32"/>
        </w:rPr>
      </w:pPr>
      <w:r>
        <w:rPr>
          <w:rFonts w:hint="eastAsia" w:ascii="宋体" w:hAnsi="宋体"/>
          <w:szCs w:val="32"/>
        </w:rPr>
        <w:t>着力打造警情移动终端，提升现场信息实时反馈能力。移动处置终端可实时接收</w:t>
      </w:r>
      <w:r>
        <w:rPr>
          <w:rFonts w:hint="eastAsia"/>
        </w:rPr>
        <w:t>警情单推送及警情详情查阅、报警录音、接收处置指令、警情地址路线规划展示、灾害地点二次定位、警情现场信息基本反馈（文本、图片、视频)、</w:t>
      </w:r>
      <w:r>
        <w:rPr>
          <w:rFonts w:hint="eastAsia" w:ascii="宋体" w:hAnsi="宋体"/>
          <w:szCs w:val="32"/>
        </w:rPr>
        <w:t>为调派、处置提供更准确详实的现场情况。并可对人员、装备、器材、车辆、值班等信息进行信息维护与更新。</w:t>
      </w:r>
    </w:p>
    <w:p w14:paraId="06AB7306">
      <w:pPr>
        <w:numPr>
          <w:ilvl w:val="0"/>
          <w:numId w:val="17"/>
        </w:numPr>
        <w:rPr>
          <w:rFonts w:ascii="宋体" w:hAnsi="宋体"/>
          <w:szCs w:val="32"/>
        </w:rPr>
      </w:pPr>
      <w:r>
        <w:rPr>
          <w:rFonts w:hint="eastAsia" w:ascii="宋体" w:hAnsi="宋体"/>
          <w:szCs w:val="32"/>
        </w:rPr>
        <w:t>全过程时序化管理功能</w:t>
      </w:r>
    </w:p>
    <w:p w14:paraId="6316228D">
      <w:pPr>
        <w:rPr>
          <w:rFonts w:ascii="宋体" w:hAnsi="宋体"/>
          <w:szCs w:val="32"/>
        </w:rPr>
      </w:pPr>
      <w:r>
        <w:rPr>
          <w:rFonts w:hint="eastAsia" w:ascii="宋体" w:hAnsi="宋体"/>
          <w:szCs w:val="32"/>
        </w:rPr>
        <w:t>系统自动记录接警、调派、出动、增援、到场、归队等环节信息，实现全流程时序化监管，为事后战评、复盘考核提供依据，为接处警流程优化提供数据支撑；同时可以作为深度学习样本，优化调度方案，形成业务闭环。</w:t>
      </w:r>
    </w:p>
    <w:p w14:paraId="0FB20916">
      <w:pPr>
        <w:numPr>
          <w:ilvl w:val="0"/>
          <w:numId w:val="17"/>
        </w:numPr>
      </w:pPr>
      <w:r>
        <w:rPr>
          <w:rFonts w:hint="eastAsia"/>
        </w:rPr>
        <w:t>警情地图服务功能</w:t>
      </w:r>
    </w:p>
    <w:p w14:paraId="45612C8B">
      <w:pPr>
        <w:rPr>
          <w:rFonts w:ascii="宋体" w:hAnsi="宋体"/>
        </w:rPr>
      </w:pPr>
      <w:r>
        <w:rPr>
          <w:rFonts w:hint="eastAsia" w:ascii="宋体" w:hAnsi="宋体"/>
        </w:rPr>
        <w:t>提供地形地貌、警情地图展示方式及地图基本操作功能，支持在地图上展示当前警情定位信息，同时叠加辖区图层供接警员参考研判；支持对周边消火栓、重点单位等资源进行分析；事发地为重点单位则需提供对应的特殊</w:t>
      </w:r>
      <w:r>
        <w:rPr>
          <w:rFonts w:ascii="宋体" w:hAnsi="宋体"/>
        </w:rPr>
        <w:t>标识</w:t>
      </w:r>
      <w:r>
        <w:rPr>
          <w:rFonts w:hint="eastAsia" w:ascii="宋体" w:hAnsi="宋体"/>
        </w:rPr>
        <w:t>。提供车辆导航、最佳路径、实时路况等功能。展示辖区天气情况、风力、风向、气温等信息</w:t>
      </w:r>
    </w:p>
    <w:p w14:paraId="1B841EF9">
      <w:pPr>
        <w:numPr>
          <w:ilvl w:val="0"/>
          <w:numId w:val="17"/>
        </w:numPr>
      </w:pPr>
      <w:r>
        <w:rPr>
          <w:rFonts w:hint="eastAsia"/>
        </w:rPr>
        <w:t>警情数据展示功能</w:t>
      </w:r>
    </w:p>
    <w:p w14:paraId="482989C9">
      <w:r>
        <w:rPr>
          <w:rFonts w:hint="eastAsia"/>
        </w:rPr>
        <w:t>提供当日警情统计、救援力量统计、装备车辆统计、伤亡人数统计、重要警情状态与提醒、值班信息统计、系统状态实时监控、数据质量监控等功能。</w:t>
      </w:r>
    </w:p>
    <w:p w14:paraId="10240DE3">
      <w:pPr>
        <w:numPr>
          <w:ilvl w:val="0"/>
          <w:numId w:val="17"/>
        </w:numPr>
      </w:pPr>
      <w:r>
        <w:rPr>
          <w:rFonts w:hint="eastAsia"/>
        </w:rPr>
        <w:t>数据管理功能</w:t>
      </w:r>
    </w:p>
    <w:p w14:paraId="2C139FF1">
      <w:pPr>
        <w:snapToGrid w:val="0"/>
        <w:rPr>
          <w:rFonts w:ascii="宋体" w:hAnsi="宋体"/>
        </w:rPr>
      </w:pPr>
      <w:r>
        <w:rPr>
          <w:rFonts w:hint="eastAsia" w:ascii="宋体" w:hAnsi="宋体"/>
        </w:rPr>
        <w:t>提供对系统</w:t>
      </w:r>
      <w:r>
        <w:rPr>
          <w:rFonts w:ascii="宋体" w:hAnsi="宋体"/>
        </w:rPr>
        <w:t>配置</w:t>
      </w:r>
      <w:r>
        <w:rPr>
          <w:rFonts w:hint="eastAsia" w:ascii="宋体" w:hAnsi="宋体"/>
        </w:rPr>
        <w:t>、短信参数配</w:t>
      </w:r>
      <w:r>
        <w:rPr>
          <w:rFonts w:ascii="宋体" w:hAnsi="宋体"/>
        </w:rPr>
        <w:t>置</w:t>
      </w:r>
      <w:r>
        <w:rPr>
          <w:rFonts w:hint="eastAsia" w:ascii="宋体" w:hAnsi="宋体"/>
        </w:rPr>
        <w:t>、座席管理、角色权限管理、用户信息管理、值班报备、阈值管理、接警提示管理、首批调派力量管理、力量信息管理、调度方案管理和黑名单管理功能。</w:t>
      </w:r>
      <w:bookmarkStart w:id="6" w:name="_Toc40893115"/>
      <w:bookmarkEnd w:id="6"/>
      <w:bookmarkStart w:id="7" w:name="_Toc40889216"/>
      <w:bookmarkEnd w:id="7"/>
      <w:bookmarkStart w:id="8" w:name="_Toc40921837"/>
      <w:bookmarkEnd w:id="8"/>
      <w:bookmarkStart w:id="9" w:name="_Toc40914111"/>
      <w:bookmarkEnd w:id="9"/>
      <w:bookmarkStart w:id="10" w:name="_Toc40934229"/>
      <w:bookmarkEnd w:id="10"/>
      <w:bookmarkStart w:id="11" w:name="_Toc8017"/>
      <w:bookmarkEnd w:id="11"/>
      <w:bookmarkStart w:id="12" w:name="_Toc40890206"/>
      <w:bookmarkEnd w:id="12"/>
      <w:r>
        <w:rPr>
          <w:rFonts w:hint="eastAsia" w:ascii="宋体" w:hAnsi="宋体"/>
        </w:rPr>
        <w:t>专职队</w:t>
      </w:r>
      <w:r>
        <w:rPr>
          <w:rFonts w:ascii="宋体" w:hAnsi="宋体"/>
        </w:rPr>
        <w:t>管理、消防人员管理、车辆信息管理、装备器材管理、联勤保障单位管理、应急联动单位管理、专家信息管理、重点单位管理、预案管理和图层数据管理如消火栓、消防水池、消防码头、微型消防站等</w:t>
      </w:r>
      <w:r>
        <w:rPr>
          <w:rFonts w:hint="eastAsia" w:ascii="宋体" w:hAnsi="宋体"/>
        </w:rPr>
        <w:t>。</w:t>
      </w:r>
    </w:p>
    <w:p w14:paraId="762F3131">
      <w:pPr>
        <w:numPr>
          <w:ilvl w:val="0"/>
          <w:numId w:val="17"/>
        </w:numPr>
        <w:rPr>
          <w:rFonts w:ascii="宋体" w:hAnsi="宋体"/>
        </w:rPr>
      </w:pPr>
      <w:r>
        <w:rPr>
          <w:rFonts w:hint="eastAsia" w:ascii="宋体" w:hAnsi="宋体"/>
        </w:rPr>
        <w:t>联网数据汇聚功能</w:t>
      </w:r>
    </w:p>
    <w:p w14:paraId="4B37E3DA">
      <w:pPr>
        <w:snapToGrid w:val="0"/>
        <w:rPr>
          <w:rFonts w:ascii="宋体" w:hAnsi="宋体"/>
        </w:rPr>
      </w:pPr>
      <w:r>
        <w:rPr>
          <w:rFonts w:ascii="宋体" w:hAnsi="宋体"/>
        </w:rPr>
        <w:t>通过总队联网汇聚</w:t>
      </w:r>
      <w:r>
        <w:rPr>
          <w:rFonts w:hint="eastAsia" w:ascii="宋体" w:hAnsi="宋体"/>
        </w:rPr>
        <w:t>提供的接口</w:t>
      </w:r>
      <w:r>
        <w:rPr>
          <w:rFonts w:ascii="宋体" w:hAnsi="宋体"/>
        </w:rPr>
        <w:t>将接处警业务数据及时</w:t>
      </w:r>
      <w:r>
        <w:rPr>
          <w:rFonts w:hint="eastAsia" w:ascii="宋体" w:hAnsi="宋体"/>
        </w:rPr>
        <w:t>向上级</w:t>
      </w:r>
      <w:r>
        <w:rPr>
          <w:rFonts w:ascii="宋体" w:hAnsi="宋体"/>
        </w:rPr>
        <w:t>上传汇聚、能接收和反馈上级下达的指令与消息</w:t>
      </w:r>
      <w:r>
        <w:rPr>
          <w:rFonts w:hint="eastAsia" w:ascii="宋体" w:hAnsi="宋体"/>
        </w:rPr>
        <w:t>。</w:t>
      </w:r>
    </w:p>
    <w:p w14:paraId="71C9AFBD">
      <w:pPr>
        <w:numPr>
          <w:ilvl w:val="0"/>
          <w:numId w:val="17"/>
        </w:numPr>
      </w:pPr>
      <w:r>
        <w:rPr>
          <w:rFonts w:hint="eastAsia"/>
        </w:rPr>
        <w:t>运行监控功能</w:t>
      </w:r>
    </w:p>
    <w:p w14:paraId="1289105F">
      <w:pPr>
        <w:rPr>
          <w:rFonts w:ascii="宋体" w:hAnsi="宋体"/>
        </w:rPr>
      </w:pPr>
      <w:r>
        <w:rPr>
          <w:rFonts w:hint="eastAsia" w:ascii="宋体" w:hAnsi="宋体"/>
        </w:rPr>
        <w:t>提供对主要的服务器设备、座席、中继网关、服务等主要指标信息监控功能并对运行状态进行可视化展示。</w:t>
      </w:r>
    </w:p>
    <w:p w14:paraId="52A4CBEC">
      <w:pPr>
        <w:numPr>
          <w:ilvl w:val="0"/>
          <w:numId w:val="15"/>
        </w:numPr>
      </w:pPr>
      <w:r>
        <w:rPr>
          <w:rFonts w:hint="eastAsia"/>
        </w:rPr>
        <w:t>智能</w:t>
      </w:r>
      <w:r>
        <w:rPr>
          <w:rFonts w:hint="eastAsia"/>
          <w:bCs/>
        </w:rPr>
        <w:t>指挥</w:t>
      </w:r>
      <w:r>
        <w:rPr>
          <w:rFonts w:hint="eastAsia"/>
        </w:rPr>
        <w:t>系统增强版</w:t>
      </w:r>
    </w:p>
    <w:p w14:paraId="530FC1FF">
      <w:pPr>
        <w:numPr>
          <w:ilvl w:val="0"/>
          <w:numId w:val="18"/>
        </w:numPr>
      </w:pPr>
      <w:r>
        <w:rPr>
          <w:rFonts w:hint="eastAsia"/>
        </w:rPr>
        <w:t>音视频连线各重要机构</w:t>
      </w:r>
    </w:p>
    <w:p w14:paraId="6A0CC08B">
      <w:pPr>
        <w:snapToGrid w:val="0"/>
        <w:rPr>
          <w:rFonts w:ascii="宋体" w:hAnsi="宋体"/>
        </w:rPr>
      </w:pPr>
      <w:r>
        <w:rPr>
          <w:rFonts w:hint="eastAsia" w:ascii="宋体" w:hAnsi="宋体"/>
        </w:rPr>
        <w:t>在灾情发生的各阶段，为详细了解灾情现场情况或为获取重要的辅助决策信息，根据需要对接各个联动部门，通过消防融合通信系统/其他音视频通信系统的接口对接各单位视频会议系统在一张图上和各相关单位进行音视频连线。</w:t>
      </w:r>
    </w:p>
    <w:p w14:paraId="0C88B681">
      <w:pPr>
        <w:numPr>
          <w:ilvl w:val="0"/>
          <w:numId w:val="18"/>
        </w:numPr>
      </w:pPr>
      <w:r>
        <w:rPr>
          <w:rFonts w:hint="eastAsia"/>
        </w:rPr>
        <w:t>视频连线专家</w:t>
      </w:r>
    </w:p>
    <w:p w14:paraId="406FDD9B">
      <w:r>
        <w:rPr>
          <w:rFonts w:hint="eastAsia"/>
        </w:rPr>
        <w:t>可对接消防融合通信系统/视讯通系统，专家在手机上安装相应的软件后，可通过系统呼叫专家，与专家进行音视频连线，了解灾情处置的情况，反馈专家意见。</w:t>
      </w:r>
    </w:p>
    <w:p w14:paraId="78CAF08B">
      <w:pPr>
        <w:numPr>
          <w:ilvl w:val="0"/>
          <w:numId w:val="18"/>
        </w:numPr>
      </w:pPr>
      <w:r>
        <w:rPr>
          <w:rFonts w:hint="eastAsia"/>
        </w:rPr>
        <w:t>处置单位预案智能提醒</w:t>
      </w:r>
    </w:p>
    <w:p w14:paraId="72484DCC">
      <w:r>
        <w:rPr>
          <w:rFonts w:hint="eastAsia"/>
        </w:rPr>
        <w:t>当发生灾情时，则根据建筑及灾害类型智能匹配并主动推送与其相似程度较高的单位处置预案，筛选出适合于本次灾情的预案推送总队指挥中心，便于指挥人员根据预案快速处置灾情，提高处置效率。</w:t>
      </w:r>
    </w:p>
    <w:p w14:paraId="6D96AEF5">
      <w:pPr>
        <w:numPr>
          <w:ilvl w:val="0"/>
          <w:numId w:val="18"/>
        </w:numPr>
      </w:pPr>
      <w:r>
        <w:rPr>
          <w:rFonts w:hint="eastAsia"/>
        </w:rPr>
        <w:t>第三方战例库智能归档</w:t>
      </w:r>
    </w:p>
    <w:p w14:paraId="3A88AF49">
      <w:r>
        <w:rPr>
          <w:rFonts w:hint="eastAsia"/>
        </w:rPr>
        <w:t>当灾情处置结束后，可打通第三方结构化战例库的关联关系，智能的一键推送灾情相关信息给第三方战例库，解决信息重复填报问题，节约战例形成的时间。</w:t>
      </w:r>
    </w:p>
    <w:p w14:paraId="0163E1B4">
      <w:pPr>
        <w:numPr>
          <w:ilvl w:val="0"/>
          <w:numId w:val="18"/>
        </w:numPr>
      </w:pPr>
      <w:r>
        <w:rPr>
          <w:rFonts w:hint="eastAsia"/>
        </w:rPr>
        <w:t>地质灾害隐患点</w:t>
      </w:r>
    </w:p>
    <w:p w14:paraId="62B59C5D">
      <w:r>
        <w:rPr>
          <w:rFonts w:hint="eastAsia"/>
        </w:rPr>
        <w:t>对接第三方系统，从系统中获取地质灾害隐患点，对地质灾害的隐患点进行上图撒点展示，并可对隐患点的基础信息进行展示，包括发现时间、灾害体特征、威胁对象、威胁人数、地质条件、地貌条件等信息。</w:t>
      </w:r>
    </w:p>
    <w:p w14:paraId="0C26282D">
      <w:pPr>
        <w:numPr>
          <w:ilvl w:val="0"/>
          <w:numId w:val="18"/>
        </w:numPr>
      </w:pPr>
      <w:r>
        <w:rPr>
          <w:rFonts w:hint="eastAsia"/>
        </w:rPr>
        <w:t>地质监测站</w:t>
      </w:r>
    </w:p>
    <w:p w14:paraId="602105FF">
      <w:r>
        <w:rPr>
          <w:rFonts w:hint="eastAsia"/>
        </w:rPr>
        <w:t>对接第三方系统，从系统中获取地质监测站，支持对地质监测站点进行上图撒点展示，并可对地质监测站相关信息进行关联，包括展示监测站负责人的姓名及联系方式、站点类型等信息。</w:t>
      </w:r>
    </w:p>
    <w:p w14:paraId="7185218C">
      <w:pPr>
        <w:numPr>
          <w:ilvl w:val="0"/>
          <w:numId w:val="18"/>
        </w:numPr>
      </w:pPr>
      <w:r>
        <w:rPr>
          <w:rFonts w:hint="eastAsia"/>
        </w:rPr>
        <w:t>车辆上装信息感知</w:t>
      </w:r>
    </w:p>
    <w:p w14:paraId="5AB6DAFF">
      <w:r>
        <w:rPr>
          <w:rFonts w:hint="eastAsia"/>
        </w:rPr>
        <w:t>系统支持对接相应的业务系统，获取车辆的上装信息，对车辆的液位进行实时的监控与展示。</w:t>
      </w:r>
    </w:p>
    <w:p w14:paraId="6BE472A9">
      <w:pPr>
        <w:numPr>
          <w:ilvl w:val="0"/>
          <w:numId w:val="18"/>
        </w:numPr>
      </w:pPr>
      <w:r>
        <w:rPr>
          <w:rFonts w:hint="eastAsia"/>
        </w:rPr>
        <w:t>车辆底盘信息感知</w:t>
      </w:r>
    </w:p>
    <w:p w14:paraId="650CA061">
      <w:pPr>
        <w:snapToGrid w:val="0"/>
      </w:pPr>
      <w:r>
        <w:rPr>
          <w:rFonts w:hint="eastAsia"/>
        </w:rPr>
        <w:t>系统支持对接相应的业务系统，获取车辆的相关底盘信息，</w:t>
      </w:r>
      <w:r>
        <w:t>实时展示每一辆消防车的底盘实时信息，支持在地图上、参战力量等页面中展示相关信息。</w:t>
      </w:r>
    </w:p>
    <w:p w14:paraId="40DCB75D">
      <w:pPr>
        <w:numPr>
          <w:ilvl w:val="0"/>
          <w:numId w:val="18"/>
        </w:numPr>
      </w:pPr>
      <w:r>
        <w:rPr>
          <w:rFonts w:hint="eastAsia"/>
        </w:rPr>
        <w:t>车辆车载装备信息感知</w:t>
      </w:r>
    </w:p>
    <w:p w14:paraId="0187C826">
      <w:pPr>
        <w:snapToGrid w:val="0"/>
      </w:pPr>
      <w:r>
        <w:rPr>
          <w:rFonts w:hint="eastAsia"/>
        </w:rPr>
        <w:t>系统支持对接相应的业务系统，获取实时的车辆装备信息，在远程作战中，实时感知每一辆车所带的装备有哪些。</w:t>
      </w:r>
    </w:p>
    <w:p w14:paraId="359DC03E">
      <w:pPr>
        <w:numPr>
          <w:ilvl w:val="0"/>
          <w:numId w:val="15"/>
        </w:numPr>
      </w:pPr>
      <w:r>
        <w:rPr>
          <w:rFonts w:hint="eastAsia"/>
        </w:rPr>
        <w:t>联勤联动力量调度管理</w:t>
      </w:r>
    </w:p>
    <w:p w14:paraId="11A372ED">
      <w:pPr>
        <w:numPr>
          <w:ilvl w:val="0"/>
          <w:numId w:val="19"/>
        </w:numPr>
      </w:pPr>
      <w:r>
        <w:rPr>
          <w:rFonts w:hint="eastAsia"/>
        </w:rPr>
        <w:t>警情接收</w:t>
      </w:r>
    </w:p>
    <w:p w14:paraId="66F87635">
      <w:pPr>
        <w:pStyle w:val="4"/>
        <w:ind w:firstLine="480"/>
        <w:rPr>
          <w:b/>
          <w:bCs/>
        </w:rPr>
      </w:pPr>
      <w:r>
        <w:rPr>
          <w:rFonts w:hint="eastAsia"/>
          <w:bCs/>
        </w:rPr>
        <w:t>实时接收智能接处警应用发送的警情调派指令，支持查看警情类型、地点、时间、警情描述、任务描述等重要信息。</w:t>
      </w:r>
    </w:p>
    <w:p w14:paraId="75F74B97">
      <w:r>
        <w:rPr>
          <w:rFonts w:hint="eastAsia"/>
        </w:rPr>
        <w:t>支持警情新增、删除、修改以及列表排序等功能。</w:t>
      </w:r>
    </w:p>
    <w:p w14:paraId="1BFAE1A3">
      <w:pPr>
        <w:numPr>
          <w:ilvl w:val="0"/>
          <w:numId w:val="19"/>
        </w:numPr>
      </w:pPr>
      <w:r>
        <w:rPr>
          <w:rFonts w:hint="eastAsia"/>
        </w:rPr>
        <w:t>警情处置</w:t>
      </w:r>
    </w:p>
    <w:p w14:paraId="06A2C193">
      <w:pPr>
        <w:rPr>
          <w:rFonts w:ascii="宋体" w:hAnsi="宋体"/>
        </w:rPr>
      </w:pPr>
      <w:r>
        <w:rPr>
          <w:rFonts w:hint="eastAsia" w:ascii="宋体" w:hAnsi="宋体"/>
        </w:rPr>
        <w:t>包括调派指令查看、一键拨打报警人电话、地图显示实时路况信息、警情的导航、加入联勤联动组等功能。</w:t>
      </w:r>
    </w:p>
    <w:p w14:paraId="20ECDF03">
      <w:pPr>
        <w:rPr>
          <w:rFonts w:ascii="宋体" w:hAnsi="宋体"/>
        </w:rPr>
      </w:pPr>
      <w:r>
        <w:rPr>
          <w:rFonts w:hint="eastAsia" w:ascii="宋体" w:hAnsi="宋体"/>
        </w:rPr>
        <w:t>用户可在地图上进行正确警情位置标记，标记后，原来的警情地址将被纠偏为当前新地址，地址纠偏后可同步至智能接处警应用。</w:t>
      </w:r>
    </w:p>
    <w:p w14:paraId="647BAF16">
      <w:pPr>
        <w:numPr>
          <w:ilvl w:val="0"/>
          <w:numId w:val="19"/>
        </w:numPr>
      </w:pPr>
      <w:r>
        <w:rPr>
          <w:rFonts w:hint="eastAsia"/>
        </w:rPr>
        <w:t>站点管理</w:t>
      </w:r>
    </w:p>
    <w:p w14:paraId="02259140">
      <w:pPr>
        <w:snapToGrid w:val="0"/>
      </w:pPr>
      <w:r>
        <w:rPr>
          <w:rFonts w:hint="eastAsia"/>
        </w:rPr>
        <w:t>支持在线进行本站点备案信息的填报，同时可查看审核进度及审核意见。</w:t>
      </w:r>
    </w:p>
    <w:p w14:paraId="7D1BBE7F">
      <w:pPr>
        <w:snapToGrid w:val="0"/>
      </w:pPr>
      <w:r>
        <w:rPr>
          <w:rFonts w:hint="eastAsia"/>
        </w:rPr>
        <w:t>查看由微型消防站管理员上报微站每天值班人员和器材的存储和管控情况。</w:t>
      </w:r>
    </w:p>
    <w:p w14:paraId="04892031">
      <w:pPr>
        <w:widowControl/>
        <w:rPr>
          <w:rFonts w:ascii="宋体" w:hAnsi="宋体"/>
        </w:rPr>
      </w:pPr>
      <w:r>
        <w:rPr>
          <w:rFonts w:hint="eastAsia"/>
        </w:rPr>
        <w:t>支持对站点以及相关人员的新增、编辑、删除以及查看等功能。可查看大</w:t>
      </w:r>
      <w:r>
        <w:rPr>
          <w:rFonts w:hint="eastAsia" w:ascii="宋体" w:hAnsi="宋体"/>
        </w:rPr>
        <w:t>。</w:t>
      </w:r>
    </w:p>
    <w:p w14:paraId="43C94450">
      <w:pPr>
        <w:pStyle w:val="6"/>
      </w:pPr>
      <w:r>
        <w:rPr>
          <w:rFonts w:hint="eastAsia"/>
        </w:rPr>
        <w:t>3.</w:t>
      </w:r>
      <w:r>
        <w:t>3</w:t>
      </w:r>
      <w:r>
        <w:rPr>
          <w:rFonts w:hint="eastAsia"/>
        </w:rPr>
        <w:t>.2.3队伍管理业务系统功能需求分析</w:t>
      </w:r>
    </w:p>
    <w:p w14:paraId="7EE39634">
      <w:r>
        <w:rPr>
          <w:rFonts w:hint="eastAsia"/>
        </w:rPr>
        <w:t>应急管理部消防救援局在2018年消防转制之后提出了消防队伍正规化管理和四个秩序，</w:t>
      </w:r>
      <w:r>
        <w:rPr>
          <w:rFonts w:hint="eastAsia"/>
          <w:lang w:eastAsia="zh-CN"/>
        </w:rPr>
        <w:t>XXX</w:t>
      </w:r>
      <w:r>
        <w:rPr>
          <w:rFonts w:hint="eastAsia"/>
        </w:rPr>
        <w:t>省消防十四五规划当中也提出了智能的现代化队伍管理建设目标，要求运用移动互联网、人脸识别、行为识别等信息化手段，实现队伍、人员全过程精细化管理、绩效评价多维度分析、训练计划精准施策等目标，从而切实提升工作效率、强化人员能力、提升队伍素质。</w:t>
      </w:r>
    </w:p>
    <w:p w14:paraId="2732A863">
      <w:r>
        <w:rPr>
          <w:rFonts w:hint="eastAsia"/>
        </w:rPr>
        <w:t>考虑到目前我省没有功能完善的“智慧队站”管理系统，为加快全省消防救援队伍正规化建设步伐、实现队伍管理智能化，总队应积极探索消防改制后队伍管理新方法、新措施，大力推进智慧队站建设，助力队伍正规化建设，为战斗力生成赋能。</w:t>
      </w:r>
    </w:p>
    <w:p w14:paraId="49463B2D">
      <w:r>
        <w:rPr>
          <w:rFonts w:hint="eastAsia"/>
        </w:rPr>
        <w:t>在当前部局配发的多个系统和部分支队自建的装备智能化管理系统、装备全寿命智能管理系统、营区监控系统等系统的基础上，对标“两严两准”建队标准，围绕消防站“人、物、事”核心管控要素，设置“一日要事”“秩序管理”“执勤训练”“量化考评”“智云课堂”“智慧营区”“健康消防”“智能台账”等与日常队伍管理相关的功能模块，通过物联网和移动端自动采集分析各类行为信息，生成相关“不可逆”数据备份，将各项活动的详细记录自动分类归档至各专项工作台账之中，同时对各项数据进行分析汇总，使数据共享互通和全维度可视化，最大限度地把指战员从补填补记繁杂冗余台账中解放了出来，杜绝基层普遍存在的“工作过后补记录”“工作绩效翻台账”的积弊陋习，对队伍管理中建设较为迫切的业务，例如请休假、公务用车、装备器材、岗位练兵、访客管理、日常检查等，改变当前依靠台账的现状。</w:t>
      </w:r>
    </w:p>
    <w:p w14:paraId="5AF93B93">
      <w:pPr>
        <w:pStyle w:val="2"/>
        <w:rPr>
          <w:rFonts w:ascii="宋体" w:hAnsi="宋体" w:cs="宋体"/>
        </w:rPr>
      </w:pPr>
      <w:r>
        <w:rPr>
          <w:rFonts w:ascii="宋体" w:hAnsi="宋体" w:cs="宋体"/>
        </w:rPr>
        <w:t>1</w:t>
      </w:r>
      <w:r>
        <w:rPr>
          <w:rFonts w:hint="eastAsia" w:ascii="宋体" w:hAnsi="宋体" w:cs="宋体"/>
        </w:rPr>
        <w:t>、智慧队站应用</w:t>
      </w:r>
    </w:p>
    <w:p w14:paraId="6BACECEF">
      <w:pPr>
        <w:pStyle w:val="2"/>
        <w:rPr>
          <w:rFonts w:ascii="宋体" w:hAnsi="宋体" w:cs="宋体"/>
        </w:rPr>
      </w:pPr>
      <w:r>
        <w:rPr>
          <w:rFonts w:hint="eastAsia"/>
        </w:rPr>
        <w:t>1）</w:t>
      </w:r>
      <w:r>
        <w:rPr>
          <w:rFonts w:hint="eastAsia" w:ascii="宋体" w:hAnsi="宋体" w:cs="宋体"/>
        </w:rPr>
        <w:t>队站管理移动应用</w:t>
      </w:r>
    </w:p>
    <w:p w14:paraId="140E073A">
      <w:pPr>
        <w:rPr>
          <w:rFonts w:ascii="宋体" w:hAnsi="宋体" w:cs="宋体"/>
        </w:rPr>
      </w:pPr>
      <w:r>
        <w:rPr>
          <w:rFonts w:hint="eastAsia" w:ascii="宋体" w:hAnsi="宋体"/>
        </w:rPr>
        <w:t>队站管理移动应用为消防队伍正规化建设提供移动式行政办公，实现消防队站人员在线申请、审批等，实时接收信息通知提醒，降低消防队站人员的沟通成本，提高无纸化办公效率。分权限设置功能模块，实现移动业务实时处理。</w:t>
      </w:r>
    </w:p>
    <w:p w14:paraId="6C1DD5B5">
      <w:pPr>
        <w:pStyle w:val="2"/>
      </w:pPr>
      <w:r>
        <w:rPr>
          <w:rFonts w:hint="eastAsia"/>
        </w:rPr>
        <w:t>2）队站可视化数据管理</w:t>
      </w:r>
    </w:p>
    <w:p w14:paraId="7FD47CFD">
      <w:pPr>
        <w:rPr>
          <w:rFonts w:ascii="宋体" w:hAnsi="宋体" w:cs="宋体"/>
        </w:rPr>
      </w:pPr>
      <w:r>
        <w:rPr>
          <w:rFonts w:hint="eastAsia"/>
        </w:rPr>
        <w:t>队站可视化数据管理，对队站日常事务进行整体展示，包括一日要事、秩序</w:t>
      </w:r>
      <w:r>
        <w:rPr>
          <w:rFonts w:hint="eastAsia" w:ascii="宋体" w:hAnsi="宋体"/>
        </w:rPr>
        <w:t>管理、执勤训练、量化考评、</w:t>
      </w:r>
      <w:r>
        <w:rPr>
          <w:rFonts w:hint="eastAsia"/>
        </w:rPr>
        <w:t>智慧</w:t>
      </w:r>
      <w:r>
        <w:rPr>
          <w:rFonts w:hint="eastAsia" w:ascii="宋体" w:hAnsi="宋体"/>
        </w:rPr>
        <w:t>营区、</w:t>
      </w:r>
      <w:r>
        <w:rPr>
          <w:rFonts w:hint="eastAsia"/>
        </w:rPr>
        <w:t>智能台账</w:t>
      </w:r>
      <w:r>
        <w:rPr>
          <w:rFonts w:hint="eastAsia" w:ascii="宋体" w:hAnsi="宋体"/>
        </w:rPr>
        <w:t>等功能。</w:t>
      </w:r>
    </w:p>
    <w:p w14:paraId="5984238C">
      <w:pPr>
        <w:pStyle w:val="2"/>
        <w:rPr>
          <w:rFonts w:ascii="宋体" w:hAnsi="宋体" w:cs="宋体"/>
        </w:rPr>
      </w:pPr>
      <w:r>
        <w:rPr>
          <w:rFonts w:hint="eastAsia" w:ascii="宋体" w:hAnsi="宋体" w:cs="宋体"/>
        </w:rPr>
        <w:t>3）队站业务管理维护</w:t>
      </w:r>
    </w:p>
    <w:p w14:paraId="5C887C9B">
      <w:pPr>
        <w:rPr>
          <w:rFonts w:hint="eastAsia" w:ascii="宋体" w:hAnsi="宋体"/>
        </w:rPr>
      </w:pPr>
      <w:r>
        <w:rPr>
          <w:rFonts w:hint="eastAsia" w:ascii="宋体" w:hAnsi="宋体"/>
        </w:rPr>
        <w:t>队站业务管理维护，对队站业务相关的人员、车辆、队站秩序等进行管理维护，并对队站情况进行量化考评管理。</w:t>
      </w:r>
    </w:p>
    <w:p w14:paraId="3F2CF30D">
      <w:pPr>
        <w:ind w:left="480" w:firstLine="0" w:firstLineChars="0"/>
        <w:rPr>
          <w:rFonts w:ascii="宋体" w:hAnsi="宋体" w:cs="宋体"/>
          <w:kern w:val="0"/>
        </w:rPr>
      </w:pPr>
      <w:r>
        <w:rPr>
          <w:rFonts w:hint="eastAsia" w:ascii="宋体" w:hAnsi="宋体" w:cs="宋体"/>
          <w:kern w:val="0"/>
        </w:rPr>
        <w:t>4）智慧队站pad端</w:t>
      </w:r>
    </w:p>
    <w:p w14:paraId="51E3F9FB">
      <w:r>
        <w:rPr>
          <w:rFonts w:hint="eastAsia"/>
        </w:rPr>
        <w:t>队站管理P</w:t>
      </w:r>
      <w:r>
        <w:t>AD</w:t>
      </w:r>
      <w:r>
        <w:rPr>
          <w:rFonts w:hint="eastAsia"/>
        </w:rPr>
        <w:t>端分为岗位练兵应用P</w:t>
      </w:r>
      <w:r>
        <w:t>AD</w:t>
      </w:r>
      <w:r>
        <w:rPr>
          <w:rFonts w:hint="eastAsia"/>
        </w:rPr>
        <w:t>端和访客管理P</w:t>
      </w:r>
      <w:r>
        <w:t>AD</w:t>
      </w:r>
      <w:r>
        <w:rPr>
          <w:rFonts w:hint="eastAsia"/>
        </w:rPr>
        <w:t>端。岗位练兵在队站管理P</w:t>
      </w:r>
      <w:r>
        <w:t>AD</w:t>
      </w:r>
      <w:r>
        <w:rPr>
          <w:rFonts w:hint="eastAsia"/>
        </w:rPr>
        <w:t>端应用移动工具登记训练成绩，用于日常训练的成绩录入。访客登记是提供外来访客人员登记功能的移动应用，接待责任人通过移动终端进行审批，方便快捷，极大提高了出入营门效率。科学管理外来人员，实现快速访客登记。主要实现对访客信息登记、审批等管理操作。</w:t>
      </w:r>
    </w:p>
    <w:p w14:paraId="62152665">
      <w:pPr>
        <w:pStyle w:val="6"/>
      </w:pPr>
      <w:r>
        <w:rPr>
          <w:rFonts w:hint="eastAsia"/>
        </w:rPr>
        <w:t>3.</w:t>
      </w:r>
      <w:r>
        <w:t>3</w:t>
      </w:r>
      <w:r>
        <w:rPr>
          <w:rFonts w:hint="eastAsia"/>
        </w:rPr>
        <w:t>.2.4综合保障业务系统功能需求分析</w:t>
      </w:r>
    </w:p>
    <w:p w14:paraId="6708B608">
      <w:r>
        <w:rPr>
          <w:rFonts w:hint="eastAsia"/>
          <w:lang w:eastAsia="zh-CN"/>
        </w:rPr>
        <w:t>XXX</w:t>
      </w:r>
      <w:r>
        <w:rPr>
          <w:rFonts w:hint="eastAsia"/>
        </w:rPr>
        <w:t>省消防十四五规划当中，对消防综合保障提出了新的要求，要求通过信息化建设，实现档案管理数字化、综合办公无纸化、移动化；推动后勤保障高效运转、物资采购阳光透明；实现车辆装备全要素管理、营房管理全过程掌控。</w:t>
      </w:r>
    </w:p>
    <w:p w14:paraId="06CE073C">
      <w:pPr>
        <w:rPr>
          <w:rFonts w:hint="eastAsia"/>
        </w:rPr>
      </w:pPr>
      <w:r>
        <w:rPr>
          <w:rFonts w:hint="eastAsia"/>
        </w:rPr>
        <w:t>在公众服务方面，应结合“互联网</w:t>
      </w:r>
      <w:r>
        <w:t>+</w:t>
      </w:r>
      <w:r>
        <w:rPr>
          <w:rFonts w:hint="eastAsia"/>
        </w:rPr>
        <w:t>消防政务”要求，深化消防领域“放管服”改革，整合现有综合保障公众服务资源（科普教育基地网络预约平台、消防志愿者注册管理平台等），拓展消防“微集群”功能，发动群众使用火灾隐患随手拍等小应用、小程序，树立大应急宣传理念，建立消防宣传平台，收集、管理、共享各类宣传培训素材和产品。</w:t>
      </w:r>
    </w:p>
    <w:p w14:paraId="74CAFC36">
      <w:r>
        <w:rPr>
          <w:rFonts w:hint="eastAsia"/>
        </w:rPr>
        <w:t>考虑到目前使用的营房管理系统、被装管理系统、固定资产管理系统均是部局于2010年统建配发，且主要功能倾向于数据统计上报，缺乏精细化、智能化管理能力，为此应建设全省一体的装备物资管理系统，实现全省装备物资的精细化管理，加强对应急救援工作的能力支撑。</w:t>
      </w:r>
    </w:p>
    <w:p w14:paraId="749B17CA">
      <w:pPr>
        <w:numPr>
          <w:ilvl w:val="0"/>
          <w:numId w:val="20"/>
        </w:numPr>
      </w:pPr>
      <w:r>
        <w:rPr>
          <w:rFonts w:hint="eastAsia"/>
        </w:rPr>
        <w:t>公众服务</w:t>
      </w:r>
    </w:p>
    <w:p w14:paraId="762BCAC8">
      <w:pPr>
        <w:widowControl/>
        <w:rPr>
          <w:rFonts w:ascii="宋体" w:hAnsi="宋体"/>
          <w:kern w:val="0"/>
        </w:rPr>
      </w:pPr>
      <w:r>
        <w:rPr>
          <w:rFonts w:hint="eastAsia" w:ascii="宋体" w:hAnsi="宋体"/>
          <w:kern w:val="0"/>
        </w:rPr>
        <w:t>整合对接部局统建、</w:t>
      </w:r>
      <w:r>
        <w:rPr>
          <w:rFonts w:hint="eastAsia" w:ascii="宋体" w:hAnsi="宋体"/>
          <w:kern w:val="0"/>
          <w:lang w:eastAsia="zh-CN"/>
        </w:rPr>
        <w:t>XXX</w:t>
      </w:r>
      <w:r>
        <w:rPr>
          <w:rFonts w:hint="eastAsia" w:ascii="宋体" w:hAnsi="宋体"/>
          <w:kern w:val="0"/>
        </w:rPr>
        <w:t>省政务服务已有应用数据，包括接收</w:t>
      </w:r>
      <w:r>
        <w:rPr>
          <w:rFonts w:hint="eastAsia" w:ascii="宋体" w:hAnsi="宋体"/>
          <w:kern w:val="0"/>
          <w:lang w:eastAsia="zh-CN"/>
        </w:rPr>
        <w:t>XXX</w:t>
      </w:r>
      <w:r>
        <w:rPr>
          <w:rFonts w:hint="eastAsia" w:ascii="宋体" w:hAnsi="宋体"/>
          <w:kern w:val="0"/>
        </w:rPr>
        <w:t>政务系统和12345服务平台的公众聚集场所投入使用、营业前告知承诺办理、火灾事故认定复核、消防工程师注册审批、火灾隐患举报等数据，打造入口统一、功能全面、普惠便捷的公共服务应用。</w:t>
      </w:r>
    </w:p>
    <w:p w14:paraId="7C3A8E90">
      <w:pPr>
        <w:widowControl/>
        <w:rPr>
          <w:rFonts w:ascii="宋体" w:hAnsi="宋体"/>
          <w:kern w:val="0"/>
        </w:rPr>
      </w:pPr>
      <w:r>
        <w:rPr>
          <w:rFonts w:hint="eastAsia" w:ascii="宋体" w:hAnsi="宋体"/>
          <w:kern w:val="0"/>
        </w:rPr>
        <w:t>利用信息化应用，建强公众与城市火灾防控和救援工作的连接器，实现</w:t>
      </w:r>
      <w:r>
        <w:rPr>
          <w:rFonts w:hint="eastAsia"/>
        </w:rPr>
        <w:t>政务便民查询、消防监督信息公开、消防微课堂、消防资讯、微信火灾报警、消防信息展示等功能，</w:t>
      </w:r>
      <w:r>
        <w:rPr>
          <w:rFonts w:hint="eastAsia" w:ascii="宋体" w:hAnsi="宋体"/>
          <w:kern w:val="0"/>
        </w:rPr>
        <w:t>服务民众与城市消防治理能力共同提升、双向促进的目标。</w:t>
      </w:r>
    </w:p>
    <w:p w14:paraId="57668844">
      <w:pPr>
        <w:pStyle w:val="2"/>
        <w:rPr>
          <w:rFonts w:hint="eastAsia"/>
        </w:rPr>
      </w:pPr>
      <w:r>
        <w:rPr>
          <w:rFonts w:hint="eastAsia"/>
        </w:rPr>
        <w:t xml:space="preserve">1）政务便民查询 </w:t>
      </w:r>
    </w:p>
    <w:p w14:paraId="38C87CA9">
      <w:pPr>
        <w:rPr>
          <w:rFonts w:hint="eastAsia"/>
        </w:rPr>
      </w:pPr>
      <w:r>
        <w:rPr>
          <w:rFonts w:hint="eastAsia"/>
        </w:rPr>
        <w:t>对接</w:t>
      </w:r>
      <w:r>
        <w:rPr>
          <w:rFonts w:hint="eastAsia"/>
          <w:lang w:eastAsia="zh-CN"/>
        </w:rPr>
        <w:t>XXX</w:t>
      </w:r>
      <w:r>
        <w:rPr>
          <w:rFonts w:hint="eastAsia"/>
        </w:rPr>
        <w:t>省政府服务网，获取公众聚集场所投入使用、营业前消防告知承诺办理进度和结果信息、火灾事故认定复核事项办理进度和结果信息、一级消防工程师注册审批事项办理进度和结果信息。对接</w:t>
      </w:r>
      <w:r>
        <w:rPr>
          <w:rFonts w:hint="eastAsia"/>
          <w:lang w:eastAsia="zh-CN"/>
        </w:rPr>
        <w:t>XXX</w:t>
      </w:r>
      <w:r>
        <w:rPr>
          <w:rFonts w:hint="eastAsia"/>
        </w:rPr>
        <w:t>12345政务热线平台获取民众消防隐患举报事项办理情况信息，包括获取、保存民众消防隐患举报事项办理进展、结果信息，并可查询相关信息。同时提供政府服务网便民事项办理情况查询、一级消防工程师注册审批事项办理、举报投诉受理及办理情况查询、行政许可办事机构一览表查询、消防法律法规标准规范查询、全省消防技术服务机构信息查询等服务。</w:t>
      </w:r>
    </w:p>
    <w:p w14:paraId="1D3ED740">
      <w:pPr>
        <w:pStyle w:val="2"/>
        <w:rPr>
          <w:rFonts w:hint="eastAsia"/>
        </w:rPr>
      </w:pPr>
      <w:r>
        <w:rPr>
          <w:rFonts w:hint="eastAsia"/>
        </w:rPr>
        <w:t>2）消防监督信息公开</w:t>
      </w:r>
    </w:p>
    <w:p w14:paraId="182ADB18">
      <w:pPr>
        <w:rPr>
          <w:rFonts w:ascii="仿宋" w:hAnsi="仿宋" w:cs="仿宋"/>
        </w:rPr>
      </w:pPr>
      <w:r>
        <w:rPr>
          <w:rFonts w:hint="eastAsia" w:ascii="仿宋" w:hAnsi="仿宋" w:cs="仿宋"/>
        </w:rPr>
        <w:t>包括网上公示、政务公告、消防产品公示、专项检查、年度双随机检查事项清单及检查计划等信息。确保信息公开规范化的管理和条理性的归档，形成统一、规范、权威的信息公开数据资料。</w:t>
      </w:r>
    </w:p>
    <w:p w14:paraId="3120D760">
      <w:pPr>
        <w:pStyle w:val="2"/>
        <w:rPr>
          <w:rFonts w:hint="eastAsia"/>
        </w:rPr>
      </w:pPr>
      <w:r>
        <w:t>3</w:t>
      </w:r>
      <w:r>
        <w:rPr>
          <w:rFonts w:hint="eastAsia"/>
        </w:rPr>
        <w:t>）消防微课堂</w:t>
      </w:r>
    </w:p>
    <w:p w14:paraId="48FD94A4">
      <w:pPr>
        <w:rPr>
          <w:rFonts w:ascii="仿宋" w:hAnsi="仿宋" w:cs="仿宋"/>
        </w:rPr>
      </w:pPr>
      <w:r>
        <w:rPr>
          <w:rFonts w:hint="eastAsia" w:ascii="仿宋" w:hAnsi="仿宋" w:cs="仿宋"/>
        </w:rPr>
        <w:t xml:space="preserve">提供三五分钟生动的图文短视频讲解，帮助民众快速掌握消防安全知识。 </w:t>
      </w:r>
    </w:p>
    <w:p w14:paraId="5CC4720A">
      <w:pPr>
        <w:pStyle w:val="2"/>
        <w:rPr>
          <w:rFonts w:hint="eastAsia"/>
        </w:rPr>
      </w:pPr>
      <w:r>
        <w:rPr>
          <w:rFonts w:hint="eastAsia"/>
        </w:rPr>
        <w:t>4）消防资讯</w:t>
      </w:r>
    </w:p>
    <w:p w14:paraId="53612D56">
      <w:pPr>
        <w:rPr>
          <w:rFonts w:ascii="仿宋" w:hAnsi="仿宋" w:cs="仿宋"/>
        </w:rPr>
      </w:pPr>
      <w:r>
        <w:rPr>
          <w:rFonts w:hint="eastAsia" w:ascii="仿宋" w:hAnsi="仿宋" w:cs="仿宋"/>
        </w:rPr>
        <w:t>系统定期收集全国范围内最新的消防相关资讯信息如各省市消防宣传号上发布的火灾案例信息、火灾事故逃生应对办法等，定时推送给民众，逐步提升民众消防安全知识和防范逃生意识。</w:t>
      </w:r>
    </w:p>
    <w:p w14:paraId="10AA6196">
      <w:pPr>
        <w:pStyle w:val="2"/>
        <w:rPr>
          <w:rFonts w:hint="eastAsia"/>
        </w:rPr>
      </w:pPr>
      <w:r>
        <w:t>5</w:t>
      </w:r>
      <w:r>
        <w:rPr>
          <w:rFonts w:hint="eastAsia"/>
        </w:rPr>
        <w:t>）微信火灾报警</w:t>
      </w:r>
    </w:p>
    <w:p w14:paraId="6096376F">
      <w:pPr>
        <w:rPr>
          <w:rFonts w:ascii="仿宋" w:hAnsi="仿宋" w:cs="仿宋"/>
        </w:rPr>
      </w:pPr>
      <w:r>
        <w:rPr>
          <w:rFonts w:hint="eastAsia" w:ascii="仿宋" w:hAnsi="仿宋" w:cs="仿宋"/>
        </w:rPr>
        <w:t xml:space="preserve">社会公众可以通过关注微信公众号，在消防火灾报警模块上进行微信火灾报警，基于公众号进行火灾报警信息的填报以及持续跟踪火灾报警的处理进程及结果。预留接口与未来建设的智能接处警多元报警转入服务对接。具体包括微信报警、报警管理、地图服务等功能。 </w:t>
      </w:r>
    </w:p>
    <w:p w14:paraId="7DF39CE3">
      <w:pPr>
        <w:pStyle w:val="2"/>
      </w:pPr>
      <w:r>
        <w:rPr>
          <w:rFonts w:hint="eastAsia"/>
        </w:rPr>
        <w:t>6）消防信息展示</w:t>
      </w:r>
    </w:p>
    <w:p w14:paraId="0D219D35">
      <w:pPr>
        <w:rPr>
          <w:rFonts w:ascii="仿宋" w:hAnsi="仿宋" w:cs="仿宋"/>
        </w:rPr>
      </w:pPr>
      <w:r>
        <w:rPr>
          <w:rFonts w:hint="eastAsia" w:ascii="仿宋" w:hAnsi="仿宋" w:cs="仿宋"/>
        </w:rPr>
        <w:t>系统自动抓取全省联网接入单位位置信息、经营性质信息、单位建筑平面图、单位风险指数、单位消防隐患整改及时率、实时火警处置率等信息，为社会单位生成消防安全码，用户扫描单位的消防安全码，可以展示联网接入单位的相关信息。</w:t>
      </w:r>
    </w:p>
    <w:p w14:paraId="7FE4915F">
      <w:pPr>
        <w:pStyle w:val="2"/>
      </w:pPr>
      <w:r>
        <w:t>7</w:t>
      </w:r>
      <w:r>
        <w:rPr>
          <w:rFonts w:hint="eastAsia"/>
        </w:rPr>
        <w:t>）便民服务分析</w:t>
      </w:r>
    </w:p>
    <w:p w14:paraId="009CA723">
      <w:pPr>
        <w:rPr>
          <w:rFonts w:ascii="仿宋" w:hAnsi="仿宋" w:cs="仿宋"/>
        </w:rPr>
      </w:pPr>
      <w:r>
        <w:rPr>
          <w:rFonts w:hint="eastAsia" w:ascii="仿宋" w:hAnsi="仿宋" w:cs="仿宋"/>
        </w:rPr>
        <w:t>通过抓取公众服务应用政务便民服务查询数据，展示全省范围内年度民众政务便民服务查询总量、民众查询关注的重点热词云。</w:t>
      </w:r>
    </w:p>
    <w:p w14:paraId="6C4EFC38">
      <w:pPr>
        <w:numPr>
          <w:ilvl w:val="0"/>
          <w:numId w:val="20"/>
        </w:numPr>
      </w:pPr>
      <w:r>
        <w:rPr>
          <w:rFonts w:hint="eastAsia"/>
        </w:rPr>
        <w:t>装备</w:t>
      </w:r>
      <w:r>
        <w:rPr>
          <w:rFonts w:hint="eastAsia"/>
          <w:bCs/>
        </w:rPr>
        <w:t>物资</w:t>
      </w:r>
      <w:r>
        <w:rPr>
          <w:rFonts w:hint="eastAsia"/>
        </w:rPr>
        <w:t>智能管理</w:t>
      </w:r>
    </w:p>
    <w:p w14:paraId="6987C2EC">
      <w:r>
        <w:rPr>
          <w:rFonts w:hint="eastAsia"/>
        </w:rPr>
        <w:t>对战备、训练、工作、生活状态等方面进行数据分析，实现“人员可管、装备可感、战斗力可量化”的目标，改变分散建设、技术水平不一的现状，为总队、支队精准决策提供人、车、物等数据支撑。本期建设，聚焦实战需要，改变当前装备管理靠台账、统计数据靠报送的现状。</w:t>
      </w:r>
    </w:p>
    <w:p w14:paraId="26908DA5">
      <w:r>
        <w:rPr>
          <w:rFonts w:hint="eastAsia"/>
        </w:rPr>
        <w:t>建立科学高效的消防装备物资智能管理应用，建设库存器材装备管理、个人防护装备管理、随车装备管理、被装管理、装备采购管理等功能。发挥信息化</w:t>
      </w:r>
      <w:r>
        <w:t>“</w:t>
      </w:r>
      <w:r>
        <w:rPr>
          <w:rFonts w:hint="eastAsia"/>
        </w:rPr>
        <w:t>提升管理效能、减轻工作负担</w:t>
      </w:r>
      <w:r>
        <w:t>”</w:t>
      </w:r>
      <w:r>
        <w:rPr>
          <w:rFonts w:hint="eastAsia"/>
        </w:rPr>
        <w:t>的作用，实现国家综合性消防救援队伍和多种形式消防队伍管理数据化、智能化，准确掌握人、车、物管理基本情况和动态，包括营房管理、战勤保障、装备管理、车辆管理、被装管理、采购管理等内容，不断提升消防救援队伍管理正规化、精细化、智能化、科学化水平。</w:t>
      </w:r>
    </w:p>
    <w:p w14:paraId="2C54D388">
      <w:pPr>
        <w:pStyle w:val="2"/>
        <w:rPr>
          <w:rFonts w:hint="eastAsia"/>
        </w:rPr>
      </w:pPr>
      <w:r>
        <w:rPr>
          <w:rFonts w:hint="eastAsia"/>
        </w:rPr>
        <w:t>1）库存器材装备管理</w:t>
      </w:r>
    </w:p>
    <w:p w14:paraId="24E00F3B">
      <w:r>
        <w:t>智能管理</w:t>
      </w:r>
      <w:r>
        <w:rPr>
          <w:rFonts w:hint="eastAsia"/>
        </w:rPr>
        <w:t>采购</w:t>
      </w:r>
      <w:r>
        <w:t>、入库、领用等环节，实时在线查询装备器材在库状态，</w:t>
      </w:r>
      <w:r>
        <w:rPr>
          <w:rFonts w:hint="eastAsia"/>
        </w:rPr>
        <w:t>通过装备的二维码信息</w:t>
      </w:r>
      <w:r>
        <w:t>，</w:t>
      </w:r>
      <w:r>
        <w:rPr>
          <w:rFonts w:hint="eastAsia"/>
        </w:rPr>
        <w:t>可查看装备</w:t>
      </w:r>
      <w:r>
        <w:t>信息包括入库时间、装备名称、数量、重量、保质期限等基本信息，在线查看各消防站、装备物资库的出入库流水、库存台账等实时信息，自动生成各类保障能力统计、分析及对比图表，生成保障实力动态图。</w:t>
      </w:r>
    </w:p>
    <w:p w14:paraId="3E793ED8">
      <w:pPr>
        <w:pStyle w:val="2"/>
        <w:rPr>
          <w:rFonts w:hint="eastAsia"/>
        </w:rPr>
      </w:pPr>
      <w:r>
        <w:rPr>
          <w:rFonts w:hint="eastAsia"/>
        </w:rPr>
        <w:t>2）个人防护装备管理</w:t>
      </w:r>
    </w:p>
    <w:p w14:paraId="2CB630D6">
      <w:pPr>
        <w:pStyle w:val="2"/>
        <w:rPr>
          <w:rFonts w:hint="eastAsia"/>
        </w:rPr>
      </w:pPr>
      <w:r>
        <w:rPr>
          <w:rFonts w:hint="eastAsia"/>
        </w:rPr>
        <w:t>按照消防员的基本防护装备规范条例，可管理配发到消防员的个人防护装备和智能化装备，包括装备的基本信息、装备使用方法、装备维护方法、装备管理方法、装备维修管理、装备报废更换等。</w:t>
      </w:r>
    </w:p>
    <w:p w14:paraId="16C7B938">
      <w:pPr>
        <w:pStyle w:val="2"/>
        <w:rPr>
          <w:rFonts w:hint="eastAsia"/>
        </w:rPr>
      </w:pPr>
      <w:r>
        <w:rPr>
          <w:rFonts w:hint="eastAsia"/>
        </w:rPr>
        <w:t>3）随车装备管理</w:t>
      </w:r>
    </w:p>
    <w:p w14:paraId="324A07DA">
      <w:pPr>
        <w:pStyle w:val="4"/>
        <w:ind w:firstLine="480"/>
        <w:rPr>
          <w:rFonts w:ascii="宋体" w:hAnsi="宋体"/>
          <w:bCs/>
        </w:rPr>
      </w:pPr>
      <w:r>
        <w:rPr>
          <w:rFonts w:hint="eastAsia" w:ascii="宋体" w:hAnsi="宋体"/>
          <w:bCs/>
        </w:rPr>
        <w:t>对随车装备信息录入管理，对已登记过的装备进行资料查询、资料详细信息查看、列表展示所有随车装备种类信息。</w:t>
      </w:r>
    </w:p>
    <w:p w14:paraId="3C652353">
      <w:pPr>
        <w:pStyle w:val="2"/>
        <w:rPr>
          <w:rFonts w:hint="eastAsia"/>
        </w:rPr>
      </w:pPr>
      <w:r>
        <w:rPr>
          <w:rFonts w:hint="eastAsia"/>
        </w:rPr>
        <w:t>4）被装管理</w:t>
      </w:r>
    </w:p>
    <w:p w14:paraId="21A8843B">
      <w:pPr>
        <w:pStyle w:val="4"/>
        <w:ind w:firstLine="480"/>
        <w:rPr>
          <w:rFonts w:ascii="宋体" w:hAnsi="宋体"/>
          <w:bCs/>
        </w:rPr>
      </w:pPr>
      <w:r>
        <w:rPr>
          <w:rFonts w:hint="eastAsia" w:ascii="宋体" w:hAnsi="宋体"/>
          <w:bCs/>
        </w:rPr>
        <w:t>支持与其他系统数据互联互通。支持对被装智能化管理，包括被装信息管理、被装标签管理以及被装信息统计等。</w:t>
      </w:r>
      <w:r>
        <w:rPr>
          <w:rFonts w:ascii="宋体" w:hAnsi="宋体"/>
          <w:bCs/>
        </w:rPr>
        <w:t>实现被装智能化出入库，建立扫码登记入库、出库</w:t>
      </w:r>
      <w:r>
        <w:rPr>
          <w:rFonts w:hint="eastAsia" w:ascii="宋体" w:hAnsi="宋体"/>
          <w:bCs/>
        </w:rPr>
        <w:t>以及盘点统计</w:t>
      </w:r>
      <w:r>
        <w:rPr>
          <w:rFonts w:ascii="宋体" w:hAnsi="宋体"/>
          <w:bCs/>
        </w:rPr>
        <w:t>，实现动态智能管理。</w:t>
      </w:r>
    </w:p>
    <w:p w14:paraId="72190B8E">
      <w:pPr>
        <w:pStyle w:val="2"/>
      </w:pPr>
      <w:r>
        <w:rPr>
          <w:rFonts w:hint="eastAsia"/>
        </w:rPr>
        <w:t>5）装备采购管理</w:t>
      </w:r>
    </w:p>
    <w:p w14:paraId="6D498407">
      <w:pPr>
        <w:pStyle w:val="4"/>
        <w:ind w:firstLine="480"/>
        <w:rPr>
          <w:rFonts w:ascii="宋体" w:hAnsi="宋体"/>
          <w:bCs/>
        </w:rPr>
      </w:pPr>
      <w:r>
        <w:rPr>
          <w:rFonts w:hint="eastAsia" w:ascii="宋体" w:hAnsi="宋体"/>
          <w:bCs/>
        </w:rPr>
        <w:t>装备采购管理是对装备采购的各项流程智能化管理，包括</w:t>
      </w:r>
      <w:r>
        <w:rPr>
          <w:rFonts w:ascii="宋体" w:hAnsi="宋体"/>
          <w:bCs/>
        </w:rPr>
        <w:t>需求提报、参数编制、采购执行、履约验收</w:t>
      </w:r>
      <w:r>
        <w:rPr>
          <w:rFonts w:hint="eastAsia" w:ascii="宋体" w:hAnsi="宋体"/>
          <w:bCs/>
        </w:rPr>
        <w:t>等功能</w:t>
      </w:r>
      <w:r>
        <w:rPr>
          <w:rFonts w:ascii="宋体" w:hAnsi="宋体"/>
          <w:bCs/>
        </w:rPr>
        <w:t>。系统内分别设置不同的完成时限，设置不同角色权限，对应操作不同采购环节，形成流水线工作模式，便于促进项目推动。后期结合模块建设的完成程度，逐步将相关审批流程加入模块，最终实现采购工作全流程信息化。</w:t>
      </w:r>
    </w:p>
    <w:p w14:paraId="48FD8342">
      <w:pPr>
        <w:pStyle w:val="6"/>
        <w:rPr>
          <w:rFonts w:hint="eastAsia"/>
          <w:lang w:eastAsia="zh-Hans"/>
        </w:rPr>
      </w:pPr>
      <w:r>
        <w:rPr>
          <w:rFonts w:hint="eastAsia"/>
        </w:rPr>
        <w:t>3.3.2.5</w:t>
      </w:r>
      <w:r>
        <w:rPr>
          <w:rFonts w:hint="eastAsia"/>
          <w:lang w:eastAsia="zh-Hans"/>
        </w:rPr>
        <w:t>消防业务融合展示</w:t>
      </w:r>
      <w:r>
        <w:rPr>
          <w:rFonts w:hint="eastAsia"/>
        </w:rPr>
        <w:t>功能需求</w:t>
      </w:r>
      <w:r>
        <w:rPr>
          <w:rFonts w:hint="eastAsia"/>
          <w:lang w:eastAsia="zh-Hans"/>
        </w:rPr>
        <w:t>分析</w:t>
      </w:r>
    </w:p>
    <w:p w14:paraId="7937E03D">
      <w:pPr>
        <w:pStyle w:val="2"/>
        <w:rPr>
          <w:lang w:eastAsia="zh-Hans"/>
        </w:rPr>
      </w:pPr>
      <w:r>
        <w:rPr>
          <w:rFonts w:hint="eastAsia"/>
          <w:lang w:eastAsia="zh-Hans"/>
        </w:rPr>
        <w:t>针对火灾防控</w:t>
      </w:r>
      <w:r>
        <w:rPr>
          <w:lang w:eastAsia="zh-Hans"/>
        </w:rPr>
        <w:t>、</w:t>
      </w:r>
      <w:r>
        <w:rPr>
          <w:rFonts w:hint="eastAsia"/>
          <w:lang w:eastAsia="zh-Hans"/>
        </w:rPr>
        <w:t>灭火救援</w:t>
      </w:r>
      <w:r>
        <w:rPr>
          <w:lang w:eastAsia="zh-Hans"/>
        </w:rPr>
        <w:t>、</w:t>
      </w:r>
      <w:r>
        <w:rPr>
          <w:rFonts w:hint="eastAsia"/>
          <w:lang w:eastAsia="zh-Hans"/>
        </w:rPr>
        <w:t>队伍管理</w:t>
      </w:r>
      <w:r>
        <w:rPr>
          <w:lang w:eastAsia="zh-Hans"/>
        </w:rPr>
        <w:t>、</w:t>
      </w:r>
      <w:r>
        <w:rPr>
          <w:rFonts w:hint="eastAsia"/>
          <w:lang w:eastAsia="zh-Hans"/>
        </w:rPr>
        <w:t>综合保障四项分散的业务数据进行融合</w:t>
      </w:r>
      <w:r>
        <w:rPr>
          <w:lang w:eastAsia="zh-Hans"/>
        </w:rPr>
        <w:t>，</w:t>
      </w:r>
      <w:r>
        <w:rPr>
          <w:rFonts w:hint="eastAsia"/>
          <w:lang w:eastAsia="zh-Hans"/>
        </w:rPr>
        <w:t>面向总队</w:t>
      </w:r>
      <w:r>
        <w:rPr>
          <w:lang w:eastAsia="zh-Hans"/>
        </w:rPr>
        <w:t>、</w:t>
      </w:r>
      <w:r>
        <w:rPr>
          <w:rFonts w:hint="eastAsia"/>
          <w:lang w:eastAsia="zh-Hans"/>
        </w:rPr>
        <w:t>支队</w:t>
      </w:r>
      <w:r>
        <w:rPr>
          <w:lang w:eastAsia="zh-Hans"/>
        </w:rPr>
        <w:t>、</w:t>
      </w:r>
      <w:r>
        <w:rPr>
          <w:rFonts w:hint="eastAsia"/>
          <w:lang w:eastAsia="zh-Hans"/>
        </w:rPr>
        <w:t>大队的</w:t>
      </w:r>
      <w:r>
        <w:rPr>
          <w:rFonts w:hint="eastAsia"/>
        </w:rPr>
        <w:t>主管</w:t>
      </w:r>
      <w:r>
        <w:rPr>
          <w:rFonts w:hint="eastAsia"/>
          <w:lang w:eastAsia="zh-Hans"/>
        </w:rPr>
        <w:t>领导提供本级区域及下辖区域全面的消防业务开展信息</w:t>
      </w:r>
      <w:r>
        <w:rPr>
          <w:lang w:eastAsia="zh-Hans"/>
        </w:rPr>
        <w:t>：</w:t>
      </w:r>
    </w:p>
    <w:p w14:paraId="6DE72F18">
      <w:pPr>
        <w:rPr>
          <w:lang w:eastAsia="zh-Hans"/>
        </w:rPr>
      </w:pPr>
      <w:r>
        <w:rPr>
          <w:rFonts w:hint="eastAsia"/>
          <w:lang w:eastAsia="zh-Hans"/>
        </w:rPr>
        <w:t>对于总队</w:t>
      </w:r>
      <w:r>
        <w:rPr>
          <w:lang w:eastAsia="zh-Hans"/>
        </w:rPr>
        <w:t>，</w:t>
      </w:r>
      <w:r>
        <w:rPr>
          <w:rFonts w:hint="eastAsia"/>
          <w:lang w:eastAsia="zh-Hans"/>
        </w:rPr>
        <w:t>主要以行政管理</w:t>
      </w:r>
      <w:r>
        <w:rPr>
          <w:lang w:eastAsia="zh-Hans"/>
        </w:rPr>
        <w:t>、</w:t>
      </w:r>
      <w:r>
        <w:rPr>
          <w:rFonts w:hint="eastAsia"/>
          <w:lang w:eastAsia="zh-Hans"/>
        </w:rPr>
        <w:t>业务指导工作为主</w:t>
      </w:r>
      <w:r>
        <w:rPr>
          <w:lang w:eastAsia="zh-Hans"/>
        </w:rPr>
        <w:t>，</w:t>
      </w:r>
      <w:r>
        <w:rPr>
          <w:rFonts w:hint="eastAsia"/>
          <w:lang w:eastAsia="zh-Hans"/>
        </w:rPr>
        <w:t>需要站在全省消防业务开展的维度</w:t>
      </w:r>
      <w:r>
        <w:rPr>
          <w:lang w:eastAsia="zh-Hans"/>
        </w:rPr>
        <w:t>，</w:t>
      </w:r>
      <w:r>
        <w:rPr>
          <w:rFonts w:hint="eastAsia"/>
          <w:lang w:eastAsia="zh-Hans"/>
        </w:rPr>
        <w:t>宏观了解全省情况</w:t>
      </w:r>
      <w:r>
        <w:rPr>
          <w:lang w:eastAsia="zh-Hans"/>
        </w:rPr>
        <w:t>，</w:t>
      </w:r>
      <w:r>
        <w:rPr>
          <w:rFonts w:hint="eastAsia"/>
          <w:lang w:eastAsia="zh-Hans"/>
        </w:rPr>
        <w:t>如全省警情统计、伤亡统计、城市消防安全指数统计、重点消防报警事件</w:t>
      </w:r>
      <w:r>
        <w:rPr>
          <w:lang w:eastAsia="zh-Hans"/>
        </w:rPr>
        <w:t>、</w:t>
      </w:r>
      <w:r>
        <w:rPr>
          <w:rFonts w:hint="eastAsia"/>
          <w:lang w:eastAsia="zh-Hans"/>
        </w:rPr>
        <w:t>全省人员备勤情况等业务数据等，并能够对火灾防控</w:t>
      </w:r>
      <w:r>
        <w:rPr>
          <w:lang w:eastAsia="zh-Hans"/>
        </w:rPr>
        <w:t>、</w:t>
      </w:r>
      <w:r>
        <w:rPr>
          <w:rFonts w:hint="eastAsia"/>
          <w:lang w:eastAsia="zh-Hans"/>
        </w:rPr>
        <w:t>灭火救援</w:t>
      </w:r>
      <w:r>
        <w:rPr>
          <w:lang w:eastAsia="zh-Hans"/>
        </w:rPr>
        <w:t>、</w:t>
      </w:r>
      <w:r>
        <w:rPr>
          <w:rFonts w:hint="eastAsia"/>
          <w:lang w:eastAsia="zh-Hans"/>
        </w:rPr>
        <w:t>队伍管理</w:t>
      </w:r>
      <w:r>
        <w:rPr>
          <w:lang w:eastAsia="zh-Hans"/>
        </w:rPr>
        <w:t>、</w:t>
      </w:r>
      <w:r>
        <w:rPr>
          <w:rFonts w:hint="eastAsia"/>
          <w:lang w:eastAsia="zh-Hans"/>
        </w:rPr>
        <w:t>综合保障中的某项业务或下属支队总体情况进行下钻展示相关数据</w:t>
      </w:r>
      <w:r>
        <w:rPr>
          <w:lang w:eastAsia="zh-Hans"/>
        </w:rPr>
        <w:t>。</w:t>
      </w:r>
    </w:p>
    <w:p w14:paraId="79F0E9F5">
      <w:pPr>
        <w:pStyle w:val="2"/>
        <w:rPr>
          <w:rFonts w:hint="eastAsia"/>
          <w:lang w:eastAsia="zh-Hans"/>
        </w:rPr>
      </w:pPr>
      <w:r>
        <w:rPr>
          <w:rFonts w:hint="eastAsia"/>
          <w:lang w:eastAsia="zh-Hans"/>
        </w:rPr>
        <w:t>对于支队</w:t>
      </w:r>
      <w:r>
        <w:rPr>
          <w:lang w:eastAsia="zh-Hans"/>
        </w:rPr>
        <w:t>，</w:t>
      </w:r>
      <w:r>
        <w:rPr>
          <w:rFonts w:hint="eastAsia"/>
          <w:lang w:eastAsia="zh-Hans"/>
        </w:rPr>
        <w:t>主要承接总队业务指导要求</w:t>
      </w:r>
      <w:r>
        <w:rPr>
          <w:lang w:eastAsia="zh-Hans"/>
        </w:rPr>
        <w:t>，</w:t>
      </w:r>
      <w:r>
        <w:rPr>
          <w:rFonts w:hint="eastAsia"/>
          <w:lang w:eastAsia="zh-Hans"/>
        </w:rPr>
        <w:t>统筹全市消防业务开展</w:t>
      </w:r>
      <w:r>
        <w:rPr>
          <w:lang w:eastAsia="zh-Hans"/>
        </w:rPr>
        <w:t>，</w:t>
      </w:r>
      <w:r>
        <w:rPr>
          <w:rFonts w:hint="eastAsia"/>
          <w:lang w:eastAsia="zh-Hans"/>
        </w:rPr>
        <w:t>承接全市消防接处警业务</w:t>
      </w:r>
      <w:r>
        <w:rPr>
          <w:lang w:eastAsia="zh-Hans"/>
        </w:rPr>
        <w:t>、</w:t>
      </w:r>
      <w:r>
        <w:rPr>
          <w:rFonts w:hint="eastAsia"/>
          <w:lang w:eastAsia="zh-Hans"/>
        </w:rPr>
        <w:t>防火检查成果</w:t>
      </w:r>
      <w:r>
        <w:rPr>
          <w:lang w:eastAsia="zh-Hans"/>
        </w:rPr>
        <w:t>、</w:t>
      </w:r>
      <w:r>
        <w:rPr>
          <w:rFonts w:hint="eastAsia"/>
          <w:lang w:eastAsia="zh-Hans"/>
        </w:rPr>
        <w:t>本级队伍管理及相关后期保障</w:t>
      </w:r>
      <w:r>
        <w:rPr>
          <w:lang w:eastAsia="zh-Hans"/>
        </w:rPr>
        <w:t>。</w:t>
      </w:r>
      <w:r>
        <w:rPr>
          <w:rFonts w:hint="eastAsia"/>
          <w:lang w:eastAsia="zh-Hans"/>
        </w:rPr>
        <w:t>需要站在支队级业务开展特点</w:t>
      </w:r>
      <w:r>
        <w:rPr>
          <w:lang w:eastAsia="zh-Hans"/>
        </w:rPr>
        <w:t>，</w:t>
      </w:r>
      <w:r>
        <w:rPr>
          <w:rFonts w:hint="eastAsia"/>
          <w:lang w:eastAsia="zh-Hans"/>
        </w:rPr>
        <w:t>呈现全市消防重点单位监测、警情统计管理、实时警情监测、伤亡情况统计、物联网接入设备统计、隐患排查统计、消防设施统计监测、消防水源信息、消防预案联动、战备执勤、出动情况统计、通知公告管理、重点区域视频监控管理等信息及下辖区县大队的相关业务开展情况。</w:t>
      </w:r>
    </w:p>
    <w:p w14:paraId="0BFEA016">
      <w:pPr>
        <w:rPr>
          <w:lang w:eastAsia="zh-Hans"/>
        </w:rPr>
      </w:pPr>
      <w:r>
        <w:rPr>
          <w:rFonts w:hint="eastAsia"/>
          <w:lang w:eastAsia="zh-Hans"/>
        </w:rPr>
        <w:t>对于大队</w:t>
      </w:r>
      <w:r>
        <w:rPr>
          <w:lang w:eastAsia="zh-Hans"/>
        </w:rPr>
        <w:t>，</w:t>
      </w:r>
      <w:r>
        <w:rPr>
          <w:rFonts w:hint="eastAsia"/>
          <w:lang w:eastAsia="zh-Hans"/>
        </w:rPr>
        <w:t>主要聚焦辖区内任务处置</w:t>
      </w:r>
      <w:r>
        <w:rPr>
          <w:lang w:eastAsia="zh-Hans"/>
        </w:rPr>
        <w:t>、</w:t>
      </w:r>
      <w:r>
        <w:rPr>
          <w:rFonts w:hint="eastAsia"/>
          <w:lang w:eastAsia="zh-Hans"/>
        </w:rPr>
        <w:t>备勤备战</w:t>
      </w:r>
      <w:r>
        <w:rPr>
          <w:lang w:eastAsia="zh-Hans"/>
        </w:rPr>
        <w:t>，</w:t>
      </w:r>
      <w:r>
        <w:rPr>
          <w:rFonts w:hint="eastAsia"/>
          <w:lang w:eastAsia="zh-Hans"/>
        </w:rPr>
        <w:t>承担区县范围内火警处置</w:t>
      </w:r>
      <w:r>
        <w:rPr>
          <w:lang w:eastAsia="zh-Hans"/>
        </w:rPr>
        <w:t>、</w:t>
      </w:r>
      <w:r>
        <w:rPr>
          <w:rFonts w:hint="eastAsia"/>
          <w:lang w:eastAsia="zh-Hans"/>
        </w:rPr>
        <w:t>力量调配</w:t>
      </w:r>
      <w:r>
        <w:rPr>
          <w:lang w:eastAsia="zh-Hans"/>
        </w:rPr>
        <w:t>、</w:t>
      </w:r>
      <w:r>
        <w:rPr>
          <w:rFonts w:hint="eastAsia"/>
          <w:lang w:eastAsia="zh-Hans"/>
        </w:rPr>
        <w:t>防火检查</w:t>
      </w:r>
      <w:r>
        <w:rPr>
          <w:lang w:eastAsia="zh-Hans"/>
        </w:rPr>
        <w:t>、</w:t>
      </w:r>
      <w:r>
        <w:rPr>
          <w:rFonts w:hint="eastAsia"/>
          <w:lang w:eastAsia="zh-Hans"/>
        </w:rPr>
        <w:t>人员装备管理养护等任务</w:t>
      </w:r>
      <w:r>
        <w:rPr>
          <w:lang w:eastAsia="zh-Hans"/>
        </w:rPr>
        <w:t>。</w:t>
      </w:r>
      <w:r>
        <w:rPr>
          <w:rFonts w:hint="eastAsia"/>
          <w:lang w:eastAsia="zh-Hans"/>
        </w:rPr>
        <w:t>需要了解辖区内地理情况</w:t>
      </w:r>
      <w:r>
        <w:rPr>
          <w:lang w:eastAsia="zh-Hans"/>
        </w:rPr>
        <w:t>、</w:t>
      </w:r>
      <w:r>
        <w:rPr>
          <w:rFonts w:hint="eastAsia"/>
          <w:lang w:eastAsia="zh-Hans"/>
        </w:rPr>
        <w:t>应急事件处置过程情况</w:t>
      </w:r>
      <w:r>
        <w:rPr>
          <w:lang w:eastAsia="zh-Hans"/>
        </w:rPr>
        <w:t>、</w:t>
      </w:r>
      <w:r>
        <w:rPr>
          <w:rFonts w:hint="eastAsia"/>
          <w:lang w:eastAsia="zh-Hans"/>
        </w:rPr>
        <w:t>战勤保障物资</w:t>
      </w:r>
      <w:r>
        <w:rPr>
          <w:lang w:eastAsia="zh-Hans"/>
        </w:rPr>
        <w:t>、</w:t>
      </w:r>
      <w:r>
        <w:rPr>
          <w:rFonts w:hint="eastAsia"/>
          <w:lang w:eastAsia="zh-Hans"/>
        </w:rPr>
        <w:t>消防员备勤情况</w:t>
      </w:r>
      <w:r>
        <w:rPr>
          <w:lang w:eastAsia="zh-Hans"/>
        </w:rPr>
        <w:t>、</w:t>
      </w:r>
      <w:r>
        <w:rPr>
          <w:rFonts w:hint="eastAsia"/>
          <w:lang w:eastAsia="zh-Hans"/>
        </w:rPr>
        <w:t>人员装备出战备战情况</w:t>
      </w:r>
      <w:r>
        <w:rPr>
          <w:lang w:eastAsia="zh-Hans"/>
        </w:rPr>
        <w:t>、</w:t>
      </w:r>
      <w:r>
        <w:rPr>
          <w:rFonts w:hint="eastAsia"/>
          <w:lang w:eastAsia="zh-Hans"/>
        </w:rPr>
        <w:t>辖区整体警情及防火开展情况</w:t>
      </w:r>
      <w:r>
        <w:rPr>
          <w:lang w:eastAsia="zh-Hans"/>
        </w:rPr>
        <w:t>、</w:t>
      </w:r>
      <w:r>
        <w:rPr>
          <w:rFonts w:hint="eastAsia"/>
          <w:lang w:eastAsia="zh-Hans"/>
        </w:rPr>
        <w:t>辖区消防设施运转情况</w:t>
      </w:r>
      <w:r>
        <w:rPr>
          <w:lang w:eastAsia="zh-Hans"/>
        </w:rPr>
        <w:t>、</w:t>
      </w:r>
      <w:r>
        <w:rPr>
          <w:rFonts w:hint="eastAsia"/>
          <w:lang w:eastAsia="zh-Hans"/>
        </w:rPr>
        <w:t>微型消防站运行情况</w:t>
      </w:r>
      <w:r>
        <w:rPr>
          <w:lang w:eastAsia="zh-Hans"/>
        </w:rPr>
        <w:t>、</w:t>
      </w:r>
      <w:r>
        <w:rPr>
          <w:rFonts w:hint="eastAsia"/>
          <w:lang w:eastAsia="zh-Hans"/>
        </w:rPr>
        <w:t>重点区域视频监控浏览</w:t>
      </w:r>
      <w:r>
        <w:rPr>
          <w:lang w:eastAsia="zh-Hans"/>
        </w:rPr>
        <w:t>。</w:t>
      </w:r>
    </w:p>
    <w:p w14:paraId="0B732A10">
      <w:pPr>
        <w:pStyle w:val="6"/>
      </w:pPr>
      <w:r>
        <w:rPr>
          <w:rFonts w:hint="eastAsia"/>
        </w:rPr>
        <w:t>3.3.2.6业务支撑功能需求分析</w:t>
      </w:r>
    </w:p>
    <w:p w14:paraId="47946EDF">
      <w:r>
        <w:rPr>
          <w:rFonts w:hint="eastAsia"/>
          <w:lang w:eastAsia="zh-Hans"/>
        </w:rPr>
        <w:t>为了</w:t>
      </w:r>
      <w:r>
        <w:rPr>
          <w:rFonts w:hint="eastAsia"/>
        </w:rPr>
        <w:t>实现“智慧消防”应用系统集约化建设要求，加强社会联动能力支撑，应在业务系统建设的同时，开展此两项支撑能力的功能建设。</w:t>
      </w:r>
    </w:p>
    <w:p w14:paraId="5A2A5C0D">
      <w:pPr>
        <w:pStyle w:val="2"/>
        <w:numPr>
          <w:ilvl w:val="0"/>
          <w:numId w:val="21"/>
        </w:numPr>
      </w:pPr>
      <w:r>
        <w:rPr>
          <w:rFonts w:hint="eastAsia"/>
        </w:rPr>
        <w:t>集约化建设能力支撑功能需求</w:t>
      </w:r>
    </w:p>
    <w:p w14:paraId="6F7A3DE0">
      <w:pPr>
        <w:numPr>
          <w:ilvl w:val="0"/>
          <w:numId w:val="22"/>
        </w:numPr>
        <w:rPr>
          <w:rFonts w:hint="eastAsia"/>
          <w:lang w:eastAsia="zh-Hans"/>
        </w:rPr>
      </w:pPr>
      <w:r>
        <w:rPr>
          <w:rFonts w:hint="eastAsia"/>
        </w:rPr>
        <w:t>由于“智慧消防”一盘棋建设的定位，涉及到全省方方面面的消防业务，未来所囊括的消防业务系统、业务应用众多，传统系统深度定制、紧耦合的建设思路不适合于我省“智慧消防”建设的发展道路，必须采用松耦合架构，以降低整体复杂性和依赖性。</w:t>
      </w:r>
      <w:r>
        <w:rPr>
          <w:rFonts w:hint="eastAsia"/>
          <w:lang w:eastAsia="zh-Hans"/>
        </w:rPr>
        <w:t>基于松耦合应用发展思路，</w:t>
      </w:r>
      <w:r>
        <w:rPr>
          <w:rFonts w:hint="eastAsia"/>
        </w:rPr>
        <w:t>应</w:t>
      </w:r>
      <w:r>
        <w:rPr>
          <w:rFonts w:hint="eastAsia"/>
          <w:lang w:eastAsia="zh-Hans"/>
        </w:rPr>
        <w:t>在指挥信息网、电子政务外网外侧、电子政务外网互联网侧</w:t>
      </w:r>
      <w:r>
        <w:rPr>
          <w:rFonts w:hint="eastAsia"/>
        </w:rPr>
        <w:t>打造</w:t>
      </w:r>
      <w:r>
        <w:rPr>
          <w:rFonts w:hint="eastAsia"/>
          <w:lang w:eastAsia="zh-Hans"/>
        </w:rPr>
        <w:t>横向一体化的服务总线系统，消除不同服务之间的技术差异，让不同的应用服务器协调运作。</w:t>
      </w:r>
      <w:r>
        <w:rPr>
          <w:rFonts w:hint="eastAsia"/>
        </w:rPr>
        <w:t>所建立的</w:t>
      </w:r>
      <w:r>
        <w:rPr>
          <w:rFonts w:hint="eastAsia"/>
          <w:lang w:eastAsia="zh-Hans"/>
        </w:rPr>
        <w:t>服务总线</w:t>
      </w:r>
      <w:r>
        <w:rPr>
          <w:rFonts w:hint="eastAsia"/>
        </w:rPr>
        <w:t>应具有</w:t>
      </w:r>
      <w:r>
        <w:rPr>
          <w:rFonts w:hint="eastAsia"/>
          <w:lang w:eastAsia="zh-Hans"/>
        </w:rPr>
        <w:t>事件驱动、容器封装和服务导向的资源服务总线驱动引擎，</w:t>
      </w:r>
      <w:r>
        <w:rPr>
          <w:rFonts w:hint="eastAsia"/>
        </w:rPr>
        <w:t>采用</w:t>
      </w:r>
      <w:r>
        <w:rPr>
          <w:rFonts w:hint="eastAsia"/>
          <w:lang w:eastAsia="zh-Hans"/>
        </w:rPr>
        <w:t>分布式的运行管理机制，</w:t>
      </w:r>
      <w:r>
        <w:rPr>
          <w:rFonts w:hint="eastAsia"/>
        </w:rPr>
        <w:t>并</w:t>
      </w:r>
      <w:r>
        <w:rPr>
          <w:rFonts w:hint="eastAsia"/>
          <w:lang w:eastAsia="zh-Hans"/>
        </w:rPr>
        <w:t>支持基于内容的路由和过滤，具备复杂数据和文件的跨子平台传输能力</w:t>
      </w:r>
      <w:r>
        <w:rPr>
          <w:rFonts w:hint="eastAsia"/>
        </w:rPr>
        <w:t>，以确保业务系统在指挥信息网、电子政务网之间高效协同运行。</w:t>
      </w:r>
    </w:p>
    <w:p w14:paraId="547BE418">
      <w:pPr>
        <w:pStyle w:val="2"/>
        <w:numPr>
          <w:ilvl w:val="0"/>
          <w:numId w:val="22"/>
        </w:numPr>
        <w:rPr>
          <w:rFonts w:hint="eastAsia"/>
          <w:lang w:eastAsia="zh-Hans"/>
        </w:rPr>
      </w:pPr>
      <w:r>
        <w:rPr>
          <w:rFonts w:hint="eastAsia"/>
        </w:rPr>
        <w:t>对于按照</w:t>
      </w:r>
      <w:r>
        <w:rPr>
          <w:rFonts w:hint="eastAsia"/>
          <w:lang w:eastAsia="zh-Hans"/>
        </w:rPr>
        <w:t>松耦合应用发展思路</w:t>
      </w:r>
      <w:r>
        <w:rPr>
          <w:rFonts w:hint="eastAsia"/>
        </w:rPr>
        <w:t>解耦产生的</w:t>
      </w:r>
      <w:r>
        <w:rPr>
          <w:rFonts w:hint="eastAsia"/>
          <w:lang w:eastAsia="zh-Hans"/>
        </w:rPr>
        <w:t>众多基础能力资源</w:t>
      </w:r>
      <w:r>
        <w:rPr>
          <w:rFonts w:hint="eastAsia"/>
        </w:rPr>
        <w:t>，需建立统一的信息资源能力，</w:t>
      </w:r>
      <w:r>
        <w:rPr>
          <w:rFonts w:hint="eastAsia"/>
          <w:lang w:eastAsia="zh-Hans"/>
        </w:rPr>
        <w:t>面向应用能力组件进行标准化接口封装</w:t>
      </w:r>
      <w:r>
        <w:rPr>
          <w:rFonts w:hint="eastAsia"/>
        </w:rPr>
        <w:t>、</w:t>
      </w:r>
      <w:r>
        <w:rPr>
          <w:rFonts w:hint="eastAsia"/>
          <w:lang w:eastAsia="zh-Hans"/>
        </w:rPr>
        <w:t>面向应用调用提供统一访问入口，从而实现应用系统高内聚松耦合架构</w:t>
      </w:r>
      <w:r>
        <w:rPr>
          <w:rFonts w:hint="eastAsia"/>
        </w:rPr>
        <w:t>，</w:t>
      </w:r>
      <w:r>
        <w:rPr>
          <w:rFonts w:hint="eastAsia"/>
          <w:lang w:eastAsia="zh-Hans"/>
        </w:rPr>
        <w:t>与</w:t>
      </w:r>
      <w:r>
        <w:rPr>
          <w:rFonts w:hint="eastAsia"/>
        </w:rPr>
        <w:t>安全保障系统</w:t>
      </w:r>
      <w:r>
        <w:rPr>
          <w:rFonts w:hint="eastAsia"/>
          <w:lang w:eastAsia="zh-Hans"/>
        </w:rPr>
        <w:t>、服务总线系统配合实现审查与监控、动态路由、压力测试、负载均衡、流量控制等功能</w:t>
      </w:r>
      <w:r>
        <w:rPr>
          <w:rFonts w:hint="eastAsia"/>
        </w:rPr>
        <w:t>。</w:t>
      </w:r>
    </w:p>
    <w:p w14:paraId="77A7E92B">
      <w:pPr>
        <w:pStyle w:val="2"/>
        <w:numPr>
          <w:ilvl w:val="0"/>
          <w:numId w:val="21"/>
        </w:numPr>
      </w:pPr>
      <w:r>
        <w:rPr>
          <w:rFonts w:hint="eastAsia"/>
        </w:rPr>
        <w:t>社会联动能力支撑功能需求</w:t>
      </w:r>
    </w:p>
    <w:p w14:paraId="7BB44564">
      <w:pPr>
        <w:rPr>
          <w:lang w:eastAsia="zh-Hans"/>
        </w:rPr>
      </w:pPr>
      <w:r>
        <w:rPr>
          <w:rFonts w:hint="eastAsia"/>
        </w:rPr>
        <w:t>随着消防部队转隶改制，消防救援总队职能从灭火救援向全灾种大应急方向转变，肩负“统一指挥、专常兼备、反应灵敏、上下联动、平战结合”的应急救援管理工作</w:t>
      </w:r>
      <w:r>
        <w:t>。</w:t>
      </w:r>
      <w:r>
        <w:rPr>
          <w:rFonts w:hint="eastAsia"/>
          <w:lang w:eastAsia="zh-Hans"/>
        </w:rPr>
        <w:t>当警铃响起</w:t>
      </w:r>
      <w:r>
        <w:rPr>
          <w:lang w:eastAsia="zh-Hans"/>
        </w:rPr>
        <w:t>，</w:t>
      </w:r>
      <w:r>
        <w:rPr>
          <w:rFonts w:hint="eastAsia"/>
          <w:lang w:eastAsia="zh-Hans"/>
        </w:rPr>
        <w:t>救援队伍早到一分钟</w:t>
      </w:r>
      <w:r>
        <w:rPr>
          <w:lang w:eastAsia="zh-Hans"/>
        </w:rPr>
        <w:t>、</w:t>
      </w:r>
      <w:r>
        <w:rPr>
          <w:rFonts w:hint="eastAsia"/>
          <w:lang w:eastAsia="zh-Hans"/>
        </w:rPr>
        <w:t>早一分钟开始救援行动</w:t>
      </w:r>
      <w:r>
        <w:rPr>
          <w:lang w:eastAsia="zh-Hans"/>
        </w:rPr>
        <w:t>，</w:t>
      </w:r>
      <w:r>
        <w:rPr>
          <w:rFonts w:hint="eastAsia"/>
          <w:lang w:eastAsia="zh-Hans"/>
        </w:rPr>
        <w:t>意味着挽救群众生命</w:t>
      </w:r>
      <w:r>
        <w:rPr>
          <w:lang w:eastAsia="zh-Hans"/>
        </w:rPr>
        <w:t>、</w:t>
      </w:r>
      <w:r>
        <w:rPr>
          <w:rFonts w:hint="eastAsia"/>
          <w:lang w:eastAsia="zh-Hans"/>
        </w:rPr>
        <w:t>保障财产安全就更多一些</w:t>
      </w:r>
      <w:r>
        <w:rPr>
          <w:lang w:eastAsia="zh-Hans"/>
        </w:rPr>
        <w:t>，</w:t>
      </w:r>
      <w:r>
        <w:rPr>
          <w:rFonts w:hint="eastAsia"/>
          <w:lang w:eastAsia="zh-Hans"/>
        </w:rPr>
        <w:t>指战员对现场环境多一分了解</w:t>
      </w:r>
      <w:r>
        <w:rPr>
          <w:lang w:eastAsia="zh-Hans"/>
        </w:rPr>
        <w:t>、</w:t>
      </w:r>
      <w:r>
        <w:rPr>
          <w:rFonts w:hint="eastAsia"/>
          <w:lang w:eastAsia="zh-Hans"/>
        </w:rPr>
        <w:t>对行动方案多思考一分钟</w:t>
      </w:r>
      <w:r>
        <w:rPr>
          <w:lang w:eastAsia="zh-Hans"/>
        </w:rPr>
        <w:t>，</w:t>
      </w:r>
      <w:r>
        <w:rPr>
          <w:rFonts w:hint="eastAsia"/>
          <w:lang w:eastAsia="zh-Hans"/>
        </w:rPr>
        <w:t>意味着身处险境的消防员面临的危险降低一些</w:t>
      </w:r>
      <w:r>
        <w:rPr>
          <w:lang w:eastAsia="zh-Hans"/>
        </w:rPr>
        <w:t>、</w:t>
      </w:r>
      <w:r>
        <w:rPr>
          <w:rFonts w:hint="eastAsia"/>
          <w:lang w:eastAsia="zh-Hans"/>
        </w:rPr>
        <w:t>早一些胜利而归</w:t>
      </w:r>
      <w:r>
        <w:rPr>
          <w:lang w:eastAsia="zh-Hans"/>
        </w:rPr>
        <w:t>。</w:t>
      </w:r>
      <w:r>
        <w:rPr>
          <w:rFonts w:hint="eastAsia"/>
          <w:lang w:eastAsia="zh-Hans"/>
        </w:rPr>
        <w:t>例如</w:t>
      </w:r>
      <w:r>
        <w:rPr>
          <w:lang w:eastAsia="zh-Hans"/>
        </w:rPr>
        <w:t>：</w:t>
      </w:r>
    </w:p>
    <w:p w14:paraId="6895D537">
      <w:pPr>
        <w:numPr>
          <w:ilvl w:val="0"/>
          <w:numId w:val="23"/>
        </w:numPr>
        <w:rPr>
          <w:lang w:eastAsia="zh-Hans"/>
        </w:rPr>
      </w:pPr>
      <w:r>
        <w:rPr>
          <w:lang w:eastAsia="zh-Hans"/>
        </w:rPr>
        <w:t>在接处警的全过程中，经常面临群众地址表述不清晰，无法定位应急事件地点的问题，如何快速精准定位地址信息成为消防应急出警工作中重要环节，因此</w:t>
      </w:r>
      <w:r>
        <w:rPr>
          <w:rFonts w:hint="eastAsia"/>
          <w:lang w:eastAsia="zh-Hans"/>
        </w:rPr>
        <w:t>如有</w:t>
      </w:r>
      <w:r>
        <w:rPr>
          <w:lang w:eastAsia="zh-Hans"/>
        </w:rPr>
        <w:t>一套具有海量POI点位信息、实时更新路网信息的地理信息系统</w:t>
      </w:r>
      <w:r>
        <w:rPr>
          <w:rFonts w:hint="eastAsia"/>
          <w:lang w:eastAsia="zh-Hans"/>
        </w:rPr>
        <w:t>就</w:t>
      </w:r>
      <w:r>
        <w:rPr>
          <w:lang w:eastAsia="zh-Hans"/>
        </w:rPr>
        <w:t>可实现群众说出应急事件地点附近店铺名称、标志建筑、高速公路桩号等信息即可快速定位事件地点，达到快速出警目的。</w:t>
      </w:r>
    </w:p>
    <w:p w14:paraId="42AF340C">
      <w:pPr>
        <w:numPr>
          <w:ilvl w:val="0"/>
          <w:numId w:val="23"/>
        </w:numPr>
        <w:rPr>
          <w:rFonts w:hint="eastAsia"/>
        </w:rPr>
      </w:pPr>
      <w:r>
        <w:rPr>
          <w:rFonts w:hint="eastAsia"/>
          <w:lang w:eastAsia="zh-Hans"/>
        </w:rPr>
        <w:t>在</w:t>
      </w:r>
      <w:r>
        <w:rPr>
          <w:rFonts w:hint="eastAsia"/>
        </w:rPr>
        <w:t>面对重大应急事件</w:t>
      </w:r>
      <w:r>
        <w:rPr>
          <w:rFonts w:hint="eastAsia"/>
          <w:lang w:eastAsia="zh-Hans"/>
        </w:rPr>
        <w:t>时</w:t>
      </w:r>
      <w:r>
        <w:rPr>
          <w:rFonts w:hint="eastAsia"/>
        </w:rPr>
        <w:t>，救援资源快速、高效调配显得尤为重要。目前，全省各地救援资源分布广泛，数量繁多，当出现重大应急事件时，需翻阅各地资源台账信息才能实现资源调配及使用，</w:t>
      </w:r>
      <w:r>
        <w:rPr>
          <w:rFonts w:hint="eastAsia"/>
          <w:lang w:eastAsia="zh-Hans"/>
        </w:rPr>
        <w:t>如能够</w:t>
      </w:r>
      <w:r>
        <w:rPr>
          <w:rFonts w:hint="eastAsia"/>
        </w:rPr>
        <w:t>基于全省GIS地图的台账展示系统，可以一目了然地知道全省救援资源的分布情况，在面临重大应急事件时，可实现快速、合理的调配资源，从而达到快速救援的目的。</w:t>
      </w:r>
    </w:p>
    <w:p w14:paraId="16B0CDFB">
      <w:pPr>
        <w:numPr>
          <w:ilvl w:val="0"/>
          <w:numId w:val="23"/>
        </w:numPr>
        <w:rPr>
          <w:rFonts w:hint="eastAsia"/>
        </w:rPr>
      </w:pPr>
      <w:r>
        <w:rPr>
          <w:rFonts w:hint="eastAsia"/>
        </w:rPr>
        <w:t>群众生命</w:t>
      </w:r>
      <w:r>
        <w:rPr>
          <w:rFonts w:hint="eastAsia"/>
          <w:lang w:eastAsia="zh-Hans"/>
        </w:rPr>
        <w:t>安全</w:t>
      </w:r>
      <w:r>
        <w:rPr>
          <w:rFonts w:hint="eastAsia"/>
        </w:rPr>
        <w:t>，是消防救援工作的重中之重。当面临火灾、泥石流、洪灾等灾害时，如何以突发事件为中心，深入挖掘人群的点、面数据，实现人口密度与自定义范围内人口热力的智能分析是消防救援工作重要一环，快速掌握基于互联网手机定位信息的人口热力分布情况，有助于在消防救援工作中精准研判受灾范围及人群分布，对人员救援、疏散工作起到重要作用。</w:t>
      </w:r>
    </w:p>
    <w:p w14:paraId="547ABBAD">
      <w:pPr>
        <w:numPr>
          <w:ilvl w:val="0"/>
          <w:numId w:val="23"/>
        </w:numPr>
        <w:rPr>
          <w:lang w:eastAsia="zh-Hans"/>
        </w:rPr>
      </w:pPr>
      <w:r>
        <w:rPr>
          <w:rFonts w:hint="eastAsia"/>
        </w:rPr>
        <w:t>消防应急指挥调度中，</w:t>
      </w:r>
      <w:r>
        <w:rPr>
          <w:rFonts w:hint="eastAsia"/>
          <w:lang w:eastAsia="zh-Hans"/>
        </w:rPr>
        <w:t>保障选派到达用时最短而不是距离最近的作战力量</w:t>
      </w:r>
      <w:r>
        <w:rPr>
          <w:rFonts w:hint="eastAsia"/>
        </w:rPr>
        <w:t>、</w:t>
      </w:r>
      <w:r>
        <w:rPr>
          <w:rFonts w:hint="eastAsia"/>
          <w:lang w:eastAsia="zh-Hans"/>
        </w:rPr>
        <w:t>面向出战车辆提供可通行的最优行驶路线</w:t>
      </w:r>
      <w:r>
        <w:rPr>
          <w:lang w:eastAsia="zh-Hans"/>
        </w:rPr>
        <w:t>、</w:t>
      </w:r>
      <w:r>
        <w:rPr>
          <w:rFonts w:hint="eastAsia"/>
          <w:lang w:eastAsia="zh-Hans"/>
        </w:rPr>
        <w:t>使现场指战员在路途中了解现场环境提前准备作战方案</w:t>
      </w:r>
      <w:r>
        <w:rPr>
          <w:lang w:eastAsia="zh-Hans"/>
        </w:rPr>
        <w:t>、</w:t>
      </w:r>
      <w:r>
        <w:rPr>
          <w:rFonts w:hint="eastAsia"/>
          <w:lang w:eastAsia="zh-Hans"/>
        </w:rPr>
        <w:t>与社会车辆交警精准联动在对社会交通影响最小的情况下保障消防车快速到达等将成为降低人员财产损失提升任务成功率的关键</w:t>
      </w:r>
      <w:r>
        <w:rPr>
          <w:lang w:eastAsia="zh-Hans"/>
        </w:rPr>
        <w:t>。</w:t>
      </w:r>
    </w:p>
    <w:p w14:paraId="44DAD2B0">
      <w:pPr>
        <w:rPr>
          <w:lang w:eastAsia="zh-Hans"/>
        </w:rPr>
      </w:pPr>
      <w:r>
        <w:rPr>
          <w:rFonts w:hint="eastAsia"/>
          <w:lang w:eastAsia="zh-Hans"/>
        </w:rPr>
        <w:t>社会在发展</w:t>
      </w:r>
      <w:r>
        <w:rPr>
          <w:lang w:eastAsia="zh-Hans"/>
        </w:rPr>
        <w:t>，</w:t>
      </w:r>
      <w:r>
        <w:rPr>
          <w:rFonts w:hint="eastAsia"/>
          <w:lang w:eastAsia="zh-Hans"/>
        </w:rPr>
        <w:t>城市日新月异</w:t>
      </w:r>
      <w:r>
        <w:rPr>
          <w:lang w:eastAsia="zh-Hans"/>
        </w:rPr>
        <w:t>，</w:t>
      </w:r>
      <w:r>
        <w:rPr>
          <w:rFonts w:hint="eastAsia"/>
          <w:lang w:eastAsia="zh-Hans"/>
        </w:rPr>
        <w:t>人口聚集迁徙</w:t>
      </w:r>
      <w:r>
        <w:rPr>
          <w:lang w:eastAsia="zh-Hans"/>
        </w:rPr>
        <w:t>，</w:t>
      </w:r>
      <w:r>
        <w:rPr>
          <w:rFonts w:hint="eastAsia"/>
          <w:lang w:eastAsia="zh-Hans"/>
        </w:rPr>
        <w:t>为每一次消防救援任务都注入了新的变量</w:t>
      </w:r>
      <w:r>
        <w:rPr>
          <w:lang w:eastAsia="zh-Hans"/>
        </w:rPr>
        <w:t>，</w:t>
      </w:r>
      <w:r>
        <w:rPr>
          <w:rFonts w:hint="eastAsia"/>
          <w:lang w:eastAsia="zh-Hans"/>
        </w:rPr>
        <w:t>即使出警地点相同</w:t>
      </w:r>
      <w:r>
        <w:rPr>
          <w:lang w:eastAsia="zh-Hans"/>
        </w:rPr>
        <w:t>，</w:t>
      </w:r>
      <w:r>
        <w:rPr>
          <w:rFonts w:hint="eastAsia"/>
          <w:lang w:eastAsia="zh-Hans"/>
        </w:rPr>
        <w:t>但时间不同</w:t>
      </w:r>
      <w:r>
        <w:rPr>
          <w:lang w:eastAsia="zh-Hans"/>
        </w:rPr>
        <w:t>、</w:t>
      </w:r>
      <w:r>
        <w:rPr>
          <w:rFonts w:hint="eastAsia"/>
          <w:lang w:eastAsia="zh-Hans"/>
        </w:rPr>
        <w:t>周边环境不同</w:t>
      </w:r>
      <w:r>
        <w:rPr>
          <w:lang w:eastAsia="zh-Hans"/>
        </w:rPr>
        <w:t>、</w:t>
      </w:r>
      <w:r>
        <w:rPr>
          <w:rFonts w:hint="eastAsia"/>
          <w:lang w:eastAsia="zh-Hans"/>
        </w:rPr>
        <w:t>人口分布不同</w:t>
      </w:r>
      <w:r>
        <w:rPr>
          <w:lang w:eastAsia="zh-Hans"/>
        </w:rPr>
        <w:t>、</w:t>
      </w:r>
      <w:r>
        <w:rPr>
          <w:rFonts w:hint="eastAsia"/>
          <w:lang w:eastAsia="zh-Hans"/>
        </w:rPr>
        <w:t>社会事件干扰等使消防救援任务变的更加复杂</w:t>
      </w:r>
      <w:r>
        <w:rPr>
          <w:lang w:eastAsia="zh-Hans"/>
        </w:rPr>
        <w:t>，</w:t>
      </w:r>
      <w:r>
        <w:rPr>
          <w:rFonts w:hint="eastAsia"/>
          <w:lang w:eastAsia="zh-Hans"/>
        </w:rPr>
        <w:t>仅依赖消防官兵的努力实现每次救援任务的胜利凯旋已变得越来越困难</w:t>
      </w:r>
      <w:r>
        <w:rPr>
          <w:lang w:eastAsia="zh-Hans"/>
        </w:rPr>
        <w:t>。</w:t>
      </w:r>
      <w:r>
        <w:rPr>
          <w:rFonts w:hint="eastAsia"/>
          <w:lang w:eastAsia="zh-Hans"/>
        </w:rPr>
        <w:t>而依赖消防机构全量</w:t>
      </w:r>
      <w:r>
        <w:rPr>
          <w:lang w:eastAsia="zh-Hans"/>
        </w:rPr>
        <w:t>、</w:t>
      </w:r>
      <w:r>
        <w:rPr>
          <w:rFonts w:hint="eastAsia"/>
          <w:lang w:eastAsia="zh-Hans"/>
        </w:rPr>
        <w:t>实时采集相关的社会数据是明显不现实的</w:t>
      </w:r>
      <w:r>
        <w:rPr>
          <w:lang w:eastAsia="zh-Hans"/>
        </w:rPr>
        <w:t>。</w:t>
      </w:r>
      <w:r>
        <w:rPr>
          <w:rFonts w:hint="eastAsia"/>
          <w:lang w:eastAsia="zh-Hans"/>
        </w:rPr>
        <w:t>目前不管是部局租用的GIS平台还是我省自建的地理信息平台</w:t>
      </w:r>
      <w:r>
        <w:rPr>
          <w:lang w:eastAsia="zh-Hans"/>
        </w:rPr>
        <w:t>，</w:t>
      </w:r>
      <w:r>
        <w:rPr>
          <w:rFonts w:hint="eastAsia"/>
          <w:lang w:eastAsia="zh-Hans"/>
        </w:rPr>
        <w:t>均无法解决社会数据来源问题</w:t>
      </w:r>
      <w:r>
        <w:rPr>
          <w:lang w:eastAsia="zh-Hans"/>
        </w:rPr>
        <w:t>、</w:t>
      </w:r>
      <w:r>
        <w:rPr>
          <w:rFonts w:hint="eastAsia"/>
          <w:lang w:eastAsia="zh-Hans"/>
        </w:rPr>
        <w:t>与社会人员联动问题</w:t>
      </w:r>
      <w:r>
        <w:rPr>
          <w:lang w:eastAsia="zh-Hans"/>
        </w:rPr>
        <w:t>，</w:t>
      </w:r>
      <w:r>
        <w:rPr>
          <w:rFonts w:hint="eastAsia"/>
          <w:lang w:eastAsia="zh-Hans"/>
        </w:rPr>
        <w:t>而对于“智慧消防”而言</w:t>
      </w:r>
      <w:r>
        <w:rPr>
          <w:lang w:eastAsia="zh-Hans"/>
        </w:rPr>
        <w:t>，</w:t>
      </w:r>
      <w:r>
        <w:rPr>
          <w:rFonts w:hint="eastAsia"/>
          <w:lang w:eastAsia="zh-Hans"/>
        </w:rPr>
        <w:t>平台工具仅是一个方面</w:t>
      </w:r>
      <w:r>
        <w:rPr>
          <w:lang w:eastAsia="zh-Hans"/>
        </w:rPr>
        <w:t>，</w:t>
      </w:r>
      <w:r>
        <w:rPr>
          <w:rFonts w:hint="eastAsia"/>
          <w:lang w:eastAsia="zh-Hans"/>
        </w:rPr>
        <w:t>更为关键的是即时</w:t>
      </w:r>
      <w:r>
        <w:rPr>
          <w:lang w:eastAsia="zh-Hans"/>
        </w:rPr>
        <w:t>、</w:t>
      </w:r>
      <w:r>
        <w:rPr>
          <w:rFonts w:hint="eastAsia"/>
          <w:lang w:eastAsia="zh-Hans"/>
        </w:rPr>
        <w:t>准确</w:t>
      </w:r>
      <w:r>
        <w:rPr>
          <w:lang w:eastAsia="zh-Hans"/>
        </w:rPr>
        <w:t>、</w:t>
      </w:r>
      <w:r>
        <w:rPr>
          <w:rFonts w:hint="eastAsia"/>
          <w:lang w:eastAsia="zh-Hans"/>
        </w:rPr>
        <w:t>涵盖面广泛的数据</w:t>
      </w:r>
      <w:r>
        <w:rPr>
          <w:lang w:eastAsia="zh-Hans"/>
        </w:rPr>
        <w:t>。</w:t>
      </w:r>
      <w:r>
        <w:rPr>
          <w:rFonts w:hint="eastAsia"/>
          <w:lang w:eastAsia="zh-Hans"/>
        </w:rPr>
        <w:t>因此在社会联动能力支撑功能中</w:t>
      </w:r>
      <w:r>
        <w:rPr>
          <w:lang w:eastAsia="zh-Hans"/>
        </w:rPr>
        <w:t>，</w:t>
      </w:r>
      <w:r>
        <w:rPr>
          <w:rFonts w:hint="eastAsia"/>
          <w:lang w:eastAsia="zh-Hans"/>
        </w:rPr>
        <w:t>除平台功能需求外</w:t>
      </w:r>
      <w:r>
        <w:rPr>
          <w:lang w:eastAsia="zh-Hans"/>
        </w:rPr>
        <w:t>，</w:t>
      </w:r>
      <w:r>
        <w:rPr>
          <w:rFonts w:hint="eastAsia"/>
          <w:lang w:eastAsia="zh-Hans"/>
        </w:rPr>
        <w:t>还提出了数据需求</w:t>
      </w:r>
      <w:r>
        <w:rPr>
          <w:lang w:eastAsia="zh-Hans"/>
        </w:rPr>
        <w:t>、</w:t>
      </w:r>
      <w:r>
        <w:rPr>
          <w:rFonts w:hint="eastAsia"/>
          <w:lang w:eastAsia="zh-Hans"/>
        </w:rPr>
        <w:t>与社会群众联动的能力</w:t>
      </w:r>
      <w:r>
        <w:rPr>
          <w:lang w:eastAsia="zh-Hans"/>
        </w:rPr>
        <w:t>：</w:t>
      </w:r>
    </w:p>
    <w:p w14:paraId="6F5DD23B">
      <w:pPr>
        <w:rPr>
          <w:rFonts w:hint="eastAsia"/>
        </w:rPr>
      </w:pPr>
      <w:r>
        <w:rPr>
          <w:rFonts w:hint="eastAsia"/>
        </w:rPr>
        <w:t>（1）为了强化灭火救援工作对城市空间的精细化数据掌握程度，包括建筑物数据、路况数据、定位数据、人口热力等，需提供具有</w:t>
      </w:r>
      <w:r>
        <w:t>21</w:t>
      </w:r>
      <w:r>
        <w:rPr>
          <w:rFonts w:hint="eastAsia"/>
          <w:lang w:eastAsia="zh-Hans"/>
        </w:rPr>
        <w:t>级的矢量</w:t>
      </w:r>
      <w:r>
        <w:rPr>
          <w:rFonts w:hint="eastAsia"/>
        </w:rPr>
        <w:t>地图，并需提供功能完整的POI查询功能、路网检索功能、空间查询功能、路线规划功能等关键信息检索、查询功能，此外还应具有按照灭火救援实战要求对地图进行定制化开发的功能；</w:t>
      </w:r>
    </w:p>
    <w:p w14:paraId="14AB5DFF">
      <w:pPr>
        <w:rPr>
          <w:rFonts w:hint="eastAsia"/>
        </w:rPr>
      </w:pPr>
      <w:r>
        <w:rPr>
          <w:rFonts w:hint="eastAsia"/>
        </w:rPr>
        <w:t>（2）由于灭火救援工作需要实现前端作战人员与后端指挥人员的实时信息互通，需要不仅在web端能够实时获取道路、交通、定位等信息，也应对移动端提供相应的能力支撑，特别是按照国产化要求，应对原生移动端应用系统以及定位系统具有良好的适配支持；</w:t>
      </w:r>
    </w:p>
    <w:p w14:paraId="02EFD0BC">
      <w:pPr>
        <w:rPr>
          <w:rFonts w:hint="eastAsia"/>
        </w:rPr>
      </w:pPr>
      <w:r>
        <w:rPr>
          <w:rFonts w:hint="eastAsia"/>
        </w:rPr>
        <w:t>（3）基于灭火救援分秒必争的现实要求，需要能够在指挥信息网与电子政务外网（互联网）隔离交换的环境下实现分钟级更新交通路况数据、车道级拥堵提示的功能，并通过软件平台实现与路程中社会车辆的避让提醒的功能；</w:t>
      </w:r>
    </w:p>
    <w:p w14:paraId="5F922129">
      <w:pPr>
        <w:rPr>
          <w:rFonts w:hint="eastAsia"/>
        </w:rPr>
      </w:pPr>
      <w:r>
        <w:rPr>
          <w:rFonts w:hint="eastAsia"/>
        </w:rPr>
        <w:t>（4）应具备与城市智能交通灯系统的对接能力，</w:t>
      </w:r>
      <w:r>
        <w:rPr>
          <w:rFonts w:hint="eastAsia"/>
          <w:lang w:eastAsia="zh-Hans"/>
        </w:rPr>
        <w:t>具备与社会车辆协同联动的能力</w:t>
      </w:r>
      <w:r>
        <w:rPr>
          <w:lang w:eastAsia="zh-Hans"/>
        </w:rPr>
        <w:t>，</w:t>
      </w:r>
      <w:r>
        <w:rPr>
          <w:rFonts w:hint="eastAsia"/>
          <w:lang w:eastAsia="zh-Hans"/>
        </w:rPr>
        <w:t>能够</w:t>
      </w:r>
      <w:r>
        <w:rPr>
          <w:rFonts w:hint="eastAsia"/>
        </w:rPr>
        <w:t>实现消防车道路通行“绿波护航”。</w:t>
      </w:r>
    </w:p>
    <w:p w14:paraId="0C1BC847">
      <w:pPr>
        <w:pStyle w:val="5"/>
      </w:pPr>
      <w:bookmarkStart w:id="13" w:name="_Toc12227"/>
      <w:r>
        <w:rPr>
          <w:rFonts w:hint="eastAsia"/>
        </w:rPr>
        <w:t>3.3.3系统非功能需求分析</w:t>
      </w:r>
      <w:bookmarkEnd w:id="13"/>
    </w:p>
    <w:p w14:paraId="777F26CD">
      <w:pPr>
        <w:pStyle w:val="6"/>
      </w:pPr>
      <w:r>
        <w:rPr>
          <w:rFonts w:hint="eastAsia"/>
        </w:rPr>
        <w:t>3.3.3.1数据资源需求分析</w:t>
      </w:r>
    </w:p>
    <w:p w14:paraId="25897BF9">
      <w:pPr>
        <w:numPr>
          <w:ilvl w:val="0"/>
          <w:numId w:val="24"/>
        </w:numPr>
        <w:ind w:left="-80"/>
      </w:pPr>
      <w:r>
        <w:rPr>
          <w:rFonts w:hint="eastAsia"/>
        </w:rPr>
        <w:t>数据接入范围</w:t>
      </w:r>
    </w:p>
    <w:p w14:paraId="09707E31">
      <w:r>
        <w:rPr>
          <w:rFonts w:hint="eastAsia"/>
        </w:rPr>
        <w:t>数据接入主要包括政务侧数据、消防内部数据、社会侧数据的接入。</w:t>
      </w:r>
    </w:p>
    <w:p w14:paraId="4C9D4BC8">
      <w:r>
        <w:rPr>
          <w:rFonts w:hint="eastAsia"/>
        </w:rPr>
        <w:t>其中政务侧数据和社会侧数据待调研后于二期进行建设，本期只建设消防内部数据。</w:t>
      </w:r>
    </w:p>
    <w:p w14:paraId="2F9BE80C">
      <w:r>
        <w:rPr>
          <w:rFonts w:hint="eastAsia"/>
        </w:rPr>
        <w:t>政务侧数据包括外部单位数据，如应急、公安、住建、地震、电力、水利、自然资源厅等部门的与消防相关的联勤联动数据。</w:t>
      </w:r>
    </w:p>
    <w:p w14:paraId="16699DF4">
      <w:r>
        <w:rPr>
          <w:rFonts w:hint="eastAsia"/>
        </w:rPr>
        <w:t>消防内部数据包括防火监督、指挥中心、后勤装备、战训、人事、队务、信通、法工、新闻宣传等各消防业务部门数据，数据类型涉及灭火救援、火灾防控、队伍管理、综合保障等方面。</w:t>
      </w:r>
    </w:p>
    <w:p w14:paraId="0B81DC16">
      <w:r>
        <w:rPr>
          <w:rFonts w:hint="eastAsia"/>
        </w:rPr>
        <w:t>社会侧数据包括社会单位消防电子档案、社会单位水、电、消防栓、烟感监测数据、社会单位救援力量数据、公众舆情关注数据、其他手工录入数据等。</w:t>
      </w:r>
    </w:p>
    <w:p w14:paraId="3FC49DBB">
      <w:pPr>
        <w:pStyle w:val="2"/>
        <w:rPr>
          <w:rFonts w:hint="eastAsia"/>
        </w:rPr>
      </w:pPr>
      <w:r>
        <w:rPr>
          <w:rFonts w:hint="eastAsia"/>
        </w:rPr>
        <w:t>各业务系统所需数据列表：</w:t>
      </w:r>
    </w:p>
    <w:p w14:paraId="5D04140C"/>
    <w:p w14:paraId="13148C4A">
      <w:pPr>
        <w:pStyle w:val="15"/>
        <w:rPr>
          <w:rFonts w:hint="eastAsia" w:ascii="黑体" w:hAnsi="黑体" w:cs="黑体"/>
        </w:rPr>
      </w:pPr>
      <w:r>
        <w:rPr>
          <w:rFonts w:hint="eastAsia" w:ascii="黑体" w:hAnsi="黑体" w:cs="黑体"/>
        </w:rPr>
        <w:t>表3-10各业务系统所需数据列表</w:t>
      </w:r>
    </w:p>
    <w:tbl>
      <w:tblPr>
        <w:tblStyle w:val="12"/>
        <w:tblW w:w="9071" w:type="dxa"/>
        <w:tblInd w:w="-3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7"/>
        <w:gridCol w:w="2218"/>
        <w:gridCol w:w="3185"/>
        <w:gridCol w:w="2381"/>
      </w:tblGrid>
      <w:tr w14:paraId="0948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87" w:type="dxa"/>
            <w:tcBorders>
              <w:top w:val="single" w:color="auto" w:sz="4" w:space="0"/>
              <w:left w:val="single" w:color="auto" w:sz="4" w:space="0"/>
              <w:bottom w:val="single" w:color="auto" w:sz="4" w:space="0"/>
              <w:right w:val="single" w:color="auto" w:sz="4" w:space="0"/>
            </w:tcBorders>
            <w:shd w:val="clear" w:color="auto" w:fill="EEECE1"/>
            <w:noWrap w:val="0"/>
            <w:vAlign w:val="center"/>
          </w:tcPr>
          <w:p w14:paraId="46E593FE">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系统名称</w:t>
            </w:r>
          </w:p>
        </w:tc>
        <w:tc>
          <w:tcPr>
            <w:tcW w:w="2218" w:type="dxa"/>
            <w:tcBorders>
              <w:top w:val="single" w:color="auto" w:sz="4" w:space="0"/>
              <w:left w:val="single" w:color="auto" w:sz="4" w:space="0"/>
              <w:bottom w:val="single" w:color="auto" w:sz="4" w:space="0"/>
              <w:right w:val="single" w:color="auto" w:sz="4" w:space="0"/>
            </w:tcBorders>
            <w:shd w:val="clear" w:color="auto" w:fill="EEECE1"/>
            <w:noWrap w:val="0"/>
            <w:vAlign w:val="center"/>
          </w:tcPr>
          <w:p w14:paraId="116B4A51">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应用名称</w:t>
            </w:r>
          </w:p>
        </w:tc>
        <w:tc>
          <w:tcPr>
            <w:tcW w:w="3185" w:type="dxa"/>
            <w:tcBorders>
              <w:top w:val="single" w:color="auto" w:sz="4" w:space="0"/>
              <w:left w:val="single" w:color="auto" w:sz="4" w:space="0"/>
              <w:bottom w:val="single" w:color="auto" w:sz="4" w:space="0"/>
              <w:right w:val="single" w:color="auto" w:sz="4" w:space="0"/>
            </w:tcBorders>
            <w:shd w:val="clear" w:color="auto" w:fill="EEECE1"/>
            <w:noWrap w:val="0"/>
            <w:vAlign w:val="center"/>
          </w:tcPr>
          <w:p w14:paraId="662D63AD">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所需数据</w:t>
            </w:r>
          </w:p>
        </w:tc>
        <w:tc>
          <w:tcPr>
            <w:tcW w:w="2381" w:type="dxa"/>
            <w:tcBorders>
              <w:top w:val="single" w:color="auto" w:sz="4" w:space="0"/>
              <w:left w:val="single" w:color="auto" w:sz="4" w:space="0"/>
              <w:bottom w:val="single" w:color="auto" w:sz="4" w:space="0"/>
              <w:right w:val="single" w:color="auto" w:sz="4" w:space="0"/>
            </w:tcBorders>
            <w:shd w:val="clear" w:color="auto" w:fill="EEECE1"/>
            <w:noWrap w:val="0"/>
            <w:vAlign w:val="center"/>
          </w:tcPr>
          <w:p w14:paraId="0248BB3B">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数据所属部门</w:t>
            </w:r>
          </w:p>
        </w:tc>
      </w:tr>
      <w:tr w14:paraId="05A26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87" w:type="dxa"/>
            <w:vMerge w:val="restart"/>
            <w:tcBorders>
              <w:top w:val="single" w:color="auto" w:sz="4" w:space="0"/>
              <w:left w:val="single" w:color="auto" w:sz="4" w:space="0"/>
              <w:bottom w:val="single" w:color="auto" w:sz="4" w:space="0"/>
              <w:right w:val="single" w:color="auto" w:sz="4" w:space="0"/>
            </w:tcBorders>
            <w:noWrap w:val="0"/>
            <w:vAlign w:val="center"/>
          </w:tcPr>
          <w:p w14:paraId="58FDA09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火灾防控业务系统</w:t>
            </w:r>
          </w:p>
        </w:tc>
        <w:tc>
          <w:tcPr>
            <w:tcW w:w="2218" w:type="dxa"/>
            <w:tcBorders>
              <w:top w:val="single" w:color="auto" w:sz="4" w:space="0"/>
              <w:left w:val="single" w:color="auto" w:sz="4" w:space="0"/>
              <w:bottom w:val="single" w:color="auto" w:sz="4" w:space="0"/>
              <w:right w:val="single" w:color="auto" w:sz="4" w:space="0"/>
            </w:tcBorders>
            <w:noWrap w:val="0"/>
            <w:vAlign w:val="center"/>
          </w:tcPr>
          <w:p w14:paraId="676A4D45">
            <w:pPr>
              <w:widowControl/>
              <w:spacing w:line="240" w:lineRule="auto"/>
              <w:ind w:firstLine="0" w:firstLineChars="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全省火灾防控综合一张图</w:t>
            </w:r>
          </w:p>
        </w:tc>
        <w:tc>
          <w:tcPr>
            <w:tcW w:w="3185" w:type="dxa"/>
            <w:tcBorders>
              <w:top w:val="single" w:color="auto" w:sz="4" w:space="0"/>
              <w:left w:val="single" w:color="auto" w:sz="4" w:space="0"/>
              <w:bottom w:val="single" w:color="auto" w:sz="4" w:space="0"/>
              <w:right w:val="single" w:color="auto" w:sz="4" w:space="0"/>
            </w:tcBorders>
            <w:noWrap w:val="0"/>
            <w:vAlign w:val="center"/>
          </w:tcPr>
          <w:p w14:paraId="6D3A1D7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防火监督检查数据、政府行业部门监管数据、消防合规运行监测数据、专项整治检查数据、社会单位消防安全自主管理数据、火灾隐患专项整治数据、火灾风险隐患评估数据</w:t>
            </w:r>
          </w:p>
        </w:tc>
        <w:tc>
          <w:tcPr>
            <w:tcW w:w="2381" w:type="dxa"/>
            <w:tcBorders>
              <w:top w:val="single" w:color="auto" w:sz="4" w:space="0"/>
              <w:left w:val="single" w:color="auto" w:sz="4" w:space="0"/>
              <w:bottom w:val="single" w:color="auto" w:sz="4" w:space="0"/>
              <w:right w:val="single" w:color="auto" w:sz="4" w:space="0"/>
            </w:tcBorders>
            <w:noWrap w:val="0"/>
            <w:vAlign w:val="center"/>
          </w:tcPr>
          <w:p w14:paraId="71A6F2B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防火监督处、法工处</w:t>
            </w:r>
          </w:p>
        </w:tc>
      </w:tr>
      <w:tr w14:paraId="7CFA9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87" w:type="dxa"/>
            <w:vMerge w:val="continue"/>
            <w:tcBorders>
              <w:top w:val="single" w:color="auto" w:sz="4" w:space="0"/>
              <w:left w:val="single" w:color="auto" w:sz="4" w:space="0"/>
              <w:bottom w:val="single" w:color="auto" w:sz="4" w:space="0"/>
              <w:right w:val="single" w:color="auto" w:sz="4" w:space="0"/>
            </w:tcBorders>
            <w:noWrap w:val="0"/>
            <w:vAlign w:val="center"/>
          </w:tcPr>
          <w:p w14:paraId="180B4BC5">
            <w:pPr>
              <w:widowControl/>
              <w:spacing w:line="240" w:lineRule="auto"/>
              <w:ind w:firstLine="0" w:firstLineChars="0"/>
              <w:jc w:val="left"/>
              <w:rPr>
                <w:rFonts w:hint="eastAsia" w:ascii="宋体" w:hAnsi="宋体" w:eastAsia="宋体" w:cs="宋体"/>
                <w:color w:val="000000"/>
                <w:kern w:val="0"/>
                <w:sz w:val="21"/>
                <w:szCs w:val="21"/>
              </w:rPr>
            </w:pPr>
          </w:p>
        </w:tc>
        <w:tc>
          <w:tcPr>
            <w:tcW w:w="2218" w:type="dxa"/>
            <w:tcBorders>
              <w:top w:val="single" w:color="auto" w:sz="4" w:space="0"/>
              <w:left w:val="single" w:color="auto" w:sz="4" w:space="0"/>
              <w:bottom w:val="single" w:color="auto" w:sz="4" w:space="0"/>
              <w:right w:val="single" w:color="auto" w:sz="4" w:space="0"/>
            </w:tcBorders>
            <w:noWrap w:val="0"/>
            <w:vAlign w:val="center"/>
          </w:tcPr>
          <w:p w14:paraId="5DA2414C">
            <w:pPr>
              <w:widowControl/>
              <w:spacing w:line="240" w:lineRule="auto"/>
              <w:ind w:firstLine="0" w:firstLineChars="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消防安全综合监管应用</w:t>
            </w:r>
          </w:p>
        </w:tc>
        <w:tc>
          <w:tcPr>
            <w:tcW w:w="3185" w:type="dxa"/>
            <w:tcBorders>
              <w:top w:val="single" w:color="auto" w:sz="4" w:space="0"/>
              <w:left w:val="single" w:color="auto" w:sz="4" w:space="0"/>
              <w:bottom w:val="single" w:color="auto" w:sz="4" w:space="0"/>
              <w:right w:val="single" w:color="auto" w:sz="4" w:space="0"/>
            </w:tcBorders>
            <w:noWrap w:val="0"/>
            <w:vAlign w:val="center"/>
          </w:tcPr>
          <w:p w14:paraId="49D4813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防火监督检查数据、政府行业部门监管数据、消防合规运行监测数据、专项整治检查数据、社会单位消防安全自主管理数据、火灾隐患专项整治数据</w:t>
            </w:r>
          </w:p>
        </w:tc>
        <w:tc>
          <w:tcPr>
            <w:tcW w:w="2381" w:type="dxa"/>
            <w:tcBorders>
              <w:top w:val="single" w:color="auto" w:sz="4" w:space="0"/>
              <w:left w:val="single" w:color="auto" w:sz="4" w:space="0"/>
              <w:bottom w:val="single" w:color="auto" w:sz="4" w:space="0"/>
              <w:right w:val="single" w:color="auto" w:sz="4" w:space="0"/>
            </w:tcBorders>
            <w:noWrap w:val="0"/>
            <w:vAlign w:val="center"/>
          </w:tcPr>
          <w:p w14:paraId="6F0BD14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防火监督处、法工处</w:t>
            </w:r>
          </w:p>
        </w:tc>
      </w:tr>
      <w:tr w14:paraId="2587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87" w:type="dxa"/>
            <w:vMerge w:val="continue"/>
            <w:tcBorders>
              <w:top w:val="single" w:color="auto" w:sz="4" w:space="0"/>
              <w:left w:val="single" w:color="auto" w:sz="4" w:space="0"/>
              <w:bottom w:val="single" w:color="auto" w:sz="4" w:space="0"/>
              <w:right w:val="single" w:color="auto" w:sz="4" w:space="0"/>
            </w:tcBorders>
            <w:noWrap w:val="0"/>
            <w:vAlign w:val="center"/>
          </w:tcPr>
          <w:p w14:paraId="55E70C25">
            <w:pPr>
              <w:widowControl/>
              <w:spacing w:line="240" w:lineRule="auto"/>
              <w:ind w:firstLine="0" w:firstLineChars="0"/>
              <w:jc w:val="left"/>
              <w:rPr>
                <w:rFonts w:hint="eastAsia" w:ascii="宋体" w:hAnsi="宋体" w:eastAsia="宋体" w:cs="宋体"/>
                <w:color w:val="000000"/>
                <w:kern w:val="0"/>
                <w:sz w:val="21"/>
                <w:szCs w:val="21"/>
              </w:rPr>
            </w:pPr>
          </w:p>
        </w:tc>
        <w:tc>
          <w:tcPr>
            <w:tcW w:w="2218" w:type="dxa"/>
            <w:tcBorders>
              <w:top w:val="single" w:color="auto" w:sz="4" w:space="0"/>
              <w:left w:val="single" w:color="auto" w:sz="4" w:space="0"/>
              <w:bottom w:val="single" w:color="auto" w:sz="4" w:space="0"/>
              <w:right w:val="single" w:color="auto" w:sz="4" w:space="0"/>
            </w:tcBorders>
            <w:noWrap w:val="0"/>
            <w:vAlign w:val="center"/>
          </w:tcPr>
          <w:p w14:paraId="3CBFE8C9">
            <w:pPr>
              <w:widowControl/>
              <w:spacing w:line="240" w:lineRule="auto"/>
              <w:ind w:firstLine="0" w:firstLineChars="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城市消防合规运行监测应用</w:t>
            </w:r>
          </w:p>
        </w:tc>
        <w:tc>
          <w:tcPr>
            <w:tcW w:w="3185" w:type="dxa"/>
            <w:tcBorders>
              <w:top w:val="single" w:color="auto" w:sz="4" w:space="0"/>
              <w:left w:val="single" w:color="auto" w:sz="4" w:space="0"/>
              <w:bottom w:val="single" w:color="auto" w:sz="4" w:space="0"/>
              <w:right w:val="single" w:color="auto" w:sz="4" w:space="0"/>
            </w:tcBorders>
            <w:noWrap w:val="0"/>
            <w:vAlign w:val="center"/>
          </w:tcPr>
          <w:p w14:paraId="7EB428D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消防合规运行监测数据</w:t>
            </w:r>
          </w:p>
        </w:tc>
        <w:tc>
          <w:tcPr>
            <w:tcW w:w="2381" w:type="dxa"/>
            <w:tcBorders>
              <w:top w:val="single" w:color="auto" w:sz="4" w:space="0"/>
              <w:left w:val="single" w:color="auto" w:sz="4" w:space="0"/>
              <w:bottom w:val="single" w:color="auto" w:sz="4" w:space="0"/>
              <w:right w:val="single" w:color="auto" w:sz="4" w:space="0"/>
            </w:tcBorders>
            <w:noWrap w:val="0"/>
            <w:vAlign w:val="center"/>
          </w:tcPr>
          <w:p w14:paraId="54E16CC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防火监督处</w:t>
            </w:r>
          </w:p>
        </w:tc>
      </w:tr>
      <w:tr w14:paraId="4132D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87" w:type="dxa"/>
            <w:vMerge w:val="continue"/>
            <w:tcBorders>
              <w:top w:val="single" w:color="auto" w:sz="4" w:space="0"/>
              <w:left w:val="single" w:color="auto" w:sz="4" w:space="0"/>
              <w:bottom w:val="single" w:color="auto" w:sz="4" w:space="0"/>
              <w:right w:val="single" w:color="auto" w:sz="4" w:space="0"/>
            </w:tcBorders>
            <w:noWrap w:val="0"/>
            <w:vAlign w:val="center"/>
          </w:tcPr>
          <w:p w14:paraId="74F9ECF0">
            <w:pPr>
              <w:widowControl/>
              <w:spacing w:line="240" w:lineRule="auto"/>
              <w:ind w:firstLine="0" w:firstLineChars="0"/>
              <w:jc w:val="left"/>
              <w:rPr>
                <w:rFonts w:hint="eastAsia" w:ascii="宋体" w:hAnsi="宋体" w:eastAsia="宋体" w:cs="宋体"/>
                <w:color w:val="000000"/>
                <w:kern w:val="0"/>
                <w:sz w:val="21"/>
                <w:szCs w:val="21"/>
              </w:rPr>
            </w:pPr>
          </w:p>
        </w:tc>
        <w:tc>
          <w:tcPr>
            <w:tcW w:w="2218" w:type="dxa"/>
            <w:tcBorders>
              <w:top w:val="single" w:color="auto" w:sz="4" w:space="0"/>
              <w:left w:val="single" w:color="auto" w:sz="4" w:space="0"/>
              <w:bottom w:val="single" w:color="auto" w:sz="4" w:space="0"/>
              <w:right w:val="single" w:color="auto" w:sz="4" w:space="0"/>
            </w:tcBorders>
            <w:noWrap w:val="0"/>
            <w:vAlign w:val="center"/>
          </w:tcPr>
          <w:p w14:paraId="3C0A2208">
            <w:pPr>
              <w:widowControl/>
              <w:spacing w:line="240" w:lineRule="auto"/>
              <w:ind w:firstLine="0" w:firstLineChars="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社会单位消防安全自主管理应用</w:t>
            </w:r>
          </w:p>
        </w:tc>
        <w:tc>
          <w:tcPr>
            <w:tcW w:w="3185" w:type="dxa"/>
            <w:tcBorders>
              <w:top w:val="single" w:color="auto" w:sz="4" w:space="0"/>
              <w:left w:val="single" w:color="auto" w:sz="4" w:space="0"/>
              <w:bottom w:val="single" w:color="auto" w:sz="4" w:space="0"/>
              <w:right w:val="single" w:color="auto" w:sz="4" w:space="0"/>
            </w:tcBorders>
            <w:noWrap w:val="0"/>
            <w:vAlign w:val="center"/>
          </w:tcPr>
          <w:p w14:paraId="0E6E111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社会单位消防安全自主管理数据（包括：</w:t>
            </w:r>
            <w:r>
              <w:rPr>
                <w:rFonts w:hint="eastAsia" w:ascii="宋体" w:hAnsi="宋体" w:eastAsia="宋体" w:cs="宋体"/>
                <w:sz w:val="21"/>
                <w:szCs w:val="21"/>
              </w:rPr>
              <w:t>社会单位消防电子档案、社会单位水、电、消防栓、烟感监测数据、社会单位救援力量数据）</w:t>
            </w:r>
          </w:p>
        </w:tc>
        <w:tc>
          <w:tcPr>
            <w:tcW w:w="2381" w:type="dxa"/>
            <w:tcBorders>
              <w:top w:val="single" w:color="auto" w:sz="4" w:space="0"/>
              <w:left w:val="single" w:color="auto" w:sz="4" w:space="0"/>
              <w:bottom w:val="single" w:color="auto" w:sz="4" w:space="0"/>
              <w:right w:val="single" w:color="auto" w:sz="4" w:space="0"/>
            </w:tcBorders>
            <w:noWrap w:val="0"/>
            <w:vAlign w:val="center"/>
          </w:tcPr>
          <w:p w14:paraId="6C648E7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防火监督处、社会单位</w:t>
            </w:r>
          </w:p>
        </w:tc>
      </w:tr>
      <w:tr w14:paraId="1D0A3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87" w:type="dxa"/>
            <w:vMerge w:val="continue"/>
            <w:tcBorders>
              <w:top w:val="single" w:color="auto" w:sz="4" w:space="0"/>
              <w:left w:val="single" w:color="auto" w:sz="4" w:space="0"/>
              <w:bottom w:val="single" w:color="auto" w:sz="4" w:space="0"/>
              <w:right w:val="single" w:color="auto" w:sz="4" w:space="0"/>
            </w:tcBorders>
            <w:noWrap w:val="0"/>
            <w:vAlign w:val="center"/>
          </w:tcPr>
          <w:p w14:paraId="5A154C6A">
            <w:pPr>
              <w:widowControl/>
              <w:spacing w:line="240" w:lineRule="auto"/>
              <w:ind w:firstLine="0" w:firstLineChars="0"/>
              <w:jc w:val="left"/>
              <w:rPr>
                <w:rFonts w:hint="eastAsia" w:ascii="宋体" w:hAnsi="宋体" w:eastAsia="宋体" w:cs="宋体"/>
                <w:color w:val="000000"/>
                <w:kern w:val="0"/>
                <w:sz w:val="21"/>
                <w:szCs w:val="21"/>
              </w:rPr>
            </w:pPr>
          </w:p>
        </w:tc>
        <w:tc>
          <w:tcPr>
            <w:tcW w:w="2218" w:type="dxa"/>
            <w:tcBorders>
              <w:top w:val="single" w:color="auto" w:sz="4" w:space="0"/>
              <w:left w:val="single" w:color="auto" w:sz="4" w:space="0"/>
              <w:bottom w:val="single" w:color="auto" w:sz="4" w:space="0"/>
              <w:right w:val="single" w:color="auto" w:sz="4" w:space="0"/>
            </w:tcBorders>
            <w:noWrap w:val="0"/>
            <w:vAlign w:val="center"/>
          </w:tcPr>
          <w:p w14:paraId="44449F6E">
            <w:pPr>
              <w:widowControl/>
              <w:spacing w:line="240" w:lineRule="auto"/>
              <w:ind w:firstLine="0" w:firstLineChars="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火灾风险评估应用</w:t>
            </w:r>
          </w:p>
        </w:tc>
        <w:tc>
          <w:tcPr>
            <w:tcW w:w="3185" w:type="dxa"/>
            <w:tcBorders>
              <w:top w:val="single" w:color="auto" w:sz="4" w:space="0"/>
              <w:left w:val="single" w:color="auto" w:sz="4" w:space="0"/>
              <w:bottom w:val="single" w:color="auto" w:sz="4" w:space="0"/>
              <w:right w:val="single" w:color="auto" w:sz="4" w:space="0"/>
            </w:tcBorders>
            <w:noWrap w:val="0"/>
            <w:vAlign w:val="center"/>
          </w:tcPr>
          <w:p w14:paraId="013462A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建筑信息数据、防火监督检查数据</w:t>
            </w:r>
          </w:p>
        </w:tc>
        <w:tc>
          <w:tcPr>
            <w:tcW w:w="2381" w:type="dxa"/>
            <w:tcBorders>
              <w:top w:val="single" w:color="auto" w:sz="4" w:space="0"/>
              <w:left w:val="single" w:color="auto" w:sz="4" w:space="0"/>
              <w:bottom w:val="single" w:color="auto" w:sz="4" w:space="0"/>
              <w:right w:val="single" w:color="auto" w:sz="4" w:space="0"/>
            </w:tcBorders>
            <w:noWrap w:val="0"/>
            <w:vAlign w:val="center"/>
          </w:tcPr>
          <w:p w14:paraId="0D6398E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住建部门、防火监督处</w:t>
            </w:r>
          </w:p>
        </w:tc>
      </w:tr>
      <w:tr w14:paraId="03272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87" w:type="dxa"/>
            <w:vMerge w:val="restart"/>
            <w:tcBorders>
              <w:top w:val="single" w:color="auto" w:sz="4" w:space="0"/>
              <w:left w:val="single" w:color="auto" w:sz="4" w:space="0"/>
              <w:right w:val="single" w:color="auto" w:sz="4" w:space="0"/>
            </w:tcBorders>
            <w:noWrap w:val="0"/>
            <w:vAlign w:val="center"/>
          </w:tcPr>
          <w:p w14:paraId="23CD718A">
            <w:pPr>
              <w:spacing w:line="240" w:lineRule="auto"/>
              <w:ind w:firstLine="0" w:firstLineChars="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灭火救援业务系统</w:t>
            </w:r>
          </w:p>
        </w:tc>
        <w:tc>
          <w:tcPr>
            <w:tcW w:w="2218" w:type="dxa"/>
            <w:tcBorders>
              <w:top w:val="single" w:color="auto" w:sz="4" w:space="0"/>
              <w:left w:val="single" w:color="auto" w:sz="4" w:space="0"/>
              <w:bottom w:val="single" w:color="auto" w:sz="4" w:space="0"/>
              <w:right w:val="single" w:color="auto" w:sz="4" w:space="0"/>
            </w:tcBorders>
            <w:noWrap w:val="0"/>
            <w:vAlign w:val="center"/>
          </w:tcPr>
          <w:p w14:paraId="3B2871B2">
            <w:pPr>
              <w:widowControl/>
              <w:spacing w:line="240" w:lineRule="auto"/>
              <w:ind w:firstLine="0" w:firstLineChars="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全省灭火救援态势感知</w:t>
            </w:r>
          </w:p>
        </w:tc>
        <w:tc>
          <w:tcPr>
            <w:tcW w:w="3185" w:type="dxa"/>
            <w:tcBorders>
              <w:top w:val="single" w:color="auto" w:sz="4" w:space="0"/>
              <w:left w:val="single" w:color="auto" w:sz="4" w:space="0"/>
              <w:bottom w:val="single" w:color="auto" w:sz="4" w:space="0"/>
              <w:right w:val="single" w:color="auto" w:sz="4" w:space="0"/>
            </w:tcBorders>
            <w:noWrap w:val="0"/>
            <w:vAlign w:val="center"/>
          </w:tcPr>
          <w:p w14:paraId="2CD2142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接处警警情数据、消防人员数据、专职队伍数据、水源数据、车辆装备数据、重点单位数据、气象天气数据、交通道路数据、联勤联动力量数据</w:t>
            </w:r>
          </w:p>
        </w:tc>
        <w:tc>
          <w:tcPr>
            <w:tcW w:w="2381" w:type="dxa"/>
            <w:tcBorders>
              <w:top w:val="single" w:color="auto" w:sz="4" w:space="0"/>
              <w:left w:val="single" w:color="auto" w:sz="4" w:space="0"/>
              <w:bottom w:val="single" w:color="auto" w:sz="4" w:space="0"/>
              <w:right w:val="single" w:color="auto" w:sz="4" w:space="0"/>
            </w:tcBorders>
            <w:noWrap w:val="0"/>
            <w:vAlign w:val="center"/>
          </w:tcPr>
          <w:p w14:paraId="508BC59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指挥中心、人事处、队伍处、战训处、后勤装备处、防火监督处、气象部门、交通部门</w:t>
            </w:r>
          </w:p>
        </w:tc>
      </w:tr>
      <w:tr w14:paraId="1D01B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87" w:type="dxa"/>
            <w:vMerge w:val="continue"/>
            <w:tcBorders>
              <w:left w:val="single" w:color="auto" w:sz="4" w:space="0"/>
              <w:right w:val="single" w:color="auto" w:sz="4" w:space="0"/>
            </w:tcBorders>
            <w:noWrap w:val="0"/>
            <w:vAlign w:val="center"/>
          </w:tcPr>
          <w:p w14:paraId="746E47C8">
            <w:pPr>
              <w:spacing w:line="240" w:lineRule="auto"/>
              <w:jc w:val="left"/>
              <w:rPr>
                <w:rFonts w:hint="eastAsia" w:ascii="宋体" w:hAnsi="宋体" w:eastAsia="宋体" w:cs="宋体"/>
                <w:color w:val="000000"/>
                <w:kern w:val="0"/>
                <w:sz w:val="21"/>
                <w:szCs w:val="21"/>
              </w:rPr>
            </w:pPr>
          </w:p>
        </w:tc>
        <w:tc>
          <w:tcPr>
            <w:tcW w:w="2218" w:type="dxa"/>
            <w:tcBorders>
              <w:top w:val="single" w:color="auto" w:sz="4" w:space="0"/>
              <w:left w:val="single" w:color="auto" w:sz="4" w:space="0"/>
              <w:bottom w:val="single" w:color="auto" w:sz="4" w:space="0"/>
              <w:right w:val="single" w:color="auto" w:sz="4" w:space="0"/>
            </w:tcBorders>
            <w:noWrap w:val="0"/>
            <w:vAlign w:val="center"/>
          </w:tcPr>
          <w:p w14:paraId="20DFD174">
            <w:pPr>
              <w:widowControl/>
              <w:spacing w:line="240" w:lineRule="auto"/>
              <w:ind w:firstLine="0" w:firstLineChars="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智能指挥系统增强版</w:t>
            </w:r>
          </w:p>
        </w:tc>
        <w:tc>
          <w:tcPr>
            <w:tcW w:w="3185" w:type="dxa"/>
            <w:tcBorders>
              <w:top w:val="single" w:color="auto" w:sz="4" w:space="0"/>
              <w:left w:val="single" w:color="auto" w:sz="4" w:space="0"/>
              <w:bottom w:val="single" w:color="auto" w:sz="4" w:space="0"/>
              <w:right w:val="single" w:color="auto" w:sz="4" w:space="0"/>
            </w:tcBorders>
            <w:noWrap w:val="0"/>
            <w:vAlign w:val="center"/>
          </w:tcPr>
          <w:p w14:paraId="60A2BAC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接处警警情数据、消防人员数据、专职队伍数据、水源数据、车辆装备数据、重点单位数据、气象天气数据、交通道路数据、联勤联动力量数据</w:t>
            </w:r>
          </w:p>
        </w:tc>
        <w:tc>
          <w:tcPr>
            <w:tcW w:w="2381" w:type="dxa"/>
            <w:tcBorders>
              <w:top w:val="single" w:color="auto" w:sz="4" w:space="0"/>
              <w:left w:val="single" w:color="auto" w:sz="4" w:space="0"/>
              <w:bottom w:val="single" w:color="auto" w:sz="4" w:space="0"/>
              <w:right w:val="single" w:color="auto" w:sz="4" w:space="0"/>
            </w:tcBorders>
            <w:noWrap w:val="0"/>
            <w:vAlign w:val="center"/>
          </w:tcPr>
          <w:p w14:paraId="149FDA0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指挥中心、人事处、队伍处、战训处、后勤装备处、防火监督处、气象部门、交通部门</w:t>
            </w:r>
          </w:p>
        </w:tc>
      </w:tr>
      <w:tr w14:paraId="63AC1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87" w:type="dxa"/>
            <w:vMerge w:val="continue"/>
            <w:tcBorders>
              <w:left w:val="single" w:color="auto" w:sz="4" w:space="0"/>
              <w:right w:val="single" w:color="auto" w:sz="4" w:space="0"/>
            </w:tcBorders>
            <w:noWrap w:val="0"/>
            <w:vAlign w:val="center"/>
          </w:tcPr>
          <w:p w14:paraId="17A44E40">
            <w:pPr>
              <w:widowControl/>
              <w:spacing w:line="240" w:lineRule="auto"/>
              <w:ind w:firstLine="0" w:firstLineChars="0"/>
              <w:jc w:val="left"/>
              <w:rPr>
                <w:rFonts w:hint="eastAsia" w:ascii="宋体" w:hAnsi="宋体" w:eastAsia="宋体" w:cs="宋体"/>
                <w:color w:val="000000"/>
                <w:kern w:val="0"/>
                <w:sz w:val="21"/>
                <w:szCs w:val="21"/>
              </w:rPr>
            </w:pPr>
          </w:p>
        </w:tc>
        <w:tc>
          <w:tcPr>
            <w:tcW w:w="2218" w:type="dxa"/>
            <w:tcBorders>
              <w:top w:val="single" w:color="auto" w:sz="4" w:space="0"/>
              <w:left w:val="single" w:color="auto" w:sz="4" w:space="0"/>
              <w:bottom w:val="single" w:color="auto" w:sz="4" w:space="0"/>
              <w:right w:val="single" w:color="auto" w:sz="4" w:space="0"/>
            </w:tcBorders>
            <w:noWrap w:val="0"/>
            <w:vAlign w:val="center"/>
          </w:tcPr>
          <w:p w14:paraId="2A9D9917">
            <w:pPr>
              <w:widowControl/>
              <w:spacing w:line="240" w:lineRule="auto"/>
              <w:ind w:firstLine="0" w:firstLineChars="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联勤联动力量调度管理应用</w:t>
            </w:r>
          </w:p>
        </w:tc>
        <w:tc>
          <w:tcPr>
            <w:tcW w:w="3185" w:type="dxa"/>
            <w:tcBorders>
              <w:top w:val="single" w:color="auto" w:sz="4" w:space="0"/>
              <w:left w:val="single" w:color="auto" w:sz="4" w:space="0"/>
              <w:bottom w:val="single" w:color="auto" w:sz="4" w:space="0"/>
              <w:right w:val="single" w:color="auto" w:sz="4" w:space="0"/>
            </w:tcBorders>
            <w:noWrap w:val="0"/>
            <w:vAlign w:val="center"/>
          </w:tcPr>
          <w:p w14:paraId="3343261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警情数据、消防人员、专职队数据、水源数据</w:t>
            </w:r>
          </w:p>
        </w:tc>
        <w:tc>
          <w:tcPr>
            <w:tcW w:w="2381" w:type="dxa"/>
            <w:tcBorders>
              <w:top w:val="single" w:color="auto" w:sz="4" w:space="0"/>
              <w:left w:val="single" w:color="auto" w:sz="4" w:space="0"/>
              <w:bottom w:val="single" w:color="auto" w:sz="4" w:space="0"/>
              <w:right w:val="single" w:color="auto" w:sz="4" w:space="0"/>
            </w:tcBorders>
            <w:noWrap w:val="0"/>
            <w:vAlign w:val="center"/>
          </w:tcPr>
          <w:p w14:paraId="2EE2A3E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指挥中心、人事处、队伍处、战训处</w:t>
            </w:r>
          </w:p>
        </w:tc>
      </w:tr>
      <w:tr w14:paraId="71E5F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87" w:type="dxa"/>
            <w:vMerge w:val="continue"/>
            <w:tcBorders>
              <w:left w:val="single" w:color="auto" w:sz="4" w:space="0"/>
              <w:bottom w:val="single" w:color="auto" w:sz="4" w:space="0"/>
              <w:right w:val="single" w:color="auto" w:sz="4" w:space="0"/>
            </w:tcBorders>
            <w:noWrap w:val="0"/>
            <w:vAlign w:val="center"/>
          </w:tcPr>
          <w:p w14:paraId="05F3135F">
            <w:pPr>
              <w:widowControl/>
              <w:spacing w:line="240" w:lineRule="auto"/>
              <w:ind w:firstLine="0" w:firstLineChars="0"/>
              <w:jc w:val="left"/>
              <w:rPr>
                <w:rFonts w:hint="eastAsia" w:ascii="宋体" w:hAnsi="宋体" w:eastAsia="宋体" w:cs="宋体"/>
                <w:color w:val="000000"/>
                <w:kern w:val="0"/>
                <w:sz w:val="21"/>
                <w:szCs w:val="21"/>
              </w:rPr>
            </w:pPr>
          </w:p>
        </w:tc>
        <w:tc>
          <w:tcPr>
            <w:tcW w:w="2218" w:type="dxa"/>
            <w:tcBorders>
              <w:top w:val="single" w:color="auto" w:sz="4" w:space="0"/>
              <w:left w:val="single" w:color="auto" w:sz="4" w:space="0"/>
              <w:bottom w:val="single" w:color="auto" w:sz="4" w:space="0"/>
              <w:right w:val="single" w:color="auto" w:sz="4" w:space="0"/>
            </w:tcBorders>
            <w:noWrap w:val="0"/>
            <w:vAlign w:val="center"/>
          </w:tcPr>
          <w:p w14:paraId="5356897F">
            <w:pPr>
              <w:widowControl/>
              <w:spacing w:line="240" w:lineRule="auto"/>
              <w:ind w:firstLine="0" w:firstLineChars="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智能接处警应用(定制开发）</w:t>
            </w:r>
          </w:p>
        </w:tc>
        <w:tc>
          <w:tcPr>
            <w:tcW w:w="3185" w:type="dxa"/>
            <w:tcBorders>
              <w:top w:val="single" w:color="auto" w:sz="4" w:space="0"/>
              <w:left w:val="single" w:color="auto" w:sz="4" w:space="0"/>
              <w:bottom w:val="single" w:color="auto" w:sz="4" w:space="0"/>
              <w:right w:val="single" w:color="auto" w:sz="4" w:space="0"/>
            </w:tcBorders>
            <w:noWrap w:val="0"/>
            <w:vAlign w:val="center"/>
          </w:tcPr>
          <w:p w14:paraId="33F55A9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接处警警情数据、消防人员数据、专职队伍数据、水源数据、车辆装备数据、重点单位数据、气象天气数据、交通道路数据、联勤联动力量数据</w:t>
            </w:r>
          </w:p>
        </w:tc>
        <w:tc>
          <w:tcPr>
            <w:tcW w:w="2381" w:type="dxa"/>
            <w:tcBorders>
              <w:top w:val="single" w:color="auto" w:sz="4" w:space="0"/>
              <w:left w:val="single" w:color="auto" w:sz="4" w:space="0"/>
              <w:bottom w:val="single" w:color="auto" w:sz="4" w:space="0"/>
              <w:right w:val="single" w:color="auto" w:sz="4" w:space="0"/>
            </w:tcBorders>
            <w:noWrap w:val="0"/>
            <w:vAlign w:val="center"/>
          </w:tcPr>
          <w:p w14:paraId="5CBC17B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指挥中心、人事处、队伍处、战训处、后勤装备处、防火监督处、气象部门、交通部门</w:t>
            </w:r>
          </w:p>
        </w:tc>
      </w:tr>
      <w:tr w14:paraId="17931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87" w:type="dxa"/>
            <w:tcBorders>
              <w:top w:val="single" w:color="auto" w:sz="4" w:space="0"/>
              <w:left w:val="single" w:color="auto" w:sz="4" w:space="0"/>
              <w:bottom w:val="single" w:color="auto" w:sz="4" w:space="0"/>
              <w:right w:val="single" w:color="auto" w:sz="4" w:space="0"/>
            </w:tcBorders>
            <w:noWrap w:val="0"/>
            <w:vAlign w:val="center"/>
          </w:tcPr>
          <w:p w14:paraId="222D41A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队伍管理业务系统</w:t>
            </w:r>
          </w:p>
        </w:tc>
        <w:tc>
          <w:tcPr>
            <w:tcW w:w="2218" w:type="dxa"/>
            <w:tcBorders>
              <w:top w:val="single" w:color="auto" w:sz="4" w:space="0"/>
              <w:left w:val="single" w:color="auto" w:sz="4" w:space="0"/>
              <w:bottom w:val="single" w:color="auto" w:sz="4" w:space="0"/>
              <w:right w:val="single" w:color="auto" w:sz="4" w:space="0"/>
            </w:tcBorders>
            <w:noWrap w:val="0"/>
            <w:vAlign w:val="center"/>
          </w:tcPr>
          <w:p w14:paraId="1633C4AE">
            <w:pPr>
              <w:widowControl/>
              <w:spacing w:line="240" w:lineRule="auto"/>
              <w:ind w:firstLine="0" w:firstLineChars="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智慧队站管理应用</w:t>
            </w:r>
          </w:p>
        </w:tc>
        <w:tc>
          <w:tcPr>
            <w:tcW w:w="3185" w:type="dxa"/>
            <w:tcBorders>
              <w:top w:val="single" w:color="auto" w:sz="4" w:space="0"/>
              <w:left w:val="single" w:color="auto" w:sz="4" w:space="0"/>
              <w:bottom w:val="single" w:color="auto" w:sz="4" w:space="0"/>
              <w:right w:val="single" w:color="auto" w:sz="4" w:space="0"/>
            </w:tcBorders>
            <w:noWrap w:val="0"/>
            <w:vAlign w:val="center"/>
          </w:tcPr>
          <w:p w14:paraId="3A14C02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消防人员数据、日常请销假数据、车辆数据</w:t>
            </w:r>
          </w:p>
        </w:tc>
        <w:tc>
          <w:tcPr>
            <w:tcW w:w="2381" w:type="dxa"/>
            <w:tcBorders>
              <w:top w:val="single" w:color="auto" w:sz="4" w:space="0"/>
              <w:left w:val="single" w:color="auto" w:sz="4" w:space="0"/>
              <w:bottom w:val="single" w:color="auto" w:sz="4" w:space="0"/>
              <w:right w:val="single" w:color="auto" w:sz="4" w:space="0"/>
            </w:tcBorders>
            <w:noWrap w:val="0"/>
            <w:vAlign w:val="center"/>
          </w:tcPr>
          <w:p w14:paraId="786621C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人事处、队伍处、后勤装备处</w:t>
            </w:r>
          </w:p>
        </w:tc>
      </w:tr>
      <w:tr w14:paraId="6352F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87" w:type="dxa"/>
            <w:vMerge w:val="restart"/>
            <w:tcBorders>
              <w:top w:val="single" w:color="auto" w:sz="4" w:space="0"/>
              <w:left w:val="single" w:color="auto" w:sz="4" w:space="0"/>
              <w:bottom w:val="single" w:color="auto" w:sz="4" w:space="0"/>
              <w:right w:val="single" w:color="auto" w:sz="4" w:space="0"/>
            </w:tcBorders>
            <w:noWrap w:val="0"/>
            <w:vAlign w:val="center"/>
          </w:tcPr>
          <w:p w14:paraId="0C09CFDF">
            <w:pPr>
              <w:widowControl/>
              <w:spacing w:line="240" w:lineRule="auto"/>
              <w:ind w:firstLine="0" w:firstLineChars="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综合保障业务系统</w:t>
            </w:r>
          </w:p>
        </w:tc>
        <w:tc>
          <w:tcPr>
            <w:tcW w:w="2218" w:type="dxa"/>
            <w:tcBorders>
              <w:top w:val="single" w:color="auto" w:sz="4" w:space="0"/>
              <w:left w:val="single" w:color="auto" w:sz="4" w:space="0"/>
              <w:bottom w:val="single" w:color="auto" w:sz="4" w:space="0"/>
              <w:right w:val="single" w:color="auto" w:sz="4" w:space="0"/>
            </w:tcBorders>
            <w:noWrap w:val="0"/>
            <w:vAlign w:val="center"/>
          </w:tcPr>
          <w:p w14:paraId="6603EACF">
            <w:pPr>
              <w:widowControl/>
              <w:spacing w:line="240" w:lineRule="auto"/>
              <w:ind w:firstLine="0" w:firstLineChars="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公众服务应用</w:t>
            </w:r>
          </w:p>
        </w:tc>
        <w:tc>
          <w:tcPr>
            <w:tcW w:w="3185" w:type="dxa"/>
            <w:tcBorders>
              <w:top w:val="single" w:color="auto" w:sz="4" w:space="0"/>
              <w:left w:val="single" w:color="auto" w:sz="4" w:space="0"/>
              <w:bottom w:val="single" w:color="auto" w:sz="4" w:space="0"/>
              <w:right w:val="single" w:color="auto" w:sz="4" w:space="0"/>
            </w:tcBorders>
            <w:noWrap w:val="0"/>
            <w:vAlign w:val="center"/>
          </w:tcPr>
          <w:p w14:paraId="7E39AC8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防火监督检查结果数据、消防新闻宣传数据</w:t>
            </w:r>
          </w:p>
        </w:tc>
        <w:tc>
          <w:tcPr>
            <w:tcW w:w="2381" w:type="dxa"/>
            <w:tcBorders>
              <w:top w:val="single" w:color="auto" w:sz="4" w:space="0"/>
              <w:left w:val="single" w:color="auto" w:sz="4" w:space="0"/>
              <w:bottom w:val="single" w:color="auto" w:sz="4" w:space="0"/>
              <w:right w:val="single" w:color="auto" w:sz="4" w:space="0"/>
            </w:tcBorders>
            <w:noWrap w:val="0"/>
            <w:vAlign w:val="center"/>
          </w:tcPr>
          <w:p w14:paraId="374550A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防火监督处、新闻宣传处</w:t>
            </w:r>
          </w:p>
        </w:tc>
      </w:tr>
      <w:tr w14:paraId="2EF81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87" w:type="dxa"/>
            <w:vMerge w:val="continue"/>
            <w:tcBorders>
              <w:top w:val="single" w:color="auto" w:sz="4" w:space="0"/>
              <w:left w:val="single" w:color="auto" w:sz="4" w:space="0"/>
              <w:bottom w:val="single" w:color="auto" w:sz="4" w:space="0"/>
              <w:right w:val="single" w:color="auto" w:sz="4" w:space="0"/>
            </w:tcBorders>
            <w:noWrap w:val="0"/>
            <w:vAlign w:val="center"/>
          </w:tcPr>
          <w:p w14:paraId="456C8BAB">
            <w:pPr>
              <w:widowControl/>
              <w:spacing w:line="240" w:lineRule="auto"/>
              <w:ind w:firstLine="0" w:firstLineChars="0"/>
              <w:jc w:val="left"/>
              <w:rPr>
                <w:rFonts w:hint="eastAsia" w:ascii="宋体" w:hAnsi="宋体" w:eastAsia="宋体" w:cs="宋体"/>
                <w:color w:val="000000"/>
                <w:kern w:val="0"/>
                <w:sz w:val="21"/>
                <w:szCs w:val="21"/>
              </w:rPr>
            </w:pPr>
          </w:p>
        </w:tc>
        <w:tc>
          <w:tcPr>
            <w:tcW w:w="2218" w:type="dxa"/>
            <w:tcBorders>
              <w:top w:val="single" w:color="auto" w:sz="4" w:space="0"/>
              <w:left w:val="single" w:color="auto" w:sz="4" w:space="0"/>
              <w:bottom w:val="single" w:color="auto" w:sz="4" w:space="0"/>
              <w:right w:val="single" w:color="auto" w:sz="4" w:space="0"/>
            </w:tcBorders>
            <w:noWrap w:val="0"/>
            <w:vAlign w:val="center"/>
          </w:tcPr>
          <w:p w14:paraId="724413F9">
            <w:pPr>
              <w:widowControl/>
              <w:spacing w:line="240" w:lineRule="auto"/>
              <w:ind w:firstLine="0" w:firstLineChars="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消防装备物资智能管理应用</w:t>
            </w:r>
          </w:p>
        </w:tc>
        <w:tc>
          <w:tcPr>
            <w:tcW w:w="3185" w:type="dxa"/>
            <w:tcBorders>
              <w:top w:val="single" w:color="auto" w:sz="4" w:space="0"/>
              <w:left w:val="single" w:color="auto" w:sz="4" w:space="0"/>
              <w:bottom w:val="single" w:color="auto" w:sz="4" w:space="0"/>
              <w:right w:val="single" w:color="auto" w:sz="4" w:space="0"/>
            </w:tcBorders>
            <w:noWrap w:val="0"/>
            <w:vAlign w:val="center"/>
          </w:tcPr>
          <w:p w14:paraId="45ADA44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装备数据、物资数据、消防救援队伍数据</w:t>
            </w:r>
          </w:p>
        </w:tc>
        <w:tc>
          <w:tcPr>
            <w:tcW w:w="2381" w:type="dxa"/>
            <w:tcBorders>
              <w:top w:val="single" w:color="auto" w:sz="4" w:space="0"/>
              <w:left w:val="single" w:color="auto" w:sz="4" w:space="0"/>
              <w:bottom w:val="single" w:color="auto" w:sz="4" w:space="0"/>
              <w:right w:val="single" w:color="auto" w:sz="4" w:space="0"/>
            </w:tcBorders>
            <w:noWrap w:val="0"/>
            <w:vAlign w:val="center"/>
          </w:tcPr>
          <w:p w14:paraId="3A20A1A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后勤装备处、队伍处</w:t>
            </w:r>
          </w:p>
        </w:tc>
      </w:tr>
    </w:tbl>
    <w:p w14:paraId="2D499024">
      <w:pPr>
        <w:pStyle w:val="15"/>
        <w:jc w:val="both"/>
        <w:rPr>
          <w:rFonts w:hint="eastAsia" w:ascii="黑体" w:hAnsi="黑体" w:cs="黑体"/>
        </w:rPr>
      </w:pPr>
    </w:p>
    <w:p w14:paraId="6F428794">
      <w:pPr>
        <w:pStyle w:val="6"/>
      </w:pPr>
      <w:r>
        <w:rPr>
          <w:rFonts w:hint="eastAsia"/>
        </w:rPr>
        <w:t>3.3.3.2数据治理需求分析</w:t>
      </w:r>
    </w:p>
    <w:p w14:paraId="090A53BC">
      <w:r>
        <w:rPr>
          <w:rFonts w:hint="eastAsia"/>
          <w:lang w:eastAsia="zh-CN"/>
        </w:rPr>
        <w:t>XXX</w:t>
      </w:r>
      <w:r>
        <w:rPr>
          <w:rFonts w:hint="eastAsia"/>
        </w:rPr>
        <w:t>省消防救援总队通过多年的信息化建设，以消防业务为牵引，建设了很多的业务系统，支撑消防业务的开展。另外总队也使用了很多国家垂直配发的应用系统来实现国家、市、区的多级业务联动。由于系统建设较早且不能互通、数据难以共享汇聚且数据标准不统一，缺少对数据的整合和进行分析应用。</w:t>
      </w:r>
      <w:r>
        <w:rPr>
          <w:rStyle w:val="14"/>
          <w:rFonts w:hint="eastAsia"/>
        </w:rPr>
        <w:t>迫切需要实现消防总队和各支队内部数据、外部门数据、社会及互联网数据、感知数据等全域应急数据的接入，涵盖火灾防控、灭火救援、队伍管理、公众服务等全业务系统。通过数据的统一接入，将源数据集中存储至原始库。利用数据抽取、消息服务、网络爬取、数据交换、填报采集等技术手段，解决消防安全管理信息资源在集中汇聚时面临的分散孤立、源头多样、跨网传输等问题，为消防安全数据资源的汇聚集中、统一标准化处理和信息资源池构建提供源数据支撑。</w:t>
      </w:r>
    </w:p>
    <w:p w14:paraId="2FBA8B23">
      <w:pPr>
        <w:numPr>
          <w:ilvl w:val="0"/>
          <w:numId w:val="25"/>
        </w:numPr>
        <w:ind w:firstLineChars="0"/>
      </w:pPr>
      <w:r>
        <w:rPr>
          <w:rFonts w:hint="eastAsia"/>
        </w:rPr>
        <w:t>数据资源规划和梳理</w:t>
      </w:r>
    </w:p>
    <w:p w14:paraId="1129245E">
      <w:r>
        <w:rPr>
          <w:rFonts w:hint="eastAsia"/>
          <w:color w:val="000000"/>
        </w:rPr>
        <w:t>消防转隶后，面对</w:t>
      </w:r>
      <w:r>
        <w:rPr>
          <w:rFonts w:ascii="Arial" w:hAnsi="Arial" w:eastAsia="Arial" w:cs="Arial"/>
          <w:color w:val="000000"/>
        </w:rPr>
        <w:t>“</w:t>
      </w:r>
      <w:r>
        <w:rPr>
          <w:rFonts w:hint="eastAsia"/>
          <w:color w:val="000000"/>
        </w:rPr>
        <w:t>全灾种，大应急</w:t>
      </w:r>
      <w:r>
        <w:rPr>
          <w:rFonts w:ascii="Arial" w:hAnsi="Arial" w:eastAsia="Arial" w:cs="Arial"/>
          <w:color w:val="000000"/>
        </w:rPr>
        <w:t>”</w:t>
      </w:r>
      <w:r>
        <w:rPr>
          <w:rFonts w:hint="eastAsia"/>
          <w:color w:val="000000"/>
        </w:rPr>
        <w:t>的综合应急救援要求，给</w:t>
      </w:r>
      <w:r>
        <w:rPr>
          <w:rFonts w:hint="eastAsia"/>
          <w:color w:val="000000"/>
          <w:lang w:eastAsia="zh-CN"/>
        </w:rPr>
        <w:t>XXX</w:t>
      </w:r>
      <w:r>
        <w:rPr>
          <w:rFonts w:hint="eastAsia"/>
          <w:color w:val="000000"/>
        </w:rPr>
        <w:t>省消防的工作带来巨大的调整，面临着信息资源分散、</w:t>
      </w:r>
      <w:r>
        <w:rPr>
          <w:rFonts w:ascii="Arial" w:hAnsi="Arial" w:eastAsia="Arial" w:cs="Arial"/>
          <w:color w:val="000000"/>
        </w:rPr>
        <w:t>“</w:t>
      </w:r>
      <w:r>
        <w:rPr>
          <w:rFonts w:hint="eastAsia"/>
          <w:color w:val="000000"/>
        </w:rPr>
        <w:t>家底</w:t>
      </w:r>
      <w:r>
        <w:rPr>
          <w:rFonts w:ascii="Arial" w:hAnsi="Arial" w:eastAsia="Arial" w:cs="Arial"/>
          <w:color w:val="000000"/>
        </w:rPr>
        <w:t>”</w:t>
      </w:r>
      <w:r>
        <w:rPr>
          <w:rFonts w:hint="eastAsia"/>
          <w:color w:val="000000"/>
        </w:rPr>
        <w:t>不清、共享困难等问题，“智慧消防”建设的首要任务应当是开展数据资源的规划。通过数据资源规划，一方面建立全面、标准、量化的消防信息台账，明确消防信息分类、信息项、信息源头、共享交换条件等数据描述，为消防业务应用和数据资源共享提供数据资源清单；另一方面，形成指导消防管理数据质量改善的数据治理标准规范，为消防管理相关的数据接入、数据存储、数据处理、数据发布、数据交换、数据应用提供强制性的技术约束，确保消防管理的数据治理工作规范、统一有据。通过</w:t>
      </w:r>
      <w:r>
        <w:rPr>
          <w:rFonts w:hint="eastAsia"/>
        </w:rPr>
        <w:t>对</w:t>
      </w:r>
      <w:r>
        <w:rPr>
          <w:rFonts w:hint="eastAsia"/>
          <w:lang w:eastAsia="zh-CN"/>
        </w:rPr>
        <w:t>XXX</w:t>
      </w:r>
      <w:r>
        <w:rPr>
          <w:rFonts w:hint="eastAsia"/>
        </w:rPr>
        <w:t>省消防各业务部门数据资源情况进行全面的摸查梳理，对消防指挥中心、信息通信处、防火监督处、火调技术处、法制与社会消防工作处、新闻宣传处、作战训练处、后勤装备处、财务处、人事处、队务处、组织教育处等部门以及相关下属各支队至少需要进行应用系统建设及数据情况调研，全面掌握</w:t>
      </w:r>
      <w:r>
        <w:rPr>
          <w:rFonts w:hint="eastAsia"/>
          <w:lang w:eastAsia="zh-CN"/>
        </w:rPr>
        <w:t>XXX</w:t>
      </w:r>
      <w:r>
        <w:rPr>
          <w:rFonts w:hint="eastAsia"/>
        </w:rPr>
        <w:t>消防各部门信息化建设基本情况和数据资源情况，摸清系统和资源底数，明确可以汇聚共享的数据资源梳理，通过梳理摸查</w:t>
      </w:r>
      <w:r>
        <w:rPr>
          <w:rFonts w:hint="eastAsia"/>
          <w:lang w:eastAsia="zh-CN"/>
        </w:rPr>
        <w:t>XXX</w:t>
      </w:r>
      <w:r>
        <w:rPr>
          <w:rFonts w:hint="eastAsia"/>
        </w:rPr>
        <w:t>消防到底有多少数据资产，对其数据表、数据库和资源目录以及部门数据、基础数据、主题数据等进行分类。</w:t>
      </w:r>
    </w:p>
    <w:p w14:paraId="37D8E739">
      <w:r>
        <w:rPr>
          <w:rFonts w:hint="eastAsia"/>
        </w:rPr>
        <w:t>通过摸查梳理制定消防数据资源目录清单，逐步构建符合国家、省级有关要求、全部门统一、完整、规范的</w:t>
      </w:r>
      <w:r>
        <w:rPr>
          <w:rFonts w:hint="eastAsia"/>
          <w:lang w:eastAsia="zh-CN"/>
        </w:rPr>
        <w:t>XXX</w:t>
      </w:r>
      <w:r>
        <w:rPr>
          <w:rFonts w:hint="eastAsia"/>
        </w:rPr>
        <w:t>消防信息资源目录体系。基于业务梳理消防内部各部门、内部各应用系统数量以及应用系统的数据，按照部门的职责范围进行全口径的梳理。</w:t>
      </w:r>
    </w:p>
    <w:p w14:paraId="28111C64">
      <w:pPr>
        <w:numPr>
          <w:ilvl w:val="0"/>
          <w:numId w:val="25"/>
        </w:numPr>
      </w:pPr>
      <w:r>
        <w:rPr>
          <w:rFonts w:hint="eastAsia"/>
        </w:rPr>
        <w:t>数据治理</w:t>
      </w:r>
    </w:p>
    <w:p w14:paraId="0814CDA9">
      <w:r>
        <w:rPr>
          <w:rFonts w:hint="eastAsia"/>
        </w:rPr>
        <w:t>消防数据治理建设需求是为了让数据被更方便的被火灾防控、灭火救援等业务使用，借助计算机技术来提高数据的使用价值、加速数据使用效率，提升消防救援火灾防控的工作效率、工作质量，满足日益增长的业务要求。充分挖掘数据资源潜能，规范数据处理流程，提升数据治理水平、打通数据交换渠道、丰富数据服务模式，有效提升火灾应对能力和救援效率，采用先进的数据治理方式，保证大数据的稳定和运行周期管理。</w:t>
      </w:r>
    </w:p>
    <w:p w14:paraId="68EFB66E">
      <w:r>
        <w:rPr>
          <w:rFonts w:hint="eastAsia"/>
        </w:rPr>
        <w:t>“数据治理”将汇聚总队各业务处室、各支队信息数据、外部联动单位信息数据等多类数据资源，整合内、外部数据，包括消防灭火救援、火灾防控、队伍管理、综合保障业务系统。涵盖业务结构化数据、图片、音视频、矢量数据等非结构化数据类型。通过标准化的数据处理模式与流程对数据内容进行探查、提取、清洗、转换、关联、比对、标识、融合等处理，形成统一的数据资源目录和数据标准，为进一步挖掘数据价值构建基础。</w:t>
      </w:r>
    </w:p>
    <w:p w14:paraId="4D449F5C">
      <w:pPr>
        <w:numPr>
          <w:ilvl w:val="0"/>
          <w:numId w:val="25"/>
        </w:numPr>
      </w:pPr>
      <w:r>
        <w:rPr>
          <w:rFonts w:hint="eastAsia"/>
        </w:rPr>
        <w:t>数据管控</w:t>
      </w:r>
    </w:p>
    <w:p w14:paraId="46B97A3A">
      <w:r>
        <w:rPr>
          <w:rFonts w:hint="eastAsia"/>
        </w:rPr>
        <w:t>随着对消防内外部数据的接入和整合，需根据接入数据内容的敏感程度，对数据资源进行分级，通过对数据资源全生命周期的管控，实现数据资源的可查、可管、可控，厘清数据资产、提升数据质量、保障数据安全、促进数据流通。</w:t>
      </w:r>
    </w:p>
    <w:p w14:paraId="580D9AF7">
      <w:r>
        <w:rPr>
          <w:rFonts w:hint="eastAsia"/>
        </w:rPr>
        <w:t>其中需</w:t>
      </w:r>
      <w:r>
        <w:rPr>
          <w:rStyle w:val="14"/>
          <w:rFonts w:hint="eastAsia"/>
        </w:rPr>
        <w:t>按照数据整合的层次结构、主题域划分，实现对表、存储过程、索引、数据链、函数和包等各层的各种对象的管理，清晰地表示各层次结构之间的数据流程、各对象之间的关系，以及向外提供的各类数据服务的信息。并按照统一的数据资源目录标准规范，对数据资源进行统一管理，实现对数据资源的科学、有序和安全使用。同时需对数据产生、加工融合、流转流通到最终消亡等过程中形成的继承关系集合。通过对接入数据、原始库、资源库、主题库等各类数据资源间和数据项间的继承关系进行描述和管理，反映数据资源在各个环节间的继承关系。并</w:t>
      </w:r>
      <w:r>
        <w:rPr>
          <w:rFonts w:hint="eastAsia"/>
        </w:rPr>
        <w:t>提供数据质量管理服务，包括数据稽核规则配置、数据质量稽核、数据质量评估等工作。数据稽核规则配置就是配置数据质量的约束条件和定时计划，实现基于数据稽核规则能够定时进行数据质量检查，发现数据问题；通过数据质量稽核，及时发现数据的问题；对数据质量进行评估；直观掌握当前数据的治理情况，对已接入数据总量、已完成治理数据量、未完成治理数据量、数据治理完成比、有问题数据数量、数据质量问题原因统计等。</w:t>
      </w:r>
    </w:p>
    <w:p w14:paraId="37682710">
      <w:pPr>
        <w:numPr>
          <w:ilvl w:val="0"/>
          <w:numId w:val="25"/>
        </w:numPr>
      </w:pPr>
      <w:r>
        <w:rPr>
          <w:rFonts w:hint="eastAsia"/>
        </w:rPr>
        <w:t>数据共享对接</w:t>
      </w:r>
    </w:p>
    <w:p w14:paraId="70BB88B2">
      <w:r>
        <w:rPr>
          <w:rFonts w:hint="eastAsia"/>
        </w:rPr>
        <w:t>火灾防控和各类灾害事故救援工作越来越专业化、复杂化，需要与其他政府部门、专业机构、社会组织强化数据共享和业务协调能力。</w:t>
      </w:r>
    </w:p>
    <w:p w14:paraId="16069C62">
      <w:r>
        <w:rPr>
          <w:rFonts w:hint="eastAsia"/>
        </w:rPr>
        <w:t>其中跨部门数据共享和协同包括：</w:t>
      </w:r>
    </w:p>
    <w:p w14:paraId="5C98D0CF">
      <w:pPr>
        <w:numPr>
          <w:ilvl w:val="0"/>
          <w:numId w:val="26"/>
        </w:numPr>
      </w:pPr>
      <w:r>
        <w:rPr>
          <w:rFonts w:hint="eastAsia"/>
        </w:rPr>
        <w:t>与公安部门的业务协同需求</w:t>
      </w:r>
    </w:p>
    <w:p w14:paraId="3FEE74F6">
      <w:r>
        <w:rPr>
          <w:rFonts w:hint="eastAsia"/>
        </w:rPr>
        <w:t>公安部门进行社会公共安全突发事件处置、重大活动安保等业务时，需要消防部门协同参与应对。</w:t>
      </w:r>
    </w:p>
    <w:p w14:paraId="52948C25">
      <w:r>
        <w:rPr>
          <w:rFonts w:hint="eastAsia"/>
        </w:rPr>
        <w:t>消防部门在进行灭火救援相关业务时，需要公安部门协同维持现场秩序、疏导现场人群、协作救援保障等。</w:t>
      </w:r>
    </w:p>
    <w:p w14:paraId="4CC065BB">
      <w:pPr>
        <w:numPr>
          <w:ilvl w:val="0"/>
          <w:numId w:val="26"/>
        </w:numPr>
      </w:pPr>
      <w:r>
        <w:rPr>
          <w:rFonts w:hint="eastAsia"/>
        </w:rPr>
        <w:t>与住建部门的业务协同需求</w:t>
      </w:r>
    </w:p>
    <w:p w14:paraId="285B305F">
      <w:r>
        <w:rPr>
          <w:rFonts w:hint="eastAsia"/>
        </w:rPr>
        <w:t>消防部门在进行火灾防控相关业务时，需要住建部门提供建筑基础信息相关数据，用于进行火灾隐患分析、单位火灾风险评估、区域火灾风险评估等。</w:t>
      </w:r>
    </w:p>
    <w:p w14:paraId="1DEFF488">
      <w:pPr>
        <w:numPr>
          <w:ilvl w:val="0"/>
          <w:numId w:val="26"/>
        </w:numPr>
      </w:pPr>
      <w:r>
        <w:rPr>
          <w:rFonts w:hint="eastAsia"/>
        </w:rPr>
        <w:t>与交通部门的业务协同需求</w:t>
      </w:r>
    </w:p>
    <w:p w14:paraId="2D9DD4CF">
      <w:r>
        <w:rPr>
          <w:rFonts w:hint="eastAsia"/>
        </w:rPr>
        <w:t>交通部门处置交通事故时，遇到车辆起火、破拆救援等场景事件时，需要消防部门协同处置。</w:t>
      </w:r>
    </w:p>
    <w:p w14:paraId="6A9FC771">
      <w:r>
        <w:rPr>
          <w:rFonts w:hint="eastAsia"/>
        </w:rPr>
        <w:t>消防部门在进行灭火救援相关业务时，调度力量前往事故救援现场的过程中，需要交通部门协同提供路况数据或协同进行交通疏导。</w:t>
      </w:r>
    </w:p>
    <w:p w14:paraId="27B3822C">
      <w:pPr>
        <w:numPr>
          <w:ilvl w:val="0"/>
          <w:numId w:val="26"/>
        </w:numPr>
      </w:pPr>
      <w:r>
        <w:rPr>
          <w:rFonts w:hint="eastAsia"/>
        </w:rPr>
        <w:t>与自然资源部门的业务协同需求</w:t>
      </w:r>
    </w:p>
    <w:p w14:paraId="41E1FEE0">
      <w:r>
        <w:rPr>
          <w:rFonts w:hint="eastAsia"/>
        </w:rPr>
        <w:t>消防部门在进行火灾防控相关业务时，需要自然资源部门提供自然灾害相关监测数据，用于指导消防部门的力量配置、人员调动、战力编排等；消防部门在进行灭火救援相关业务时，需要自然资源部门提供现场自然灾害灾情实时数据，用于指导消防部门的指挥调度、方案制定等。</w:t>
      </w:r>
    </w:p>
    <w:p w14:paraId="65689C31">
      <w:pPr>
        <w:numPr>
          <w:ilvl w:val="0"/>
          <w:numId w:val="26"/>
        </w:numPr>
      </w:pPr>
      <w:r>
        <w:rPr>
          <w:rFonts w:hint="eastAsia"/>
        </w:rPr>
        <w:t>与规划部门的业务协同需求</w:t>
      </w:r>
    </w:p>
    <w:p w14:paraId="7137A81B">
      <w:r>
        <w:rPr>
          <w:rFonts w:hint="eastAsia"/>
        </w:rPr>
        <w:t>规划部门在制定区域规划方案时，遇到消防站选址、消防站规模设计等场景事件时，需要消防部门协同确认。</w:t>
      </w:r>
    </w:p>
    <w:p w14:paraId="7E7AACDC">
      <w:pPr>
        <w:numPr>
          <w:ilvl w:val="0"/>
          <w:numId w:val="26"/>
        </w:numPr>
      </w:pPr>
      <w:r>
        <w:rPr>
          <w:rFonts w:hint="eastAsia"/>
        </w:rPr>
        <w:t>与卫生部门的业务协同需求</w:t>
      </w:r>
    </w:p>
    <w:p w14:paraId="7E520543">
      <w:r>
        <w:rPr>
          <w:rFonts w:hint="eastAsia"/>
        </w:rPr>
        <w:t>卫生部门在处置重大疫情时，遇到疫区控制、人员隔离、区域防护等场景事件时，需要消防部门协同处置。</w:t>
      </w:r>
    </w:p>
    <w:p w14:paraId="0C4DCA8B">
      <w:r>
        <w:rPr>
          <w:rFonts w:hint="eastAsia"/>
        </w:rPr>
        <w:t>消防部门在进行灭火救援相关业务时，需要卫生部门相关医护力量前往现场进行协同救援。</w:t>
      </w:r>
    </w:p>
    <w:p w14:paraId="54C88728">
      <w:pPr>
        <w:numPr>
          <w:ilvl w:val="0"/>
          <w:numId w:val="26"/>
        </w:numPr>
      </w:pPr>
      <w:r>
        <w:rPr>
          <w:rFonts w:hint="eastAsia"/>
        </w:rPr>
        <w:t>与市场监督管理部门的业务协同需求</w:t>
      </w:r>
    </w:p>
    <w:p w14:paraId="1A6829F0">
      <w:r>
        <w:rPr>
          <w:rFonts w:hint="eastAsia"/>
        </w:rPr>
        <w:t>消防部门在进行火灾防控相关业务时，需要市场监督管理部门协同提供社会单位基础数据，用于进行火灾隐患分析、单位火灾风险评估、区域火灾风险评估等，对发现社会单位消防产品存在质量问题，需要市场监督管理部门协同进行检测、查处。</w:t>
      </w:r>
    </w:p>
    <w:p w14:paraId="1D8C88E6">
      <w:pPr>
        <w:numPr>
          <w:ilvl w:val="0"/>
          <w:numId w:val="26"/>
        </w:numPr>
      </w:pPr>
      <w:r>
        <w:rPr>
          <w:rFonts w:hint="eastAsia"/>
        </w:rPr>
        <w:t>与综治部门的业务协同需求</w:t>
      </w:r>
    </w:p>
    <w:p w14:paraId="08083E2E">
      <w:r>
        <w:rPr>
          <w:rFonts w:hint="eastAsia"/>
        </w:rPr>
        <w:t>综治部门进行城市管理时，遇到各类消防相关隐患，需要消防部门协同处置。</w:t>
      </w:r>
    </w:p>
    <w:p w14:paraId="76EABD9B">
      <w:r>
        <w:rPr>
          <w:rFonts w:hint="eastAsia"/>
        </w:rPr>
        <w:t>消防部门在进行火灾防控相关业务时，需要综治部门提供消防隐患相关数据，用于进行火灾隐患分析、单位火灾风险评估、区域火灾风险评估等。</w:t>
      </w:r>
    </w:p>
    <w:p w14:paraId="0ED33CB6">
      <w:pPr>
        <w:numPr>
          <w:ilvl w:val="0"/>
          <w:numId w:val="26"/>
        </w:numPr>
      </w:pPr>
      <w:r>
        <w:rPr>
          <w:rFonts w:hint="eastAsia"/>
        </w:rPr>
        <w:t>与教育部门的业务协同需求</w:t>
      </w:r>
    </w:p>
    <w:p w14:paraId="76A55433">
      <w:r>
        <w:rPr>
          <w:rFonts w:hint="eastAsia"/>
        </w:rPr>
        <w:t>消防部门在进行火灾防控相关业务时，需要教育部门提供相关渠道，用于开展消防宣传教育进校园相关活动。</w:t>
      </w:r>
    </w:p>
    <w:p w14:paraId="6D54225D">
      <w:pPr>
        <w:numPr>
          <w:ilvl w:val="0"/>
          <w:numId w:val="26"/>
        </w:numPr>
      </w:pPr>
      <w:r>
        <w:rPr>
          <w:rFonts w:hint="eastAsia"/>
        </w:rPr>
        <w:t>与旅游部门的业务协同需求</w:t>
      </w:r>
    </w:p>
    <w:p w14:paraId="451CBCEE">
      <w:r>
        <w:rPr>
          <w:rFonts w:hint="eastAsia"/>
        </w:rPr>
        <w:t>消防部门在进行火灾防控相关业务时，需要旅游部门协同提供旅游景点人员数量、密度等实时数据和预测数据，用于指导消防部门进行有针对性的活动保障安排。</w:t>
      </w:r>
    </w:p>
    <w:p w14:paraId="618AAB39">
      <w:pPr>
        <w:numPr>
          <w:ilvl w:val="0"/>
          <w:numId w:val="26"/>
        </w:numPr>
      </w:pPr>
      <w:r>
        <w:rPr>
          <w:rFonts w:hint="eastAsia"/>
        </w:rPr>
        <w:t>与气象部门的业务协同需求</w:t>
      </w:r>
    </w:p>
    <w:p w14:paraId="27EA9C5A">
      <w:r>
        <w:rPr>
          <w:rFonts w:hint="eastAsia"/>
        </w:rPr>
        <w:t>消防部门在进行火灾防控相关业务时，需要气象部门协同提供各类气象参数历史数据和实时数据，用于针对各类消防隐患的分析预测；消防部门在进行灭火救援相关业务时，需要气象部门协同提供各类气象参数实时数据和预测数据，用于及时判断救援现场可能发生的气象变化，提前调整救援方案。</w:t>
      </w:r>
    </w:p>
    <w:p w14:paraId="5133D6DA">
      <w:pPr>
        <w:numPr>
          <w:ilvl w:val="0"/>
          <w:numId w:val="25"/>
        </w:numPr>
      </w:pPr>
      <w:r>
        <w:rPr>
          <w:rFonts w:hint="eastAsia"/>
        </w:rPr>
        <w:t>数据智能应用</w:t>
      </w:r>
    </w:p>
    <w:p w14:paraId="29EABED6">
      <w:r>
        <w:rPr>
          <w:rFonts w:hint="eastAsia"/>
        </w:rPr>
        <w:t>基于</w:t>
      </w:r>
      <w:r>
        <w:rPr>
          <w:rFonts w:hint="eastAsia"/>
          <w:lang w:eastAsia="zh-CN"/>
        </w:rPr>
        <w:t>XXX</w:t>
      </w:r>
      <w:r>
        <w:rPr>
          <w:rFonts w:hint="eastAsia"/>
        </w:rPr>
        <w:t>省各地区域特征、建筑结构特征、电气火灾监控情况、结合消防部门日常防火检查的重点内容，筛选影响火灾风险的关键要素，通过历史火灾数据统计及多维度研究各影响变量的取值范围以及离散化方法，量化火灾阶段各节点以及后果和影响因子的因果关联，建立以火灾发展为主线的风险推理因子，确定推理策略结构。</w:t>
      </w:r>
    </w:p>
    <w:p w14:paraId="4EDDDA58">
      <w:r>
        <w:rPr>
          <w:rFonts w:hint="eastAsia"/>
        </w:rPr>
        <w:t>实现面向数据模型建设、实现模型可视化、模型管理和模型监控，记录数据仓库模型建设过程。提供基础模型，包含资源搜索模型、对象搜索模型、对象档案模型、社会单位模型、数据标签模型等各种模型。在消防相关数据基础上可搭建各类消防大数据分析研判模型，形成消防监管、消防规划、应急救援、装备管理、队伍管理等方面的宏观辅助决策及效能分析研判，为实现消防资源优化配置、消防工作宏观质态把控等提供决策依据。</w:t>
      </w:r>
    </w:p>
    <w:p w14:paraId="4A8A7ADE">
      <w:pPr>
        <w:pStyle w:val="6"/>
      </w:pPr>
      <w:r>
        <w:rPr>
          <w:rFonts w:hint="eastAsia"/>
        </w:rPr>
        <w:t>3.3.3.3</w:t>
      </w:r>
      <w:r>
        <w:rPr>
          <w:rFonts w:hint="eastAsia"/>
          <w:lang w:eastAsia="zh-Hans"/>
        </w:rPr>
        <w:t>保障</w:t>
      </w:r>
      <w:r>
        <w:rPr>
          <w:rFonts w:hint="eastAsia"/>
        </w:rPr>
        <w:t>体系需求分析</w:t>
      </w:r>
    </w:p>
    <w:p w14:paraId="77A43B28">
      <w:pPr>
        <w:numPr>
          <w:ilvl w:val="0"/>
          <w:numId w:val="27"/>
        </w:numPr>
      </w:pPr>
      <w:r>
        <w:rPr>
          <w:rFonts w:hint="eastAsia"/>
        </w:rPr>
        <w:t>统一运维需求</w:t>
      </w:r>
    </w:p>
    <w:p w14:paraId="0884DBB4">
      <w:r>
        <w:rPr>
          <w:rFonts w:hint="eastAsia"/>
        </w:rPr>
        <w:t>由于“智慧消防”项目所涉及的网络、应用系统、安全设备众多，特别是考虑到后期不同用户多种应用场景可能产生的使用问题，需要在建设初期设计规划统一运维保障体系。一方面需在建设后成立专门运维团队，组织配备具有平台运维能力的专业人员；另一方面应建立信息化的运维保障能力，通过定制化运维软件功能实现对“智慧消防”平台的精细化运维，具体需求如下：</w:t>
      </w:r>
    </w:p>
    <w:p w14:paraId="57479A95">
      <w:pPr>
        <w:pStyle w:val="2"/>
        <w:numPr>
          <w:ilvl w:val="0"/>
          <w:numId w:val="28"/>
        </w:numPr>
      </w:pPr>
      <w:r>
        <w:rPr>
          <w:rFonts w:hint="eastAsia"/>
        </w:rPr>
        <w:t>部署位置</w:t>
      </w:r>
    </w:p>
    <w:p w14:paraId="26B20192">
      <w:pPr>
        <w:rPr>
          <w:rFonts w:hint="eastAsia"/>
        </w:rPr>
      </w:pPr>
      <w:r>
        <w:rPr>
          <w:rFonts w:hint="eastAsia"/>
        </w:rPr>
        <w:t>基于统一运维保障体系承担着对“智慧消防”所有业务系统的运维保障功能，考虑到灭火救援业务的最高优先级以及运维人员主要工作场所在总队的现实情况，应将统一运维软件系统部署在指挥信息网，便于保障整体网络安全稳定运行；</w:t>
      </w:r>
    </w:p>
    <w:p w14:paraId="245A5A61">
      <w:pPr>
        <w:pStyle w:val="2"/>
        <w:numPr>
          <w:ilvl w:val="0"/>
          <w:numId w:val="28"/>
        </w:numPr>
        <w:rPr>
          <w:rFonts w:hint="eastAsia"/>
        </w:rPr>
      </w:pPr>
      <w:r>
        <w:rPr>
          <w:rFonts w:hint="eastAsia"/>
        </w:rPr>
        <w:t>运维管理内容</w:t>
      </w:r>
    </w:p>
    <w:p w14:paraId="7A9163CD">
      <w:pPr>
        <w:rPr>
          <w:rFonts w:hint="eastAsia"/>
        </w:rPr>
      </w:pPr>
      <w:r>
        <w:rPr>
          <w:rFonts w:hint="eastAsia"/>
        </w:rPr>
        <w:t>按照“智慧消防”项目建设内容，统一运维软件需实现对部署在指挥信息网以及电子政务网端软硬件的资产管理、漏洞管理、网络管理功能。资产管理需能够通过资源配置管理库实现资源盘点、容量管理等</w:t>
      </w:r>
      <w:r>
        <w:t>IT</w:t>
      </w:r>
      <w:r>
        <w:rPr>
          <w:rFonts w:hint="eastAsia"/>
        </w:rPr>
        <w:t>资源对象的全生命周期管理功能；漏洞管理需能实现当出现安全漏洞时，能够快速从一个软件库里找到替代方案，或者从一个漏洞库里找到合适的升级方案的功能；网络管理需能通过网络的链路图、各种网络设备的健康度、</w:t>
      </w:r>
      <w:r>
        <w:t>CPU</w:t>
      </w:r>
      <w:r>
        <w:rPr>
          <w:rFonts w:hint="eastAsia"/>
        </w:rPr>
        <w:t>使用情况等多维度的观测方式，分析网络问题并给出解决方案。</w:t>
      </w:r>
    </w:p>
    <w:p w14:paraId="062BA0CC">
      <w:pPr>
        <w:pStyle w:val="2"/>
        <w:rPr>
          <w:rFonts w:hint="eastAsia"/>
        </w:rPr>
      </w:pPr>
      <w:r>
        <w:rPr>
          <w:rFonts w:hint="eastAsia" w:ascii="宋体" w:hAnsi="宋体"/>
        </w:rPr>
        <w:t>对电子政务外网，为保障综合保障、队伍管理、火灾防控系统稳定运行，需面向应用软件开展统一运维，包括应用资产、漏洞、应用性能等。软件资产</w:t>
      </w:r>
      <w:r>
        <w:rPr>
          <w:rFonts w:hint="eastAsia" w:ascii="宋体" w:hAnsi="宋体"/>
          <w:snapToGrid w:val="0"/>
        </w:rPr>
        <w:t>方面，需自动发现及自动化的管理诸多信息化资源，并形成软件访问关系，方便用户查看各应用分布、关联等情况；漏洞方面需对软件安全漏洞、版本进行管理；应用性能方面，需求对业务应用进行代码级的诊断，对业务应用的性能故障进行探测监控。为便于人员开展业务应用运维，需通过运维可视化将各种运维监控数据进行汇总并进行多维度的图表展现。</w:t>
      </w:r>
    </w:p>
    <w:p w14:paraId="1378EB1E">
      <w:pPr>
        <w:numPr>
          <w:ilvl w:val="0"/>
          <w:numId w:val="27"/>
        </w:numPr>
      </w:pPr>
      <w:r>
        <w:rPr>
          <w:rFonts w:hint="eastAsia"/>
          <w:lang w:eastAsia="zh-Hans"/>
        </w:rPr>
        <w:t>技术规范</w:t>
      </w:r>
      <w:r>
        <w:rPr>
          <w:rFonts w:hint="eastAsia"/>
        </w:rPr>
        <w:t>需求</w:t>
      </w:r>
    </w:p>
    <w:p w14:paraId="2119EFEF">
      <w:r>
        <w:rPr>
          <w:rFonts w:hint="eastAsia"/>
          <w:lang w:eastAsia="zh-Hans"/>
        </w:rPr>
        <w:t>为确保“智慧消防”的可持续发展，需要在本期建设过程中</w:t>
      </w:r>
      <w:r>
        <w:rPr>
          <w:rFonts w:hint="eastAsia"/>
        </w:rPr>
        <w:t>同步开展相关</w:t>
      </w:r>
      <w:r>
        <w:rPr>
          <w:rFonts w:hint="eastAsia"/>
          <w:lang w:eastAsia="zh-Hans"/>
        </w:rPr>
        <w:t>技术规范</w:t>
      </w:r>
      <w:r>
        <w:rPr>
          <w:rFonts w:hint="eastAsia"/>
        </w:rPr>
        <w:t>的编制工作</w:t>
      </w:r>
      <w:r>
        <w:rPr>
          <w:rFonts w:hint="eastAsia"/>
          <w:lang w:eastAsia="zh-Hans"/>
        </w:rPr>
        <w:t>。</w:t>
      </w:r>
      <w:r>
        <w:rPr>
          <w:rFonts w:hint="eastAsia"/>
        </w:rPr>
        <w:t>技术规范方面，应针对“智慧消防”总体架构形成总体技术规范，从总体上确定全省“智慧消防”建设技术要求；数据规范方面，应根据数据资源、数据治理相关需求，编制全省统一的“智慧消防”数据规范，对“智慧消防”相关数据内容予以规范；管理规范方面，主要应针对“智慧消防”安全相关需求制定多方面的安全规范，全方位确保“智慧消防”建设的安全可靠。</w:t>
      </w:r>
    </w:p>
    <w:p w14:paraId="7B2E3C74">
      <w:pPr>
        <w:pStyle w:val="6"/>
      </w:pPr>
      <w:r>
        <w:rPr>
          <w:rFonts w:hint="eastAsia"/>
        </w:rPr>
        <w:t>3.3.3.4安全防护需求分析</w:t>
      </w:r>
    </w:p>
    <w:p w14:paraId="224B9023">
      <w:pPr>
        <w:rPr>
          <w:rFonts w:eastAsia="SimSong"/>
        </w:rPr>
      </w:pPr>
      <w:r>
        <w:rPr>
          <w:rFonts w:hint="eastAsia"/>
          <w:lang w:eastAsia="zh-Hans"/>
        </w:rPr>
        <w:t>安全</w:t>
      </w:r>
      <w:r>
        <w:rPr>
          <w:rFonts w:hint="eastAsia"/>
        </w:rPr>
        <w:t>防护需求包括等级保护需求、商用密码应用需求。</w:t>
      </w:r>
    </w:p>
    <w:p w14:paraId="5CE4B62E">
      <w:pPr>
        <w:numPr>
          <w:ilvl w:val="0"/>
          <w:numId w:val="29"/>
        </w:numPr>
      </w:pPr>
      <w:r>
        <w:rPr>
          <w:rFonts w:hint="eastAsia"/>
        </w:rPr>
        <w:t>等级保护需求</w:t>
      </w:r>
    </w:p>
    <w:p w14:paraId="53A8313E">
      <w:pPr>
        <w:rPr>
          <w:rFonts w:hint="eastAsia" w:ascii="宋体" w:hAnsi="宋体"/>
        </w:rPr>
      </w:pPr>
      <w:r>
        <w:rPr>
          <w:rFonts w:hint="eastAsia" w:ascii="宋体" w:hAnsi="宋体"/>
        </w:rPr>
        <w:t>按照“智慧消防”4大业务系统定级评审意见，应按照等级保护三级建设标准对部署在电子政务网和指挥信息网侧的业务系统进行等保建设。</w:t>
      </w:r>
    </w:p>
    <w:p w14:paraId="646285DE">
      <w:pPr>
        <w:rPr>
          <w:rFonts w:hint="eastAsia" w:ascii="宋体" w:hAnsi="宋体"/>
        </w:rPr>
      </w:pPr>
      <w:r>
        <w:rPr>
          <w:rFonts w:hint="eastAsia" w:ascii="宋体" w:hAnsi="宋体"/>
          <w:lang w:eastAsia="zh-Hans"/>
        </w:rPr>
        <w:t>对于建设在电子政务外网的系统，关于技术层面中的</w:t>
      </w:r>
      <w:r>
        <w:rPr>
          <w:rFonts w:hint="eastAsia"/>
          <w:szCs w:val="32"/>
        </w:rPr>
        <w:t>安全物理环境、安全通信网络、安全区域边界、安全计算环境和安全管理中心，</w:t>
      </w:r>
      <w:r>
        <w:rPr>
          <w:rFonts w:hint="eastAsia" w:ascii="宋体" w:hAnsi="宋体"/>
        </w:rPr>
        <w:t>需充分利用</w:t>
      </w:r>
      <w:r>
        <w:rPr>
          <w:rFonts w:hint="eastAsia" w:ascii="宋体" w:hAnsi="宋体"/>
          <w:lang w:eastAsia="zh-Hans"/>
        </w:rPr>
        <w:t>电子政务外网</w:t>
      </w:r>
      <w:r>
        <w:rPr>
          <w:rFonts w:hint="eastAsia" w:ascii="宋体" w:hAnsi="宋体"/>
        </w:rPr>
        <w:t>防护措施</w:t>
      </w:r>
      <w:r>
        <w:rPr>
          <w:rFonts w:hint="eastAsia" w:ascii="宋体" w:hAnsi="宋体"/>
          <w:lang w:eastAsia="zh-Hans"/>
        </w:rPr>
        <w:t>。关于管理层面的安全管理制度、安全管理机构、</w:t>
      </w:r>
      <w:r>
        <w:rPr>
          <w:rFonts w:hint="eastAsia"/>
          <w:szCs w:val="32"/>
        </w:rPr>
        <w:t>安全管理人员</w:t>
      </w:r>
      <w:r>
        <w:rPr>
          <w:rFonts w:hint="eastAsia" w:ascii="宋体" w:hAnsi="宋体"/>
          <w:lang w:eastAsia="zh-Hans"/>
        </w:rPr>
        <w:t>、</w:t>
      </w:r>
      <w:r>
        <w:rPr>
          <w:rFonts w:hint="eastAsia"/>
          <w:szCs w:val="32"/>
        </w:rPr>
        <w:t>安全建设管理</w:t>
      </w:r>
      <w:r>
        <w:rPr>
          <w:rFonts w:hint="eastAsia" w:ascii="宋体" w:hAnsi="宋体"/>
          <w:lang w:eastAsia="zh-Hans"/>
        </w:rPr>
        <w:t>、</w:t>
      </w:r>
      <w:r>
        <w:rPr>
          <w:rFonts w:hint="eastAsia"/>
          <w:szCs w:val="32"/>
        </w:rPr>
        <w:t>安全运维管理</w:t>
      </w:r>
      <w:r>
        <w:rPr>
          <w:rFonts w:hint="eastAsia" w:ascii="宋体" w:hAnsi="宋体"/>
        </w:rPr>
        <w:t>需按照</w:t>
      </w:r>
      <w:r>
        <w:rPr>
          <w:rFonts w:hint="eastAsia" w:ascii="宋体" w:hAnsi="宋体"/>
          <w:lang w:eastAsia="zh-Hans"/>
        </w:rPr>
        <w:t>电子政务外网相关管理</w:t>
      </w:r>
      <w:r>
        <w:rPr>
          <w:rFonts w:hint="eastAsia" w:ascii="宋体" w:hAnsi="宋体"/>
        </w:rPr>
        <w:t>要求</w:t>
      </w:r>
      <w:r>
        <w:rPr>
          <w:rFonts w:hint="eastAsia" w:ascii="宋体" w:hAnsi="宋体"/>
          <w:lang w:eastAsia="zh-Hans"/>
        </w:rPr>
        <w:t>，</w:t>
      </w:r>
      <w:r>
        <w:rPr>
          <w:rFonts w:hint="eastAsia" w:ascii="宋体" w:hAnsi="宋体"/>
        </w:rPr>
        <w:t>结合消防总队业务，开展</w:t>
      </w:r>
      <w:r>
        <w:rPr>
          <w:rFonts w:hint="eastAsia" w:ascii="宋体" w:hAnsi="宋体"/>
          <w:lang w:eastAsia="zh-Hans"/>
        </w:rPr>
        <w:t>补充完善</w:t>
      </w:r>
      <w:r>
        <w:rPr>
          <w:rFonts w:hint="eastAsia" w:ascii="宋体" w:hAnsi="宋体"/>
        </w:rPr>
        <w:t>。</w:t>
      </w:r>
    </w:p>
    <w:p w14:paraId="242DADFA">
      <w:pPr>
        <w:pStyle w:val="2"/>
        <w:rPr>
          <w:rFonts w:hint="eastAsia"/>
        </w:rPr>
      </w:pPr>
      <w:r>
        <w:rPr>
          <w:rFonts w:hint="eastAsia" w:ascii="宋体" w:hAnsi="宋体"/>
          <w:lang w:eastAsia="zh-Hans"/>
        </w:rPr>
        <w:t>对于建设在</w:t>
      </w:r>
      <w:r>
        <w:rPr>
          <w:rFonts w:hint="eastAsia" w:ascii="宋体" w:hAnsi="宋体"/>
        </w:rPr>
        <w:t>指挥信息网</w:t>
      </w:r>
      <w:r>
        <w:rPr>
          <w:rFonts w:hint="eastAsia" w:ascii="宋体" w:hAnsi="宋体"/>
          <w:lang w:eastAsia="zh-Hans"/>
        </w:rPr>
        <w:t>的系统，关于技术层面中的</w:t>
      </w:r>
      <w:r>
        <w:rPr>
          <w:rFonts w:hint="eastAsia"/>
          <w:szCs w:val="32"/>
        </w:rPr>
        <w:t>安全物理环境、安全通信网络、安全区域边界、安全计算环境和安全管理中心</w:t>
      </w:r>
      <w:r>
        <w:rPr>
          <w:rFonts w:hint="eastAsia" w:ascii="宋体" w:hAnsi="宋体"/>
        </w:rPr>
        <w:t>需符合等级保护要求</w:t>
      </w:r>
      <w:r>
        <w:rPr>
          <w:rFonts w:hint="eastAsia" w:ascii="宋体" w:hAnsi="宋体"/>
          <w:lang w:eastAsia="zh-Hans"/>
        </w:rPr>
        <w:t>。关于管理层面的</w:t>
      </w:r>
      <w:r>
        <w:rPr>
          <w:rFonts w:hint="eastAsia"/>
          <w:szCs w:val="32"/>
        </w:rPr>
        <w:t>安全管理制度、安全管理机构、安全管理人员、安全建设管理和安全运维管理</w:t>
      </w:r>
      <w:r>
        <w:rPr>
          <w:rFonts w:hint="eastAsia" w:ascii="宋体" w:hAnsi="宋体"/>
        </w:rPr>
        <w:t>需按照等级保护要求开展设计与实施。</w:t>
      </w:r>
    </w:p>
    <w:p w14:paraId="51BC15D0">
      <w:pPr>
        <w:rPr>
          <w:rFonts w:hint="eastAsia" w:ascii="宋体" w:hAnsi="宋体"/>
        </w:rPr>
      </w:pPr>
      <w:r>
        <w:rPr>
          <w:rFonts w:hint="eastAsia" w:ascii="宋体" w:hAnsi="宋体"/>
        </w:rPr>
        <w:t>具体需求如下：</w:t>
      </w:r>
    </w:p>
    <w:p w14:paraId="0D9E0F8C">
      <w:pPr>
        <w:numPr>
          <w:ilvl w:val="0"/>
          <w:numId w:val="30"/>
        </w:numPr>
        <w:ind w:left="240" w:firstLine="240" w:firstLineChars="100"/>
      </w:pPr>
      <w:r>
        <w:rPr>
          <w:rFonts w:hint="eastAsia"/>
        </w:rPr>
        <w:t>物理安全保障体系</w:t>
      </w:r>
    </w:p>
    <w:p w14:paraId="57096766">
      <w:r>
        <w:rPr>
          <w:rFonts w:hint="eastAsia"/>
        </w:rPr>
        <w:t>指挥信息网、电子政务外网</w:t>
      </w:r>
      <w:r>
        <w:rPr>
          <w:rFonts w:hint="eastAsia" w:ascii="宋体" w:hAnsi="宋体"/>
        </w:rPr>
        <w:t>需满足三级信息系统物理环境安全方面防静电、防震、防火、温湿度等要求</w:t>
      </w:r>
      <w:r>
        <w:rPr>
          <w:rFonts w:hint="eastAsia"/>
        </w:rPr>
        <w:t>。</w:t>
      </w:r>
    </w:p>
    <w:p w14:paraId="3C91E82B">
      <w:pPr>
        <w:numPr>
          <w:ilvl w:val="0"/>
          <w:numId w:val="30"/>
        </w:numPr>
        <w:ind w:left="240" w:firstLine="240" w:firstLineChars="100"/>
      </w:pPr>
      <w:r>
        <w:rPr>
          <w:rFonts w:hint="eastAsia"/>
        </w:rPr>
        <w:t>通信网络安全需求</w:t>
      </w:r>
    </w:p>
    <w:p w14:paraId="445969FB">
      <w:r>
        <w:rPr>
          <w:rFonts w:hint="eastAsia"/>
        </w:rPr>
        <w:t>指挥信息网、电子政务外网在通信网络安全方面，需采取包括威胁检测、区域边界隔离、硬件冗余等安全技术手段进行防护。</w:t>
      </w:r>
    </w:p>
    <w:p w14:paraId="65AEB09E">
      <w:pPr>
        <w:numPr>
          <w:ilvl w:val="0"/>
          <w:numId w:val="30"/>
        </w:numPr>
        <w:ind w:left="240" w:firstLine="240" w:firstLineChars="100"/>
      </w:pPr>
      <w:r>
        <w:rPr>
          <w:rFonts w:hint="eastAsia"/>
        </w:rPr>
        <w:t>区域边界安全需求</w:t>
      </w:r>
    </w:p>
    <w:p w14:paraId="102E0F01">
      <w:r>
        <w:rPr>
          <w:rFonts w:hint="eastAsia"/>
        </w:rPr>
        <w:t>指挥信息网、电子政务外网在网络区域边界安全方面，需采取包括边界防护、访问控制、入侵防范、恶意代码、安全审计、可信验证等安全技术手段。</w:t>
      </w:r>
    </w:p>
    <w:p w14:paraId="6675BA50">
      <w:pPr>
        <w:numPr>
          <w:ilvl w:val="0"/>
          <w:numId w:val="30"/>
        </w:numPr>
        <w:ind w:left="240" w:firstLine="240" w:firstLineChars="100"/>
      </w:pPr>
      <w:r>
        <w:rPr>
          <w:rFonts w:hint="eastAsia"/>
        </w:rPr>
        <w:t>计算环境安全需求</w:t>
      </w:r>
    </w:p>
    <w:p w14:paraId="443626D4">
      <w:r>
        <w:rPr>
          <w:rFonts w:hint="eastAsia"/>
        </w:rPr>
        <w:t>指挥信息网和电子政务外网在计算环境层面需采取运维访问控制和安全审计、数据库访问控制和安全审计、应用访问控制和安全审计、日志审计、</w:t>
      </w:r>
      <w:r>
        <w:t>WEB</w:t>
      </w:r>
      <w:r>
        <w:rPr>
          <w:rFonts w:hint="eastAsia"/>
        </w:rPr>
        <w:t>应用防火墙、服务器双机热备或集群在内的安全措施。</w:t>
      </w:r>
    </w:p>
    <w:p w14:paraId="44DB02D3">
      <w:pPr>
        <w:numPr>
          <w:ilvl w:val="0"/>
          <w:numId w:val="30"/>
        </w:numPr>
        <w:ind w:left="240" w:firstLine="240" w:firstLineChars="100"/>
      </w:pPr>
      <w:r>
        <w:rPr>
          <w:rFonts w:hint="eastAsia"/>
        </w:rPr>
        <w:t>安全管理中心需求</w:t>
      </w:r>
    </w:p>
    <w:p w14:paraId="767B2A4F">
      <w:r>
        <w:rPr>
          <w:rFonts w:hint="eastAsia"/>
        </w:rPr>
        <w:t>指挥信息网、电子政务外网需对网络内部众多的网络设备、安全设备以及服务器的集中管理，对于各种安全事件统一进行分析和管理，安全管理中心功能包括系统管理、日志审计、安全监测与分析、响应处置、态势呈现等。</w:t>
      </w:r>
    </w:p>
    <w:p w14:paraId="50FA3CF2">
      <w:pPr>
        <w:numPr>
          <w:ilvl w:val="0"/>
          <w:numId w:val="30"/>
        </w:numPr>
        <w:ind w:left="240" w:firstLine="240" w:firstLineChars="100"/>
      </w:pPr>
      <w:r>
        <w:rPr>
          <w:rFonts w:hint="eastAsia"/>
        </w:rPr>
        <w:t>安全管理制度体系建设</w:t>
      </w:r>
    </w:p>
    <w:p w14:paraId="60A5EB7B">
      <w:pPr>
        <w:ind w:firstLine="420" w:firstLineChars="0"/>
      </w:pPr>
      <w:r>
        <w:rPr>
          <w:rFonts w:hint="eastAsia"/>
        </w:rPr>
        <w:t>除安全软硬件设备外，还应建设健全的安全管理制度体系，包括制定符合国家和行业标准要求，并具有本系统自身特点的安全管理策略、方针、制度和规范；加强安全管理制度的执行力度，定制相应的安全管理流程；建立安全应急预案并定期进行演练、审查和更新等。</w:t>
      </w:r>
    </w:p>
    <w:p w14:paraId="29AB528D">
      <w:pPr>
        <w:numPr>
          <w:ilvl w:val="0"/>
          <w:numId w:val="30"/>
        </w:numPr>
        <w:ind w:left="240" w:firstLine="240" w:firstLineChars="100"/>
      </w:pPr>
      <w:r>
        <w:rPr>
          <w:rFonts w:hint="eastAsia"/>
        </w:rPr>
        <w:t>安全管理组织体系建设</w:t>
      </w:r>
    </w:p>
    <w:p w14:paraId="3854A1BA">
      <w:r>
        <w:rPr>
          <w:rFonts w:hint="eastAsia"/>
        </w:rPr>
        <w:t>在建立安全管理制度的同时，需建设安全管理组织体系及架构，包括建立健全安全管理组织机构，专门负责信息系统的安全管理和监督；制定符合系统业务特点的人员安全管理条例；配备安全人员管理，从录用、离岗、考核、教育等多角度强化人员管理。</w:t>
      </w:r>
    </w:p>
    <w:p w14:paraId="179021F5">
      <w:pPr>
        <w:numPr>
          <w:ilvl w:val="0"/>
          <w:numId w:val="30"/>
        </w:numPr>
        <w:ind w:left="240" w:firstLine="240" w:firstLineChars="100"/>
      </w:pPr>
      <w:r>
        <w:rPr>
          <w:rFonts w:hint="eastAsia"/>
        </w:rPr>
        <w:t>安全运维体系建设</w:t>
      </w:r>
    </w:p>
    <w:p w14:paraId="6BF75510">
      <w:pPr>
        <w:rPr>
          <w:rFonts w:ascii="宋体" w:hAnsi="宋体"/>
        </w:rPr>
      </w:pPr>
      <w:r>
        <w:rPr>
          <w:rFonts w:hint="eastAsia"/>
        </w:rPr>
        <w:t>安全运维体系建设，建立专业安全运维组织团队，必要时需要借助专业的第三方安全服务团队，帮助整个网络安全状况实行动态维护，使信息系统安全保障能力始终保持在较高水平。等保安全运维服务内容应与运维保障系统进行结合设计。</w:t>
      </w:r>
    </w:p>
    <w:p w14:paraId="0170F589">
      <w:pPr>
        <w:numPr>
          <w:ilvl w:val="0"/>
          <w:numId w:val="29"/>
        </w:numPr>
      </w:pPr>
      <w:r>
        <w:rPr>
          <w:rFonts w:hint="eastAsia"/>
        </w:rPr>
        <w:t>商用密码应用需求</w:t>
      </w:r>
    </w:p>
    <w:p w14:paraId="5C0FB594">
      <w:pPr>
        <w:jc w:val="left"/>
        <w:rPr>
          <w:lang w:eastAsia="zh-Hans"/>
        </w:rPr>
      </w:pPr>
      <w:r>
        <w:rPr>
          <w:rFonts w:hint="eastAsia"/>
        </w:rPr>
        <w:t>根据应急管理部</w:t>
      </w:r>
      <w:r>
        <w:rPr>
          <w:rFonts w:hint="eastAsia"/>
          <w:lang w:eastAsia="zh-Hans"/>
        </w:rPr>
        <w:t>“</w:t>
      </w:r>
      <w:r>
        <w:rPr>
          <w:rFonts w:hint="eastAsia"/>
        </w:rPr>
        <w:t>应急管理信息化</w:t>
      </w:r>
      <w:r>
        <w:t>2019</w:t>
      </w:r>
      <w:r>
        <w:rPr>
          <w:rFonts w:hint="eastAsia"/>
        </w:rPr>
        <w:t>年第一批建设任务书第十一项任务认证授权与密码服务地方建设任务书</w:t>
      </w:r>
      <w:r>
        <w:rPr>
          <w:rFonts w:hint="eastAsia"/>
          <w:lang w:eastAsia="zh-Hans"/>
        </w:rPr>
        <w:t>”中</w:t>
      </w:r>
      <w:r>
        <w:rPr>
          <w:rFonts w:hint="eastAsia"/>
        </w:rPr>
        <w:t>上下贯通建设认证授权</w:t>
      </w:r>
      <w:r>
        <w:rPr>
          <w:rFonts w:hint="eastAsia"/>
          <w:lang w:eastAsia="zh-Hans"/>
        </w:rPr>
        <w:t>的要求</w:t>
      </w:r>
      <w:r>
        <w:rPr>
          <w:rFonts w:hint="eastAsia"/>
        </w:rPr>
        <w:t>，</w:t>
      </w:r>
      <w:r>
        <w:rPr>
          <w:rFonts w:hint="eastAsia"/>
          <w:lang w:eastAsia="zh-Hans"/>
        </w:rPr>
        <w:t>需要在</w:t>
      </w:r>
      <w:r>
        <w:rPr>
          <w:rFonts w:hint="eastAsia"/>
        </w:rPr>
        <w:t>指挥信息网</w:t>
      </w:r>
      <w:r>
        <w:rPr>
          <w:rFonts w:hint="eastAsia"/>
          <w:lang w:eastAsia="zh-Hans"/>
        </w:rPr>
        <w:t>建设相关密码设施。</w:t>
      </w:r>
      <w:r>
        <w:rPr>
          <w:rFonts w:hint="eastAsia" w:ascii="宋体" w:hAnsi="宋体"/>
        </w:rPr>
        <w:t>根据</w:t>
      </w:r>
      <w:r>
        <w:rPr>
          <w:rFonts w:hint="eastAsia" w:ascii="宋体" w:hAnsi="宋体"/>
          <w:kern w:val="0"/>
        </w:rPr>
        <w:t>《信息安全技术信息系统密码应用基本要求》（GB/T39786-2021）文件、</w:t>
      </w:r>
      <w:r>
        <w:rPr>
          <w:rFonts w:hint="eastAsia" w:ascii="宋体" w:hAnsi="宋体"/>
        </w:rPr>
        <w:t>等保2.0相关要求，等保等级需要与相应的密评等级关联，本次指挥信息网需要通过等级保护三级要求，按照就高不就低原则，需达到密评三级要求。</w:t>
      </w:r>
    </w:p>
    <w:p w14:paraId="607EA03B">
      <w:pPr>
        <w:rPr>
          <w:lang w:eastAsia="zh-Hans"/>
        </w:rPr>
      </w:pPr>
      <w:r>
        <w:rPr>
          <w:rFonts w:hint="eastAsia"/>
        </w:rPr>
        <w:t>对于指挥信息网</w:t>
      </w:r>
      <w:r>
        <w:rPr>
          <w:rFonts w:hint="eastAsia"/>
          <w:lang w:eastAsia="zh-Hans"/>
        </w:rPr>
        <w:t>的</w:t>
      </w:r>
      <w:r>
        <w:rPr>
          <w:rFonts w:hint="eastAsia"/>
        </w:rPr>
        <w:t>密码应用需求</w:t>
      </w:r>
      <w:r>
        <w:rPr>
          <w:rFonts w:hint="eastAsia"/>
          <w:lang w:eastAsia="zh-Hans"/>
        </w:rPr>
        <w:t>，</w:t>
      </w:r>
      <w:r>
        <w:rPr>
          <w:rFonts w:hint="eastAsia"/>
        </w:rPr>
        <w:t>需</w:t>
      </w:r>
      <w:r>
        <w:rPr>
          <w:rFonts w:hint="eastAsia"/>
          <w:lang w:eastAsia="zh-Hans"/>
        </w:rPr>
        <w:t>建设并应用国产密码设施以确保信息安全。</w:t>
      </w:r>
    </w:p>
    <w:p w14:paraId="0B76898F">
      <w:pPr>
        <w:rPr>
          <w:lang w:eastAsia="zh-Hans"/>
        </w:rPr>
      </w:pPr>
      <w:r>
        <w:rPr>
          <w:rFonts w:hint="eastAsia"/>
          <w:lang w:eastAsia="zh-Hans"/>
        </w:rPr>
        <w:t>对于电子政务外网的</w:t>
      </w:r>
      <w:r>
        <w:rPr>
          <w:rFonts w:hint="eastAsia"/>
        </w:rPr>
        <w:t>密码应用需求</w:t>
      </w:r>
      <w:r>
        <w:rPr>
          <w:rFonts w:hint="eastAsia"/>
          <w:lang w:eastAsia="zh-Hans"/>
        </w:rPr>
        <w:t>，</w:t>
      </w:r>
      <w:r>
        <w:rPr>
          <w:rFonts w:hint="eastAsia"/>
        </w:rPr>
        <w:t>需结合</w:t>
      </w:r>
      <w:r>
        <w:rPr>
          <w:rFonts w:hint="eastAsia"/>
          <w:lang w:eastAsia="zh-Hans"/>
        </w:rPr>
        <w:t>电子政务外网现有国产密码设施</w:t>
      </w:r>
      <w:r>
        <w:rPr>
          <w:rFonts w:hint="eastAsia"/>
        </w:rPr>
        <w:t>，应用密码技术，</w:t>
      </w:r>
      <w:r>
        <w:rPr>
          <w:rFonts w:hint="eastAsia"/>
          <w:lang w:eastAsia="zh-Hans"/>
        </w:rPr>
        <w:t>以确保</w:t>
      </w:r>
      <w:r>
        <w:rPr>
          <w:rFonts w:hint="eastAsia"/>
        </w:rPr>
        <w:t>应用系统</w:t>
      </w:r>
      <w:r>
        <w:rPr>
          <w:rFonts w:hint="eastAsia"/>
          <w:lang w:eastAsia="zh-Hans"/>
        </w:rPr>
        <w:t>安全</w:t>
      </w:r>
      <w:r>
        <w:rPr>
          <w:rFonts w:hint="eastAsia"/>
        </w:rPr>
        <w:t>合规</w:t>
      </w:r>
      <w:r>
        <w:rPr>
          <w:rFonts w:hint="eastAsia"/>
          <w:lang w:eastAsia="zh-Hans"/>
        </w:rPr>
        <w:t>。</w:t>
      </w:r>
    </w:p>
    <w:p w14:paraId="23A6C320">
      <w:pPr>
        <w:pStyle w:val="10"/>
        <w:rPr>
          <w:rFonts w:eastAsia="宋体"/>
        </w:rPr>
      </w:pPr>
      <w:r>
        <w:rPr>
          <w:rFonts w:hint="eastAsia" w:eastAsia="宋体"/>
        </w:rPr>
        <w:t>商用密码应用需求详见《</w:t>
      </w:r>
      <w:r>
        <w:rPr>
          <w:rFonts w:hint="eastAsia" w:eastAsia="宋体"/>
          <w:lang w:eastAsia="zh-CN"/>
        </w:rPr>
        <w:t>XXX</w:t>
      </w:r>
      <w:r>
        <w:rPr>
          <w:rFonts w:hint="eastAsia" w:eastAsia="宋体"/>
        </w:rPr>
        <w:t>省“智慧消防”建设项目（一期）密码应用方案分册》。</w:t>
      </w:r>
    </w:p>
    <w:p w14:paraId="3B385D45">
      <w:pPr>
        <w:pStyle w:val="6"/>
      </w:pPr>
      <w:r>
        <w:rPr>
          <w:rFonts w:hint="eastAsia"/>
        </w:rPr>
        <w:t>3.3.3.5系统性能需求分析</w:t>
      </w:r>
    </w:p>
    <w:p w14:paraId="6933C2AA">
      <w:pPr>
        <w:rPr>
          <w:lang w:eastAsia="zh-Hans"/>
        </w:rPr>
      </w:pPr>
      <w:r>
        <w:rPr>
          <w:rFonts w:hint="eastAsia"/>
          <w:lang w:eastAsia="zh-Hans"/>
        </w:rPr>
        <w:t>以下性能需求分析建立在当前用户规模及使用场景</w:t>
      </w:r>
      <w:r>
        <w:rPr>
          <w:lang w:eastAsia="zh-Hans"/>
        </w:rPr>
        <w:t>，</w:t>
      </w:r>
      <w:r>
        <w:rPr>
          <w:rFonts w:hint="eastAsia"/>
          <w:lang w:eastAsia="zh-Hans"/>
        </w:rPr>
        <w:t>并考虑未来</w:t>
      </w:r>
      <w:r>
        <w:rPr>
          <w:lang w:eastAsia="zh-Hans"/>
        </w:rPr>
        <w:t>3</w:t>
      </w:r>
      <w:r>
        <w:rPr>
          <w:rFonts w:hint="eastAsia"/>
          <w:lang w:eastAsia="zh-Hans"/>
        </w:rPr>
        <w:t>年发展的前提下得出</w:t>
      </w:r>
      <w:r>
        <w:rPr>
          <w:lang w:eastAsia="zh-Hans"/>
        </w:rPr>
        <w:t>。</w:t>
      </w:r>
    </w:p>
    <w:p w14:paraId="0484D37D">
      <w:pPr>
        <w:pStyle w:val="2"/>
        <w:rPr>
          <w:lang w:eastAsia="zh-Hans"/>
        </w:rPr>
      </w:pPr>
      <w:r>
        <w:rPr>
          <w:rFonts w:hint="eastAsia"/>
        </w:rPr>
        <w:t>根据</w:t>
      </w:r>
      <w:r>
        <w:rPr>
          <w:rFonts w:hint="eastAsia"/>
          <w:color w:val="000000"/>
        </w:rPr>
        <w:t>用户量分析情况，</w:t>
      </w:r>
      <w:r>
        <w:rPr>
          <w:rFonts w:hint="eastAsia"/>
        </w:rPr>
        <w:t>总的在线用户数</w:t>
      </w:r>
      <w:r>
        <w:rPr>
          <w:color w:val="000000"/>
        </w:rPr>
        <w:t>15018</w:t>
      </w:r>
      <w:r>
        <w:rPr>
          <w:rFonts w:hint="eastAsia"/>
          <w:color w:val="000000"/>
        </w:rPr>
        <w:t>用户，平均每个</w:t>
      </w:r>
      <w:r>
        <w:rPr>
          <w:color w:val="000000"/>
        </w:rPr>
        <w:t>IP</w:t>
      </w:r>
      <w:r>
        <w:rPr>
          <w:rFonts w:hint="eastAsia"/>
          <w:color w:val="000000"/>
        </w:rPr>
        <w:t>每次登录时长</w:t>
      </w:r>
      <w:r>
        <w:rPr>
          <w:color w:val="000000"/>
        </w:rPr>
        <w:t>1</w:t>
      </w:r>
      <w:r>
        <w:rPr>
          <w:rFonts w:hint="eastAsia"/>
          <w:color w:val="000000"/>
        </w:rPr>
        <w:t>小时，并发用户数为</w:t>
      </w:r>
      <w:r>
        <w:rPr>
          <w:color w:val="000000"/>
        </w:rPr>
        <w:t>1877</w:t>
      </w:r>
      <w:r>
        <w:rPr>
          <w:rFonts w:hint="eastAsia"/>
          <w:color w:val="000000"/>
        </w:rPr>
        <w:t>个用户。</w:t>
      </w:r>
    </w:p>
    <w:p w14:paraId="09D8D61A">
      <w:pPr>
        <w:numPr>
          <w:ilvl w:val="0"/>
          <w:numId w:val="31"/>
        </w:numPr>
      </w:pPr>
      <w:r>
        <w:rPr>
          <w:rFonts w:hint="eastAsia"/>
        </w:rPr>
        <w:t>服务总线系统</w:t>
      </w:r>
    </w:p>
    <w:p w14:paraId="4E95BA01">
      <w:r>
        <w:rPr>
          <w:rFonts w:hint="eastAsia"/>
          <w:lang w:eastAsia="zh-Hans"/>
        </w:rPr>
        <w:t>该</w:t>
      </w:r>
      <w:r>
        <w:rPr>
          <w:rFonts w:hint="eastAsia"/>
        </w:rPr>
        <w:t>成品软件性能需求以本期应用性能、功能测算结果为基本点，以</w:t>
      </w:r>
      <w:r>
        <w:t>50%</w:t>
      </w:r>
      <w:r>
        <w:rPr>
          <w:rFonts w:hint="eastAsia"/>
        </w:rPr>
        <w:t>为冗余度作为参考，根据咨询类似产品厂商推荐的部署配置要求得出结果。</w:t>
      </w:r>
    </w:p>
    <w:p w14:paraId="332827EA">
      <w:r>
        <w:rPr>
          <w:rFonts w:hint="eastAsia"/>
        </w:rPr>
        <w:t>服务总线消息吞吐率：&gt; 500k 消息/秒；500k报文消息</w:t>
      </w:r>
      <w:r>
        <w:t>&lt;=</w:t>
      </w:r>
      <w:r>
        <w:rPr>
          <w:rFonts w:hint="eastAsia"/>
        </w:rPr>
        <w:t>1秒；</w:t>
      </w:r>
    </w:p>
    <w:p w14:paraId="71C9D8C3">
      <w:r>
        <w:rPr>
          <w:rFonts w:hint="eastAsia"/>
        </w:rPr>
        <w:t>服务总线消息延迟时间：消息延迟时间</w:t>
      </w:r>
      <w:r>
        <w:t>&lt;1</w:t>
      </w:r>
      <w:r>
        <w:rPr>
          <w:rFonts w:hint="eastAsia"/>
          <w:lang w:eastAsia="zh-Hans"/>
        </w:rPr>
        <w:t>秒</w:t>
      </w:r>
      <w:r>
        <w:rPr>
          <w:rFonts w:hint="eastAsia"/>
        </w:rPr>
        <w:t>。</w:t>
      </w:r>
    </w:p>
    <w:p w14:paraId="273D113F">
      <w:pPr>
        <w:pStyle w:val="15"/>
        <w:rPr>
          <w:rFonts w:hint="eastAsia" w:ascii="黑体" w:hAnsi="黑体" w:cs="黑体"/>
        </w:rPr>
      </w:pPr>
      <w:r>
        <w:rPr>
          <w:rFonts w:hint="eastAsia" w:ascii="黑体" w:hAnsi="黑体" w:cs="黑体"/>
        </w:rPr>
        <w:t>表3-11性能指标表</w:t>
      </w:r>
    </w:p>
    <w:tbl>
      <w:tblPr>
        <w:tblStyle w:val="12"/>
        <w:tblW w:w="9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2169"/>
        <w:gridCol w:w="6906"/>
      </w:tblGrid>
      <w:tr w14:paraId="4272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397" w:hRule="atLeast"/>
          <w:jc w:val="center"/>
        </w:trPr>
        <w:tc>
          <w:tcPr>
            <w:tcW w:w="2169" w:type="dxa"/>
            <w:tcBorders>
              <w:top w:val="single" w:color="000000" w:sz="8" w:space="0"/>
              <w:left w:val="single" w:color="000000" w:sz="8" w:space="0"/>
              <w:bottom w:val="single" w:color="000000" w:sz="8" w:space="0"/>
              <w:right w:val="single" w:color="000000" w:sz="8" w:space="0"/>
            </w:tcBorders>
            <w:shd w:val="clear" w:color="auto" w:fill="EEECE1"/>
            <w:noWrap w:val="0"/>
            <w:vAlign w:val="center"/>
          </w:tcPr>
          <w:p w14:paraId="1FA5327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性能项</w:t>
            </w:r>
          </w:p>
        </w:tc>
        <w:tc>
          <w:tcPr>
            <w:tcW w:w="6906" w:type="dxa"/>
            <w:tcBorders>
              <w:top w:val="single" w:color="000000" w:sz="8" w:space="0"/>
              <w:left w:val="single" w:color="000000" w:sz="8" w:space="0"/>
              <w:bottom w:val="single" w:color="000000" w:sz="8" w:space="0"/>
              <w:right w:val="single" w:color="000000" w:sz="8" w:space="0"/>
            </w:tcBorders>
            <w:shd w:val="clear" w:color="auto" w:fill="EEECE1"/>
            <w:noWrap w:val="0"/>
            <w:vAlign w:val="center"/>
          </w:tcPr>
          <w:p w14:paraId="286BB5C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性能指标</w:t>
            </w:r>
          </w:p>
        </w:tc>
      </w:tr>
      <w:tr w14:paraId="06D0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397" w:hRule="atLeast"/>
          <w:jc w:val="center"/>
        </w:trPr>
        <w:tc>
          <w:tcPr>
            <w:tcW w:w="2169" w:type="dxa"/>
            <w:tcBorders>
              <w:top w:val="single" w:color="000000" w:sz="8" w:space="0"/>
              <w:left w:val="single" w:color="000000" w:sz="8" w:space="0"/>
              <w:bottom w:val="single" w:color="000000" w:sz="8" w:space="0"/>
              <w:right w:val="single" w:color="000000" w:sz="8" w:space="0"/>
            </w:tcBorders>
            <w:noWrap w:val="0"/>
            <w:vAlign w:val="center"/>
          </w:tcPr>
          <w:p w14:paraId="0F55CEE0">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单位时间数据</w:t>
            </w:r>
          </w:p>
          <w:p w14:paraId="731AE71E">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处理能力</w:t>
            </w:r>
          </w:p>
        </w:tc>
        <w:tc>
          <w:tcPr>
            <w:tcW w:w="6906" w:type="dxa"/>
            <w:tcBorders>
              <w:top w:val="single" w:color="000000" w:sz="8" w:space="0"/>
              <w:left w:val="single" w:color="000000" w:sz="8" w:space="0"/>
              <w:bottom w:val="single" w:color="000000" w:sz="8" w:space="0"/>
              <w:right w:val="single" w:color="000000" w:sz="8" w:space="0"/>
            </w:tcBorders>
            <w:noWrap w:val="0"/>
            <w:vAlign w:val="center"/>
          </w:tcPr>
          <w:p w14:paraId="712C4D6E">
            <w:pPr>
              <w:spacing w:line="240" w:lineRule="auto"/>
              <w:ind w:firstLine="0" w:firstLineChars="0"/>
              <w:rPr>
                <w:rFonts w:hint="eastAsia" w:ascii="宋体" w:hAnsi="宋体" w:eastAsia="宋体" w:cs="宋体"/>
                <w:sz w:val="21"/>
                <w:szCs w:val="21"/>
              </w:rPr>
            </w:pPr>
            <w:r>
              <w:rPr>
                <w:rFonts w:hint="eastAsia" w:ascii="宋体" w:hAnsi="宋体" w:eastAsia="宋体" w:cs="宋体"/>
                <w:sz w:val="21"/>
                <w:szCs w:val="21"/>
              </w:rPr>
              <w:t>相同硬件配置下，系统单位时间完成的报文处理数量，针对不同大小的报文进行评估对比，包括1K、10K、100K、1M、10M的处理情况。系统单节点每秒钟能够处理2000笔1K报文。</w:t>
            </w:r>
          </w:p>
        </w:tc>
      </w:tr>
      <w:tr w14:paraId="6EEFE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397" w:hRule="atLeast"/>
          <w:jc w:val="center"/>
        </w:trPr>
        <w:tc>
          <w:tcPr>
            <w:tcW w:w="2169" w:type="dxa"/>
            <w:tcBorders>
              <w:top w:val="single" w:color="000000" w:sz="8" w:space="0"/>
              <w:left w:val="single" w:color="000000" w:sz="8" w:space="0"/>
              <w:bottom w:val="single" w:color="000000" w:sz="8" w:space="0"/>
              <w:right w:val="single" w:color="000000" w:sz="8" w:space="0"/>
            </w:tcBorders>
            <w:noWrap w:val="0"/>
            <w:vAlign w:val="center"/>
          </w:tcPr>
          <w:p w14:paraId="73104903">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并发访问量</w:t>
            </w:r>
          </w:p>
        </w:tc>
        <w:tc>
          <w:tcPr>
            <w:tcW w:w="6906" w:type="dxa"/>
            <w:tcBorders>
              <w:top w:val="single" w:color="000000" w:sz="8" w:space="0"/>
              <w:left w:val="single" w:color="000000" w:sz="8" w:space="0"/>
              <w:bottom w:val="single" w:color="000000" w:sz="8" w:space="0"/>
              <w:right w:val="single" w:color="000000" w:sz="8" w:space="0"/>
            </w:tcBorders>
            <w:noWrap w:val="0"/>
            <w:vAlign w:val="center"/>
          </w:tcPr>
          <w:p w14:paraId="385022C3">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要求系统单节点能够支持800个并发访问</w:t>
            </w:r>
          </w:p>
        </w:tc>
      </w:tr>
    </w:tbl>
    <w:p w14:paraId="66FDB062">
      <w:pPr>
        <w:ind w:left="480" w:firstLine="0" w:firstLineChars="0"/>
      </w:pPr>
    </w:p>
    <w:p w14:paraId="61B1EB30">
      <w:pPr>
        <w:numPr>
          <w:ilvl w:val="0"/>
          <w:numId w:val="32"/>
        </w:numPr>
      </w:pPr>
      <w:r>
        <w:rPr>
          <w:rFonts w:hint="eastAsia"/>
        </w:rPr>
        <w:t>业务安全管理系统</w:t>
      </w:r>
    </w:p>
    <w:p w14:paraId="29666DED">
      <w:pPr>
        <w:pStyle w:val="17"/>
        <w:numPr>
          <w:ilvl w:val="0"/>
          <w:numId w:val="33"/>
        </w:numPr>
        <w:ind w:left="0" w:firstLine="480"/>
        <w:rPr>
          <w:rFonts w:ascii="宋体" w:hAnsi="宋体" w:cs="微软雅黑"/>
        </w:rPr>
      </w:pPr>
      <w:r>
        <w:rPr>
          <w:rFonts w:hint="eastAsia" w:ascii="宋体" w:hAnsi="宋体" w:cs="微软雅黑"/>
        </w:rPr>
        <w:t>数据查询：1亿条数据平均检索时间小于5秒。</w:t>
      </w:r>
    </w:p>
    <w:p w14:paraId="462E5D29">
      <w:pPr>
        <w:pStyle w:val="17"/>
        <w:numPr>
          <w:ilvl w:val="0"/>
          <w:numId w:val="33"/>
        </w:numPr>
        <w:ind w:left="0" w:firstLine="480"/>
        <w:rPr>
          <w:rFonts w:ascii="宋体" w:hAnsi="宋体" w:cs="微软雅黑"/>
        </w:rPr>
      </w:pPr>
      <w:r>
        <w:rPr>
          <w:rFonts w:hint="eastAsia" w:ascii="宋体" w:hAnsi="宋体" w:cs="微软雅黑"/>
        </w:rPr>
        <w:t>数据导出：千条记录数据导出时间小于10秒。</w:t>
      </w:r>
    </w:p>
    <w:p w14:paraId="5CC05084">
      <w:pPr>
        <w:pStyle w:val="17"/>
        <w:numPr>
          <w:ilvl w:val="0"/>
          <w:numId w:val="33"/>
        </w:numPr>
        <w:ind w:left="0" w:firstLine="480"/>
        <w:rPr>
          <w:rFonts w:ascii="宋体" w:hAnsi="宋体" w:cs="微软雅黑"/>
        </w:rPr>
      </w:pPr>
      <w:r>
        <w:rPr>
          <w:rFonts w:hint="eastAsia" w:ascii="宋体" w:hAnsi="宋体" w:cs="微软雅黑"/>
        </w:rPr>
        <w:t>数据导入：千条记录数据导入时间小于10秒。</w:t>
      </w:r>
    </w:p>
    <w:p w14:paraId="28487AA4">
      <w:pPr>
        <w:numPr>
          <w:ilvl w:val="0"/>
          <w:numId w:val="31"/>
        </w:numPr>
      </w:pPr>
      <w:r>
        <w:rPr>
          <w:rFonts w:hint="eastAsia"/>
        </w:rPr>
        <w:t>火灾防控业务系统</w:t>
      </w:r>
    </w:p>
    <w:p w14:paraId="3AB0A34F">
      <w:r>
        <w:rPr>
          <w:rFonts w:hint="eastAsia"/>
        </w:rPr>
        <w:t>性能需求以本期应用性能、用户量、功能测算结果为基本点计算得出结果。</w:t>
      </w:r>
    </w:p>
    <w:p w14:paraId="26127B85">
      <w:pPr>
        <w:pStyle w:val="17"/>
        <w:ind w:left="480" w:firstLine="0" w:firstLineChars="0"/>
        <w:rPr>
          <w:rFonts w:ascii="宋体" w:hAnsi="宋体" w:cs="微软雅黑"/>
        </w:rPr>
      </w:pPr>
      <w:r>
        <w:rPr>
          <w:rFonts w:hint="eastAsia"/>
        </w:rPr>
        <w:t>（</w:t>
      </w:r>
      <w:r>
        <w:t>1</w:t>
      </w:r>
      <w:r>
        <w:rPr>
          <w:rFonts w:hint="eastAsia"/>
        </w:rPr>
        <w:t>）</w:t>
      </w:r>
      <w:r>
        <w:rPr>
          <w:rFonts w:hint="eastAsia" w:ascii="宋体" w:hAnsi="宋体" w:cs="微软雅黑"/>
        </w:rPr>
        <w:t>全省火灾防控综合一张图</w:t>
      </w:r>
    </w:p>
    <w:p w14:paraId="115D3233">
      <w:r>
        <w:rPr>
          <w:rFonts w:hint="eastAsia"/>
        </w:rPr>
        <w:t>并发数：</w:t>
      </w:r>
      <w:r>
        <w:t>50</w:t>
      </w:r>
    </w:p>
    <w:p w14:paraId="1ACB6AC2">
      <w:r>
        <w:rPr>
          <w:rFonts w:hint="eastAsia"/>
        </w:rPr>
        <w:t>在线用户数：</w:t>
      </w:r>
      <w:r>
        <w:t>1000</w:t>
      </w:r>
    </w:p>
    <w:p w14:paraId="7DE742AB">
      <w:r>
        <w:rPr>
          <w:rFonts w:hint="eastAsia"/>
        </w:rPr>
        <w:t>平均响应时间：小于</w:t>
      </w:r>
      <w:r>
        <w:t>2</w:t>
      </w:r>
      <w:r>
        <w:rPr>
          <w:rFonts w:hint="eastAsia"/>
        </w:rPr>
        <w:t>秒；</w:t>
      </w:r>
    </w:p>
    <w:p w14:paraId="4BF1F8C3">
      <w:r>
        <w:rPr>
          <w:rFonts w:hint="eastAsia"/>
        </w:rPr>
        <w:t>峰值响应时间：小于</w:t>
      </w:r>
      <w:r>
        <w:t>3</w:t>
      </w:r>
      <w:r>
        <w:rPr>
          <w:rFonts w:hint="eastAsia"/>
        </w:rPr>
        <w:t>秒。</w:t>
      </w:r>
    </w:p>
    <w:p w14:paraId="57B874A2">
      <w:pPr>
        <w:pStyle w:val="17"/>
        <w:ind w:firstLineChars="0"/>
        <w:rPr>
          <w:rFonts w:ascii="宋体" w:hAnsi="宋体" w:cs="微软雅黑"/>
        </w:rPr>
      </w:pPr>
      <w:r>
        <w:rPr>
          <w:rFonts w:hint="eastAsia" w:ascii="宋体" w:hAnsi="宋体" w:cs="微软雅黑"/>
        </w:rPr>
        <w:t>（2）消防安全综合监管应用</w:t>
      </w:r>
    </w:p>
    <w:p w14:paraId="01227897">
      <w:r>
        <w:rPr>
          <w:rFonts w:hint="eastAsia"/>
        </w:rPr>
        <w:t>并发数：</w:t>
      </w:r>
      <w:r>
        <w:t>80</w:t>
      </w:r>
    </w:p>
    <w:p w14:paraId="07B22849">
      <w:r>
        <w:rPr>
          <w:rFonts w:hint="eastAsia"/>
        </w:rPr>
        <w:t>在线用户数：</w:t>
      </w:r>
      <w:r>
        <w:t>2000</w:t>
      </w:r>
    </w:p>
    <w:p w14:paraId="5857CC58">
      <w:r>
        <w:rPr>
          <w:rFonts w:hint="eastAsia"/>
        </w:rPr>
        <w:t>平均响应时间：小于</w:t>
      </w:r>
      <w:r>
        <w:t>2</w:t>
      </w:r>
      <w:r>
        <w:rPr>
          <w:rFonts w:hint="eastAsia"/>
        </w:rPr>
        <w:t>秒；</w:t>
      </w:r>
    </w:p>
    <w:p w14:paraId="62E4B9A0">
      <w:r>
        <w:rPr>
          <w:rFonts w:hint="eastAsia"/>
        </w:rPr>
        <w:t>峰值响应时间：小于</w:t>
      </w:r>
      <w:r>
        <w:t>3</w:t>
      </w:r>
      <w:r>
        <w:rPr>
          <w:rFonts w:hint="eastAsia"/>
        </w:rPr>
        <w:t>秒。</w:t>
      </w:r>
    </w:p>
    <w:p w14:paraId="1D0DD54D">
      <w:r>
        <w:rPr>
          <w:rFonts w:hint="eastAsia"/>
        </w:rPr>
        <w:t>（3）城市消防合规运行监测应用</w:t>
      </w:r>
    </w:p>
    <w:p w14:paraId="69A8E3B6">
      <w:r>
        <w:rPr>
          <w:rFonts w:hint="eastAsia"/>
        </w:rPr>
        <w:t>并发数：</w:t>
      </w:r>
      <w:r>
        <w:t>26</w:t>
      </w:r>
    </w:p>
    <w:p w14:paraId="2B3084E7">
      <w:r>
        <w:rPr>
          <w:rFonts w:hint="eastAsia"/>
        </w:rPr>
        <w:t>在线用户数：</w:t>
      </w:r>
      <w:r>
        <w:t>50</w:t>
      </w:r>
    </w:p>
    <w:p w14:paraId="3CE47EEC">
      <w:r>
        <w:rPr>
          <w:rFonts w:hint="eastAsia"/>
        </w:rPr>
        <w:t>平均响应时间：小于</w:t>
      </w:r>
      <w:r>
        <w:t>2</w:t>
      </w:r>
      <w:r>
        <w:rPr>
          <w:rFonts w:hint="eastAsia"/>
        </w:rPr>
        <w:t>秒；</w:t>
      </w:r>
    </w:p>
    <w:p w14:paraId="1C75F4C9">
      <w:r>
        <w:rPr>
          <w:rFonts w:hint="eastAsia"/>
        </w:rPr>
        <w:t>峰值响应时间：小于</w:t>
      </w:r>
      <w:r>
        <w:t>3</w:t>
      </w:r>
      <w:r>
        <w:rPr>
          <w:rFonts w:hint="eastAsia"/>
        </w:rPr>
        <w:t>秒。</w:t>
      </w:r>
    </w:p>
    <w:p w14:paraId="52D112C1">
      <w:r>
        <w:rPr>
          <w:rFonts w:hint="eastAsia"/>
        </w:rPr>
        <w:t>（4）社会单位消防安全自主管理应用</w:t>
      </w:r>
    </w:p>
    <w:p w14:paraId="3FCBDCB2">
      <w:pPr>
        <w:rPr>
          <w:rFonts w:hint="eastAsia"/>
        </w:rPr>
      </w:pPr>
      <w:r>
        <w:rPr>
          <w:rFonts w:hint="eastAsia"/>
        </w:rPr>
        <w:t>1）总队性能指标</w:t>
      </w:r>
    </w:p>
    <w:p w14:paraId="0234A61C">
      <w:r>
        <w:rPr>
          <w:rFonts w:hint="eastAsia"/>
        </w:rPr>
        <w:t>并发数：</w:t>
      </w:r>
      <w:r>
        <w:t>20</w:t>
      </w:r>
    </w:p>
    <w:p w14:paraId="37605A71">
      <w:r>
        <w:rPr>
          <w:rFonts w:hint="eastAsia"/>
        </w:rPr>
        <w:t>在线用户数：</w:t>
      </w:r>
      <w:r>
        <w:t>100</w:t>
      </w:r>
    </w:p>
    <w:p w14:paraId="5D6BD06C">
      <w:r>
        <w:rPr>
          <w:rFonts w:hint="eastAsia"/>
        </w:rPr>
        <w:t>平均响应时间：小于</w:t>
      </w:r>
      <w:r>
        <w:t>2</w:t>
      </w:r>
      <w:r>
        <w:rPr>
          <w:rFonts w:hint="eastAsia"/>
        </w:rPr>
        <w:t>秒；</w:t>
      </w:r>
    </w:p>
    <w:p w14:paraId="291FDEE7">
      <w:r>
        <w:rPr>
          <w:rFonts w:hint="eastAsia"/>
        </w:rPr>
        <w:t>峰值响应时间：小于</w:t>
      </w:r>
      <w:r>
        <w:t>3</w:t>
      </w:r>
      <w:r>
        <w:rPr>
          <w:rFonts w:hint="eastAsia"/>
        </w:rPr>
        <w:t>秒。</w:t>
      </w:r>
    </w:p>
    <w:p w14:paraId="2845A81B">
      <w:r>
        <w:rPr>
          <w:rFonts w:hint="eastAsia"/>
        </w:rPr>
        <w:t>2）支队性能指标</w:t>
      </w:r>
    </w:p>
    <w:p w14:paraId="7462F99D">
      <w:r>
        <w:rPr>
          <w:rFonts w:hint="eastAsia"/>
        </w:rPr>
        <w:t>并发数：</w:t>
      </w:r>
      <w:r>
        <w:t>80</w:t>
      </w:r>
    </w:p>
    <w:p w14:paraId="7C12A5CF">
      <w:r>
        <w:rPr>
          <w:rFonts w:hint="eastAsia"/>
        </w:rPr>
        <w:t>在线用户数：</w:t>
      </w:r>
      <w:r>
        <w:t>2000</w:t>
      </w:r>
    </w:p>
    <w:p w14:paraId="1EC0C0CE">
      <w:r>
        <w:rPr>
          <w:rFonts w:hint="eastAsia"/>
        </w:rPr>
        <w:t>平均响应时间：小于</w:t>
      </w:r>
      <w:r>
        <w:t>2</w:t>
      </w:r>
      <w:r>
        <w:rPr>
          <w:rFonts w:hint="eastAsia"/>
        </w:rPr>
        <w:t>秒；</w:t>
      </w:r>
    </w:p>
    <w:p w14:paraId="6FEF9399">
      <w:pPr>
        <w:rPr>
          <w:rFonts w:hint="eastAsia"/>
        </w:rPr>
      </w:pPr>
      <w:r>
        <w:rPr>
          <w:rFonts w:hint="eastAsia"/>
        </w:rPr>
        <w:t>峰值响应时间：小于</w:t>
      </w:r>
      <w:r>
        <w:t>3</w:t>
      </w:r>
      <w:r>
        <w:rPr>
          <w:rFonts w:hint="eastAsia"/>
        </w:rPr>
        <w:t>秒。</w:t>
      </w:r>
    </w:p>
    <w:p w14:paraId="7B70E516">
      <w:r>
        <w:rPr>
          <w:rFonts w:hint="eastAsia"/>
        </w:rPr>
        <w:t>（</w:t>
      </w:r>
      <w:r>
        <w:t>5</w:t>
      </w:r>
      <w:r>
        <w:rPr>
          <w:rFonts w:hint="eastAsia"/>
        </w:rPr>
        <w:t>）火灾风险评估应用</w:t>
      </w:r>
    </w:p>
    <w:p w14:paraId="087F0D53">
      <w:r>
        <w:rPr>
          <w:rFonts w:hint="eastAsia"/>
        </w:rPr>
        <w:t>并发数：</w:t>
      </w:r>
      <w:r>
        <w:t>50</w:t>
      </w:r>
    </w:p>
    <w:p w14:paraId="4F13C014">
      <w:r>
        <w:rPr>
          <w:rFonts w:hint="eastAsia"/>
        </w:rPr>
        <w:t>在线用户数：</w:t>
      </w:r>
      <w:r>
        <w:t>1000</w:t>
      </w:r>
    </w:p>
    <w:p w14:paraId="0AEF419A">
      <w:r>
        <w:rPr>
          <w:rFonts w:hint="eastAsia"/>
        </w:rPr>
        <w:t>平均响应时间：小于</w:t>
      </w:r>
      <w:r>
        <w:t>2</w:t>
      </w:r>
      <w:r>
        <w:rPr>
          <w:rFonts w:hint="eastAsia"/>
        </w:rPr>
        <w:t>秒；</w:t>
      </w:r>
    </w:p>
    <w:p w14:paraId="30DA9790">
      <w:r>
        <w:rPr>
          <w:rFonts w:hint="eastAsia"/>
        </w:rPr>
        <w:t>峰值响应时间：小于</w:t>
      </w:r>
      <w:r>
        <w:t>3</w:t>
      </w:r>
      <w:r>
        <w:rPr>
          <w:rFonts w:hint="eastAsia"/>
        </w:rPr>
        <w:t>秒。</w:t>
      </w:r>
    </w:p>
    <w:p w14:paraId="526D1954">
      <w:pPr>
        <w:numPr>
          <w:ilvl w:val="0"/>
          <w:numId w:val="31"/>
        </w:numPr>
      </w:pPr>
      <w:r>
        <w:rPr>
          <w:rFonts w:hint="eastAsia"/>
        </w:rPr>
        <w:t>灭火救援业务系统</w:t>
      </w:r>
    </w:p>
    <w:p w14:paraId="5685D26A">
      <w:pPr>
        <w:ind w:left="480" w:firstLine="0" w:firstLineChars="0"/>
      </w:pPr>
      <w:r>
        <w:rPr>
          <w:rFonts w:hint="eastAsia"/>
        </w:rPr>
        <w:t>性能需求以本期应用性能、用户量、功能测算结果为基本点计算得出结果。</w:t>
      </w:r>
    </w:p>
    <w:p w14:paraId="1C8A5F4C">
      <w:pPr>
        <w:numPr>
          <w:ilvl w:val="0"/>
          <w:numId w:val="34"/>
        </w:numPr>
        <w:ind w:firstLineChars="0"/>
      </w:pPr>
      <w:r>
        <w:rPr>
          <w:rFonts w:hint="eastAsia"/>
        </w:rPr>
        <w:t>全省灭火救援态势感知</w:t>
      </w:r>
    </w:p>
    <w:p w14:paraId="7F5A60C4">
      <w:r>
        <w:rPr>
          <w:rFonts w:hint="eastAsia"/>
        </w:rPr>
        <w:t>并发数：</w:t>
      </w:r>
      <w:r>
        <w:t>50</w:t>
      </w:r>
    </w:p>
    <w:p w14:paraId="6A79A469">
      <w:r>
        <w:rPr>
          <w:rFonts w:hint="eastAsia"/>
        </w:rPr>
        <w:t>在线用户数：</w:t>
      </w:r>
      <w:r>
        <w:t>1000</w:t>
      </w:r>
    </w:p>
    <w:p w14:paraId="7D493EA9">
      <w:r>
        <w:rPr>
          <w:rFonts w:hint="eastAsia"/>
        </w:rPr>
        <w:t>平均响应时间：小于</w:t>
      </w:r>
      <w:r>
        <w:t>2</w:t>
      </w:r>
      <w:r>
        <w:rPr>
          <w:rFonts w:hint="eastAsia"/>
        </w:rPr>
        <w:t>秒；</w:t>
      </w:r>
    </w:p>
    <w:p w14:paraId="28D27815">
      <w:r>
        <w:rPr>
          <w:rFonts w:hint="eastAsia"/>
        </w:rPr>
        <w:t>峰值响应时间：小于</w:t>
      </w:r>
      <w:r>
        <w:t>3</w:t>
      </w:r>
      <w:r>
        <w:rPr>
          <w:rFonts w:hint="eastAsia"/>
        </w:rPr>
        <w:t>秒。</w:t>
      </w:r>
    </w:p>
    <w:p w14:paraId="37C3CF23">
      <w:pPr>
        <w:numPr>
          <w:ilvl w:val="0"/>
          <w:numId w:val="34"/>
        </w:numPr>
        <w:ind w:firstLineChars="0"/>
      </w:pPr>
      <w:r>
        <w:rPr>
          <w:rFonts w:hint="eastAsia"/>
        </w:rPr>
        <w:t>智能指挥系统增强版</w:t>
      </w:r>
    </w:p>
    <w:p w14:paraId="2E92C9A5">
      <w:r>
        <w:rPr>
          <w:rFonts w:hint="eastAsia"/>
        </w:rPr>
        <w:t>并发数：</w:t>
      </w:r>
      <w:r>
        <w:t>30</w:t>
      </w:r>
    </w:p>
    <w:p w14:paraId="52C9B3BA">
      <w:r>
        <w:rPr>
          <w:rFonts w:hint="eastAsia"/>
        </w:rPr>
        <w:t>在线用户数：</w:t>
      </w:r>
      <w:r>
        <w:t>100</w:t>
      </w:r>
    </w:p>
    <w:p w14:paraId="0A17E334">
      <w:r>
        <w:rPr>
          <w:rFonts w:hint="eastAsia"/>
        </w:rPr>
        <w:t>平均响应时间：小于</w:t>
      </w:r>
      <w:r>
        <w:t>2</w:t>
      </w:r>
      <w:r>
        <w:rPr>
          <w:rFonts w:hint="eastAsia"/>
        </w:rPr>
        <w:t>秒；</w:t>
      </w:r>
    </w:p>
    <w:p w14:paraId="540D3724">
      <w:r>
        <w:rPr>
          <w:rFonts w:hint="eastAsia"/>
        </w:rPr>
        <w:t>峰值响应时间：小于</w:t>
      </w:r>
      <w:r>
        <w:t>3</w:t>
      </w:r>
      <w:r>
        <w:rPr>
          <w:rFonts w:hint="eastAsia"/>
        </w:rPr>
        <w:t>秒。</w:t>
      </w:r>
    </w:p>
    <w:p w14:paraId="6FC808EE">
      <w:pPr>
        <w:numPr>
          <w:ilvl w:val="0"/>
          <w:numId w:val="34"/>
        </w:numPr>
        <w:ind w:firstLineChars="0"/>
      </w:pPr>
      <w:r>
        <w:rPr>
          <w:rFonts w:hint="eastAsia"/>
        </w:rPr>
        <w:t>智能接处警应用</w:t>
      </w:r>
    </w:p>
    <w:p w14:paraId="1E443B28">
      <w:r>
        <w:rPr>
          <w:rFonts w:hint="eastAsia"/>
        </w:rPr>
        <w:t>1）总队性能指标</w:t>
      </w:r>
    </w:p>
    <w:p w14:paraId="3BE4A20D">
      <w:r>
        <w:rPr>
          <w:rFonts w:hint="eastAsia"/>
        </w:rPr>
        <w:t>并发数：</w:t>
      </w:r>
      <w:r>
        <w:t>30</w:t>
      </w:r>
    </w:p>
    <w:p w14:paraId="6330431A">
      <w:r>
        <w:rPr>
          <w:rFonts w:hint="eastAsia"/>
        </w:rPr>
        <w:t>在线用户数：</w:t>
      </w:r>
      <w:r>
        <w:t>100</w:t>
      </w:r>
    </w:p>
    <w:p w14:paraId="0A6BDBEE">
      <w:r>
        <w:rPr>
          <w:rFonts w:hint="eastAsia"/>
        </w:rPr>
        <w:t>平均响应时间：小于</w:t>
      </w:r>
      <w:r>
        <w:t>2</w:t>
      </w:r>
      <w:r>
        <w:rPr>
          <w:rFonts w:hint="eastAsia"/>
        </w:rPr>
        <w:t>秒；</w:t>
      </w:r>
    </w:p>
    <w:p w14:paraId="0A21B5D9">
      <w:pPr>
        <w:rPr>
          <w:rFonts w:hint="eastAsia"/>
        </w:rPr>
      </w:pPr>
      <w:r>
        <w:rPr>
          <w:rFonts w:hint="eastAsia"/>
        </w:rPr>
        <w:t>峰值响应时间：小于</w:t>
      </w:r>
      <w:r>
        <w:t>3</w:t>
      </w:r>
      <w:r>
        <w:rPr>
          <w:rFonts w:hint="eastAsia"/>
        </w:rPr>
        <w:t>秒。</w:t>
      </w:r>
    </w:p>
    <w:p w14:paraId="09332A8F">
      <w:pPr>
        <w:rPr>
          <w:rFonts w:hint="eastAsia"/>
        </w:rPr>
      </w:pPr>
      <w:r>
        <w:rPr>
          <w:rFonts w:hint="eastAsia"/>
        </w:rPr>
        <w:t>2）支队性能指标</w:t>
      </w:r>
    </w:p>
    <w:p w14:paraId="0EA47D78">
      <w:r>
        <w:rPr>
          <w:rFonts w:hint="eastAsia"/>
        </w:rPr>
        <w:t>并发数：</w:t>
      </w:r>
      <w:r>
        <w:t>150</w:t>
      </w:r>
    </w:p>
    <w:p w14:paraId="50A9D2B5">
      <w:r>
        <w:rPr>
          <w:rFonts w:hint="eastAsia"/>
        </w:rPr>
        <w:t>在线用户数：</w:t>
      </w:r>
      <w:r>
        <w:t>2000</w:t>
      </w:r>
    </w:p>
    <w:p w14:paraId="6226B176">
      <w:r>
        <w:rPr>
          <w:rFonts w:hint="eastAsia"/>
        </w:rPr>
        <w:t>平均响应时间：小于</w:t>
      </w:r>
      <w:r>
        <w:t>2</w:t>
      </w:r>
      <w:r>
        <w:rPr>
          <w:rFonts w:hint="eastAsia"/>
        </w:rPr>
        <w:t>秒；</w:t>
      </w:r>
    </w:p>
    <w:p w14:paraId="1C8E0BFA">
      <w:r>
        <w:rPr>
          <w:rFonts w:hint="eastAsia"/>
        </w:rPr>
        <w:t>峰值响应时间：小于</w:t>
      </w:r>
      <w:r>
        <w:t>3</w:t>
      </w:r>
      <w:r>
        <w:rPr>
          <w:rFonts w:hint="eastAsia"/>
        </w:rPr>
        <w:t>秒。</w:t>
      </w:r>
    </w:p>
    <w:p w14:paraId="37BFADF9">
      <w:r>
        <w:rPr>
          <w:rFonts w:hint="eastAsia"/>
        </w:rPr>
        <w:t>（</w:t>
      </w:r>
      <w:r>
        <w:t>2</w:t>
      </w:r>
      <w:r>
        <w:rPr>
          <w:rFonts w:hint="eastAsia"/>
        </w:rPr>
        <w:t>）联勤联动力量调度管理应用</w:t>
      </w:r>
    </w:p>
    <w:p w14:paraId="6BB7F1F7">
      <w:r>
        <w:rPr>
          <w:rFonts w:hint="eastAsia"/>
        </w:rPr>
        <w:t>1）总队性能指标</w:t>
      </w:r>
    </w:p>
    <w:p w14:paraId="7EB82BD1">
      <w:r>
        <w:rPr>
          <w:rFonts w:hint="eastAsia"/>
        </w:rPr>
        <w:t>并发数：</w:t>
      </w:r>
      <w:r>
        <w:t>50</w:t>
      </w:r>
    </w:p>
    <w:p w14:paraId="1A13D2C3">
      <w:r>
        <w:rPr>
          <w:rFonts w:hint="eastAsia"/>
        </w:rPr>
        <w:t>在线用户数：</w:t>
      </w:r>
      <w:r>
        <w:t>200</w:t>
      </w:r>
    </w:p>
    <w:p w14:paraId="2B5A6863">
      <w:r>
        <w:rPr>
          <w:rFonts w:hint="eastAsia"/>
        </w:rPr>
        <w:t>平均响应时间：小于</w:t>
      </w:r>
      <w:r>
        <w:t>2</w:t>
      </w:r>
      <w:r>
        <w:rPr>
          <w:rFonts w:hint="eastAsia"/>
        </w:rPr>
        <w:t>秒；</w:t>
      </w:r>
    </w:p>
    <w:p w14:paraId="04DBF8A0">
      <w:pPr>
        <w:rPr>
          <w:rFonts w:hint="eastAsia"/>
        </w:rPr>
      </w:pPr>
      <w:r>
        <w:rPr>
          <w:rFonts w:hint="eastAsia"/>
        </w:rPr>
        <w:t>峰值响应时间：小于</w:t>
      </w:r>
      <w:r>
        <w:t>3</w:t>
      </w:r>
      <w:r>
        <w:rPr>
          <w:rFonts w:hint="eastAsia"/>
        </w:rPr>
        <w:t>秒。</w:t>
      </w:r>
    </w:p>
    <w:p w14:paraId="1AFD7BFE">
      <w:pPr>
        <w:rPr>
          <w:rFonts w:hint="eastAsia"/>
        </w:rPr>
      </w:pPr>
      <w:r>
        <w:rPr>
          <w:rFonts w:hint="eastAsia"/>
        </w:rPr>
        <w:t>2）支队性能指标</w:t>
      </w:r>
    </w:p>
    <w:p w14:paraId="74485356">
      <w:r>
        <w:rPr>
          <w:rFonts w:hint="eastAsia"/>
        </w:rPr>
        <w:t>并发数：</w:t>
      </w:r>
      <w:r>
        <w:t>100</w:t>
      </w:r>
    </w:p>
    <w:p w14:paraId="7A619554">
      <w:r>
        <w:rPr>
          <w:rFonts w:hint="eastAsia"/>
        </w:rPr>
        <w:t>在线用户数：</w:t>
      </w:r>
      <w:r>
        <w:t>2000</w:t>
      </w:r>
    </w:p>
    <w:p w14:paraId="284A318B">
      <w:r>
        <w:rPr>
          <w:rFonts w:hint="eastAsia"/>
        </w:rPr>
        <w:t>平均响应时间：小于</w:t>
      </w:r>
      <w:r>
        <w:t>2</w:t>
      </w:r>
      <w:r>
        <w:rPr>
          <w:rFonts w:hint="eastAsia"/>
        </w:rPr>
        <w:t>秒；</w:t>
      </w:r>
    </w:p>
    <w:p w14:paraId="4E5B801A">
      <w:r>
        <w:rPr>
          <w:rFonts w:hint="eastAsia"/>
        </w:rPr>
        <w:t>峰值响应时间：小于</w:t>
      </w:r>
      <w:r>
        <w:t>3</w:t>
      </w:r>
      <w:r>
        <w:rPr>
          <w:rFonts w:hint="eastAsia"/>
        </w:rPr>
        <w:t>秒。</w:t>
      </w:r>
    </w:p>
    <w:p w14:paraId="377A18A9">
      <w:pPr>
        <w:numPr>
          <w:ilvl w:val="0"/>
          <w:numId w:val="31"/>
        </w:numPr>
      </w:pPr>
      <w:r>
        <w:rPr>
          <w:rFonts w:hint="eastAsia"/>
        </w:rPr>
        <w:t>队伍管理业务系统</w:t>
      </w:r>
    </w:p>
    <w:p w14:paraId="393F3AD1">
      <w:r>
        <w:rPr>
          <w:rFonts w:hint="eastAsia"/>
        </w:rPr>
        <w:t>性能需求以本期应用性能、用户量、功能测算结果为基本点计算得出结果。</w:t>
      </w:r>
    </w:p>
    <w:p w14:paraId="4C0A2878">
      <w:r>
        <w:rPr>
          <w:rFonts w:hint="eastAsia"/>
        </w:rPr>
        <w:t>（</w:t>
      </w:r>
      <w:r>
        <w:t>1</w:t>
      </w:r>
      <w:r>
        <w:rPr>
          <w:rFonts w:hint="eastAsia"/>
        </w:rPr>
        <w:t>）智慧队站管理应用</w:t>
      </w:r>
    </w:p>
    <w:p w14:paraId="17DDC480">
      <w:pPr>
        <w:rPr>
          <w:rFonts w:hint="eastAsia"/>
        </w:rPr>
      </w:pPr>
      <w:r>
        <w:rPr>
          <w:rFonts w:hint="eastAsia"/>
        </w:rPr>
        <w:t>1）总队性能指标</w:t>
      </w:r>
    </w:p>
    <w:p w14:paraId="3A510D9F">
      <w:r>
        <w:rPr>
          <w:rFonts w:hint="eastAsia"/>
        </w:rPr>
        <w:t>并发数：</w:t>
      </w:r>
      <w:r>
        <w:t>20</w:t>
      </w:r>
    </w:p>
    <w:p w14:paraId="7C478B41">
      <w:r>
        <w:rPr>
          <w:rFonts w:hint="eastAsia"/>
        </w:rPr>
        <w:t>在线用户数：</w:t>
      </w:r>
      <w:r>
        <w:t>100</w:t>
      </w:r>
    </w:p>
    <w:p w14:paraId="61DD8007">
      <w:r>
        <w:rPr>
          <w:rFonts w:hint="eastAsia"/>
        </w:rPr>
        <w:t>平均响应时间：小于</w:t>
      </w:r>
      <w:r>
        <w:t>2</w:t>
      </w:r>
      <w:r>
        <w:rPr>
          <w:rFonts w:hint="eastAsia"/>
        </w:rPr>
        <w:t>秒；</w:t>
      </w:r>
    </w:p>
    <w:p w14:paraId="4896A46D">
      <w:r>
        <w:rPr>
          <w:rFonts w:hint="eastAsia"/>
        </w:rPr>
        <w:t>峰值响应时间：小于</w:t>
      </w:r>
      <w:r>
        <w:t>3</w:t>
      </w:r>
      <w:r>
        <w:rPr>
          <w:rFonts w:hint="eastAsia"/>
        </w:rPr>
        <w:t>秒。</w:t>
      </w:r>
    </w:p>
    <w:p w14:paraId="682F77E2">
      <w:r>
        <w:rPr>
          <w:rFonts w:hint="eastAsia"/>
        </w:rPr>
        <w:t>2）支队性能指标</w:t>
      </w:r>
    </w:p>
    <w:p w14:paraId="75DB490B">
      <w:r>
        <w:rPr>
          <w:rFonts w:hint="eastAsia"/>
        </w:rPr>
        <w:t>并发数：</w:t>
      </w:r>
      <w:r>
        <w:t>50</w:t>
      </w:r>
    </w:p>
    <w:p w14:paraId="03C67D71">
      <w:r>
        <w:rPr>
          <w:rFonts w:hint="eastAsia"/>
        </w:rPr>
        <w:t>在线用户数：</w:t>
      </w:r>
      <w:r>
        <w:t>1000</w:t>
      </w:r>
    </w:p>
    <w:p w14:paraId="507D3819">
      <w:r>
        <w:rPr>
          <w:rFonts w:hint="eastAsia"/>
        </w:rPr>
        <w:t>平均响应时间：小于</w:t>
      </w:r>
      <w:r>
        <w:t>2</w:t>
      </w:r>
      <w:r>
        <w:rPr>
          <w:rFonts w:hint="eastAsia"/>
        </w:rPr>
        <w:t>秒；</w:t>
      </w:r>
    </w:p>
    <w:p w14:paraId="18CE0300">
      <w:r>
        <w:rPr>
          <w:rFonts w:hint="eastAsia"/>
        </w:rPr>
        <w:t>峰值响应时间：小于</w:t>
      </w:r>
      <w:r>
        <w:t>3</w:t>
      </w:r>
      <w:r>
        <w:rPr>
          <w:rFonts w:hint="eastAsia"/>
        </w:rPr>
        <w:t>秒。</w:t>
      </w:r>
    </w:p>
    <w:p w14:paraId="103852EE">
      <w:pPr>
        <w:numPr>
          <w:ilvl w:val="0"/>
          <w:numId w:val="31"/>
        </w:numPr>
      </w:pPr>
      <w:r>
        <w:rPr>
          <w:rFonts w:hint="eastAsia"/>
        </w:rPr>
        <w:t>综合保障业务系统</w:t>
      </w:r>
    </w:p>
    <w:p w14:paraId="5256743A">
      <w:pPr>
        <w:ind w:left="480" w:firstLine="0" w:firstLineChars="0"/>
      </w:pPr>
      <w:r>
        <w:rPr>
          <w:rFonts w:hint="eastAsia"/>
        </w:rPr>
        <w:t>性能需求以本期应用性能、用户量、功能测算结果为基本点计算得出结果。</w:t>
      </w:r>
    </w:p>
    <w:p w14:paraId="32EB36C6">
      <w:r>
        <w:rPr>
          <w:rFonts w:hint="eastAsia"/>
        </w:rPr>
        <w:t>（</w:t>
      </w:r>
      <w:r>
        <w:t>1</w:t>
      </w:r>
      <w:r>
        <w:rPr>
          <w:rFonts w:hint="eastAsia"/>
        </w:rPr>
        <w:t>）公众服务应用</w:t>
      </w:r>
    </w:p>
    <w:p w14:paraId="550668A5">
      <w:r>
        <w:rPr>
          <w:rFonts w:hint="eastAsia"/>
        </w:rPr>
        <w:t>并发数：</w:t>
      </w:r>
      <w:r>
        <w:t>80</w:t>
      </w:r>
    </w:p>
    <w:p w14:paraId="63CA1359">
      <w:r>
        <w:rPr>
          <w:rFonts w:hint="eastAsia"/>
        </w:rPr>
        <w:t>在线用户数：</w:t>
      </w:r>
      <w:r>
        <w:t>2000</w:t>
      </w:r>
    </w:p>
    <w:p w14:paraId="4A6BBF2C">
      <w:r>
        <w:rPr>
          <w:rFonts w:hint="eastAsia"/>
        </w:rPr>
        <w:t>平均响应时间：小于</w:t>
      </w:r>
      <w:r>
        <w:t>2</w:t>
      </w:r>
      <w:r>
        <w:rPr>
          <w:rFonts w:hint="eastAsia"/>
        </w:rPr>
        <w:t>秒；</w:t>
      </w:r>
    </w:p>
    <w:p w14:paraId="7A97DC7D">
      <w:r>
        <w:rPr>
          <w:rFonts w:hint="eastAsia"/>
        </w:rPr>
        <w:t>峰值响应时间：小于</w:t>
      </w:r>
      <w:r>
        <w:t>3</w:t>
      </w:r>
      <w:r>
        <w:rPr>
          <w:rFonts w:hint="eastAsia"/>
        </w:rPr>
        <w:t>秒。</w:t>
      </w:r>
    </w:p>
    <w:p w14:paraId="2B064EED">
      <w:r>
        <w:rPr>
          <w:rFonts w:hint="eastAsia"/>
        </w:rPr>
        <w:t>（</w:t>
      </w:r>
      <w:r>
        <w:t>2</w:t>
      </w:r>
      <w:r>
        <w:rPr>
          <w:rFonts w:hint="eastAsia"/>
        </w:rPr>
        <w:t>）消防装备物资智能管理应用</w:t>
      </w:r>
    </w:p>
    <w:p w14:paraId="6EFA037B">
      <w:r>
        <w:rPr>
          <w:rFonts w:hint="eastAsia"/>
        </w:rPr>
        <w:t>并发数：</w:t>
      </w:r>
      <w:r>
        <w:t>50</w:t>
      </w:r>
    </w:p>
    <w:p w14:paraId="04B3D541">
      <w:r>
        <w:rPr>
          <w:rFonts w:hint="eastAsia"/>
        </w:rPr>
        <w:t>在线用户数：</w:t>
      </w:r>
      <w:r>
        <w:t>1000</w:t>
      </w:r>
    </w:p>
    <w:p w14:paraId="56F9EE81">
      <w:r>
        <w:rPr>
          <w:rFonts w:hint="eastAsia"/>
        </w:rPr>
        <w:t>平均响应时间：小于</w:t>
      </w:r>
      <w:r>
        <w:t>2</w:t>
      </w:r>
      <w:r>
        <w:rPr>
          <w:rFonts w:hint="eastAsia"/>
        </w:rPr>
        <w:t>秒；</w:t>
      </w:r>
    </w:p>
    <w:p w14:paraId="3AD5D986">
      <w:r>
        <w:rPr>
          <w:rFonts w:hint="eastAsia"/>
        </w:rPr>
        <w:t>峰值响应时间：小于</w:t>
      </w:r>
      <w:r>
        <w:t>3</w:t>
      </w:r>
      <w:r>
        <w:rPr>
          <w:rFonts w:hint="eastAsia"/>
        </w:rPr>
        <w:t>秒。</w:t>
      </w:r>
    </w:p>
    <w:p w14:paraId="3492F220">
      <w:pPr>
        <w:numPr>
          <w:ilvl w:val="0"/>
          <w:numId w:val="31"/>
        </w:numPr>
      </w:pPr>
      <w:r>
        <w:rPr>
          <w:rFonts w:hint="eastAsia"/>
        </w:rPr>
        <w:t>数据中台</w:t>
      </w:r>
    </w:p>
    <w:p w14:paraId="3293EE0A">
      <w:pPr>
        <w:ind w:left="480" w:firstLine="0" w:firstLineChars="0"/>
      </w:pPr>
      <w:r>
        <w:rPr>
          <w:rFonts w:hint="eastAsia"/>
        </w:rPr>
        <w:t>性能需求以本期应用性能、用户量、功能测算结果为基本点计算得出结果。</w:t>
      </w:r>
    </w:p>
    <w:p w14:paraId="087FB58B">
      <w:r>
        <w:rPr>
          <w:rFonts w:hint="eastAsia"/>
        </w:rPr>
        <w:t>并发数：</w:t>
      </w:r>
      <w:r>
        <w:t>30</w:t>
      </w:r>
    </w:p>
    <w:p w14:paraId="3C359192">
      <w:r>
        <w:rPr>
          <w:rFonts w:hint="eastAsia"/>
        </w:rPr>
        <w:t>在线用户数：</w:t>
      </w:r>
      <w:r>
        <w:t>80</w:t>
      </w:r>
    </w:p>
    <w:p w14:paraId="60B403AE">
      <w:r>
        <w:rPr>
          <w:rFonts w:hint="eastAsia"/>
        </w:rPr>
        <w:t>平均响应时间：小于</w:t>
      </w:r>
      <w:r>
        <w:t>2</w:t>
      </w:r>
      <w:r>
        <w:rPr>
          <w:rFonts w:hint="eastAsia"/>
        </w:rPr>
        <w:t>秒；</w:t>
      </w:r>
    </w:p>
    <w:p w14:paraId="4AD8C4AE">
      <w:pPr>
        <w:rPr>
          <w:rFonts w:hint="eastAsia"/>
        </w:rPr>
      </w:pPr>
      <w:r>
        <w:rPr>
          <w:rFonts w:hint="eastAsia"/>
        </w:rPr>
        <w:t>峰值响应时间：小于</w:t>
      </w:r>
      <w:r>
        <w:t>3</w:t>
      </w:r>
      <w:r>
        <w:rPr>
          <w:rFonts w:hint="eastAsia"/>
        </w:rPr>
        <w:t>秒。</w:t>
      </w:r>
    </w:p>
    <w:p w14:paraId="6DF30A23">
      <w:pPr>
        <w:numPr>
          <w:ilvl w:val="0"/>
          <w:numId w:val="32"/>
        </w:numPr>
      </w:pPr>
      <w:r>
        <w:rPr>
          <w:rFonts w:hint="eastAsia"/>
          <w:lang w:eastAsia="zh-CN"/>
        </w:rPr>
        <w:t>XXX</w:t>
      </w:r>
      <w:r>
        <w:t>消防业务融合平台</w:t>
      </w:r>
    </w:p>
    <w:p w14:paraId="1C009718">
      <w:pPr>
        <w:rPr>
          <w:lang w:eastAsia="zh-Hans"/>
        </w:rPr>
      </w:pPr>
      <w:r>
        <w:rPr>
          <w:rFonts w:hint="eastAsia"/>
          <w:lang w:eastAsia="zh-Hans"/>
        </w:rPr>
        <w:t>并发数</w:t>
      </w:r>
      <w:r>
        <w:rPr>
          <w:lang w:eastAsia="zh-Hans"/>
        </w:rPr>
        <w:t>：20</w:t>
      </w:r>
    </w:p>
    <w:p w14:paraId="0C52E529">
      <w:r>
        <w:rPr>
          <w:rFonts w:hint="eastAsia"/>
        </w:rPr>
        <w:t>平均响应时间：小于</w:t>
      </w:r>
      <w:r>
        <w:t>2</w:t>
      </w:r>
      <w:r>
        <w:rPr>
          <w:rFonts w:hint="eastAsia"/>
        </w:rPr>
        <w:t>秒；</w:t>
      </w:r>
    </w:p>
    <w:p w14:paraId="56CEB127">
      <w:pPr>
        <w:rPr>
          <w:rFonts w:hint="eastAsia"/>
        </w:rPr>
      </w:pPr>
      <w:r>
        <w:rPr>
          <w:rFonts w:hint="eastAsia"/>
        </w:rPr>
        <w:t>峰值响应时间：小于</w:t>
      </w:r>
      <w:r>
        <w:t>3</w:t>
      </w:r>
      <w:r>
        <w:rPr>
          <w:rFonts w:hint="eastAsia"/>
        </w:rPr>
        <w:t>秒。</w:t>
      </w:r>
    </w:p>
    <w:p w14:paraId="27AD6879">
      <w:pPr>
        <w:numPr>
          <w:ilvl w:val="0"/>
          <w:numId w:val="32"/>
        </w:numPr>
      </w:pPr>
      <w:r>
        <w:rPr>
          <w:rFonts w:hint="eastAsia"/>
        </w:rPr>
        <w:t>社会联动力量支撑系统</w:t>
      </w:r>
    </w:p>
    <w:p w14:paraId="4D1C16D6">
      <w:pPr>
        <w:ind w:left="480" w:firstLine="0" w:firstLineChars="0"/>
        <w:rPr>
          <w:rFonts w:hint="eastAsia"/>
        </w:rPr>
      </w:pPr>
      <w:r>
        <w:t>地图查询性能：500个用户并发在线请求，服务响应</w:t>
      </w:r>
      <w:r>
        <w:rPr>
          <w:rFonts w:hint="eastAsia"/>
          <w:lang w:eastAsia="zh-Hans"/>
        </w:rPr>
        <w:t>时间小于</w:t>
      </w:r>
      <w:r>
        <w:t>500</w:t>
      </w:r>
      <w:r>
        <w:rPr>
          <w:rFonts w:hint="eastAsia"/>
          <w:lang w:eastAsia="zh-Hans"/>
        </w:rPr>
        <w:t>毫秒</w:t>
      </w:r>
      <w:r>
        <w:rPr>
          <w:rFonts w:hint="eastAsia"/>
        </w:rPr>
        <w:t>；</w:t>
      </w:r>
    </w:p>
    <w:p w14:paraId="41E8607A">
      <w:pPr>
        <w:ind w:left="480" w:firstLine="0" w:firstLineChars="0"/>
        <w:rPr>
          <w:rFonts w:hint="eastAsia"/>
        </w:rPr>
      </w:pPr>
      <w:r>
        <w:t>地图分析性能：100个用户并发在线分析，服务响应</w:t>
      </w:r>
      <w:r>
        <w:rPr>
          <w:rFonts w:hint="eastAsia"/>
          <w:lang w:eastAsia="zh-Hans"/>
        </w:rPr>
        <w:t>时间小于</w:t>
      </w:r>
      <w:r>
        <w:t>1</w:t>
      </w:r>
      <w:r>
        <w:rPr>
          <w:rFonts w:hint="eastAsia"/>
          <w:lang w:eastAsia="zh-Hans"/>
        </w:rPr>
        <w:t>秒</w:t>
      </w:r>
      <w:r>
        <w:rPr>
          <w:rFonts w:hint="eastAsia"/>
        </w:rPr>
        <w:t>；</w:t>
      </w:r>
    </w:p>
    <w:p w14:paraId="736589E0">
      <w:pPr>
        <w:ind w:left="480" w:firstLine="0" w:firstLineChars="0"/>
        <w:rPr>
          <w:rFonts w:hint="eastAsia"/>
        </w:rPr>
      </w:pPr>
      <w:r>
        <w:t>坐标转换性能：500个用户并发在线请求，服务响应</w:t>
      </w:r>
      <w:r>
        <w:rPr>
          <w:rFonts w:hint="eastAsia"/>
          <w:lang w:eastAsia="zh-Hans"/>
        </w:rPr>
        <w:t>时间小于</w:t>
      </w:r>
      <w:r>
        <w:rPr>
          <w:lang w:eastAsia="zh-Hans"/>
        </w:rPr>
        <w:t>1</w:t>
      </w:r>
      <w:r>
        <w:t>00</w:t>
      </w:r>
      <w:r>
        <w:rPr>
          <w:rFonts w:hint="eastAsia"/>
          <w:lang w:eastAsia="zh-Hans"/>
        </w:rPr>
        <w:t>毫秒</w:t>
      </w:r>
      <w:r>
        <w:rPr>
          <w:rFonts w:hint="eastAsia"/>
        </w:rPr>
        <w:t>；</w:t>
      </w:r>
    </w:p>
    <w:p w14:paraId="251C77F1">
      <w:pPr>
        <w:ind w:left="480" w:firstLine="0" w:firstLineChars="0"/>
        <w:rPr>
          <w:rFonts w:hint="eastAsia"/>
        </w:rPr>
      </w:pPr>
      <w:r>
        <w:t>路况渲染性能：100个用户并发在线分析，服务响应</w:t>
      </w:r>
      <w:r>
        <w:rPr>
          <w:rFonts w:hint="eastAsia"/>
          <w:lang w:eastAsia="zh-Hans"/>
        </w:rPr>
        <w:t>时间小于</w:t>
      </w:r>
      <w:r>
        <w:t>500</w:t>
      </w:r>
      <w:r>
        <w:rPr>
          <w:rFonts w:hint="eastAsia"/>
          <w:lang w:eastAsia="zh-Hans"/>
        </w:rPr>
        <w:t>毫秒</w:t>
      </w:r>
      <w:r>
        <w:rPr>
          <w:rFonts w:hint="eastAsia"/>
        </w:rPr>
        <w:t>；</w:t>
      </w:r>
    </w:p>
    <w:p w14:paraId="7D7F6A3E">
      <w:pPr>
        <w:ind w:left="480" w:firstLine="0" w:firstLineChars="0"/>
        <w:rPr>
          <w:rFonts w:hint="eastAsia"/>
        </w:rPr>
      </w:pPr>
      <w:r>
        <w:t>数据图形化、可视化展现性能：100个用户并发在线分析，服务响应</w:t>
      </w:r>
      <w:r>
        <w:rPr>
          <w:rFonts w:hint="eastAsia"/>
          <w:lang w:eastAsia="zh-Hans"/>
        </w:rPr>
        <w:t>时间小于</w:t>
      </w:r>
      <w:r>
        <w:t>1</w:t>
      </w:r>
      <w:r>
        <w:rPr>
          <w:rFonts w:hint="eastAsia"/>
          <w:lang w:eastAsia="zh-Hans"/>
        </w:rPr>
        <w:t>秒</w:t>
      </w:r>
      <w:r>
        <w:rPr>
          <w:rFonts w:hint="eastAsia"/>
        </w:rPr>
        <w:t>；</w:t>
      </w:r>
    </w:p>
    <w:p w14:paraId="6FA48E64">
      <w:pPr>
        <w:ind w:left="480" w:firstLine="0" w:firstLineChars="0"/>
        <w:rPr>
          <w:rFonts w:hint="eastAsia"/>
        </w:rPr>
      </w:pPr>
      <w:r>
        <w:t>量测等辅助地图工具性能：100个用户并发在线分析，服务响应</w:t>
      </w:r>
      <w:r>
        <w:rPr>
          <w:rFonts w:hint="eastAsia"/>
          <w:lang w:eastAsia="zh-Hans"/>
        </w:rPr>
        <w:t>时间小于</w:t>
      </w:r>
      <w:r>
        <w:t>1</w:t>
      </w:r>
      <w:r>
        <w:rPr>
          <w:rFonts w:hint="eastAsia"/>
          <w:lang w:eastAsia="zh-Hans"/>
        </w:rPr>
        <w:t>秒</w:t>
      </w:r>
      <w:r>
        <w:rPr>
          <w:rFonts w:hint="eastAsia"/>
        </w:rPr>
        <w:t>；</w:t>
      </w:r>
    </w:p>
    <w:p w14:paraId="26324F48">
      <w:pPr>
        <w:widowControl/>
        <w:spacing w:before="120" w:after="120"/>
        <w:ind w:firstLine="0" w:firstLineChars="0"/>
        <w:outlineLvl w:val="3"/>
        <w:rPr>
          <w:rFonts w:ascii="宋体" w:hAnsi="宋体"/>
          <w:b/>
          <w:bCs/>
          <w:kern w:val="0"/>
          <w:sz w:val="28"/>
          <w:szCs w:val="28"/>
        </w:rPr>
      </w:pPr>
      <w:r>
        <w:rPr>
          <w:rFonts w:hint="eastAsia" w:ascii="宋体" w:hAnsi="宋体"/>
          <w:b/>
          <w:bCs/>
          <w:kern w:val="0"/>
          <w:sz w:val="28"/>
          <w:szCs w:val="28"/>
        </w:rPr>
        <w:t>3.3.3.6支撑能力需求分析</w:t>
      </w:r>
    </w:p>
    <w:p w14:paraId="00DAF91A">
      <w:pPr>
        <w:numPr>
          <w:ilvl w:val="0"/>
          <w:numId w:val="35"/>
        </w:numPr>
        <w:rPr>
          <w:lang w:eastAsia="zh-Hans"/>
        </w:rPr>
      </w:pPr>
      <w:r>
        <w:rPr>
          <w:rFonts w:hint="eastAsia"/>
        </w:rPr>
        <w:t>信息化基础设施</w:t>
      </w:r>
      <w:r>
        <w:rPr>
          <w:rFonts w:hint="eastAsia"/>
          <w:lang w:eastAsia="zh-Hans"/>
        </w:rPr>
        <w:t>方面</w:t>
      </w:r>
    </w:p>
    <w:p w14:paraId="1DAF1AAC">
      <w:r>
        <w:rPr>
          <w:rFonts w:hint="eastAsia"/>
        </w:rPr>
        <w:t>指挥信息网是承载应急消防救援指挥等关键业务和传输音视频等大容量信息数据的地面有线通道。根据应急管理部指挥信息网总体规划要求，由核心层、汇聚层和接入层组成，应急管理部统一建设指挥信息网核心层、汇聚层的骨干网，消防救援局、各总队依托原指挥信息网整体接入骨干网，形成上下贯通的指挥信息网，为“消防救援局、总队、支队、大（中）队”四级指挥提供网络支撑。目前，指挥信息网已接入了指挥信息网（专网）视频会商、卫星通信、</w:t>
      </w:r>
      <w:r>
        <w:t>4/5G</w:t>
      </w:r>
      <w:r>
        <w:rPr>
          <w:rFonts w:hint="eastAsia"/>
        </w:rPr>
        <w:t>专线通信等网络视频资源，用于消防救援队伍承担灾害救援期间部</w:t>
      </w:r>
      <w:r>
        <w:t>-</w:t>
      </w:r>
      <w:r>
        <w:rPr>
          <w:rFonts w:hint="eastAsia"/>
        </w:rPr>
        <w:t>省</w:t>
      </w:r>
      <w:r>
        <w:t>-</w:t>
      </w:r>
      <w:r>
        <w:rPr>
          <w:rFonts w:hint="eastAsia"/>
        </w:rPr>
        <w:t>市</w:t>
      </w:r>
      <w:r>
        <w:t>-</w:t>
      </w:r>
      <w:r>
        <w:rPr>
          <w:rFonts w:hint="eastAsia"/>
        </w:rPr>
        <w:t>县快速连通的远程调度指挥和应急通信保障工作。</w:t>
      </w:r>
      <w:r>
        <w:rPr>
          <w:rFonts w:hint="eastAsia"/>
          <w:lang w:eastAsia="zh-CN"/>
        </w:rPr>
        <w:t>XXX</w:t>
      </w:r>
      <w:r>
        <w:rPr>
          <w:rFonts w:hint="eastAsia"/>
        </w:rPr>
        <w:t>消防救援总队指挥信息网与互联网、电子政务外网三张网络目前为物理隔离状态，相互独立运行。</w:t>
      </w:r>
    </w:p>
    <w:p w14:paraId="3A49C34A">
      <w:pPr>
        <w:rPr>
          <w:rFonts w:hint="eastAsia"/>
          <w:lang w:eastAsia="zh-Hans"/>
        </w:rPr>
      </w:pPr>
      <w:r>
        <w:rPr>
          <w:rFonts w:hint="eastAsia"/>
        </w:rPr>
        <w:t>消防救援局印发《应急指挥信息网接入工作指导意见》</w:t>
      </w:r>
      <w:r>
        <w:rPr>
          <w:rFonts w:hint="eastAsia"/>
          <w:lang w:eastAsia="zh-Hans"/>
        </w:rPr>
        <w:t>要求应急指挥信息网在各消防救援总队与省电子政务外网、互联网、其他行业专网的业务数据交换，通过建设安全交换区统一实现。也就是说要求在总队层面实现指挥信息网、电子政务外网、互联网三网融合。</w:t>
      </w:r>
    </w:p>
    <w:p w14:paraId="70F82CF5">
      <w:pPr>
        <w:numPr>
          <w:ilvl w:val="0"/>
          <w:numId w:val="35"/>
        </w:numPr>
      </w:pPr>
      <w:r>
        <w:rPr>
          <w:rFonts w:hint="eastAsia"/>
        </w:rPr>
        <w:t>数据中台建设方面</w:t>
      </w:r>
    </w:p>
    <w:p w14:paraId="755A0F53">
      <w:r>
        <w:rPr>
          <w:rFonts w:hint="eastAsia"/>
        </w:rPr>
        <w:t>为了对</w:t>
      </w:r>
      <w:r>
        <w:t>火灾防控、应急救援</w:t>
      </w:r>
      <w:r>
        <w:rPr>
          <w:rFonts w:hint="eastAsia"/>
        </w:rPr>
        <w:t>、队伍管理、综合保障</w:t>
      </w:r>
      <w:r>
        <w:t>等业务工作提供消防大数据分析</w:t>
      </w:r>
      <w:r>
        <w:rPr>
          <w:rFonts w:hint="eastAsia"/>
        </w:rPr>
        <w:t>与</w:t>
      </w:r>
      <w:r>
        <w:t>使用</w:t>
      </w:r>
      <w:r>
        <w:rPr>
          <w:rFonts w:hint="eastAsia"/>
        </w:rPr>
        <w:t>的能力</w:t>
      </w:r>
      <w:r>
        <w:t>支撑</w:t>
      </w:r>
      <w:r>
        <w:rPr>
          <w:rFonts w:hint="eastAsia"/>
        </w:rPr>
        <w:t>，需建设数据中台。</w:t>
      </w:r>
      <w:r>
        <w:rPr>
          <w:rFonts w:hint="eastAsia"/>
          <w:lang w:eastAsia="zh-Hans"/>
        </w:rPr>
        <w:t>数据中台是数据共享、能力复用平台，是数字化转型的基础和中枢系统。将全域海量、多源、异构的数据整合资产化，为业务前台提供数据资源和能力的支撑，以实现数据驱动的精细化运营。</w:t>
      </w:r>
      <w:r>
        <w:t>本期消防</w:t>
      </w:r>
      <w:r>
        <w:rPr>
          <w:rFonts w:hint="eastAsia"/>
        </w:rPr>
        <w:t>数据中台建设</w:t>
      </w:r>
      <w:r>
        <w:t>需求主要包括：为数据接入、数据汇聚、数据存储、</w:t>
      </w:r>
      <w:r>
        <w:rPr>
          <w:rFonts w:hint="eastAsia"/>
        </w:rPr>
        <w:t>数据管控、</w:t>
      </w:r>
      <w:r>
        <w:t>数据发布、数据</w:t>
      </w:r>
      <w:r>
        <w:rPr>
          <w:rFonts w:hint="eastAsia"/>
        </w:rPr>
        <w:t>共享</w:t>
      </w:r>
      <w:r>
        <w:t>交换提供强</w:t>
      </w:r>
      <w:r>
        <w:rPr>
          <w:rFonts w:hint="eastAsia"/>
        </w:rPr>
        <w:t>有力的</w:t>
      </w:r>
      <w:r>
        <w:t>技术</w:t>
      </w:r>
      <w:r>
        <w:rPr>
          <w:rFonts w:hint="eastAsia"/>
        </w:rPr>
        <w:t>支撑工具</w:t>
      </w:r>
      <w:r>
        <w:t>，确保数据治理工作</w:t>
      </w:r>
      <w:r>
        <w:rPr>
          <w:rFonts w:hint="eastAsia"/>
        </w:rPr>
        <w:t>的</w:t>
      </w:r>
      <w:r>
        <w:t>规范、统一、有据。</w:t>
      </w:r>
    </w:p>
    <w:p w14:paraId="730C2997">
      <w:pPr>
        <w:numPr>
          <w:ilvl w:val="0"/>
          <w:numId w:val="35"/>
        </w:numPr>
        <w:rPr>
          <w:lang w:eastAsia="zh-Hans"/>
        </w:rPr>
      </w:pPr>
      <w:r>
        <w:rPr>
          <w:rFonts w:hint="eastAsia"/>
          <w:lang w:eastAsia="zh-Hans"/>
        </w:rPr>
        <w:t>移动终端接入方面</w:t>
      </w:r>
    </w:p>
    <w:p w14:paraId="286714D6">
      <w:pPr>
        <w:rPr>
          <w:lang w:eastAsia="zh-Hans"/>
        </w:rPr>
      </w:pPr>
      <w:r>
        <w:rPr>
          <w:rFonts w:hint="eastAsia"/>
          <w:lang w:eastAsia="zh-Hans"/>
        </w:rPr>
        <w:t>为了进一步扩展信息化服务消防的使用场景范围，使一线人员能够更好、更方便的使用信息化系统降低安全风险、减轻工作压力，同时使用适应智能化移动化的发展趋势，需要在可知、可管、可控的前提下发展指挥信息网针对智能移动终端的接入管理能力，实现终端安全、数据安全、链路安全、应用安全。</w:t>
      </w:r>
    </w:p>
    <w:p w14:paraId="68E9807D">
      <w:pPr>
        <w:widowControl/>
        <w:spacing w:before="120" w:after="120"/>
        <w:ind w:firstLine="0" w:firstLineChars="0"/>
        <w:outlineLvl w:val="3"/>
        <w:rPr>
          <w:rFonts w:ascii="宋体" w:hAnsi="宋体"/>
          <w:b/>
          <w:bCs/>
          <w:kern w:val="0"/>
          <w:sz w:val="28"/>
          <w:szCs w:val="28"/>
        </w:rPr>
      </w:pPr>
      <w:r>
        <w:rPr>
          <w:rFonts w:hint="eastAsia" w:ascii="宋体" w:hAnsi="宋体"/>
          <w:b/>
          <w:bCs/>
          <w:kern w:val="0"/>
          <w:sz w:val="28"/>
          <w:szCs w:val="28"/>
        </w:rPr>
        <w:t>3.3.3.</w:t>
      </w:r>
      <w:r>
        <w:rPr>
          <w:rFonts w:ascii="宋体" w:hAnsi="宋体"/>
          <w:b/>
          <w:bCs/>
          <w:kern w:val="0"/>
          <w:sz w:val="28"/>
          <w:szCs w:val="28"/>
        </w:rPr>
        <w:t>7</w:t>
      </w:r>
      <w:r>
        <w:rPr>
          <w:rFonts w:hint="eastAsia" w:ascii="宋体" w:hAnsi="宋体"/>
          <w:b/>
          <w:bCs/>
          <w:kern w:val="0"/>
          <w:sz w:val="28"/>
          <w:szCs w:val="28"/>
        </w:rPr>
        <w:t>开发环境需求分析</w:t>
      </w:r>
    </w:p>
    <w:p w14:paraId="28133C24">
      <w:r>
        <w:rPr>
          <w:rFonts w:hint="eastAsia"/>
        </w:rPr>
        <w:t>系统应用平台开发环境由后端服务，PC端服务，APP应用组成。考虑到信息化建设国家对国产化的要求，本次开发环境需要全部选用国产化的开发环境。</w:t>
      </w:r>
    </w:p>
    <w:p w14:paraId="4161BDFD">
      <w:pPr>
        <w:numPr>
          <w:ilvl w:val="0"/>
          <w:numId w:val="36"/>
        </w:numPr>
      </w:pPr>
      <w:r>
        <w:rPr>
          <w:rFonts w:hint="eastAsia"/>
        </w:rPr>
        <w:t>后端服务</w:t>
      </w:r>
    </w:p>
    <w:p w14:paraId="04D2625A">
      <w:r>
        <w:rPr>
          <w:rFonts w:hint="eastAsia"/>
        </w:rPr>
        <w:t>操作系统：麒麟v10</w:t>
      </w:r>
    </w:p>
    <w:p w14:paraId="56829B01">
      <w:r>
        <w:rPr>
          <w:rFonts w:hint="eastAsia"/>
        </w:rPr>
        <w:t>编译环境：JDK8</w:t>
      </w:r>
    </w:p>
    <w:p w14:paraId="24430D9C">
      <w:r>
        <w:rPr>
          <w:rFonts w:hint="eastAsia"/>
        </w:rPr>
        <w:t>数据库：人大金仓V8R6 达梦8  redis3.0.5  postgredb11</w:t>
      </w:r>
    </w:p>
    <w:p w14:paraId="5D6A0F2B">
      <w:r>
        <w:rPr>
          <w:rFonts w:hint="eastAsia"/>
        </w:rPr>
        <w:t>消息组件：kafka2.11</w:t>
      </w:r>
    </w:p>
    <w:p w14:paraId="25291CCC">
      <w:r>
        <w:rPr>
          <w:rFonts w:hint="eastAsia"/>
        </w:rPr>
        <w:t xml:space="preserve">开发工具：eclipse </w:t>
      </w:r>
    </w:p>
    <w:p w14:paraId="36F5462B">
      <w:pPr>
        <w:numPr>
          <w:ilvl w:val="0"/>
          <w:numId w:val="36"/>
        </w:numPr>
      </w:pPr>
      <w:r>
        <w:rPr>
          <w:rFonts w:hint="eastAsia"/>
        </w:rPr>
        <w:t>PC端</w:t>
      </w:r>
    </w:p>
    <w:p w14:paraId="1C19681D">
      <w:r>
        <w:rPr>
          <w:rFonts w:hint="eastAsia"/>
        </w:rPr>
        <w:t>操作系统：麒麟v10</w:t>
      </w:r>
    </w:p>
    <w:p w14:paraId="533EDE38">
      <w:r>
        <w:rPr>
          <w:rFonts w:hint="eastAsia"/>
        </w:rPr>
        <w:t>编译环境：NodeJs 14+</w:t>
      </w:r>
    </w:p>
    <w:p w14:paraId="4C18805E">
      <w:r>
        <w:rPr>
          <w:rFonts w:hint="eastAsia"/>
        </w:rPr>
        <w:t>UI组件库：Element Plus、Naive UI</w:t>
      </w:r>
    </w:p>
    <w:p w14:paraId="5B1D4C0D">
      <w:r>
        <w:rPr>
          <w:rFonts w:hint="eastAsia"/>
        </w:rPr>
        <w:t>开发工具：VS Code、WebStorm</w:t>
      </w:r>
    </w:p>
    <w:p w14:paraId="3C5F1BC3">
      <w:pPr>
        <w:numPr>
          <w:ilvl w:val="0"/>
          <w:numId w:val="36"/>
        </w:numPr>
      </w:pPr>
      <w:r>
        <w:rPr>
          <w:rFonts w:hint="eastAsia"/>
        </w:rPr>
        <w:t>APP应用</w:t>
      </w:r>
    </w:p>
    <w:p w14:paraId="3D66EDE0">
      <w:r>
        <w:rPr>
          <w:rFonts w:hint="eastAsia"/>
        </w:rPr>
        <w:t>操作系统：Android9以上、HarmonyOS2.0.0以上</w:t>
      </w:r>
    </w:p>
    <w:p w14:paraId="64C4E238">
      <w:r>
        <w:rPr>
          <w:rFonts w:hint="eastAsia"/>
        </w:rPr>
        <w:t>编译环境：ApiCloud</w:t>
      </w:r>
    </w:p>
    <w:p w14:paraId="1EEF9D39">
      <w:r>
        <w:rPr>
          <w:rFonts w:hint="eastAsia"/>
        </w:rPr>
        <w:t>开发工具：VS Code、WebStorm</w:t>
      </w:r>
    </w:p>
    <w:p w14:paraId="15AC2B79">
      <w:pPr>
        <w:pStyle w:val="3"/>
      </w:pPr>
      <w:bookmarkStart w:id="14" w:name="_Toc4462"/>
      <w:r>
        <w:rPr>
          <w:rFonts w:hint="eastAsia"/>
        </w:rPr>
        <w:t>3.4数据量分析与预测</w:t>
      </w:r>
      <w:bookmarkEnd w:id="14"/>
    </w:p>
    <w:p w14:paraId="01250127">
      <w:pPr>
        <w:pStyle w:val="5"/>
      </w:pPr>
      <w:bookmarkStart w:id="15" w:name="_Toc10628"/>
      <w:r>
        <w:rPr>
          <w:rFonts w:hint="eastAsia"/>
        </w:rPr>
        <w:t>3.4.1用户量分析估算</w:t>
      </w:r>
      <w:bookmarkEnd w:id="15"/>
    </w:p>
    <w:p w14:paraId="582BA47B">
      <w:pPr>
        <w:rPr>
          <w:color w:val="000000"/>
        </w:rPr>
      </w:pPr>
      <w:r>
        <w:rPr>
          <w:rFonts w:hint="eastAsia"/>
          <w:lang w:eastAsia="zh-CN"/>
        </w:rPr>
        <w:t>XXX</w:t>
      </w:r>
      <w:r>
        <w:rPr>
          <w:rFonts w:hint="eastAsia"/>
        </w:rPr>
        <w:t>省“智慧消防”平台主要部署指挥信息网、电子政务外网。经调研，指挥信息网侧用户主要包括总队和</w:t>
      </w:r>
      <w:r>
        <w:t>13</w:t>
      </w:r>
      <w:r>
        <w:rPr>
          <w:rFonts w:hint="eastAsia"/>
        </w:rPr>
        <w:t>个支队的消防工作人员，约为</w:t>
      </w:r>
      <w:r>
        <w:t>11000</w:t>
      </w:r>
      <w:r>
        <w:rPr>
          <w:rFonts w:hint="eastAsia"/>
        </w:rPr>
        <w:t>个用户量，加上行业协调部门、公安派</w:t>
      </w:r>
      <w:r>
        <w:rPr>
          <w:rFonts w:hint="eastAsia"/>
          <w:color w:val="000000"/>
        </w:rPr>
        <w:t>出所、消防所、系统管理员等初步预估电子政务外网侧的用户量约为</w:t>
      </w:r>
      <w:r>
        <w:rPr>
          <w:color w:val="000000"/>
        </w:rPr>
        <w:t>15018</w:t>
      </w:r>
      <w:r>
        <w:rPr>
          <w:rFonts w:hint="eastAsia"/>
          <w:color w:val="000000"/>
        </w:rPr>
        <w:t>个用户（此用户数以项目建设未来三年来预估考量）</w:t>
      </w:r>
    </w:p>
    <w:p w14:paraId="38C93A91">
      <w:pPr>
        <w:rPr>
          <w:rFonts w:hint="eastAsia"/>
          <w:color w:val="000000"/>
        </w:rPr>
      </w:pPr>
      <w:r>
        <w:rPr>
          <w:rFonts w:hint="eastAsia"/>
          <w:color w:val="000000"/>
        </w:rPr>
        <w:t>数据表如下所示：</w:t>
      </w:r>
    </w:p>
    <w:p w14:paraId="490C6596">
      <w:pPr>
        <w:pStyle w:val="2"/>
        <w:rPr>
          <w:rFonts w:hint="eastAsia"/>
        </w:rPr>
      </w:pPr>
    </w:p>
    <w:p w14:paraId="365BE32A">
      <w:pPr>
        <w:rPr>
          <w:rFonts w:hint="eastAsia"/>
        </w:rPr>
      </w:pPr>
    </w:p>
    <w:p w14:paraId="0AF24E09">
      <w:pPr>
        <w:pStyle w:val="2"/>
        <w:rPr>
          <w:rFonts w:hint="eastAsia"/>
        </w:rPr>
      </w:pPr>
    </w:p>
    <w:p w14:paraId="3973B74D">
      <w:pPr>
        <w:pStyle w:val="15"/>
        <w:rPr>
          <w:rFonts w:hint="eastAsia" w:ascii="黑体" w:hAnsi="黑体" w:cs="黑体"/>
        </w:rPr>
      </w:pPr>
      <w:r>
        <w:rPr>
          <w:rFonts w:hint="eastAsia" w:ascii="黑体" w:hAnsi="黑体" w:cs="黑体"/>
        </w:rPr>
        <w:t>表3-12 电子政务外网侧用户量统计表</w:t>
      </w:r>
    </w:p>
    <w:tbl>
      <w:tblPr>
        <w:tblStyle w:val="12"/>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57" w:type="dxa"/>
          <w:left w:w="57" w:type="dxa"/>
          <w:bottom w:w="57" w:type="dxa"/>
          <w:right w:w="57" w:type="dxa"/>
        </w:tblCellMar>
      </w:tblPr>
      <w:tblGrid>
        <w:gridCol w:w="729"/>
        <w:gridCol w:w="2202"/>
        <w:gridCol w:w="1457"/>
        <w:gridCol w:w="4683"/>
      </w:tblGrid>
      <w:tr w14:paraId="39343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397" w:hRule="atLeast"/>
          <w:tblHeader/>
          <w:jc w:val="center"/>
        </w:trPr>
        <w:tc>
          <w:tcPr>
            <w:tcW w:w="402" w:type="pct"/>
            <w:tcBorders>
              <w:top w:val="single" w:color="000000" w:sz="4" w:space="0"/>
              <w:left w:val="single" w:color="000000" w:sz="4" w:space="0"/>
              <w:bottom w:val="single" w:color="000000" w:sz="4" w:space="0"/>
              <w:right w:val="single" w:color="000000" w:sz="4" w:space="0"/>
            </w:tcBorders>
            <w:shd w:val="clear" w:color="auto" w:fill="F1F1F1"/>
            <w:noWrap w:val="0"/>
            <w:tcMar>
              <w:top w:w="85" w:type="dxa"/>
              <w:left w:w="57" w:type="dxa"/>
              <w:bottom w:w="85" w:type="dxa"/>
              <w:right w:w="57" w:type="dxa"/>
            </w:tcMar>
            <w:vAlign w:val="center"/>
          </w:tcPr>
          <w:p w14:paraId="314403C6">
            <w:pPr>
              <w:pStyle w:val="18"/>
              <w:spacing w:line="240" w:lineRule="auto"/>
              <w:jc w:val="center"/>
              <w:rPr>
                <w:rFonts w:hint="eastAsia" w:ascii="宋体" w:hAnsi="宋体" w:eastAsia="宋体" w:cs="宋体"/>
                <w:b/>
                <w:bCs/>
                <w:sz w:val="21"/>
                <w:szCs w:val="21"/>
              </w:rPr>
            </w:pPr>
            <w:r>
              <w:rPr>
                <w:rFonts w:hint="eastAsia" w:ascii="宋体" w:hAnsi="宋体" w:eastAsia="宋体" w:cs="宋体"/>
                <w:b/>
                <w:bCs/>
                <w:sz w:val="21"/>
                <w:szCs w:val="21"/>
              </w:rPr>
              <w:t>序号</w:t>
            </w:r>
          </w:p>
        </w:tc>
        <w:tc>
          <w:tcPr>
            <w:tcW w:w="1214" w:type="pct"/>
            <w:tcBorders>
              <w:top w:val="single" w:color="000000" w:sz="4" w:space="0"/>
              <w:left w:val="single" w:color="000000" w:sz="4" w:space="0"/>
              <w:bottom w:val="single" w:color="000000" w:sz="4" w:space="0"/>
              <w:right w:val="single" w:color="000000" w:sz="4" w:space="0"/>
            </w:tcBorders>
            <w:shd w:val="clear" w:color="auto" w:fill="F1F1F1"/>
            <w:noWrap w:val="0"/>
            <w:tcMar>
              <w:top w:w="85" w:type="dxa"/>
              <w:left w:w="57" w:type="dxa"/>
              <w:bottom w:w="85" w:type="dxa"/>
              <w:right w:w="57" w:type="dxa"/>
            </w:tcMar>
            <w:vAlign w:val="center"/>
          </w:tcPr>
          <w:p w14:paraId="4DEB2DD4">
            <w:pPr>
              <w:pStyle w:val="18"/>
              <w:spacing w:line="240" w:lineRule="auto"/>
              <w:ind w:left="482"/>
              <w:jc w:val="center"/>
              <w:rPr>
                <w:rFonts w:hint="eastAsia" w:ascii="宋体" w:hAnsi="宋体" w:eastAsia="宋体" w:cs="宋体"/>
                <w:b/>
                <w:bCs/>
                <w:sz w:val="21"/>
                <w:szCs w:val="21"/>
              </w:rPr>
            </w:pPr>
            <w:r>
              <w:rPr>
                <w:rFonts w:hint="eastAsia" w:ascii="宋体" w:hAnsi="宋体" w:eastAsia="宋体" w:cs="宋体"/>
                <w:b/>
                <w:bCs/>
                <w:sz w:val="21"/>
                <w:szCs w:val="21"/>
              </w:rPr>
              <w:t>单位</w:t>
            </w:r>
          </w:p>
        </w:tc>
        <w:tc>
          <w:tcPr>
            <w:tcW w:w="803" w:type="pct"/>
            <w:tcBorders>
              <w:top w:val="single" w:color="000000" w:sz="4" w:space="0"/>
              <w:left w:val="single" w:color="000000" w:sz="4" w:space="0"/>
              <w:bottom w:val="single" w:color="000000" w:sz="4" w:space="0"/>
              <w:right w:val="single" w:color="000000" w:sz="4" w:space="0"/>
            </w:tcBorders>
            <w:shd w:val="clear" w:color="auto" w:fill="F1F1F1"/>
            <w:noWrap w:val="0"/>
            <w:tcMar>
              <w:top w:w="85" w:type="dxa"/>
              <w:left w:w="57" w:type="dxa"/>
              <w:bottom w:w="85" w:type="dxa"/>
              <w:right w:w="57" w:type="dxa"/>
            </w:tcMar>
            <w:vAlign w:val="center"/>
          </w:tcPr>
          <w:p w14:paraId="6925E7D9">
            <w:pPr>
              <w:pStyle w:val="18"/>
              <w:spacing w:line="240" w:lineRule="auto"/>
              <w:jc w:val="center"/>
              <w:rPr>
                <w:rFonts w:hint="eastAsia" w:ascii="宋体" w:hAnsi="宋体" w:eastAsia="宋体" w:cs="宋体"/>
                <w:b/>
                <w:bCs/>
                <w:sz w:val="21"/>
                <w:szCs w:val="21"/>
              </w:rPr>
            </w:pPr>
            <w:r>
              <w:rPr>
                <w:rFonts w:hint="eastAsia" w:ascii="宋体" w:hAnsi="宋体" w:eastAsia="宋体" w:cs="宋体"/>
                <w:b/>
                <w:bCs/>
                <w:sz w:val="21"/>
                <w:szCs w:val="21"/>
              </w:rPr>
              <w:t>用户数</w:t>
            </w:r>
          </w:p>
        </w:tc>
        <w:tc>
          <w:tcPr>
            <w:tcW w:w="2581" w:type="pct"/>
            <w:tcBorders>
              <w:top w:val="single" w:color="000000" w:sz="4" w:space="0"/>
              <w:left w:val="single" w:color="000000" w:sz="4" w:space="0"/>
              <w:bottom w:val="single" w:color="000000" w:sz="4" w:space="0"/>
              <w:right w:val="single" w:color="000000" w:sz="4" w:space="0"/>
            </w:tcBorders>
            <w:shd w:val="clear" w:color="auto" w:fill="F1F1F1"/>
            <w:noWrap w:val="0"/>
            <w:tcMar>
              <w:top w:w="85" w:type="dxa"/>
              <w:left w:w="57" w:type="dxa"/>
              <w:bottom w:w="85" w:type="dxa"/>
              <w:right w:w="57" w:type="dxa"/>
            </w:tcMar>
            <w:vAlign w:val="center"/>
          </w:tcPr>
          <w:p w14:paraId="39A37A0B">
            <w:pPr>
              <w:pStyle w:val="18"/>
              <w:spacing w:line="240" w:lineRule="auto"/>
              <w:ind w:left="482"/>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1E083B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397" w:hRule="atLeast"/>
          <w:jc w:val="center"/>
        </w:trPr>
        <w:tc>
          <w:tcPr>
            <w:tcW w:w="402"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309425D4">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1</w:t>
            </w:r>
          </w:p>
        </w:tc>
        <w:tc>
          <w:tcPr>
            <w:tcW w:w="1214"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032850D5">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省消防救援总队</w:t>
            </w:r>
          </w:p>
        </w:tc>
        <w:tc>
          <w:tcPr>
            <w:tcW w:w="803"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771FF667">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80</w:t>
            </w:r>
          </w:p>
        </w:tc>
        <w:tc>
          <w:tcPr>
            <w:tcW w:w="2581"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10EE27AE">
            <w:pPr>
              <w:pStyle w:val="18"/>
              <w:spacing w:line="240" w:lineRule="auto"/>
              <w:jc w:val="left"/>
              <w:rPr>
                <w:rFonts w:hint="eastAsia" w:ascii="宋体" w:hAnsi="宋体" w:eastAsia="宋体" w:cs="宋体"/>
                <w:sz w:val="21"/>
                <w:szCs w:val="21"/>
              </w:rPr>
            </w:pPr>
            <w:r>
              <w:rPr>
                <w:rFonts w:hint="eastAsia" w:ascii="宋体" w:hAnsi="宋体" w:eastAsia="宋体" w:cs="宋体"/>
                <w:sz w:val="21"/>
                <w:szCs w:val="21"/>
              </w:rPr>
              <w:t>总队16个处室</w:t>
            </w:r>
          </w:p>
        </w:tc>
      </w:tr>
      <w:tr w14:paraId="21CA9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397" w:hRule="atLeast"/>
          <w:jc w:val="center"/>
        </w:trPr>
        <w:tc>
          <w:tcPr>
            <w:tcW w:w="402"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5EE52A75">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2</w:t>
            </w:r>
          </w:p>
        </w:tc>
        <w:tc>
          <w:tcPr>
            <w:tcW w:w="1214"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6A605569">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13个地市支队</w:t>
            </w:r>
          </w:p>
        </w:tc>
        <w:tc>
          <w:tcPr>
            <w:tcW w:w="803"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3755F164">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10920</w:t>
            </w:r>
          </w:p>
        </w:tc>
        <w:tc>
          <w:tcPr>
            <w:tcW w:w="2581"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4DDF2789">
            <w:pPr>
              <w:pStyle w:val="18"/>
              <w:spacing w:line="240" w:lineRule="auto"/>
              <w:jc w:val="left"/>
              <w:rPr>
                <w:rFonts w:hint="eastAsia" w:ascii="宋体" w:hAnsi="宋体" w:eastAsia="宋体" w:cs="宋体"/>
                <w:sz w:val="21"/>
                <w:szCs w:val="21"/>
              </w:rPr>
            </w:pPr>
            <w:r>
              <w:rPr>
                <w:rFonts w:hint="eastAsia" w:ascii="宋体" w:hAnsi="宋体" w:eastAsia="宋体" w:cs="宋体"/>
                <w:sz w:val="21"/>
                <w:szCs w:val="21"/>
              </w:rPr>
              <w:t>13个地市支队，约10920人</w:t>
            </w:r>
          </w:p>
        </w:tc>
      </w:tr>
      <w:tr w14:paraId="43E2D4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397" w:hRule="atLeast"/>
          <w:jc w:val="center"/>
        </w:trPr>
        <w:tc>
          <w:tcPr>
            <w:tcW w:w="402"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2F933EE9">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3</w:t>
            </w:r>
          </w:p>
        </w:tc>
        <w:tc>
          <w:tcPr>
            <w:tcW w:w="1214"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69384668">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行业协同部门</w:t>
            </w:r>
          </w:p>
        </w:tc>
        <w:tc>
          <w:tcPr>
            <w:tcW w:w="803"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7EE1DF04">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390</w:t>
            </w:r>
          </w:p>
        </w:tc>
        <w:tc>
          <w:tcPr>
            <w:tcW w:w="2581"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3D9FC1A6">
            <w:pPr>
              <w:pStyle w:val="18"/>
              <w:spacing w:line="240" w:lineRule="auto"/>
              <w:jc w:val="left"/>
              <w:rPr>
                <w:rFonts w:hint="eastAsia" w:ascii="宋体" w:hAnsi="宋体" w:eastAsia="宋体" w:cs="宋体"/>
                <w:sz w:val="21"/>
                <w:szCs w:val="21"/>
              </w:rPr>
            </w:pPr>
            <w:r>
              <w:rPr>
                <w:rFonts w:hint="eastAsia" w:ascii="宋体" w:hAnsi="宋体" w:eastAsia="宋体" w:cs="宋体"/>
                <w:sz w:val="21"/>
                <w:szCs w:val="21"/>
              </w:rPr>
              <w:t>15个省级部门，约30人，12个地市行业协调部门，约360人</w:t>
            </w:r>
          </w:p>
        </w:tc>
      </w:tr>
      <w:tr w14:paraId="73E4B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397" w:hRule="atLeast"/>
          <w:jc w:val="center"/>
        </w:trPr>
        <w:tc>
          <w:tcPr>
            <w:tcW w:w="402"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485D6763">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4</w:t>
            </w:r>
          </w:p>
        </w:tc>
        <w:tc>
          <w:tcPr>
            <w:tcW w:w="1214"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14D306AF">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公安派出所</w:t>
            </w:r>
          </w:p>
        </w:tc>
        <w:tc>
          <w:tcPr>
            <w:tcW w:w="803"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14AA2DE1">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3000</w:t>
            </w:r>
          </w:p>
        </w:tc>
        <w:tc>
          <w:tcPr>
            <w:tcW w:w="2581"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72457C04">
            <w:pPr>
              <w:pStyle w:val="18"/>
              <w:spacing w:line="240" w:lineRule="auto"/>
              <w:jc w:val="left"/>
              <w:rPr>
                <w:rFonts w:hint="eastAsia" w:ascii="宋体" w:hAnsi="宋体" w:eastAsia="宋体" w:cs="宋体"/>
                <w:sz w:val="21"/>
                <w:szCs w:val="21"/>
              </w:rPr>
            </w:pPr>
            <w:r>
              <w:rPr>
                <w:rFonts w:hint="eastAsia" w:ascii="宋体" w:hAnsi="宋体" w:eastAsia="宋体" w:cs="宋体"/>
                <w:sz w:val="21"/>
                <w:szCs w:val="21"/>
              </w:rPr>
              <w:t>全省1000家派出所，约3000民警协助防火监督检查工作。</w:t>
            </w:r>
          </w:p>
        </w:tc>
      </w:tr>
      <w:tr w14:paraId="6E1C25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397" w:hRule="atLeast"/>
          <w:jc w:val="center"/>
        </w:trPr>
        <w:tc>
          <w:tcPr>
            <w:tcW w:w="402"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14AF4A6B">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5</w:t>
            </w:r>
          </w:p>
        </w:tc>
        <w:tc>
          <w:tcPr>
            <w:tcW w:w="1214"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6AAB4E07">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消防所</w:t>
            </w:r>
          </w:p>
        </w:tc>
        <w:tc>
          <w:tcPr>
            <w:tcW w:w="803"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5C205669">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600</w:t>
            </w:r>
          </w:p>
        </w:tc>
        <w:tc>
          <w:tcPr>
            <w:tcW w:w="2581"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4E05CDF0">
            <w:pPr>
              <w:pStyle w:val="18"/>
              <w:spacing w:line="240" w:lineRule="auto"/>
              <w:jc w:val="left"/>
              <w:rPr>
                <w:rFonts w:hint="eastAsia" w:ascii="宋体" w:hAnsi="宋体" w:eastAsia="宋体" w:cs="宋体"/>
                <w:sz w:val="21"/>
                <w:szCs w:val="21"/>
              </w:rPr>
            </w:pPr>
            <w:r>
              <w:rPr>
                <w:rFonts w:hint="eastAsia" w:ascii="宋体" w:hAnsi="宋体" w:eastAsia="宋体" w:cs="宋体"/>
                <w:sz w:val="21"/>
                <w:szCs w:val="21"/>
              </w:rPr>
              <w:t>全省300个消防所，约600人</w:t>
            </w:r>
          </w:p>
        </w:tc>
      </w:tr>
      <w:tr w14:paraId="2C778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397" w:hRule="atLeast"/>
          <w:jc w:val="center"/>
        </w:trPr>
        <w:tc>
          <w:tcPr>
            <w:tcW w:w="402"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49771DA6">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6</w:t>
            </w:r>
          </w:p>
        </w:tc>
        <w:tc>
          <w:tcPr>
            <w:tcW w:w="1214"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1AECC0BE">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系统管理员</w:t>
            </w:r>
          </w:p>
        </w:tc>
        <w:tc>
          <w:tcPr>
            <w:tcW w:w="803"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78F1E20D">
            <w:pPr>
              <w:pStyle w:val="18"/>
              <w:spacing w:line="240" w:lineRule="auto"/>
              <w:jc w:val="center"/>
              <w:rPr>
                <w:rFonts w:hint="eastAsia" w:ascii="宋体" w:hAnsi="宋体" w:eastAsia="宋体" w:cs="宋体"/>
                <w:sz w:val="21"/>
                <w:szCs w:val="21"/>
              </w:rPr>
            </w:pPr>
            <w:r>
              <w:rPr>
                <w:rFonts w:hint="eastAsia" w:ascii="宋体" w:hAnsi="宋体" w:eastAsia="宋体" w:cs="宋体"/>
                <w:sz w:val="21"/>
                <w:szCs w:val="21"/>
              </w:rPr>
              <w:t>28</w:t>
            </w:r>
          </w:p>
        </w:tc>
        <w:tc>
          <w:tcPr>
            <w:tcW w:w="2581"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409E3A1E">
            <w:pPr>
              <w:pStyle w:val="18"/>
              <w:spacing w:line="240" w:lineRule="auto"/>
              <w:jc w:val="left"/>
              <w:rPr>
                <w:rFonts w:hint="eastAsia" w:ascii="宋体" w:hAnsi="宋体" w:eastAsia="宋体" w:cs="宋体"/>
                <w:sz w:val="21"/>
                <w:szCs w:val="21"/>
              </w:rPr>
            </w:pPr>
            <w:r>
              <w:rPr>
                <w:rFonts w:hint="eastAsia" w:ascii="宋体" w:hAnsi="宋体" w:eastAsia="宋体" w:cs="宋体"/>
                <w:sz w:val="21"/>
                <w:szCs w:val="21"/>
              </w:rPr>
              <w:t>省总队2人，13个地市支队共26人</w:t>
            </w:r>
          </w:p>
        </w:tc>
      </w:tr>
      <w:tr w14:paraId="753CD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397" w:hRule="atLeast"/>
          <w:jc w:val="center"/>
        </w:trPr>
        <w:tc>
          <w:tcPr>
            <w:tcW w:w="1616" w:type="pct"/>
            <w:gridSpan w:val="2"/>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299179EF">
            <w:pPr>
              <w:pStyle w:val="18"/>
              <w:spacing w:line="240" w:lineRule="auto"/>
              <w:jc w:val="center"/>
              <w:rPr>
                <w:rFonts w:hint="eastAsia" w:ascii="宋体" w:hAnsi="宋体" w:eastAsia="宋体" w:cs="宋体"/>
                <w:b/>
                <w:sz w:val="21"/>
                <w:szCs w:val="21"/>
              </w:rPr>
            </w:pPr>
            <w:r>
              <w:rPr>
                <w:rFonts w:hint="eastAsia" w:ascii="宋体" w:hAnsi="宋体" w:eastAsia="宋体" w:cs="宋体"/>
                <w:b/>
                <w:sz w:val="21"/>
                <w:szCs w:val="21"/>
              </w:rPr>
              <w:t>合计</w:t>
            </w:r>
          </w:p>
        </w:tc>
        <w:tc>
          <w:tcPr>
            <w:tcW w:w="803"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2434D356">
            <w:pPr>
              <w:pStyle w:val="18"/>
              <w:spacing w:line="240" w:lineRule="auto"/>
              <w:jc w:val="center"/>
              <w:rPr>
                <w:rFonts w:hint="eastAsia" w:ascii="宋体" w:hAnsi="宋体" w:eastAsia="宋体" w:cs="宋体"/>
                <w:b/>
                <w:sz w:val="21"/>
                <w:szCs w:val="21"/>
              </w:rPr>
            </w:pPr>
            <w:r>
              <w:rPr>
                <w:rFonts w:hint="eastAsia" w:ascii="宋体" w:hAnsi="宋体" w:eastAsia="宋体" w:cs="宋体"/>
                <w:b/>
                <w:sz w:val="21"/>
                <w:szCs w:val="21"/>
              </w:rPr>
              <w:t>15018</w:t>
            </w:r>
          </w:p>
        </w:tc>
        <w:tc>
          <w:tcPr>
            <w:tcW w:w="2581" w:type="pct"/>
            <w:tcBorders>
              <w:top w:val="single" w:color="000000" w:sz="4" w:space="0"/>
              <w:left w:val="single" w:color="000000" w:sz="4" w:space="0"/>
              <w:bottom w:val="single" w:color="000000" w:sz="4" w:space="0"/>
              <w:right w:val="single" w:color="000000" w:sz="4" w:space="0"/>
            </w:tcBorders>
            <w:noWrap w:val="0"/>
            <w:tcMar>
              <w:top w:w="85" w:type="dxa"/>
              <w:left w:w="57" w:type="dxa"/>
              <w:bottom w:w="85" w:type="dxa"/>
              <w:right w:w="57" w:type="dxa"/>
            </w:tcMar>
            <w:vAlign w:val="center"/>
          </w:tcPr>
          <w:p w14:paraId="77EB3A8D">
            <w:pPr>
              <w:pStyle w:val="18"/>
              <w:spacing w:line="240" w:lineRule="auto"/>
              <w:ind w:left="482"/>
              <w:jc w:val="center"/>
              <w:rPr>
                <w:rFonts w:hint="eastAsia" w:ascii="宋体" w:hAnsi="宋体" w:eastAsia="宋体" w:cs="宋体"/>
                <w:b/>
                <w:sz w:val="21"/>
                <w:szCs w:val="21"/>
              </w:rPr>
            </w:pPr>
          </w:p>
        </w:tc>
      </w:tr>
    </w:tbl>
    <w:p w14:paraId="620AAEE6">
      <w:pPr>
        <w:pStyle w:val="15"/>
        <w:jc w:val="both"/>
      </w:pPr>
    </w:p>
    <w:p w14:paraId="5C4D925B">
      <w:pPr>
        <w:pStyle w:val="5"/>
      </w:pPr>
      <w:bookmarkStart w:id="16" w:name="_Toc20592"/>
      <w:r>
        <w:rPr>
          <w:rFonts w:hint="eastAsia"/>
        </w:rPr>
        <w:t>3.4.2计算资源估算</w:t>
      </w:r>
      <w:bookmarkEnd w:id="16"/>
    </w:p>
    <w:p w14:paraId="49A4E774">
      <w:pPr>
        <w:pStyle w:val="6"/>
        <w:rPr>
          <w:color w:val="FF0000"/>
        </w:rPr>
      </w:pPr>
      <w:r>
        <w:rPr>
          <w:rFonts w:hint="eastAsia"/>
        </w:rPr>
        <w:t>3.4.2.1基于电子政务外网部署类业务所需计算资源估算</w:t>
      </w:r>
    </w:p>
    <w:p w14:paraId="646C366D">
      <w:pPr>
        <w:rPr>
          <w:color w:val="000000"/>
        </w:rPr>
      </w:pPr>
      <w:r>
        <w:rPr>
          <w:rFonts w:hint="eastAsia"/>
        </w:rPr>
        <w:t>根据</w:t>
      </w:r>
      <w:r>
        <w:rPr>
          <w:rFonts w:hint="eastAsia"/>
          <w:color w:val="000000"/>
        </w:rPr>
        <w:t>用户量分析情况，消防类工作业务访问信息点约为</w:t>
      </w:r>
      <w:r>
        <w:rPr>
          <w:color w:val="000000"/>
        </w:rPr>
        <w:t>15018IP</w:t>
      </w:r>
      <w:r>
        <w:rPr>
          <w:rFonts w:hint="eastAsia"/>
          <w:color w:val="000000"/>
        </w:rPr>
        <w:t>，平均每个</w:t>
      </w:r>
      <w:r>
        <w:rPr>
          <w:color w:val="000000"/>
        </w:rPr>
        <w:t>IP</w:t>
      </w:r>
      <w:r>
        <w:rPr>
          <w:rFonts w:hint="eastAsia"/>
          <w:color w:val="000000"/>
        </w:rPr>
        <w:t>每次登录时长</w:t>
      </w:r>
      <w:r>
        <w:rPr>
          <w:color w:val="000000"/>
        </w:rPr>
        <w:t>1</w:t>
      </w:r>
      <w:r>
        <w:rPr>
          <w:rFonts w:hint="eastAsia"/>
          <w:color w:val="000000"/>
        </w:rPr>
        <w:t>小时，并发用户数为</w:t>
      </w:r>
      <w:r>
        <w:rPr>
          <w:color w:val="000000"/>
        </w:rPr>
        <w:t>1877</w:t>
      </w:r>
      <w:r>
        <w:rPr>
          <w:rFonts w:hint="eastAsia"/>
          <w:color w:val="000000"/>
        </w:rPr>
        <w:t>个用户，按照下表数据进行估算：</w:t>
      </w:r>
      <w:r>
        <w:rPr>
          <w:color w:val="000000"/>
        </w:rPr>
        <w:t xml:space="preserve"> </w:t>
      </w:r>
      <w:r>
        <w:rPr>
          <w:rFonts w:hint="eastAsia"/>
          <w:color w:val="000000"/>
        </w:rPr>
        <w:t>（此用户量及并发量估算以未来三年来预估考量，考虑到极端状况下的并发情况，含有一定冗余量）</w:t>
      </w:r>
    </w:p>
    <w:p w14:paraId="4F5AB8DE">
      <w:pPr>
        <w:pStyle w:val="15"/>
        <w:rPr>
          <w:rFonts w:ascii="黑体" w:hAnsi="黑体" w:cs="黑体"/>
        </w:rPr>
      </w:pPr>
      <w:r>
        <w:rPr>
          <w:rFonts w:hint="eastAsia" w:ascii="黑体" w:hAnsi="黑体" w:cs="黑体"/>
        </w:rPr>
        <w:t>表3-13电子政务外网部署类业务估算表</w:t>
      </w:r>
    </w:p>
    <w:tbl>
      <w:tblPr>
        <w:tblStyle w:val="12"/>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57" w:type="dxa"/>
          <w:bottom w:w="57" w:type="dxa"/>
          <w:right w:w="57" w:type="dxa"/>
        </w:tblCellMar>
      </w:tblPr>
      <w:tblGrid>
        <w:gridCol w:w="1090"/>
        <w:gridCol w:w="2661"/>
        <w:gridCol w:w="1723"/>
        <w:gridCol w:w="1566"/>
        <w:gridCol w:w="2031"/>
      </w:tblGrid>
      <w:tr w14:paraId="191C0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97" w:hRule="atLeast"/>
          <w:jc w:val="center"/>
        </w:trPr>
        <w:tc>
          <w:tcPr>
            <w:tcW w:w="601" w:type="pct"/>
            <w:tcBorders>
              <w:top w:val="single" w:color="auto" w:sz="4" w:space="0"/>
              <w:left w:val="single" w:color="auto" w:sz="4" w:space="0"/>
              <w:bottom w:val="single" w:color="auto" w:sz="4" w:space="0"/>
              <w:right w:val="single" w:color="auto" w:sz="4" w:space="0"/>
            </w:tcBorders>
            <w:shd w:val="clear" w:color="auto" w:fill="F1F1F1"/>
            <w:noWrap w:val="0"/>
            <w:vAlign w:val="center"/>
          </w:tcPr>
          <w:p w14:paraId="26DA0452">
            <w:pPr>
              <w:pStyle w:val="18"/>
              <w:spacing w:line="240" w:lineRule="auto"/>
              <w:jc w:val="center"/>
              <w:rPr>
                <w:b/>
                <w:bCs/>
              </w:rPr>
            </w:pPr>
            <w:r>
              <w:rPr>
                <w:rFonts w:hint="eastAsia"/>
                <w:b/>
                <w:bCs/>
              </w:rPr>
              <w:t>参数</w:t>
            </w:r>
          </w:p>
        </w:tc>
        <w:tc>
          <w:tcPr>
            <w:tcW w:w="1467" w:type="pct"/>
            <w:tcBorders>
              <w:top w:val="single" w:color="auto" w:sz="4" w:space="0"/>
              <w:left w:val="single" w:color="auto" w:sz="4" w:space="0"/>
              <w:bottom w:val="single" w:color="auto" w:sz="4" w:space="0"/>
              <w:right w:val="single" w:color="auto" w:sz="4" w:space="0"/>
            </w:tcBorders>
            <w:shd w:val="clear" w:color="auto" w:fill="F1F1F1"/>
            <w:noWrap w:val="0"/>
            <w:vAlign w:val="center"/>
          </w:tcPr>
          <w:p w14:paraId="572D1194">
            <w:pPr>
              <w:pStyle w:val="18"/>
              <w:spacing w:line="240" w:lineRule="auto"/>
              <w:jc w:val="center"/>
              <w:rPr>
                <w:b/>
                <w:bCs/>
              </w:rPr>
            </w:pPr>
            <w:r>
              <w:rPr>
                <w:rFonts w:hint="eastAsia"/>
                <w:b/>
                <w:bCs/>
              </w:rPr>
              <w:t>参数名称</w:t>
            </w:r>
          </w:p>
        </w:tc>
        <w:tc>
          <w:tcPr>
            <w:tcW w:w="950" w:type="pct"/>
            <w:tcBorders>
              <w:top w:val="single" w:color="auto" w:sz="4" w:space="0"/>
              <w:left w:val="single" w:color="auto" w:sz="4" w:space="0"/>
              <w:bottom w:val="single" w:color="auto" w:sz="4" w:space="0"/>
              <w:right w:val="single" w:color="auto" w:sz="4" w:space="0"/>
            </w:tcBorders>
            <w:shd w:val="clear" w:color="auto" w:fill="F1F1F1"/>
            <w:noWrap w:val="0"/>
            <w:vAlign w:val="center"/>
          </w:tcPr>
          <w:p w14:paraId="0354C091">
            <w:pPr>
              <w:pStyle w:val="18"/>
              <w:spacing w:line="240" w:lineRule="auto"/>
              <w:jc w:val="center"/>
              <w:rPr>
                <w:b/>
                <w:bCs/>
              </w:rPr>
            </w:pPr>
            <w:r>
              <w:rPr>
                <w:rFonts w:hint="eastAsia"/>
                <w:b/>
                <w:bCs/>
              </w:rPr>
              <w:t>来源</w:t>
            </w:r>
          </w:p>
        </w:tc>
        <w:tc>
          <w:tcPr>
            <w:tcW w:w="863" w:type="pct"/>
            <w:tcBorders>
              <w:top w:val="single" w:color="auto" w:sz="4" w:space="0"/>
              <w:left w:val="single" w:color="auto" w:sz="4" w:space="0"/>
              <w:bottom w:val="single" w:color="auto" w:sz="4" w:space="0"/>
              <w:right w:val="single" w:color="auto" w:sz="4" w:space="0"/>
            </w:tcBorders>
            <w:shd w:val="clear" w:color="auto" w:fill="F1F1F1"/>
            <w:noWrap w:val="0"/>
            <w:vAlign w:val="center"/>
          </w:tcPr>
          <w:p w14:paraId="315E34B6">
            <w:pPr>
              <w:pStyle w:val="18"/>
              <w:spacing w:line="240" w:lineRule="auto"/>
              <w:jc w:val="center"/>
              <w:rPr>
                <w:b/>
                <w:bCs/>
              </w:rPr>
            </w:pPr>
            <w:r>
              <w:rPr>
                <w:rFonts w:hint="eastAsia"/>
                <w:b/>
                <w:bCs/>
              </w:rPr>
              <w:t>数量</w:t>
            </w:r>
          </w:p>
        </w:tc>
        <w:tc>
          <w:tcPr>
            <w:tcW w:w="1119" w:type="pct"/>
            <w:tcBorders>
              <w:top w:val="single" w:color="auto" w:sz="4" w:space="0"/>
              <w:left w:val="single" w:color="auto" w:sz="4" w:space="0"/>
              <w:bottom w:val="single" w:color="auto" w:sz="4" w:space="0"/>
              <w:right w:val="single" w:color="auto" w:sz="4" w:space="0"/>
            </w:tcBorders>
            <w:shd w:val="clear" w:color="auto" w:fill="F1F1F1"/>
            <w:noWrap w:val="0"/>
            <w:vAlign w:val="center"/>
          </w:tcPr>
          <w:p w14:paraId="07351F96">
            <w:pPr>
              <w:pStyle w:val="18"/>
              <w:spacing w:line="240" w:lineRule="auto"/>
              <w:jc w:val="center"/>
              <w:rPr>
                <w:b/>
                <w:bCs/>
              </w:rPr>
            </w:pPr>
            <w:r>
              <w:rPr>
                <w:rFonts w:hint="eastAsia"/>
                <w:b/>
                <w:bCs/>
              </w:rPr>
              <w:t>单位</w:t>
            </w:r>
          </w:p>
        </w:tc>
      </w:tr>
      <w:tr w14:paraId="646F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97" w:hRule="atLeast"/>
          <w:jc w:val="center"/>
        </w:trPr>
        <w:tc>
          <w:tcPr>
            <w:tcW w:w="1090" w:type="dxa"/>
            <w:tcBorders>
              <w:top w:val="single" w:color="auto" w:sz="4" w:space="0"/>
              <w:left w:val="single" w:color="auto" w:sz="4" w:space="0"/>
              <w:bottom w:val="single" w:color="auto" w:sz="4" w:space="0"/>
              <w:right w:val="single" w:color="auto" w:sz="4" w:space="0"/>
            </w:tcBorders>
            <w:noWrap w:val="0"/>
            <w:vAlign w:val="center"/>
          </w:tcPr>
          <w:p w14:paraId="6FE512FF">
            <w:pPr>
              <w:pStyle w:val="18"/>
              <w:spacing w:line="240" w:lineRule="auto"/>
              <w:jc w:val="center"/>
              <w:rPr>
                <w:rFonts w:ascii="宋体" w:hAnsi="宋体"/>
                <w:sz w:val="21"/>
                <w:szCs w:val="21"/>
              </w:rPr>
            </w:pPr>
            <w:r>
              <w:rPr>
                <w:rFonts w:hint="eastAsia" w:ascii="宋体" w:hAnsi="宋体"/>
                <w:sz w:val="21"/>
                <w:szCs w:val="21"/>
              </w:rPr>
              <w:t>n</w:t>
            </w:r>
          </w:p>
        </w:tc>
        <w:tc>
          <w:tcPr>
            <w:tcW w:w="2661" w:type="dxa"/>
            <w:tcBorders>
              <w:top w:val="single" w:color="auto" w:sz="4" w:space="0"/>
              <w:left w:val="single" w:color="auto" w:sz="4" w:space="0"/>
              <w:bottom w:val="single" w:color="auto" w:sz="4" w:space="0"/>
              <w:right w:val="single" w:color="auto" w:sz="4" w:space="0"/>
            </w:tcBorders>
            <w:noWrap w:val="0"/>
            <w:vAlign w:val="center"/>
          </w:tcPr>
          <w:p w14:paraId="2FFF2A8C">
            <w:pPr>
              <w:pStyle w:val="18"/>
              <w:spacing w:line="240" w:lineRule="auto"/>
              <w:jc w:val="center"/>
              <w:rPr>
                <w:rFonts w:ascii="宋体" w:hAnsi="宋体"/>
                <w:sz w:val="21"/>
                <w:szCs w:val="21"/>
              </w:rPr>
            </w:pPr>
            <w:r>
              <w:rPr>
                <w:rFonts w:hint="eastAsia" w:ascii="宋体" w:hAnsi="宋体"/>
                <w:sz w:val="21"/>
                <w:szCs w:val="21"/>
              </w:rPr>
              <w:t>业务访问信息点</w:t>
            </w:r>
          </w:p>
        </w:tc>
        <w:tc>
          <w:tcPr>
            <w:tcW w:w="1723" w:type="dxa"/>
            <w:tcBorders>
              <w:top w:val="single" w:color="auto" w:sz="4" w:space="0"/>
              <w:left w:val="single" w:color="auto" w:sz="4" w:space="0"/>
              <w:bottom w:val="single" w:color="auto" w:sz="4" w:space="0"/>
              <w:right w:val="single" w:color="auto" w:sz="4" w:space="0"/>
            </w:tcBorders>
            <w:noWrap w:val="0"/>
            <w:vAlign w:val="center"/>
          </w:tcPr>
          <w:p w14:paraId="4059729A">
            <w:pPr>
              <w:pStyle w:val="18"/>
              <w:spacing w:line="240" w:lineRule="auto"/>
              <w:jc w:val="center"/>
              <w:rPr>
                <w:rFonts w:ascii="宋体" w:hAnsi="宋体"/>
                <w:sz w:val="21"/>
                <w:szCs w:val="21"/>
              </w:rPr>
            </w:pPr>
            <w:r>
              <w:rPr>
                <w:rFonts w:hint="eastAsia" w:ascii="宋体" w:hAnsi="宋体"/>
                <w:sz w:val="21"/>
                <w:szCs w:val="21"/>
              </w:rPr>
              <w:t>估算</w:t>
            </w:r>
          </w:p>
        </w:tc>
        <w:tc>
          <w:tcPr>
            <w:tcW w:w="1566" w:type="dxa"/>
            <w:tcBorders>
              <w:top w:val="single" w:color="auto" w:sz="4" w:space="0"/>
              <w:left w:val="single" w:color="auto" w:sz="4" w:space="0"/>
              <w:bottom w:val="single" w:color="auto" w:sz="4" w:space="0"/>
              <w:right w:val="single" w:color="auto" w:sz="4" w:space="0"/>
            </w:tcBorders>
            <w:noWrap w:val="0"/>
            <w:vAlign w:val="center"/>
          </w:tcPr>
          <w:p w14:paraId="25E88EEC">
            <w:pPr>
              <w:pStyle w:val="18"/>
              <w:spacing w:line="240" w:lineRule="auto"/>
              <w:jc w:val="center"/>
              <w:rPr>
                <w:rFonts w:ascii="宋体" w:hAnsi="宋体"/>
                <w:sz w:val="21"/>
                <w:szCs w:val="21"/>
              </w:rPr>
            </w:pPr>
            <w:r>
              <w:rPr>
                <w:rFonts w:hint="eastAsia" w:ascii="宋体" w:hAnsi="宋体"/>
                <w:sz w:val="21"/>
                <w:szCs w:val="21"/>
              </w:rPr>
              <w:t>15018</w:t>
            </w:r>
          </w:p>
        </w:tc>
        <w:tc>
          <w:tcPr>
            <w:tcW w:w="2031" w:type="dxa"/>
            <w:tcBorders>
              <w:top w:val="single" w:color="auto" w:sz="4" w:space="0"/>
              <w:left w:val="single" w:color="auto" w:sz="4" w:space="0"/>
              <w:bottom w:val="single" w:color="auto" w:sz="4" w:space="0"/>
              <w:right w:val="single" w:color="auto" w:sz="4" w:space="0"/>
            </w:tcBorders>
            <w:noWrap w:val="0"/>
            <w:vAlign w:val="center"/>
          </w:tcPr>
          <w:p w14:paraId="63033862">
            <w:pPr>
              <w:pStyle w:val="18"/>
              <w:spacing w:line="240" w:lineRule="auto"/>
              <w:jc w:val="center"/>
              <w:rPr>
                <w:rFonts w:ascii="宋体" w:hAnsi="宋体"/>
                <w:sz w:val="21"/>
                <w:szCs w:val="21"/>
              </w:rPr>
            </w:pPr>
            <w:r>
              <w:rPr>
                <w:rFonts w:hint="eastAsia" w:ascii="宋体" w:hAnsi="宋体"/>
                <w:sz w:val="21"/>
                <w:szCs w:val="21"/>
              </w:rPr>
              <w:t>点</w:t>
            </w:r>
          </w:p>
        </w:tc>
      </w:tr>
      <w:tr w14:paraId="21844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97" w:hRule="atLeast"/>
          <w:jc w:val="center"/>
        </w:trPr>
        <w:tc>
          <w:tcPr>
            <w:tcW w:w="1090" w:type="dxa"/>
            <w:tcBorders>
              <w:top w:val="single" w:color="auto" w:sz="4" w:space="0"/>
              <w:left w:val="single" w:color="auto" w:sz="4" w:space="0"/>
              <w:bottom w:val="single" w:color="auto" w:sz="4" w:space="0"/>
              <w:right w:val="single" w:color="auto" w:sz="4" w:space="0"/>
            </w:tcBorders>
            <w:noWrap w:val="0"/>
            <w:vAlign w:val="center"/>
          </w:tcPr>
          <w:p w14:paraId="7D0B12D9">
            <w:pPr>
              <w:pStyle w:val="18"/>
              <w:spacing w:line="240" w:lineRule="auto"/>
              <w:jc w:val="center"/>
              <w:rPr>
                <w:rFonts w:ascii="宋体" w:hAnsi="宋体"/>
                <w:sz w:val="21"/>
                <w:szCs w:val="21"/>
              </w:rPr>
            </w:pPr>
            <w:r>
              <w:rPr>
                <w:rFonts w:hint="eastAsia" w:ascii="宋体" w:hAnsi="宋体"/>
                <w:sz w:val="21"/>
                <w:szCs w:val="21"/>
              </w:rPr>
              <w:t>C</w:t>
            </w:r>
          </w:p>
        </w:tc>
        <w:tc>
          <w:tcPr>
            <w:tcW w:w="2661" w:type="dxa"/>
            <w:tcBorders>
              <w:top w:val="single" w:color="auto" w:sz="4" w:space="0"/>
              <w:left w:val="single" w:color="auto" w:sz="4" w:space="0"/>
              <w:bottom w:val="single" w:color="auto" w:sz="4" w:space="0"/>
              <w:right w:val="single" w:color="auto" w:sz="4" w:space="0"/>
            </w:tcBorders>
            <w:noWrap w:val="0"/>
            <w:vAlign w:val="center"/>
          </w:tcPr>
          <w:p w14:paraId="10CBD1E2">
            <w:pPr>
              <w:pStyle w:val="18"/>
              <w:spacing w:line="240" w:lineRule="auto"/>
              <w:jc w:val="center"/>
              <w:rPr>
                <w:rFonts w:ascii="宋体" w:hAnsi="宋体"/>
                <w:sz w:val="21"/>
                <w:szCs w:val="21"/>
                <w:lang w:val="en-US"/>
              </w:rPr>
            </w:pPr>
            <w:r>
              <w:rPr>
                <w:rFonts w:hint="eastAsia" w:ascii="宋体" w:hAnsi="宋体"/>
                <w:sz w:val="21"/>
                <w:szCs w:val="21"/>
              </w:rPr>
              <w:t>并发</w:t>
            </w:r>
            <w:r>
              <w:rPr>
                <w:rFonts w:hint="eastAsia" w:ascii="宋体" w:hAnsi="宋体"/>
                <w:sz w:val="21"/>
                <w:szCs w:val="21"/>
                <w:lang w:val="en-US"/>
              </w:rPr>
              <w:t>用户数</w:t>
            </w:r>
          </w:p>
        </w:tc>
        <w:tc>
          <w:tcPr>
            <w:tcW w:w="1723" w:type="dxa"/>
            <w:tcBorders>
              <w:top w:val="single" w:color="auto" w:sz="4" w:space="0"/>
              <w:left w:val="single" w:color="auto" w:sz="4" w:space="0"/>
              <w:bottom w:val="single" w:color="auto" w:sz="4" w:space="0"/>
              <w:right w:val="single" w:color="auto" w:sz="4" w:space="0"/>
            </w:tcBorders>
            <w:noWrap w:val="0"/>
            <w:vAlign w:val="center"/>
          </w:tcPr>
          <w:p w14:paraId="2027C1EE">
            <w:pPr>
              <w:pStyle w:val="18"/>
              <w:spacing w:line="240" w:lineRule="auto"/>
              <w:jc w:val="center"/>
              <w:rPr>
                <w:rFonts w:ascii="宋体" w:hAnsi="宋体"/>
                <w:sz w:val="21"/>
                <w:szCs w:val="21"/>
              </w:rPr>
            </w:pPr>
            <w:r>
              <w:rPr>
                <w:rFonts w:hint="eastAsia" w:ascii="宋体" w:hAnsi="宋体"/>
                <w:sz w:val="21"/>
                <w:szCs w:val="21"/>
              </w:rPr>
              <w:t>估算</w:t>
            </w:r>
          </w:p>
        </w:tc>
        <w:tc>
          <w:tcPr>
            <w:tcW w:w="1566" w:type="dxa"/>
            <w:tcBorders>
              <w:top w:val="single" w:color="auto" w:sz="4" w:space="0"/>
              <w:left w:val="single" w:color="auto" w:sz="4" w:space="0"/>
              <w:bottom w:val="single" w:color="auto" w:sz="4" w:space="0"/>
              <w:right w:val="single" w:color="auto" w:sz="4" w:space="0"/>
            </w:tcBorders>
            <w:noWrap w:val="0"/>
            <w:vAlign w:val="center"/>
          </w:tcPr>
          <w:p w14:paraId="0FABB5F4">
            <w:pPr>
              <w:pStyle w:val="18"/>
              <w:spacing w:line="240" w:lineRule="auto"/>
              <w:jc w:val="center"/>
              <w:rPr>
                <w:rFonts w:ascii="宋体" w:hAnsi="宋体"/>
                <w:sz w:val="21"/>
                <w:szCs w:val="21"/>
                <w:lang w:val="en-US"/>
              </w:rPr>
            </w:pPr>
            <w:r>
              <w:rPr>
                <w:rFonts w:hint="eastAsia" w:ascii="宋体" w:hAnsi="宋体"/>
                <w:sz w:val="21"/>
                <w:szCs w:val="21"/>
                <w:lang w:val="en-US"/>
              </w:rPr>
              <w:t>1877</w:t>
            </w:r>
          </w:p>
        </w:tc>
        <w:tc>
          <w:tcPr>
            <w:tcW w:w="2031" w:type="dxa"/>
            <w:tcBorders>
              <w:top w:val="single" w:color="auto" w:sz="4" w:space="0"/>
              <w:left w:val="single" w:color="auto" w:sz="4" w:space="0"/>
              <w:bottom w:val="single" w:color="auto" w:sz="4" w:space="0"/>
              <w:right w:val="single" w:color="auto" w:sz="4" w:space="0"/>
            </w:tcBorders>
            <w:noWrap w:val="0"/>
            <w:vAlign w:val="center"/>
          </w:tcPr>
          <w:p w14:paraId="41076CF4">
            <w:pPr>
              <w:pStyle w:val="18"/>
              <w:spacing w:line="240" w:lineRule="auto"/>
              <w:jc w:val="center"/>
              <w:rPr>
                <w:rFonts w:ascii="宋体" w:hAnsi="宋体"/>
                <w:sz w:val="21"/>
                <w:szCs w:val="21"/>
              </w:rPr>
            </w:pPr>
            <w:r>
              <w:rPr>
                <w:rFonts w:hint="eastAsia" w:ascii="宋体" w:hAnsi="宋体"/>
                <w:sz w:val="21"/>
                <w:szCs w:val="21"/>
                <w:lang w:val="en-US"/>
              </w:rPr>
              <w:t>个</w:t>
            </w:r>
          </w:p>
        </w:tc>
      </w:tr>
      <w:tr w14:paraId="65466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97" w:hRule="atLeast"/>
          <w:jc w:val="center"/>
        </w:trPr>
        <w:tc>
          <w:tcPr>
            <w:tcW w:w="1090" w:type="dxa"/>
            <w:tcBorders>
              <w:top w:val="single" w:color="auto" w:sz="4" w:space="0"/>
              <w:left w:val="single" w:color="auto" w:sz="4" w:space="0"/>
              <w:bottom w:val="single" w:color="auto" w:sz="4" w:space="0"/>
              <w:right w:val="single" w:color="auto" w:sz="4" w:space="0"/>
            </w:tcBorders>
            <w:noWrap w:val="0"/>
            <w:vAlign w:val="center"/>
          </w:tcPr>
          <w:p w14:paraId="624898CA">
            <w:pPr>
              <w:pStyle w:val="18"/>
              <w:spacing w:line="240" w:lineRule="auto"/>
              <w:jc w:val="center"/>
              <w:rPr>
                <w:rFonts w:ascii="宋体" w:hAnsi="宋体"/>
                <w:sz w:val="21"/>
                <w:szCs w:val="21"/>
              </w:rPr>
            </w:pPr>
            <w:r>
              <w:rPr>
                <w:rFonts w:hint="eastAsia" w:ascii="宋体" w:hAnsi="宋体"/>
                <w:sz w:val="21"/>
                <w:szCs w:val="21"/>
              </w:rPr>
              <w:t>L</w:t>
            </w:r>
          </w:p>
        </w:tc>
        <w:tc>
          <w:tcPr>
            <w:tcW w:w="2661" w:type="dxa"/>
            <w:tcBorders>
              <w:top w:val="single" w:color="auto" w:sz="4" w:space="0"/>
              <w:left w:val="single" w:color="auto" w:sz="4" w:space="0"/>
              <w:bottom w:val="single" w:color="auto" w:sz="4" w:space="0"/>
              <w:right w:val="single" w:color="auto" w:sz="4" w:space="0"/>
            </w:tcBorders>
            <w:noWrap w:val="0"/>
            <w:vAlign w:val="center"/>
          </w:tcPr>
          <w:p w14:paraId="5F57B6A0">
            <w:pPr>
              <w:pStyle w:val="18"/>
              <w:spacing w:line="240" w:lineRule="auto"/>
              <w:jc w:val="center"/>
              <w:rPr>
                <w:rFonts w:ascii="宋体" w:hAnsi="宋体"/>
                <w:sz w:val="21"/>
                <w:szCs w:val="21"/>
              </w:rPr>
            </w:pPr>
            <w:r>
              <w:rPr>
                <w:rFonts w:hint="eastAsia" w:ascii="宋体" w:hAnsi="宋体"/>
                <w:sz w:val="21"/>
                <w:szCs w:val="21"/>
              </w:rPr>
              <w:t>登录到退出平均时间</w:t>
            </w:r>
          </w:p>
        </w:tc>
        <w:tc>
          <w:tcPr>
            <w:tcW w:w="1723" w:type="dxa"/>
            <w:tcBorders>
              <w:top w:val="single" w:color="auto" w:sz="4" w:space="0"/>
              <w:left w:val="single" w:color="auto" w:sz="4" w:space="0"/>
              <w:bottom w:val="single" w:color="auto" w:sz="4" w:space="0"/>
              <w:right w:val="single" w:color="auto" w:sz="4" w:space="0"/>
            </w:tcBorders>
            <w:noWrap w:val="0"/>
            <w:vAlign w:val="center"/>
          </w:tcPr>
          <w:p w14:paraId="232429F6">
            <w:pPr>
              <w:pStyle w:val="18"/>
              <w:spacing w:line="240" w:lineRule="auto"/>
              <w:jc w:val="center"/>
              <w:rPr>
                <w:rFonts w:ascii="宋体" w:hAnsi="宋体"/>
                <w:sz w:val="21"/>
                <w:szCs w:val="21"/>
              </w:rPr>
            </w:pPr>
            <w:r>
              <w:rPr>
                <w:rFonts w:hint="eastAsia" w:ascii="宋体" w:hAnsi="宋体"/>
                <w:sz w:val="21"/>
                <w:szCs w:val="21"/>
              </w:rPr>
              <w:t>估算</w:t>
            </w:r>
          </w:p>
        </w:tc>
        <w:tc>
          <w:tcPr>
            <w:tcW w:w="1566" w:type="dxa"/>
            <w:tcBorders>
              <w:top w:val="single" w:color="auto" w:sz="4" w:space="0"/>
              <w:left w:val="single" w:color="auto" w:sz="4" w:space="0"/>
              <w:bottom w:val="single" w:color="auto" w:sz="4" w:space="0"/>
              <w:right w:val="single" w:color="auto" w:sz="4" w:space="0"/>
            </w:tcBorders>
            <w:noWrap w:val="0"/>
            <w:vAlign w:val="center"/>
          </w:tcPr>
          <w:p w14:paraId="1B1A50C1">
            <w:pPr>
              <w:pStyle w:val="18"/>
              <w:spacing w:line="240" w:lineRule="auto"/>
              <w:jc w:val="center"/>
              <w:rPr>
                <w:rFonts w:ascii="宋体" w:hAnsi="宋体"/>
                <w:sz w:val="21"/>
                <w:szCs w:val="21"/>
              </w:rPr>
            </w:pPr>
            <w:r>
              <w:rPr>
                <w:rFonts w:hint="eastAsia" w:ascii="宋体" w:hAnsi="宋体"/>
                <w:sz w:val="21"/>
                <w:szCs w:val="21"/>
              </w:rPr>
              <w:t>1</w:t>
            </w:r>
          </w:p>
        </w:tc>
        <w:tc>
          <w:tcPr>
            <w:tcW w:w="2031" w:type="dxa"/>
            <w:tcBorders>
              <w:top w:val="single" w:color="auto" w:sz="4" w:space="0"/>
              <w:left w:val="single" w:color="auto" w:sz="4" w:space="0"/>
              <w:bottom w:val="single" w:color="auto" w:sz="4" w:space="0"/>
              <w:right w:val="single" w:color="auto" w:sz="4" w:space="0"/>
            </w:tcBorders>
            <w:noWrap w:val="0"/>
            <w:vAlign w:val="center"/>
          </w:tcPr>
          <w:p w14:paraId="53E1F915">
            <w:pPr>
              <w:pStyle w:val="18"/>
              <w:spacing w:line="240" w:lineRule="auto"/>
              <w:jc w:val="center"/>
              <w:rPr>
                <w:rFonts w:ascii="宋体" w:hAnsi="宋体"/>
                <w:sz w:val="21"/>
                <w:szCs w:val="21"/>
              </w:rPr>
            </w:pPr>
            <w:r>
              <w:rPr>
                <w:rFonts w:hint="eastAsia" w:ascii="宋体" w:hAnsi="宋体"/>
                <w:sz w:val="21"/>
                <w:szCs w:val="21"/>
              </w:rPr>
              <w:t>小时</w:t>
            </w:r>
          </w:p>
        </w:tc>
      </w:tr>
      <w:tr w14:paraId="72CDC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97" w:hRule="atLeast"/>
          <w:jc w:val="center"/>
        </w:trPr>
        <w:tc>
          <w:tcPr>
            <w:tcW w:w="1090" w:type="dxa"/>
            <w:tcBorders>
              <w:top w:val="single" w:color="auto" w:sz="4" w:space="0"/>
              <w:left w:val="single" w:color="auto" w:sz="4" w:space="0"/>
              <w:bottom w:val="single" w:color="auto" w:sz="4" w:space="0"/>
              <w:right w:val="single" w:color="auto" w:sz="4" w:space="0"/>
            </w:tcBorders>
            <w:noWrap w:val="0"/>
            <w:vAlign w:val="center"/>
          </w:tcPr>
          <w:p w14:paraId="3EBA41A1">
            <w:pPr>
              <w:pStyle w:val="18"/>
              <w:spacing w:line="240" w:lineRule="auto"/>
              <w:jc w:val="center"/>
              <w:rPr>
                <w:rFonts w:ascii="宋体" w:hAnsi="宋体"/>
                <w:sz w:val="21"/>
                <w:szCs w:val="21"/>
              </w:rPr>
            </w:pPr>
            <w:r>
              <w:rPr>
                <w:rFonts w:hint="eastAsia" w:ascii="宋体" w:hAnsi="宋体"/>
                <w:sz w:val="21"/>
                <w:szCs w:val="21"/>
              </w:rPr>
              <w:t>T</w:t>
            </w:r>
          </w:p>
        </w:tc>
        <w:tc>
          <w:tcPr>
            <w:tcW w:w="2661" w:type="dxa"/>
            <w:tcBorders>
              <w:top w:val="single" w:color="auto" w:sz="4" w:space="0"/>
              <w:left w:val="single" w:color="auto" w:sz="4" w:space="0"/>
              <w:bottom w:val="single" w:color="auto" w:sz="4" w:space="0"/>
              <w:right w:val="single" w:color="auto" w:sz="4" w:space="0"/>
            </w:tcBorders>
            <w:noWrap w:val="0"/>
            <w:vAlign w:val="center"/>
          </w:tcPr>
          <w:p w14:paraId="7141BC58">
            <w:pPr>
              <w:pStyle w:val="18"/>
              <w:spacing w:line="240" w:lineRule="auto"/>
              <w:jc w:val="center"/>
              <w:rPr>
                <w:rFonts w:ascii="宋体" w:hAnsi="宋体"/>
                <w:sz w:val="21"/>
                <w:szCs w:val="21"/>
              </w:rPr>
            </w:pPr>
            <w:r>
              <w:rPr>
                <w:rFonts w:hint="eastAsia" w:ascii="宋体" w:hAnsi="宋体"/>
                <w:sz w:val="21"/>
                <w:szCs w:val="21"/>
              </w:rPr>
              <w:t>系统使用时间段</w:t>
            </w:r>
          </w:p>
        </w:tc>
        <w:tc>
          <w:tcPr>
            <w:tcW w:w="1723" w:type="dxa"/>
            <w:tcBorders>
              <w:top w:val="single" w:color="auto" w:sz="4" w:space="0"/>
              <w:left w:val="single" w:color="auto" w:sz="4" w:space="0"/>
              <w:bottom w:val="single" w:color="auto" w:sz="4" w:space="0"/>
              <w:right w:val="single" w:color="auto" w:sz="4" w:space="0"/>
            </w:tcBorders>
            <w:noWrap w:val="0"/>
            <w:vAlign w:val="center"/>
          </w:tcPr>
          <w:p w14:paraId="787346FE">
            <w:pPr>
              <w:pStyle w:val="18"/>
              <w:spacing w:line="240" w:lineRule="auto"/>
              <w:jc w:val="center"/>
              <w:rPr>
                <w:rFonts w:ascii="宋体" w:hAnsi="宋体"/>
                <w:sz w:val="21"/>
                <w:szCs w:val="21"/>
              </w:rPr>
            </w:pPr>
            <w:r>
              <w:rPr>
                <w:rFonts w:hint="eastAsia" w:ascii="宋体" w:hAnsi="宋体"/>
                <w:sz w:val="21"/>
                <w:szCs w:val="21"/>
              </w:rPr>
              <w:t>工作时长</w:t>
            </w:r>
          </w:p>
        </w:tc>
        <w:tc>
          <w:tcPr>
            <w:tcW w:w="1566" w:type="dxa"/>
            <w:tcBorders>
              <w:top w:val="single" w:color="auto" w:sz="4" w:space="0"/>
              <w:left w:val="single" w:color="auto" w:sz="4" w:space="0"/>
              <w:bottom w:val="single" w:color="auto" w:sz="4" w:space="0"/>
              <w:right w:val="single" w:color="auto" w:sz="4" w:space="0"/>
            </w:tcBorders>
            <w:noWrap w:val="0"/>
            <w:vAlign w:val="center"/>
          </w:tcPr>
          <w:p w14:paraId="5326175D">
            <w:pPr>
              <w:pStyle w:val="18"/>
              <w:spacing w:line="240" w:lineRule="auto"/>
              <w:jc w:val="center"/>
              <w:rPr>
                <w:rFonts w:ascii="宋体" w:hAnsi="宋体"/>
                <w:sz w:val="21"/>
                <w:szCs w:val="21"/>
              </w:rPr>
            </w:pPr>
            <w:r>
              <w:rPr>
                <w:rFonts w:hint="eastAsia" w:ascii="宋体" w:hAnsi="宋体"/>
                <w:sz w:val="21"/>
                <w:szCs w:val="21"/>
              </w:rPr>
              <w:t>8</w:t>
            </w:r>
          </w:p>
        </w:tc>
        <w:tc>
          <w:tcPr>
            <w:tcW w:w="2031" w:type="dxa"/>
            <w:tcBorders>
              <w:top w:val="single" w:color="auto" w:sz="4" w:space="0"/>
              <w:left w:val="single" w:color="auto" w:sz="4" w:space="0"/>
              <w:bottom w:val="single" w:color="auto" w:sz="4" w:space="0"/>
              <w:right w:val="single" w:color="auto" w:sz="4" w:space="0"/>
            </w:tcBorders>
            <w:noWrap w:val="0"/>
            <w:vAlign w:val="center"/>
          </w:tcPr>
          <w:p w14:paraId="55381865">
            <w:pPr>
              <w:pStyle w:val="18"/>
              <w:spacing w:line="240" w:lineRule="auto"/>
              <w:jc w:val="center"/>
              <w:rPr>
                <w:rFonts w:ascii="宋体" w:hAnsi="宋体"/>
                <w:sz w:val="21"/>
                <w:szCs w:val="21"/>
              </w:rPr>
            </w:pPr>
            <w:r>
              <w:rPr>
                <w:rFonts w:hint="eastAsia" w:ascii="宋体" w:hAnsi="宋体"/>
                <w:sz w:val="21"/>
                <w:szCs w:val="21"/>
              </w:rPr>
              <w:t>小时</w:t>
            </w:r>
          </w:p>
        </w:tc>
      </w:tr>
    </w:tbl>
    <w:p w14:paraId="2298DEBD">
      <w:pPr>
        <w:spacing w:before="240" w:beforeLines="100"/>
      </w:pPr>
      <w:r>
        <w:rPr>
          <w:rFonts w:hint="eastAsia"/>
        </w:rPr>
        <w:t>平均业务并</w:t>
      </w:r>
      <w:r>
        <w:rPr>
          <w:rFonts w:hint="eastAsia"/>
          <w:color w:val="000000"/>
        </w:rPr>
        <w:t>发用户数</w:t>
      </w:r>
      <w:r>
        <w:rPr>
          <w:color w:val="000000"/>
        </w:rPr>
        <w:t>C</w:t>
      </w:r>
      <w:r>
        <w:rPr>
          <w:rFonts w:hint="eastAsia"/>
          <w:color w:val="000000"/>
        </w:rPr>
        <w:t>，</w:t>
      </w:r>
      <w:r>
        <w:rPr>
          <w:color w:val="000000"/>
        </w:rPr>
        <w:t>C=nL/T</w:t>
      </w:r>
      <w:r>
        <w:rPr>
          <w:rFonts w:hint="eastAsia"/>
          <w:color w:val="000000"/>
        </w:rPr>
        <w:t>，即为并发用户数=业务访问信息点</w:t>
      </w:r>
      <w:r>
        <w:rPr>
          <w:color w:val="000000"/>
        </w:rPr>
        <w:t xml:space="preserve"> × </w:t>
      </w:r>
      <w:r>
        <w:rPr>
          <w:rFonts w:hint="eastAsia"/>
          <w:color w:val="000000"/>
        </w:rPr>
        <w:t>登录到退出平均时间</w:t>
      </w:r>
      <w:r>
        <w:rPr>
          <w:color w:val="000000"/>
        </w:rPr>
        <w:t>/</w:t>
      </w:r>
      <w:r>
        <w:rPr>
          <w:rFonts w:hint="eastAsia"/>
          <w:color w:val="000000"/>
        </w:rPr>
        <w:t>系统使用时间段，计算如下：</w:t>
      </w:r>
      <w:r>
        <w:rPr>
          <w:color w:val="000000"/>
        </w:rPr>
        <w:t>15018×1/8=187</w:t>
      </w:r>
      <w:r>
        <w:t>7.25</w:t>
      </w:r>
      <w:r>
        <w:rPr>
          <w:rFonts w:hint="eastAsia"/>
        </w:rPr>
        <w:t>点。</w:t>
      </w:r>
    </w:p>
    <w:p w14:paraId="3D5D88B8">
      <w:r>
        <w:rPr>
          <w:rFonts w:hint="eastAsia"/>
        </w:rPr>
        <w:t>业务并发用户数的峰值</w:t>
      </w:r>
      <w:r>
        <w:t>C^=C+3×(C</w:t>
      </w:r>
      <w:r>
        <w:rPr>
          <w:rFonts w:hint="eastAsia"/>
        </w:rPr>
        <w:t>的平方根），即为：</w:t>
      </w:r>
      <w:r>
        <w:t>1877+3×(1877</w:t>
      </w:r>
      <w:r>
        <w:rPr>
          <w:rFonts w:hint="eastAsia"/>
        </w:rPr>
        <w:t>的平方根）</w:t>
      </w:r>
      <w:r>
        <w:t>=1877+3×43.3≈2007</w:t>
      </w:r>
      <w:r>
        <w:rPr>
          <w:rFonts w:hint="eastAsia"/>
        </w:rPr>
        <w:t>点。</w:t>
      </w:r>
    </w:p>
    <w:p w14:paraId="795FD4BC">
      <w:r>
        <w:rPr>
          <w:rFonts w:hint="eastAsia"/>
        </w:rPr>
        <w:t>按照系统冗余处理能力预留</w:t>
      </w:r>
      <w:r>
        <w:t xml:space="preserve">40% </w:t>
      </w:r>
      <w:r>
        <w:rPr>
          <w:rFonts w:hint="eastAsia"/>
        </w:rPr>
        <w:t>，非</w:t>
      </w:r>
      <w:r>
        <w:t>Java</w:t>
      </w:r>
      <w:r>
        <w:rPr>
          <w:rFonts w:hint="eastAsia"/>
        </w:rPr>
        <w:t>应用所占用的系统资源为</w:t>
      </w:r>
      <w:r>
        <w:t>20%</w:t>
      </w:r>
      <w:r>
        <w:rPr>
          <w:rFonts w:hint="eastAsia"/>
        </w:rPr>
        <w:t>，假设业务消耗</w:t>
      </w:r>
      <w:r>
        <w:t>100</w:t>
      </w:r>
      <w:r>
        <w:rPr>
          <w:rFonts w:hint="eastAsia"/>
        </w:rPr>
        <w:t>个</w:t>
      </w:r>
      <w:r>
        <w:t>bops</w:t>
      </w:r>
      <w:r>
        <w:rPr>
          <w:rFonts w:hint="eastAsia"/>
        </w:rPr>
        <w:t>，服务器</w:t>
      </w:r>
      <w:r>
        <w:t>SPECjbb2005</w:t>
      </w:r>
      <w:r>
        <w:rPr>
          <w:rFonts w:hint="eastAsia"/>
        </w:rPr>
        <w:t>性能值为：</w:t>
      </w:r>
      <w:r>
        <w:t>2007×100/(1-40%-20%)≈501750</w:t>
      </w:r>
      <w:r>
        <w:rPr>
          <w:rFonts w:hint="eastAsia"/>
        </w:rPr>
        <w:t>。</w:t>
      </w:r>
    </w:p>
    <w:p w14:paraId="682007E6">
      <w:r>
        <w:rPr>
          <w:rFonts w:hint="eastAsia"/>
        </w:rPr>
        <w:t>假设政务云环境下</w:t>
      </w:r>
      <w:r>
        <w:t xml:space="preserve"> 8C+64G </w:t>
      </w:r>
      <w:r>
        <w:rPr>
          <w:rFonts w:hint="eastAsia"/>
        </w:rPr>
        <w:t>的单台服务器计算量约</w:t>
      </w:r>
      <w:r>
        <w:t xml:space="preserve">22000 </w:t>
      </w:r>
      <w:r>
        <w:rPr>
          <w:rFonts w:hint="eastAsia"/>
        </w:rPr>
        <w:t>左右，根据上面测算推算出应用计算资源共需</w:t>
      </w:r>
      <w:r>
        <w:t xml:space="preserve">192C </w:t>
      </w:r>
      <w:r>
        <w:rPr>
          <w:rFonts w:hint="eastAsia"/>
        </w:rPr>
        <w:t>和</w:t>
      </w:r>
      <w:r>
        <w:t xml:space="preserve"> 1536G </w:t>
      </w:r>
      <w:r>
        <w:rPr>
          <w:rFonts w:hint="eastAsia"/>
        </w:rPr>
        <w:t>内存，大约</w:t>
      </w:r>
      <w:r>
        <w:t>24</w:t>
      </w:r>
      <w:r>
        <w:rPr>
          <w:rFonts w:hint="eastAsia"/>
        </w:rPr>
        <w:t>台应用计算资源。</w:t>
      </w:r>
    </w:p>
    <w:p w14:paraId="0718F511">
      <w:r>
        <w:rPr>
          <w:rFonts w:hint="eastAsia"/>
        </w:rPr>
        <w:t>考虑到数据库计算更消耗资源，数据库计算资源建议采用</w:t>
      </w:r>
      <w:r>
        <w:t>16</w:t>
      </w:r>
      <w:r>
        <w:rPr>
          <w:rFonts w:hint="eastAsia"/>
        </w:rPr>
        <w:t>核，约需要约</w:t>
      </w:r>
      <w:r>
        <w:t>14</w:t>
      </w:r>
      <w:r>
        <w:rPr>
          <w:rFonts w:hint="eastAsia"/>
        </w:rPr>
        <w:t>台数据库计算资源，共需</w:t>
      </w:r>
      <w:r>
        <w:t xml:space="preserve">224C </w:t>
      </w:r>
      <w:r>
        <w:rPr>
          <w:rFonts w:hint="eastAsia"/>
        </w:rPr>
        <w:t>和</w:t>
      </w:r>
      <w:r>
        <w:t xml:space="preserve"> 896G </w:t>
      </w:r>
      <w:r>
        <w:rPr>
          <w:rFonts w:hint="eastAsia"/>
        </w:rPr>
        <w:t>内存。</w:t>
      </w:r>
    </w:p>
    <w:p w14:paraId="2B9852AC">
      <w:r>
        <w:rPr>
          <w:rFonts w:hint="eastAsia"/>
        </w:rPr>
        <w:t>经上述分析，电子政务外网区域虚机资源需求约为</w:t>
      </w:r>
      <w:r>
        <w:t>38</w:t>
      </w:r>
      <w:r>
        <w:rPr>
          <w:rFonts w:hint="eastAsia"/>
        </w:rPr>
        <w:t>台。其中电子政务外网区域计算资源共需</w:t>
      </w:r>
      <w:r>
        <w:t>192C</w:t>
      </w:r>
      <w:r>
        <w:rPr>
          <w:rFonts w:hint="eastAsia"/>
        </w:rPr>
        <w:t>和</w:t>
      </w:r>
      <w:r>
        <w:t>1536G</w:t>
      </w:r>
      <w:r>
        <w:rPr>
          <w:rFonts w:hint="eastAsia"/>
        </w:rPr>
        <w:t>内存，估算需要</w:t>
      </w:r>
      <w:r>
        <w:t>24</w:t>
      </w:r>
      <w:r>
        <w:rPr>
          <w:rFonts w:hint="eastAsia"/>
        </w:rPr>
        <w:t>台虚机。数据库资源共需约</w:t>
      </w:r>
      <w:r>
        <w:t xml:space="preserve">224C </w:t>
      </w:r>
      <w:r>
        <w:rPr>
          <w:rFonts w:hint="eastAsia"/>
        </w:rPr>
        <w:t>和</w:t>
      </w:r>
      <w:r>
        <w:t xml:space="preserve"> 896G </w:t>
      </w:r>
      <w:r>
        <w:rPr>
          <w:rFonts w:hint="eastAsia"/>
        </w:rPr>
        <w:t>内存，约为</w:t>
      </w:r>
      <w:r>
        <w:t>14</w:t>
      </w:r>
      <w:r>
        <w:rPr>
          <w:rFonts w:hint="eastAsia"/>
        </w:rPr>
        <w:t>台虚机。实际的计算资源需求量，将根据实际情况变化做适当调整。</w:t>
      </w:r>
    </w:p>
    <w:p w14:paraId="0903B202">
      <w:pPr>
        <w:pStyle w:val="6"/>
      </w:pPr>
      <w:r>
        <w:rPr>
          <w:rFonts w:hint="eastAsia"/>
        </w:rPr>
        <w:t>3.4.2.2基于指挥信息网内部署类业务所需计算资源估算</w:t>
      </w:r>
    </w:p>
    <w:p w14:paraId="14F8974D">
      <w:r>
        <w:rPr>
          <w:rFonts w:hint="eastAsia"/>
        </w:rPr>
        <w:t>本次项目针对需要在指挥信息网内部建设所涉及的虚机资源估算。根据省消防救援总队现有机房管理运维情况，结合标准数据库单台虚拟机和应用服务器单台虚机配置，经估算，本次项目建设指挥信息网一侧建设内容中，所需虚机资源</w:t>
      </w:r>
      <w:r>
        <w:t>24</w:t>
      </w:r>
      <w:r>
        <w:rPr>
          <w:rFonts w:hint="eastAsia"/>
        </w:rPr>
        <w:t>个，</w:t>
      </w:r>
      <w:r>
        <w:t>CPU192C</w:t>
      </w:r>
      <w:r>
        <w:rPr>
          <w:rFonts w:hint="eastAsia"/>
        </w:rPr>
        <w:t>，运行内存</w:t>
      </w:r>
      <w:r>
        <w:t>1.92TB</w:t>
      </w:r>
      <w:r>
        <w:rPr>
          <w:rFonts w:hint="eastAsia"/>
        </w:rPr>
        <w:t>，指挥信息网内需要</w:t>
      </w:r>
      <w:r>
        <w:t>8</w:t>
      </w:r>
      <w:r>
        <w:rPr>
          <w:rFonts w:hint="eastAsia"/>
        </w:rPr>
        <w:t>台超融合主机服务器，每台配置</w:t>
      </w:r>
      <w:r>
        <w:t>2×12</w:t>
      </w:r>
      <w:r>
        <w:rPr>
          <w:rFonts w:hint="eastAsia"/>
        </w:rPr>
        <w:t>核心处理器，</w:t>
      </w:r>
      <w:r>
        <w:t>256GB</w:t>
      </w:r>
      <w:r>
        <w:rPr>
          <w:rFonts w:hint="eastAsia"/>
        </w:rPr>
        <w:t>内存。</w:t>
      </w:r>
    </w:p>
    <w:p w14:paraId="31DD9756">
      <w:r>
        <w:rPr>
          <w:rFonts w:hint="eastAsia"/>
        </w:rPr>
        <w:t>估算过程如下：</w:t>
      </w:r>
    </w:p>
    <w:p w14:paraId="59F8E5B9">
      <w:r>
        <w:rPr>
          <w:rFonts w:hint="eastAsia"/>
        </w:rPr>
        <w:t>指挥信息网内计算资源结合总队超融合建设进行。经过需求调研，结合现有业务建设，总队超融合平台应满足新增应用和迁移应用共不少于</w:t>
      </w:r>
      <w:r>
        <w:t>24</w:t>
      </w:r>
      <w:r>
        <w:rPr>
          <w:rFonts w:hint="eastAsia"/>
        </w:rPr>
        <w:t>个业务虚拟服务器，单个业务系统虚拟机规格为：</w:t>
      </w:r>
      <w:r>
        <w:t>8</w:t>
      </w:r>
      <w:r>
        <w:rPr>
          <w:rFonts w:hint="eastAsia"/>
        </w:rPr>
        <w:t>个</w:t>
      </w:r>
      <w:r>
        <w:t>VCPU</w:t>
      </w:r>
      <w:r>
        <w:rPr>
          <w:rFonts w:hint="eastAsia"/>
        </w:rPr>
        <w:t>，</w:t>
      </w:r>
      <w:r>
        <w:t>64GB</w:t>
      </w:r>
      <w:r>
        <w:rPr>
          <w:rFonts w:hint="eastAsia"/>
        </w:rPr>
        <w:t>内存，</w:t>
      </w:r>
      <w:r>
        <w:t>1.5TB</w:t>
      </w:r>
      <w:r>
        <w:rPr>
          <w:rFonts w:hint="eastAsia"/>
        </w:rPr>
        <w:t>存储空间需求。</w:t>
      </w:r>
      <w:r>
        <w:t>VCPU</w:t>
      </w:r>
      <w:r>
        <w:rPr>
          <w:rFonts w:hint="eastAsia"/>
        </w:rPr>
        <w:t>总计</w:t>
      </w:r>
      <w:r>
        <w:t>240</w:t>
      </w:r>
      <w:r>
        <w:rPr>
          <w:rFonts w:hint="eastAsia"/>
        </w:rPr>
        <w:t>个，内存总计</w:t>
      </w:r>
      <w:r>
        <w:t>1920GB</w:t>
      </w:r>
      <w:r>
        <w:rPr>
          <w:rFonts w:hint="eastAsia"/>
        </w:rPr>
        <w:t>，存储总计</w:t>
      </w:r>
      <w:r>
        <w:t>36TB</w:t>
      </w:r>
      <w:r>
        <w:rPr>
          <w:rFonts w:hint="eastAsia"/>
        </w:rPr>
        <w:t>。</w:t>
      </w:r>
    </w:p>
    <w:p w14:paraId="2D2C5A7A">
      <w:r>
        <w:rPr>
          <w:rFonts w:hint="eastAsia"/>
        </w:rPr>
        <w:t>若单台服务器配置</w:t>
      </w:r>
      <w:r>
        <w:t>1</w:t>
      </w:r>
      <w:r>
        <w:rPr>
          <w:rFonts w:hint="eastAsia"/>
        </w:rPr>
        <w:t>颗</w:t>
      </w:r>
      <w:r>
        <w:t>8</w:t>
      </w:r>
      <w:r>
        <w:rPr>
          <w:rFonts w:hint="eastAsia"/>
        </w:rPr>
        <w:t>个物理核的处理器，那么至少服务器数量需要</w:t>
      </w:r>
      <w:r>
        <w:t>192/2/12=8</w:t>
      </w:r>
      <w:r>
        <w:rPr>
          <w:rFonts w:hint="eastAsia"/>
        </w:rPr>
        <w:t>，考虑到平台开销及冗余约</w:t>
      </w:r>
      <w:r>
        <w:t>20%</w:t>
      </w:r>
      <w:r>
        <w:rPr>
          <w:rFonts w:hint="eastAsia"/>
        </w:rPr>
        <w:t>，实际物理服务器数量应不少于</w:t>
      </w:r>
      <w:r>
        <w:t>10</w:t>
      </w:r>
      <w:r>
        <w:rPr>
          <w:rFonts w:hint="eastAsia"/>
        </w:rPr>
        <w:t>台。</w:t>
      </w:r>
    </w:p>
    <w:p w14:paraId="6DADFC69">
      <w:r>
        <w:t xml:space="preserve"> </w:t>
      </w:r>
      <w:r>
        <w:rPr>
          <w:rFonts w:hint="eastAsia"/>
        </w:rPr>
        <w:t>按照</w:t>
      </w:r>
      <w:r>
        <w:t>10</w:t>
      </w:r>
      <w:r>
        <w:rPr>
          <w:rFonts w:hint="eastAsia"/>
        </w:rPr>
        <w:t>台服务器计算，要满足</w:t>
      </w:r>
      <w:r>
        <w:t>1920GB</w:t>
      </w:r>
      <w:r>
        <w:rPr>
          <w:rFonts w:hint="eastAsia"/>
        </w:rPr>
        <w:t>内存需求，那么每台服务器需配置</w:t>
      </w:r>
      <w:r>
        <w:t>1920/10=192GB</w:t>
      </w:r>
      <w:r>
        <w:rPr>
          <w:rFonts w:hint="eastAsia"/>
        </w:rPr>
        <w:t>，同样考虑到虚拟化平台资源开销及冗余，约损耗</w:t>
      </w:r>
      <w:r>
        <w:t>30%</w:t>
      </w:r>
      <w:r>
        <w:rPr>
          <w:rFonts w:hint="eastAsia"/>
        </w:rPr>
        <w:t>，所以最佳建议每台服务器内存不少</w:t>
      </w:r>
      <w:r>
        <w:t>256GB</w:t>
      </w:r>
      <w:r>
        <w:rPr>
          <w:rFonts w:hint="eastAsia"/>
        </w:rPr>
        <w:t>。</w:t>
      </w:r>
    </w:p>
    <w:p w14:paraId="57B7EF00">
      <w:r>
        <w:rPr>
          <w:rFonts w:hint="eastAsia"/>
        </w:rPr>
        <w:t>通过以上资源换算分析，要满足改造后业务系统生产需求，建议本次项目建设共配置</w:t>
      </w:r>
      <w:r>
        <w:t>10</w:t>
      </w:r>
      <w:r>
        <w:rPr>
          <w:rFonts w:hint="eastAsia"/>
        </w:rPr>
        <w:t>台超融合服务器，每台配置</w:t>
      </w:r>
      <w:r>
        <w:t>2*12</w:t>
      </w:r>
      <w:r>
        <w:rPr>
          <w:rFonts w:hint="eastAsia"/>
        </w:rPr>
        <w:t>核心处理器，</w:t>
      </w:r>
      <w:r>
        <w:t>256GB</w:t>
      </w:r>
      <w:r>
        <w:rPr>
          <w:rFonts w:hint="eastAsia"/>
        </w:rPr>
        <w:t>内存。实际的计算资源需求量，将根据变化情况做适当调整。</w:t>
      </w:r>
    </w:p>
    <w:p w14:paraId="71B21A42">
      <w:pPr>
        <w:pStyle w:val="5"/>
      </w:pPr>
      <w:bookmarkStart w:id="17" w:name="_Toc23257"/>
      <w:r>
        <w:rPr>
          <w:rFonts w:hint="eastAsia"/>
        </w:rPr>
        <w:t>3.4.3存储资源估算</w:t>
      </w:r>
      <w:bookmarkEnd w:id="17"/>
    </w:p>
    <w:p w14:paraId="12E099BA">
      <w:pPr>
        <w:pStyle w:val="6"/>
      </w:pPr>
      <w:r>
        <w:rPr>
          <w:rFonts w:hint="eastAsia"/>
        </w:rPr>
        <w:t>3.4.3.1指挥信息网存储资源需求估算</w:t>
      </w:r>
    </w:p>
    <w:p w14:paraId="24E28AEC">
      <w:pPr>
        <w:numPr>
          <w:ilvl w:val="0"/>
          <w:numId w:val="37"/>
        </w:numPr>
        <w:spacing w:before="240" w:beforeLines="100"/>
        <w:ind w:firstLineChars="0"/>
      </w:pPr>
      <w:r>
        <w:rPr>
          <w:rFonts w:hint="eastAsia"/>
        </w:rPr>
        <w:t>结构化数据测算</w:t>
      </w:r>
    </w:p>
    <w:p w14:paraId="5EF948FB">
      <w:pPr>
        <w:pStyle w:val="15"/>
        <w:rPr>
          <w:rFonts w:ascii="黑体" w:hAnsi="黑体" w:cs="黑体"/>
        </w:rPr>
      </w:pPr>
      <w:r>
        <w:rPr>
          <w:rFonts w:hint="eastAsia" w:ascii="黑体" w:hAnsi="黑体" w:cs="黑体"/>
        </w:rPr>
        <w:t>表3-14 指挥信息网存储资源估算</w:t>
      </w:r>
    </w:p>
    <w:tbl>
      <w:tblPr>
        <w:tblStyle w:val="12"/>
        <w:tblW w:w="9071" w:type="dxa"/>
        <w:tblInd w:w="-227" w:type="dxa"/>
        <w:tblLayout w:type="fixed"/>
        <w:tblCellMar>
          <w:top w:w="0" w:type="dxa"/>
          <w:left w:w="108" w:type="dxa"/>
          <w:bottom w:w="0" w:type="dxa"/>
          <w:right w:w="108" w:type="dxa"/>
        </w:tblCellMar>
      </w:tblPr>
      <w:tblGrid>
        <w:gridCol w:w="418"/>
        <w:gridCol w:w="1500"/>
        <w:gridCol w:w="2040"/>
        <w:gridCol w:w="1590"/>
        <w:gridCol w:w="1370"/>
        <w:gridCol w:w="1201"/>
        <w:gridCol w:w="952"/>
      </w:tblGrid>
      <w:tr w14:paraId="5061E90F">
        <w:tblPrEx>
          <w:tblCellMar>
            <w:top w:w="0" w:type="dxa"/>
            <w:left w:w="108" w:type="dxa"/>
            <w:bottom w:w="0" w:type="dxa"/>
            <w:right w:w="108" w:type="dxa"/>
          </w:tblCellMar>
        </w:tblPrEx>
        <w:trPr>
          <w:trHeight w:val="397" w:hRule="atLeast"/>
          <w:tblHeader/>
        </w:trPr>
        <w:tc>
          <w:tcPr>
            <w:tcW w:w="418" w:type="dxa"/>
            <w:tcBorders>
              <w:top w:val="single" w:color="auto" w:sz="4" w:space="0"/>
              <w:left w:val="single" w:color="auto" w:sz="4" w:space="0"/>
              <w:bottom w:val="single" w:color="auto" w:sz="4" w:space="0"/>
              <w:right w:val="single" w:color="auto" w:sz="4" w:space="0"/>
            </w:tcBorders>
            <w:shd w:val="clear" w:color="auto" w:fill="EEECE1"/>
            <w:noWrap/>
            <w:vAlign w:val="center"/>
          </w:tcPr>
          <w:p w14:paraId="4CC2AAF1">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序号</w:t>
            </w:r>
          </w:p>
        </w:tc>
        <w:tc>
          <w:tcPr>
            <w:tcW w:w="1500" w:type="dxa"/>
            <w:tcBorders>
              <w:top w:val="single" w:color="auto" w:sz="4" w:space="0"/>
              <w:left w:val="nil"/>
              <w:bottom w:val="single" w:color="auto" w:sz="4" w:space="0"/>
              <w:right w:val="single" w:color="auto" w:sz="4" w:space="0"/>
            </w:tcBorders>
            <w:shd w:val="clear" w:color="auto" w:fill="EEECE1"/>
            <w:noWrap w:val="0"/>
            <w:vAlign w:val="center"/>
          </w:tcPr>
          <w:p w14:paraId="1C840038">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系统名称</w:t>
            </w:r>
          </w:p>
        </w:tc>
        <w:tc>
          <w:tcPr>
            <w:tcW w:w="2040" w:type="dxa"/>
            <w:tcBorders>
              <w:top w:val="single" w:color="auto" w:sz="4" w:space="0"/>
              <w:left w:val="nil"/>
              <w:bottom w:val="single" w:color="auto" w:sz="4" w:space="0"/>
              <w:right w:val="single" w:color="auto" w:sz="4" w:space="0"/>
            </w:tcBorders>
            <w:shd w:val="clear" w:color="auto" w:fill="EEECE1"/>
            <w:noWrap w:val="0"/>
            <w:vAlign w:val="center"/>
          </w:tcPr>
          <w:p w14:paraId="342EF003">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数据来源</w:t>
            </w:r>
          </w:p>
        </w:tc>
        <w:tc>
          <w:tcPr>
            <w:tcW w:w="1590" w:type="dxa"/>
            <w:tcBorders>
              <w:top w:val="single" w:color="auto" w:sz="4" w:space="0"/>
              <w:left w:val="nil"/>
              <w:bottom w:val="single" w:color="auto" w:sz="4" w:space="0"/>
              <w:right w:val="single" w:color="auto" w:sz="4" w:space="0"/>
            </w:tcBorders>
            <w:shd w:val="clear" w:color="auto" w:fill="EEECE1"/>
            <w:noWrap w:val="0"/>
            <w:vAlign w:val="center"/>
          </w:tcPr>
          <w:p w14:paraId="1C18D919">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数据类型</w:t>
            </w:r>
          </w:p>
        </w:tc>
        <w:tc>
          <w:tcPr>
            <w:tcW w:w="1370" w:type="dxa"/>
            <w:tcBorders>
              <w:top w:val="single" w:color="auto" w:sz="4" w:space="0"/>
              <w:left w:val="nil"/>
              <w:bottom w:val="single" w:color="auto" w:sz="4" w:space="0"/>
              <w:right w:val="single" w:color="auto" w:sz="4" w:space="0"/>
            </w:tcBorders>
            <w:shd w:val="clear" w:color="auto" w:fill="EEECE1"/>
            <w:noWrap w:val="0"/>
            <w:vAlign w:val="center"/>
          </w:tcPr>
          <w:p w14:paraId="1E976777">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日数据量（条）</w:t>
            </w:r>
          </w:p>
        </w:tc>
        <w:tc>
          <w:tcPr>
            <w:tcW w:w="1201" w:type="dxa"/>
            <w:tcBorders>
              <w:top w:val="single" w:color="auto" w:sz="4" w:space="0"/>
              <w:left w:val="nil"/>
              <w:bottom w:val="single" w:color="auto" w:sz="4" w:space="0"/>
              <w:right w:val="single" w:color="auto" w:sz="4" w:space="0"/>
            </w:tcBorders>
            <w:shd w:val="clear" w:color="auto" w:fill="EEECE1"/>
            <w:noWrap w:val="0"/>
            <w:vAlign w:val="center"/>
          </w:tcPr>
          <w:p w14:paraId="4969392C">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大小（MB/条）</w:t>
            </w:r>
          </w:p>
        </w:tc>
        <w:tc>
          <w:tcPr>
            <w:tcW w:w="952" w:type="dxa"/>
            <w:tcBorders>
              <w:top w:val="single" w:color="auto" w:sz="4" w:space="0"/>
              <w:left w:val="nil"/>
              <w:bottom w:val="single" w:color="auto" w:sz="4" w:space="0"/>
              <w:right w:val="single" w:color="auto" w:sz="4" w:space="0"/>
            </w:tcBorders>
            <w:shd w:val="clear" w:color="auto" w:fill="EEECE1"/>
            <w:noWrap/>
            <w:vAlign w:val="center"/>
          </w:tcPr>
          <w:p w14:paraId="1CE977EB">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3年总量（TB）</w:t>
            </w:r>
          </w:p>
        </w:tc>
      </w:tr>
      <w:tr w14:paraId="7246418D">
        <w:tblPrEx>
          <w:tblCellMar>
            <w:top w:w="0" w:type="dxa"/>
            <w:left w:w="108" w:type="dxa"/>
            <w:bottom w:w="0" w:type="dxa"/>
            <w:right w:w="108" w:type="dxa"/>
          </w:tblCellMar>
        </w:tblPrEx>
        <w:trPr>
          <w:trHeight w:val="397" w:hRule="atLeast"/>
        </w:trPr>
        <w:tc>
          <w:tcPr>
            <w:tcW w:w="418" w:type="dxa"/>
            <w:tcBorders>
              <w:top w:val="single" w:color="auto" w:sz="4" w:space="0"/>
              <w:left w:val="single" w:color="auto" w:sz="4" w:space="0"/>
              <w:bottom w:val="single" w:color="auto" w:sz="4" w:space="0"/>
              <w:right w:val="single" w:color="auto" w:sz="4" w:space="0"/>
            </w:tcBorders>
            <w:noWrap/>
            <w:vAlign w:val="center"/>
          </w:tcPr>
          <w:p w14:paraId="0539741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p>
        </w:tc>
        <w:tc>
          <w:tcPr>
            <w:tcW w:w="1500" w:type="dxa"/>
            <w:tcBorders>
              <w:top w:val="single" w:color="auto" w:sz="4" w:space="0"/>
              <w:left w:val="nil"/>
              <w:bottom w:val="single" w:color="auto" w:sz="4" w:space="0"/>
              <w:right w:val="single" w:color="auto" w:sz="4" w:space="0"/>
            </w:tcBorders>
            <w:noWrap w:val="0"/>
            <w:vAlign w:val="center"/>
          </w:tcPr>
          <w:p w14:paraId="4F53691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全省灭火救援态势感知</w:t>
            </w:r>
          </w:p>
        </w:tc>
        <w:tc>
          <w:tcPr>
            <w:tcW w:w="2040" w:type="dxa"/>
            <w:tcBorders>
              <w:top w:val="single" w:color="auto" w:sz="4" w:space="0"/>
              <w:left w:val="nil"/>
              <w:bottom w:val="single" w:color="auto" w:sz="4" w:space="0"/>
              <w:right w:val="single" w:color="auto" w:sz="4" w:space="0"/>
            </w:tcBorders>
            <w:noWrap w:val="0"/>
            <w:vAlign w:val="center"/>
          </w:tcPr>
          <w:p w14:paraId="1A2B422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灭火救援</w:t>
            </w:r>
          </w:p>
          <w:p w14:paraId="30FF878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展示数据</w:t>
            </w:r>
          </w:p>
        </w:tc>
        <w:tc>
          <w:tcPr>
            <w:tcW w:w="1590" w:type="dxa"/>
            <w:tcBorders>
              <w:top w:val="single" w:color="auto" w:sz="4" w:space="0"/>
              <w:left w:val="nil"/>
              <w:bottom w:val="single" w:color="auto" w:sz="4" w:space="0"/>
              <w:right w:val="single" w:color="auto" w:sz="4" w:space="0"/>
            </w:tcBorders>
            <w:noWrap w:val="0"/>
            <w:vAlign w:val="center"/>
          </w:tcPr>
          <w:p w14:paraId="0E2A28B8">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结构化数据</w:t>
            </w:r>
          </w:p>
        </w:tc>
        <w:tc>
          <w:tcPr>
            <w:tcW w:w="1370" w:type="dxa"/>
            <w:tcBorders>
              <w:top w:val="single" w:color="auto" w:sz="4" w:space="0"/>
              <w:left w:val="nil"/>
              <w:bottom w:val="single" w:color="auto" w:sz="4" w:space="0"/>
              <w:right w:val="single" w:color="auto" w:sz="4" w:space="0"/>
            </w:tcBorders>
            <w:noWrap w:val="0"/>
            <w:vAlign w:val="center"/>
          </w:tcPr>
          <w:p w14:paraId="4066325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500.00</w:t>
            </w:r>
          </w:p>
        </w:tc>
        <w:tc>
          <w:tcPr>
            <w:tcW w:w="1201" w:type="dxa"/>
            <w:tcBorders>
              <w:top w:val="single" w:color="auto" w:sz="4" w:space="0"/>
              <w:left w:val="nil"/>
              <w:bottom w:val="single" w:color="auto" w:sz="4" w:space="0"/>
              <w:right w:val="single" w:color="auto" w:sz="4" w:space="0"/>
            </w:tcBorders>
            <w:noWrap w:val="0"/>
            <w:vAlign w:val="center"/>
          </w:tcPr>
          <w:p w14:paraId="6EE41818">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c>
          <w:tcPr>
            <w:tcW w:w="952" w:type="dxa"/>
            <w:tcBorders>
              <w:top w:val="single" w:color="auto" w:sz="4" w:space="0"/>
              <w:left w:val="nil"/>
              <w:bottom w:val="single" w:color="auto" w:sz="4" w:space="0"/>
              <w:right w:val="single" w:color="auto" w:sz="4" w:space="0"/>
            </w:tcBorders>
            <w:noWrap/>
            <w:vAlign w:val="center"/>
          </w:tcPr>
          <w:p w14:paraId="03D826C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0.005</w:t>
            </w:r>
          </w:p>
        </w:tc>
      </w:tr>
      <w:tr w14:paraId="1D6751BB">
        <w:tblPrEx>
          <w:tblCellMar>
            <w:top w:w="0" w:type="dxa"/>
            <w:left w:w="108" w:type="dxa"/>
            <w:bottom w:w="0" w:type="dxa"/>
            <w:right w:w="108" w:type="dxa"/>
          </w:tblCellMar>
        </w:tblPrEx>
        <w:trPr>
          <w:trHeight w:val="397" w:hRule="atLeast"/>
        </w:trPr>
        <w:tc>
          <w:tcPr>
            <w:tcW w:w="418" w:type="dxa"/>
            <w:vMerge w:val="restart"/>
            <w:tcBorders>
              <w:top w:val="nil"/>
              <w:left w:val="single" w:color="auto" w:sz="4" w:space="0"/>
              <w:bottom w:val="single" w:color="auto" w:sz="4" w:space="0"/>
              <w:right w:val="single" w:color="auto" w:sz="4" w:space="0"/>
            </w:tcBorders>
            <w:noWrap/>
            <w:vAlign w:val="center"/>
          </w:tcPr>
          <w:p w14:paraId="729161D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w:t>
            </w:r>
          </w:p>
        </w:tc>
        <w:tc>
          <w:tcPr>
            <w:tcW w:w="1500" w:type="dxa"/>
            <w:vMerge w:val="restart"/>
            <w:tcBorders>
              <w:top w:val="nil"/>
              <w:left w:val="single" w:color="auto" w:sz="4" w:space="0"/>
              <w:bottom w:val="single" w:color="auto" w:sz="4" w:space="0"/>
              <w:right w:val="single" w:color="auto" w:sz="4" w:space="0"/>
            </w:tcBorders>
            <w:noWrap w:val="0"/>
            <w:vAlign w:val="center"/>
          </w:tcPr>
          <w:p w14:paraId="0391A9B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智能接处警</w:t>
            </w:r>
          </w:p>
          <w:p w14:paraId="27143528">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应用</w:t>
            </w:r>
          </w:p>
        </w:tc>
        <w:tc>
          <w:tcPr>
            <w:tcW w:w="2040" w:type="dxa"/>
            <w:tcBorders>
              <w:top w:val="nil"/>
              <w:left w:val="nil"/>
              <w:bottom w:val="single" w:color="auto" w:sz="4" w:space="0"/>
              <w:right w:val="single" w:color="auto" w:sz="4" w:space="0"/>
            </w:tcBorders>
            <w:noWrap w:val="0"/>
            <w:vAlign w:val="center"/>
          </w:tcPr>
          <w:p w14:paraId="41105D7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群众报警数据</w:t>
            </w:r>
          </w:p>
        </w:tc>
        <w:tc>
          <w:tcPr>
            <w:tcW w:w="1590" w:type="dxa"/>
            <w:tcBorders>
              <w:top w:val="nil"/>
              <w:left w:val="nil"/>
              <w:bottom w:val="single" w:color="auto" w:sz="4" w:space="0"/>
              <w:right w:val="single" w:color="auto" w:sz="4" w:space="0"/>
            </w:tcBorders>
            <w:noWrap w:val="0"/>
            <w:vAlign w:val="center"/>
          </w:tcPr>
          <w:p w14:paraId="5C39DA1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结构化数据</w:t>
            </w:r>
          </w:p>
        </w:tc>
        <w:tc>
          <w:tcPr>
            <w:tcW w:w="1370" w:type="dxa"/>
            <w:tcBorders>
              <w:top w:val="nil"/>
              <w:left w:val="nil"/>
              <w:bottom w:val="single" w:color="auto" w:sz="4" w:space="0"/>
              <w:right w:val="single" w:color="auto" w:sz="4" w:space="0"/>
            </w:tcBorders>
            <w:noWrap w:val="0"/>
            <w:vAlign w:val="center"/>
          </w:tcPr>
          <w:p w14:paraId="73B5227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1000.00</w:t>
            </w:r>
          </w:p>
        </w:tc>
        <w:tc>
          <w:tcPr>
            <w:tcW w:w="1201" w:type="dxa"/>
            <w:tcBorders>
              <w:top w:val="nil"/>
              <w:left w:val="nil"/>
              <w:bottom w:val="single" w:color="auto" w:sz="4" w:space="0"/>
              <w:right w:val="single" w:color="auto" w:sz="4" w:space="0"/>
            </w:tcBorders>
            <w:noWrap w:val="0"/>
            <w:vAlign w:val="center"/>
          </w:tcPr>
          <w:p w14:paraId="058BD97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c>
          <w:tcPr>
            <w:tcW w:w="952" w:type="dxa"/>
            <w:tcBorders>
              <w:top w:val="nil"/>
              <w:left w:val="nil"/>
              <w:bottom w:val="single" w:color="auto" w:sz="4" w:space="0"/>
              <w:right w:val="single" w:color="auto" w:sz="4" w:space="0"/>
            </w:tcBorders>
            <w:noWrap/>
            <w:vAlign w:val="center"/>
          </w:tcPr>
          <w:p w14:paraId="436007B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r>
      <w:tr w14:paraId="3AD4D967">
        <w:tblPrEx>
          <w:tblCellMar>
            <w:top w:w="0" w:type="dxa"/>
            <w:left w:w="108" w:type="dxa"/>
            <w:bottom w:w="0" w:type="dxa"/>
            <w:right w:w="108" w:type="dxa"/>
          </w:tblCellMar>
        </w:tblPrEx>
        <w:trPr>
          <w:trHeight w:val="397" w:hRule="atLeast"/>
        </w:trPr>
        <w:tc>
          <w:tcPr>
            <w:tcW w:w="418" w:type="dxa"/>
            <w:vMerge w:val="continue"/>
            <w:tcBorders>
              <w:top w:val="nil"/>
              <w:left w:val="single" w:color="auto" w:sz="4" w:space="0"/>
              <w:bottom w:val="single" w:color="auto" w:sz="4" w:space="0"/>
              <w:right w:val="single" w:color="auto" w:sz="4" w:space="0"/>
            </w:tcBorders>
            <w:noWrap w:val="0"/>
            <w:vAlign w:val="center"/>
          </w:tcPr>
          <w:p w14:paraId="622F0291">
            <w:pPr>
              <w:widowControl/>
              <w:spacing w:line="240" w:lineRule="auto"/>
              <w:ind w:firstLine="0" w:firstLineChars="0"/>
              <w:jc w:val="center"/>
              <w:rPr>
                <w:rFonts w:hint="eastAsia" w:ascii="宋体" w:hAnsi="宋体" w:eastAsia="宋体" w:cs="宋体"/>
                <w:color w:val="000000"/>
                <w:kern w:val="0"/>
                <w:sz w:val="21"/>
                <w:szCs w:val="21"/>
              </w:rPr>
            </w:pPr>
          </w:p>
        </w:tc>
        <w:tc>
          <w:tcPr>
            <w:tcW w:w="1500" w:type="dxa"/>
            <w:vMerge w:val="continue"/>
            <w:tcBorders>
              <w:top w:val="nil"/>
              <w:left w:val="single" w:color="auto" w:sz="4" w:space="0"/>
              <w:bottom w:val="single" w:color="auto" w:sz="4" w:space="0"/>
              <w:right w:val="single" w:color="auto" w:sz="4" w:space="0"/>
            </w:tcBorders>
            <w:noWrap w:val="0"/>
            <w:vAlign w:val="center"/>
          </w:tcPr>
          <w:p w14:paraId="135EA19A">
            <w:pPr>
              <w:widowControl/>
              <w:spacing w:line="240" w:lineRule="auto"/>
              <w:ind w:firstLine="0" w:firstLineChars="0"/>
              <w:jc w:val="center"/>
              <w:rPr>
                <w:rFonts w:hint="eastAsia" w:ascii="宋体" w:hAnsi="宋体" w:eastAsia="宋体" w:cs="宋体"/>
                <w:color w:val="000000"/>
                <w:kern w:val="0"/>
                <w:sz w:val="21"/>
                <w:szCs w:val="21"/>
              </w:rPr>
            </w:pPr>
          </w:p>
        </w:tc>
        <w:tc>
          <w:tcPr>
            <w:tcW w:w="2040" w:type="dxa"/>
            <w:tcBorders>
              <w:top w:val="nil"/>
              <w:left w:val="nil"/>
              <w:bottom w:val="single" w:color="auto" w:sz="4" w:space="0"/>
              <w:right w:val="single" w:color="auto" w:sz="4" w:space="0"/>
            </w:tcBorders>
            <w:noWrap w:val="0"/>
            <w:vAlign w:val="center"/>
          </w:tcPr>
          <w:p w14:paraId="3D1898F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消防调派</w:t>
            </w:r>
          </w:p>
          <w:p w14:paraId="794372D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出警数据</w:t>
            </w:r>
          </w:p>
        </w:tc>
        <w:tc>
          <w:tcPr>
            <w:tcW w:w="1590" w:type="dxa"/>
            <w:tcBorders>
              <w:top w:val="nil"/>
              <w:left w:val="nil"/>
              <w:bottom w:val="single" w:color="auto" w:sz="4" w:space="0"/>
              <w:right w:val="single" w:color="auto" w:sz="4" w:space="0"/>
            </w:tcBorders>
            <w:noWrap w:val="0"/>
            <w:vAlign w:val="center"/>
          </w:tcPr>
          <w:p w14:paraId="3135B9B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结构化数据</w:t>
            </w:r>
          </w:p>
        </w:tc>
        <w:tc>
          <w:tcPr>
            <w:tcW w:w="1370" w:type="dxa"/>
            <w:tcBorders>
              <w:top w:val="nil"/>
              <w:left w:val="nil"/>
              <w:bottom w:val="single" w:color="auto" w:sz="4" w:space="0"/>
              <w:right w:val="single" w:color="auto" w:sz="4" w:space="0"/>
            </w:tcBorders>
            <w:noWrap w:val="0"/>
            <w:vAlign w:val="center"/>
          </w:tcPr>
          <w:p w14:paraId="356E51E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130.00</w:t>
            </w:r>
          </w:p>
        </w:tc>
        <w:tc>
          <w:tcPr>
            <w:tcW w:w="1201" w:type="dxa"/>
            <w:tcBorders>
              <w:top w:val="nil"/>
              <w:left w:val="nil"/>
              <w:bottom w:val="single" w:color="auto" w:sz="4" w:space="0"/>
              <w:right w:val="single" w:color="auto" w:sz="4" w:space="0"/>
            </w:tcBorders>
            <w:noWrap w:val="0"/>
            <w:vAlign w:val="center"/>
          </w:tcPr>
          <w:p w14:paraId="39231E0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c>
          <w:tcPr>
            <w:tcW w:w="952" w:type="dxa"/>
            <w:tcBorders>
              <w:top w:val="nil"/>
              <w:left w:val="nil"/>
              <w:bottom w:val="single" w:color="auto" w:sz="4" w:space="0"/>
              <w:right w:val="single" w:color="auto" w:sz="4" w:space="0"/>
            </w:tcBorders>
            <w:noWrap/>
            <w:vAlign w:val="center"/>
          </w:tcPr>
          <w:p w14:paraId="0760BBD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0.013</w:t>
            </w:r>
          </w:p>
        </w:tc>
      </w:tr>
      <w:tr w14:paraId="1B35DAA1">
        <w:tblPrEx>
          <w:tblCellMar>
            <w:top w:w="0" w:type="dxa"/>
            <w:left w:w="108" w:type="dxa"/>
            <w:bottom w:w="0" w:type="dxa"/>
            <w:right w:w="108" w:type="dxa"/>
          </w:tblCellMar>
        </w:tblPrEx>
        <w:trPr>
          <w:trHeight w:val="397" w:hRule="atLeast"/>
        </w:trPr>
        <w:tc>
          <w:tcPr>
            <w:tcW w:w="418" w:type="dxa"/>
            <w:vMerge w:val="continue"/>
            <w:tcBorders>
              <w:top w:val="nil"/>
              <w:left w:val="single" w:color="auto" w:sz="4" w:space="0"/>
              <w:bottom w:val="single" w:color="auto" w:sz="4" w:space="0"/>
              <w:right w:val="single" w:color="auto" w:sz="4" w:space="0"/>
            </w:tcBorders>
            <w:noWrap w:val="0"/>
            <w:vAlign w:val="center"/>
          </w:tcPr>
          <w:p w14:paraId="41BA43AE">
            <w:pPr>
              <w:widowControl/>
              <w:spacing w:line="240" w:lineRule="auto"/>
              <w:ind w:firstLine="0" w:firstLineChars="0"/>
              <w:jc w:val="center"/>
              <w:rPr>
                <w:rFonts w:hint="eastAsia" w:ascii="宋体" w:hAnsi="宋体" w:eastAsia="宋体" w:cs="宋体"/>
                <w:color w:val="000000"/>
                <w:kern w:val="0"/>
                <w:sz w:val="21"/>
                <w:szCs w:val="21"/>
              </w:rPr>
            </w:pPr>
          </w:p>
        </w:tc>
        <w:tc>
          <w:tcPr>
            <w:tcW w:w="1500" w:type="dxa"/>
            <w:vMerge w:val="continue"/>
            <w:tcBorders>
              <w:top w:val="nil"/>
              <w:left w:val="single" w:color="auto" w:sz="4" w:space="0"/>
              <w:bottom w:val="single" w:color="auto" w:sz="4" w:space="0"/>
              <w:right w:val="single" w:color="auto" w:sz="4" w:space="0"/>
            </w:tcBorders>
            <w:noWrap w:val="0"/>
            <w:vAlign w:val="center"/>
          </w:tcPr>
          <w:p w14:paraId="7F135368">
            <w:pPr>
              <w:widowControl/>
              <w:spacing w:line="240" w:lineRule="auto"/>
              <w:ind w:firstLine="0" w:firstLineChars="0"/>
              <w:jc w:val="center"/>
              <w:rPr>
                <w:rFonts w:hint="eastAsia" w:ascii="宋体" w:hAnsi="宋体" w:eastAsia="宋体" w:cs="宋体"/>
                <w:color w:val="000000"/>
                <w:kern w:val="0"/>
                <w:sz w:val="21"/>
                <w:szCs w:val="21"/>
              </w:rPr>
            </w:pPr>
          </w:p>
        </w:tc>
        <w:tc>
          <w:tcPr>
            <w:tcW w:w="2040" w:type="dxa"/>
            <w:tcBorders>
              <w:top w:val="nil"/>
              <w:left w:val="nil"/>
              <w:bottom w:val="single" w:color="auto" w:sz="4" w:space="0"/>
              <w:right w:val="single" w:color="auto" w:sz="4" w:space="0"/>
            </w:tcBorders>
            <w:noWrap w:val="0"/>
            <w:vAlign w:val="center"/>
          </w:tcPr>
          <w:p w14:paraId="6EE9132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火场文书数据</w:t>
            </w:r>
          </w:p>
        </w:tc>
        <w:tc>
          <w:tcPr>
            <w:tcW w:w="1590" w:type="dxa"/>
            <w:tcBorders>
              <w:top w:val="nil"/>
              <w:left w:val="nil"/>
              <w:bottom w:val="single" w:color="auto" w:sz="4" w:space="0"/>
              <w:right w:val="single" w:color="auto" w:sz="4" w:space="0"/>
            </w:tcBorders>
            <w:noWrap w:val="0"/>
            <w:vAlign w:val="center"/>
          </w:tcPr>
          <w:p w14:paraId="7D972D9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结构化数据</w:t>
            </w:r>
          </w:p>
        </w:tc>
        <w:tc>
          <w:tcPr>
            <w:tcW w:w="1370" w:type="dxa"/>
            <w:tcBorders>
              <w:top w:val="nil"/>
              <w:left w:val="nil"/>
              <w:bottom w:val="single" w:color="auto" w:sz="4" w:space="0"/>
              <w:right w:val="single" w:color="auto" w:sz="4" w:space="0"/>
            </w:tcBorders>
            <w:noWrap w:val="0"/>
            <w:vAlign w:val="center"/>
          </w:tcPr>
          <w:p w14:paraId="2947C1B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130.00</w:t>
            </w:r>
          </w:p>
        </w:tc>
        <w:tc>
          <w:tcPr>
            <w:tcW w:w="1201" w:type="dxa"/>
            <w:tcBorders>
              <w:top w:val="nil"/>
              <w:left w:val="nil"/>
              <w:bottom w:val="single" w:color="auto" w:sz="4" w:space="0"/>
              <w:right w:val="single" w:color="auto" w:sz="4" w:space="0"/>
            </w:tcBorders>
            <w:noWrap w:val="0"/>
            <w:vAlign w:val="center"/>
          </w:tcPr>
          <w:p w14:paraId="7126D79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c>
          <w:tcPr>
            <w:tcW w:w="952" w:type="dxa"/>
            <w:tcBorders>
              <w:top w:val="nil"/>
              <w:left w:val="nil"/>
              <w:bottom w:val="single" w:color="auto" w:sz="4" w:space="0"/>
              <w:right w:val="single" w:color="auto" w:sz="4" w:space="0"/>
            </w:tcBorders>
            <w:noWrap/>
            <w:vAlign w:val="center"/>
          </w:tcPr>
          <w:p w14:paraId="4872704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0.013</w:t>
            </w:r>
          </w:p>
        </w:tc>
      </w:tr>
      <w:tr w14:paraId="26341581">
        <w:tblPrEx>
          <w:tblCellMar>
            <w:top w:w="0" w:type="dxa"/>
            <w:left w:w="108" w:type="dxa"/>
            <w:bottom w:w="0" w:type="dxa"/>
            <w:right w:w="108" w:type="dxa"/>
          </w:tblCellMar>
        </w:tblPrEx>
        <w:trPr>
          <w:trHeight w:val="397" w:hRule="atLeast"/>
        </w:trPr>
        <w:tc>
          <w:tcPr>
            <w:tcW w:w="418" w:type="dxa"/>
            <w:vMerge w:val="continue"/>
            <w:tcBorders>
              <w:top w:val="nil"/>
              <w:left w:val="single" w:color="auto" w:sz="4" w:space="0"/>
              <w:bottom w:val="single" w:color="auto" w:sz="4" w:space="0"/>
              <w:right w:val="single" w:color="auto" w:sz="4" w:space="0"/>
            </w:tcBorders>
            <w:noWrap w:val="0"/>
            <w:vAlign w:val="center"/>
          </w:tcPr>
          <w:p w14:paraId="03106607">
            <w:pPr>
              <w:widowControl/>
              <w:spacing w:line="240" w:lineRule="auto"/>
              <w:ind w:firstLine="0" w:firstLineChars="0"/>
              <w:jc w:val="center"/>
              <w:rPr>
                <w:rFonts w:hint="eastAsia" w:ascii="宋体" w:hAnsi="宋体" w:eastAsia="宋体" w:cs="宋体"/>
                <w:color w:val="000000"/>
                <w:kern w:val="0"/>
                <w:sz w:val="21"/>
                <w:szCs w:val="21"/>
              </w:rPr>
            </w:pPr>
          </w:p>
        </w:tc>
        <w:tc>
          <w:tcPr>
            <w:tcW w:w="1500" w:type="dxa"/>
            <w:vMerge w:val="continue"/>
            <w:tcBorders>
              <w:top w:val="nil"/>
              <w:left w:val="single" w:color="auto" w:sz="4" w:space="0"/>
              <w:bottom w:val="single" w:color="auto" w:sz="4" w:space="0"/>
              <w:right w:val="single" w:color="auto" w:sz="4" w:space="0"/>
            </w:tcBorders>
            <w:noWrap w:val="0"/>
            <w:vAlign w:val="center"/>
          </w:tcPr>
          <w:p w14:paraId="2B609626">
            <w:pPr>
              <w:widowControl/>
              <w:spacing w:line="240" w:lineRule="auto"/>
              <w:ind w:firstLine="0" w:firstLineChars="0"/>
              <w:jc w:val="center"/>
              <w:rPr>
                <w:rFonts w:hint="eastAsia" w:ascii="宋体" w:hAnsi="宋体" w:eastAsia="宋体" w:cs="宋体"/>
                <w:color w:val="000000"/>
                <w:kern w:val="0"/>
                <w:sz w:val="21"/>
                <w:szCs w:val="21"/>
              </w:rPr>
            </w:pPr>
          </w:p>
        </w:tc>
        <w:tc>
          <w:tcPr>
            <w:tcW w:w="2040" w:type="dxa"/>
            <w:tcBorders>
              <w:top w:val="nil"/>
              <w:left w:val="nil"/>
              <w:bottom w:val="single" w:color="auto" w:sz="4" w:space="0"/>
              <w:right w:val="single" w:color="auto" w:sz="4" w:space="0"/>
            </w:tcBorders>
            <w:noWrap w:val="0"/>
            <w:vAlign w:val="center"/>
          </w:tcPr>
          <w:p w14:paraId="22F7FE8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现场人员</w:t>
            </w:r>
          </w:p>
          <w:p w14:paraId="568D345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上传数据</w:t>
            </w:r>
          </w:p>
        </w:tc>
        <w:tc>
          <w:tcPr>
            <w:tcW w:w="1590" w:type="dxa"/>
            <w:tcBorders>
              <w:top w:val="nil"/>
              <w:left w:val="nil"/>
              <w:bottom w:val="single" w:color="auto" w:sz="4" w:space="0"/>
              <w:right w:val="single" w:color="auto" w:sz="4" w:space="0"/>
            </w:tcBorders>
            <w:noWrap w:val="0"/>
            <w:vAlign w:val="center"/>
          </w:tcPr>
          <w:p w14:paraId="0278281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结构化数据</w:t>
            </w:r>
          </w:p>
        </w:tc>
        <w:tc>
          <w:tcPr>
            <w:tcW w:w="1370" w:type="dxa"/>
            <w:tcBorders>
              <w:top w:val="nil"/>
              <w:left w:val="nil"/>
              <w:bottom w:val="single" w:color="auto" w:sz="4" w:space="0"/>
              <w:right w:val="single" w:color="auto" w:sz="4" w:space="0"/>
            </w:tcBorders>
            <w:noWrap w:val="0"/>
            <w:vAlign w:val="center"/>
          </w:tcPr>
          <w:p w14:paraId="5646658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1000.00</w:t>
            </w:r>
          </w:p>
        </w:tc>
        <w:tc>
          <w:tcPr>
            <w:tcW w:w="1201" w:type="dxa"/>
            <w:tcBorders>
              <w:top w:val="nil"/>
              <w:left w:val="nil"/>
              <w:bottom w:val="single" w:color="auto" w:sz="4" w:space="0"/>
              <w:right w:val="single" w:color="auto" w:sz="4" w:space="0"/>
            </w:tcBorders>
            <w:noWrap w:val="0"/>
            <w:vAlign w:val="center"/>
          </w:tcPr>
          <w:p w14:paraId="4606DFC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c>
          <w:tcPr>
            <w:tcW w:w="952" w:type="dxa"/>
            <w:tcBorders>
              <w:top w:val="nil"/>
              <w:left w:val="nil"/>
              <w:bottom w:val="single" w:color="auto" w:sz="4" w:space="0"/>
              <w:right w:val="single" w:color="auto" w:sz="4" w:space="0"/>
            </w:tcBorders>
            <w:noWrap/>
            <w:vAlign w:val="center"/>
          </w:tcPr>
          <w:p w14:paraId="2C7AF2A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r>
      <w:tr w14:paraId="718FF681">
        <w:tblPrEx>
          <w:tblCellMar>
            <w:top w:w="0" w:type="dxa"/>
            <w:left w:w="108" w:type="dxa"/>
            <w:bottom w:w="0" w:type="dxa"/>
            <w:right w:w="108" w:type="dxa"/>
          </w:tblCellMar>
        </w:tblPrEx>
        <w:trPr>
          <w:trHeight w:val="397" w:hRule="atLeast"/>
        </w:trPr>
        <w:tc>
          <w:tcPr>
            <w:tcW w:w="418" w:type="dxa"/>
            <w:vMerge w:val="continue"/>
            <w:tcBorders>
              <w:top w:val="nil"/>
              <w:left w:val="single" w:color="auto" w:sz="4" w:space="0"/>
              <w:bottom w:val="single" w:color="auto" w:sz="4" w:space="0"/>
              <w:right w:val="single" w:color="auto" w:sz="4" w:space="0"/>
            </w:tcBorders>
            <w:noWrap w:val="0"/>
            <w:vAlign w:val="center"/>
          </w:tcPr>
          <w:p w14:paraId="5BE9F80D">
            <w:pPr>
              <w:widowControl/>
              <w:spacing w:line="240" w:lineRule="auto"/>
              <w:ind w:firstLine="0" w:firstLineChars="0"/>
              <w:jc w:val="center"/>
              <w:rPr>
                <w:rFonts w:hint="eastAsia" w:ascii="宋体" w:hAnsi="宋体" w:eastAsia="宋体" w:cs="宋体"/>
                <w:color w:val="000000"/>
                <w:kern w:val="0"/>
                <w:sz w:val="21"/>
                <w:szCs w:val="21"/>
              </w:rPr>
            </w:pPr>
          </w:p>
        </w:tc>
        <w:tc>
          <w:tcPr>
            <w:tcW w:w="1500" w:type="dxa"/>
            <w:vMerge w:val="continue"/>
            <w:tcBorders>
              <w:top w:val="nil"/>
              <w:left w:val="single" w:color="auto" w:sz="4" w:space="0"/>
              <w:bottom w:val="single" w:color="auto" w:sz="4" w:space="0"/>
              <w:right w:val="single" w:color="auto" w:sz="4" w:space="0"/>
            </w:tcBorders>
            <w:noWrap w:val="0"/>
            <w:vAlign w:val="center"/>
          </w:tcPr>
          <w:p w14:paraId="259D7A0D">
            <w:pPr>
              <w:widowControl/>
              <w:spacing w:line="240" w:lineRule="auto"/>
              <w:ind w:firstLine="0" w:firstLineChars="0"/>
              <w:jc w:val="center"/>
              <w:rPr>
                <w:rFonts w:hint="eastAsia" w:ascii="宋体" w:hAnsi="宋体" w:eastAsia="宋体" w:cs="宋体"/>
                <w:color w:val="000000"/>
                <w:kern w:val="0"/>
                <w:sz w:val="21"/>
                <w:szCs w:val="21"/>
              </w:rPr>
            </w:pPr>
          </w:p>
        </w:tc>
        <w:tc>
          <w:tcPr>
            <w:tcW w:w="2040" w:type="dxa"/>
            <w:tcBorders>
              <w:top w:val="nil"/>
              <w:left w:val="nil"/>
              <w:bottom w:val="single" w:color="auto" w:sz="4" w:space="0"/>
              <w:right w:val="single" w:color="auto" w:sz="4" w:space="0"/>
            </w:tcBorders>
            <w:noWrap w:val="0"/>
            <w:vAlign w:val="center"/>
          </w:tcPr>
          <w:p w14:paraId="426F4AF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手机报警</w:t>
            </w:r>
          </w:p>
          <w:p w14:paraId="194D845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定位数据</w:t>
            </w:r>
          </w:p>
        </w:tc>
        <w:tc>
          <w:tcPr>
            <w:tcW w:w="1590" w:type="dxa"/>
            <w:tcBorders>
              <w:top w:val="nil"/>
              <w:left w:val="nil"/>
              <w:bottom w:val="single" w:color="auto" w:sz="4" w:space="0"/>
              <w:right w:val="single" w:color="auto" w:sz="4" w:space="0"/>
            </w:tcBorders>
            <w:noWrap w:val="0"/>
            <w:vAlign w:val="center"/>
          </w:tcPr>
          <w:p w14:paraId="5466A9E3">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结构化数据</w:t>
            </w:r>
          </w:p>
        </w:tc>
        <w:tc>
          <w:tcPr>
            <w:tcW w:w="1370" w:type="dxa"/>
            <w:tcBorders>
              <w:top w:val="nil"/>
              <w:left w:val="nil"/>
              <w:bottom w:val="single" w:color="auto" w:sz="4" w:space="0"/>
              <w:right w:val="single" w:color="auto" w:sz="4" w:space="0"/>
            </w:tcBorders>
            <w:noWrap w:val="0"/>
            <w:vAlign w:val="center"/>
          </w:tcPr>
          <w:p w14:paraId="7121E16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1000.00</w:t>
            </w:r>
          </w:p>
        </w:tc>
        <w:tc>
          <w:tcPr>
            <w:tcW w:w="1201" w:type="dxa"/>
            <w:tcBorders>
              <w:top w:val="nil"/>
              <w:left w:val="nil"/>
              <w:bottom w:val="single" w:color="auto" w:sz="4" w:space="0"/>
              <w:right w:val="single" w:color="auto" w:sz="4" w:space="0"/>
            </w:tcBorders>
            <w:noWrap w:val="0"/>
            <w:vAlign w:val="center"/>
          </w:tcPr>
          <w:p w14:paraId="5A539BA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c>
          <w:tcPr>
            <w:tcW w:w="952" w:type="dxa"/>
            <w:tcBorders>
              <w:top w:val="nil"/>
              <w:left w:val="nil"/>
              <w:bottom w:val="single" w:color="auto" w:sz="4" w:space="0"/>
              <w:right w:val="single" w:color="auto" w:sz="4" w:space="0"/>
            </w:tcBorders>
            <w:noWrap/>
            <w:vAlign w:val="center"/>
          </w:tcPr>
          <w:p w14:paraId="60D947A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r>
      <w:tr w14:paraId="43CA7184">
        <w:tblPrEx>
          <w:tblCellMar>
            <w:top w:w="0" w:type="dxa"/>
            <w:left w:w="108" w:type="dxa"/>
            <w:bottom w:w="0" w:type="dxa"/>
            <w:right w:w="108" w:type="dxa"/>
          </w:tblCellMar>
        </w:tblPrEx>
        <w:trPr>
          <w:trHeight w:val="397" w:hRule="atLeast"/>
        </w:trPr>
        <w:tc>
          <w:tcPr>
            <w:tcW w:w="418" w:type="dxa"/>
            <w:vMerge w:val="continue"/>
            <w:tcBorders>
              <w:top w:val="nil"/>
              <w:left w:val="single" w:color="auto" w:sz="4" w:space="0"/>
              <w:bottom w:val="single" w:color="auto" w:sz="4" w:space="0"/>
              <w:right w:val="single" w:color="auto" w:sz="4" w:space="0"/>
            </w:tcBorders>
            <w:noWrap w:val="0"/>
            <w:vAlign w:val="center"/>
          </w:tcPr>
          <w:p w14:paraId="5C1481E2">
            <w:pPr>
              <w:widowControl/>
              <w:spacing w:line="240" w:lineRule="auto"/>
              <w:ind w:firstLine="0" w:firstLineChars="0"/>
              <w:jc w:val="center"/>
              <w:rPr>
                <w:rFonts w:hint="eastAsia" w:ascii="宋体" w:hAnsi="宋体" w:eastAsia="宋体" w:cs="宋体"/>
                <w:color w:val="000000"/>
                <w:kern w:val="0"/>
                <w:sz w:val="21"/>
                <w:szCs w:val="21"/>
              </w:rPr>
            </w:pPr>
          </w:p>
        </w:tc>
        <w:tc>
          <w:tcPr>
            <w:tcW w:w="1500" w:type="dxa"/>
            <w:vMerge w:val="continue"/>
            <w:tcBorders>
              <w:top w:val="nil"/>
              <w:left w:val="single" w:color="auto" w:sz="4" w:space="0"/>
              <w:bottom w:val="single" w:color="auto" w:sz="4" w:space="0"/>
              <w:right w:val="single" w:color="auto" w:sz="4" w:space="0"/>
            </w:tcBorders>
            <w:noWrap w:val="0"/>
            <w:vAlign w:val="center"/>
          </w:tcPr>
          <w:p w14:paraId="719364EC">
            <w:pPr>
              <w:widowControl/>
              <w:spacing w:line="240" w:lineRule="auto"/>
              <w:ind w:firstLine="0" w:firstLineChars="0"/>
              <w:jc w:val="center"/>
              <w:rPr>
                <w:rFonts w:hint="eastAsia" w:ascii="宋体" w:hAnsi="宋体" w:eastAsia="宋体" w:cs="宋体"/>
                <w:color w:val="000000"/>
                <w:kern w:val="0"/>
                <w:sz w:val="21"/>
                <w:szCs w:val="21"/>
              </w:rPr>
            </w:pPr>
          </w:p>
        </w:tc>
        <w:tc>
          <w:tcPr>
            <w:tcW w:w="2040" w:type="dxa"/>
            <w:tcBorders>
              <w:top w:val="nil"/>
              <w:left w:val="nil"/>
              <w:bottom w:val="single" w:color="auto" w:sz="4" w:space="0"/>
              <w:right w:val="single" w:color="auto" w:sz="4" w:space="0"/>
            </w:tcBorders>
            <w:noWrap w:val="0"/>
            <w:vAlign w:val="center"/>
          </w:tcPr>
          <w:p w14:paraId="0D1825C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消防车辆回传GPS数据</w:t>
            </w:r>
          </w:p>
        </w:tc>
        <w:tc>
          <w:tcPr>
            <w:tcW w:w="1590" w:type="dxa"/>
            <w:tcBorders>
              <w:top w:val="nil"/>
              <w:left w:val="nil"/>
              <w:bottom w:val="single" w:color="auto" w:sz="4" w:space="0"/>
              <w:right w:val="single" w:color="auto" w:sz="4" w:space="0"/>
            </w:tcBorders>
            <w:noWrap w:val="0"/>
            <w:vAlign w:val="center"/>
          </w:tcPr>
          <w:p w14:paraId="598C0E1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结构化数据</w:t>
            </w:r>
          </w:p>
        </w:tc>
        <w:tc>
          <w:tcPr>
            <w:tcW w:w="1370" w:type="dxa"/>
            <w:tcBorders>
              <w:top w:val="nil"/>
              <w:left w:val="nil"/>
              <w:bottom w:val="single" w:color="auto" w:sz="4" w:space="0"/>
              <w:right w:val="single" w:color="auto" w:sz="4" w:space="0"/>
            </w:tcBorders>
            <w:noWrap w:val="0"/>
            <w:vAlign w:val="center"/>
          </w:tcPr>
          <w:p w14:paraId="5C20EF8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72000.00</w:t>
            </w:r>
          </w:p>
        </w:tc>
        <w:tc>
          <w:tcPr>
            <w:tcW w:w="1201" w:type="dxa"/>
            <w:tcBorders>
              <w:top w:val="nil"/>
              <w:left w:val="nil"/>
              <w:bottom w:val="single" w:color="auto" w:sz="4" w:space="0"/>
              <w:right w:val="single" w:color="auto" w:sz="4" w:space="0"/>
            </w:tcBorders>
            <w:noWrap w:val="0"/>
            <w:vAlign w:val="center"/>
          </w:tcPr>
          <w:p w14:paraId="21233D2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c>
          <w:tcPr>
            <w:tcW w:w="952" w:type="dxa"/>
            <w:tcBorders>
              <w:top w:val="nil"/>
              <w:left w:val="nil"/>
              <w:bottom w:val="single" w:color="auto" w:sz="4" w:space="0"/>
              <w:right w:val="single" w:color="auto" w:sz="4" w:space="0"/>
            </w:tcBorders>
            <w:noWrap/>
            <w:vAlign w:val="center"/>
          </w:tcPr>
          <w:p w14:paraId="1D54B62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0.788</w:t>
            </w:r>
          </w:p>
        </w:tc>
      </w:tr>
      <w:tr w14:paraId="1AF18717">
        <w:tblPrEx>
          <w:tblCellMar>
            <w:top w:w="0" w:type="dxa"/>
            <w:left w:w="108" w:type="dxa"/>
            <w:bottom w:w="0" w:type="dxa"/>
            <w:right w:w="108" w:type="dxa"/>
          </w:tblCellMar>
        </w:tblPrEx>
        <w:trPr>
          <w:trHeight w:val="397" w:hRule="atLeast"/>
        </w:trPr>
        <w:tc>
          <w:tcPr>
            <w:tcW w:w="418" w:type="dxa"/>
            <w:vMerge w:val="restart"/>
            <w:tcBorders>
              <w:top w:val="nil"/>
              <w:left w:val="single" w:color="auto" w:sz="4" w:space="0"/>
              <w:bottom w:val="single" w:color="auto" w:sz="4" w:space="0"/>
              <w:right w:val="single" w:color="auto" w:sz="4" w:space="0"/>
            </w:tcBorders>
            <w:noWrap/>
            <w:vAlign w:val="center"/>
          </w:tcPr>
          <w:p w14:paraId="00961E5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w:t>
            </w:r>
          </w:p>
        </w:tc>
        <w:tc>
          <w:tcPr>
            <w:tcW w:w="1500" w:type="dxa"/>
            <w:vMerge w:val="restart"/>
            <w:tcBorders>
              <w:top w:val="nil"/>
              <w:left w:val="single" w:color="auto" w:sz="4" w:space="0"/>
              <w:bottom w:val="single" w:color="auto" w:sz="4" w:space="0"/>
              <w:right w:val="single" w:color="auto" w:sz="4" w:space="0"/>
            </w:tcBorders>
            <w:noWrap w:val="0"/>
            <w:vAlign w:val="center"/>
          </w:tcPr>
          <w:p w14:paraId="34411B1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智能指挥</w:t>
            </w:r>
          </w:p>
          <w:p w14:paraId="47E54C53">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系统增强版</w:t>
            </w:r>
          </w:p>
        </w:tc>
        <w:tc>
          <w:tcPr>
            <w:tcW w:w="2040" w:type="dxa"/>
            <w:tcBorders>
              <w:top w:val="nil"/>
              <w:left w:val="nil"/>
              <w:bottom w:val="single" w:color="auto" w:sz="4" w:space="0"/>
              <w:right w:val="single" w:color="auto" w:sz="4" w:space="0"/>
            </w:tcBorders>
            <w:noWrap w:val="0"/>
            <w:vAlign w:val="center"/>
          </w:tcPr>
          <w:p w14:paraId="21FFACE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警情数据</w:t>
            </w:r>
          </w:p>
        </w:tc>
        <w:tc>
          <w:tcPr>
            <w:tcW w:w="1590" w:type="dxa"/>
            <w:tcBorders>
              <w:top w:val="nil"/>
              <w:left w:val="nil"/>
              <w:bottom w:val="single" w:color="auto" w:sz="4" w:space="0"/>
              <w:right w:val="single" w:color="auto" w:sz="4" w:space="0"/>
            </w:tcBorders>
            <w:noWrap w:val="0"/>
            <w:vAlign w:val="center"/>
          </w:tcPr>
          <w:p w14:paraId="306ED7C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结构化数据</w:t>
            </w:r>
          </w:p>
        </w:tc>
        <w:tc>
          <w:tcPr>
            <w:tcW w:w="1370" w:type="dxa"/>
            <w:tcBorders>
              <w:top w:val="nil"/>
              <w:left w:val="nil"/>
              <w:bottom w:val="single" w:color="auto" w:sz="4" w:space="0"/>
              <w:right w:val="single" w:color="auto" w:sz="4" w:space="0"/>
            </w:tcBorders>
            <w:noWrap w:val="0"/>
            <w:vAlign w:val="center"/>
          </w:tcPr>
          <w:p w14:paraId="4D9539E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1000.00</w:t>
            </w:r>
          </w:p>
        </w:tc>
        <w:tc>
          <w:tcPr>
            <w:tcW w:w="1201" w:type="dxa"/>
            <w:tcBorders>
              <w:top w:val="nil"/>
              <w:left w:val="nil"/>
              <w:bottom w:val="single" w:color="auto" w:sz="4" w:space="0"/>
              <w:right w:val="single" w:color="auto" w:sz="4" w:space="0"/>
            </w:tcBorders>
            <w:noWrap w:val="0"/>
            <w:vAlign w:val="center"/>
          </w:tcPr>
          <w:p w14:paraId="6ECE73A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c>
          <w:tcPr>
            <w:tcW w:w="952" w:type="dxa"/>
            <w:tcBorders>
              <w:top w:val="nil"/>
              <w:left w:val="nil"/>
              <w:bottom w:val="single" w:color="auto" w:sz="4" w:space="0"/>
              <w:right w:val="single" w:color="auto" w:sz="4" w:space="0"/>
            </w:tcBorders>
            <w:noWrap/>
            <w:vAlign w:val="center"/>
          </w:tcPr>
          <w:p w14:paraId="14DCA2E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r>
      <w:tr w14:paraId="70557B18">
        <w:tblPrEx>
          <w:tblCellMar>
            <w:top w:w="0" w:type="dxa"/>
            <w:left w:w="108" w:type="dxa"/>
            <w:bottom w:w="0" w:type="dxa"/>
            <w:right w:w="108" w:type="dxa"/>
          </w:tblCellMar>
        </w:tblPrEx>
        <w:trPr>
          <w:trHeight w:val="397" w:hRule="atLeast"/>
        </w:trPr>
        <w:tc>
          <w:tcPr>
            <w:tcW w:w="418" w:type="dxa"/>
            <w:vMerge w:val="continue"/>
            <w:tcBorders>
              <w:top w:val="nil"/>
              <w:left w:val="single" w:color="auto" w:sz="4" w:space="0"/>
              <w:bottom w:val="single" w:color="auto" w:sz="4" w:space="0"/>
              <w:right w:val="single" w:color="auto" w:sz="4" w:space="0"/>
            </w:tcBorders>
            <w:noWrap w:val="0"/>
            <w:vAlign w:val="center"/>
          </w:tcPr>
          <w:p w14:paraId="58AB0BA6">
            <w:pPr>
              <w:widowControl/>
              <w:spacing w:line="240" w:lineRule="auto"/>
              <w:ind w:firstLine="0" w:firstLineChars="0"/>
              <w:jc w:val="center"/>
              <w:rPr>
                <w:rFonts w:hint="eastAsia" w:ascii="宋体" w:hAnsi="宋体" w:eastAsia="宋体" w:cs="宋体"/>
                <w:color w:val="000000"/>
                <w:kern w:val="0"/>
                <w:sz w:val="21"/>
                <w:szCs w:val="21"/>
              </w:rPr>
            </w:pPr>
          </w:p>
        </w:tc>
        <w:tc>
          <w:tcPr>
            <w:tcW w:w="1500" w:type="dxa"/>
            <w:vMerge w:val="continue"/>
            <w:tcBorders>
              <w:top w:val="nil"/>
              <w:left w:val="single" w:color="auto" w:sz="4" w:space="0"/>
              <w:bottom w:val="single" w:color="auto" w:sz="4" w:space="0"/>
              <w:right w:val="single" w:color="auto" w:sz="4" w:space="0"/>
            </w:tcBorders>
            <w:noWrap w:val="0"/>
            <w:vAlign w:val="center"/>
          </w:tcPr>
          <w:p w14:paraId="31AD7674">
            <w:pPr>
              <w:widowControl/>
              <w:spacing w:line="240" w:lineRule="auto"/>
              <w:ind w:firstLine="0" w:firstLineChars="0"/>
              <w:jc w:val="center"/>
              <w:rPr>
                <w:rFonts w:hint="eastAsia" w:ascii="宋体" w:hAnsi="宋体" w:eastAsia="宋体" w:cs="宋体"/>
                <w:color w:val="000000"/>
                <w:kern w:val="0"/>
                <w:sz w:val="21"/>
                <w:szCs w:val="21"/>
              </w:rPr>
            </w:pPr>
          </w:p>
        </w:tc>
        <w:tc>
          <w:tcPr>
            <w:tcW w:w="2040" w:type="dxa"/>
            <w:tcBorders>
              <w:top w:val="nil"/>
              <w:left w:val="nil"/>
              <w:bottom w:val="single" w:color="auto" w:sz="4" w:space="0"/>
              <w:right w:val="single" w:color="auto" w:sz="4" w:space="0"/>
            </w:tcBorders>
            <w:noWrap w:val="0"/>
            <w:vAlign w:val="center"/>
          </w:tcPr>
          <w:p w14:paraId="2354967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调派数据</w:t>
            </w:r>
          </w:p>
        </w:tc>
        <w:tc>
          <w:tcPr>
            <w:tcW w:w="1590" w:type="dxa"/>
            <w:tcBorders>
              <w:top w:val="nil"/>
              <w:left w:val="nil"/>
              <w:bottom w:val="single" w:color="auto" w:sz="4" w:space="0"/>
              <w:right w:val="single" w:color="auto" w:sz="4" w:space="0"/>
            </w:tcBorders>
            <w:noWrap w:val="0"/>
            <w:vAlign w:val="center"/>
          </w:tcPr>
          <w:p w14:paraId="3ACDFF1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结构化数据</w:t>
            </w:r>
          </w:p>
        </w:tc>
        <w:tc>
          <w:tcPr>
            <w:tcW w:w="1370" w:type="dxa"/>
            <w:tcBorders>
              <w:top w:val="nil"/>
              <w:left w:val="nil"/>
              <w:bottom w:val="single" w:color="auto" w:sz="4" w:space="0"/>
              <w:right w:val="single" w:color="auto" w:sz="4" w:space="0"/>
            </w:tcBorders>
            <w:noWrap w:val="0"/>
            <w:vAlign w:val="center"/>
          </w:tcPr>
          <w:p w14:paraId="6112AF0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1000.00</w:t>
            </w:r>
          </w:p>
        </w:tc>
        <w:tc>
          <w:tcPr>
            <w:tcW w:w="1201" w:type="dxa"/>
            <w:tcBorders>
              <w:top w:val="nil"/>
              <w:left w:val="nil"/>
              <w:bottom w:val="single" w:color="auto" w:sz="4" w:space="0"/>
              <w:right w:val="single" w:color="auto" w:sz="4" w:space="0"/>
            </w:tcBorders>
            <w:noWrap w:val="0"/>
            <w:vAlign w:val="center"/>
          </w:tcPr>
          <w:p w14:paraId="35D84498">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c>
          <w:tcPr>
            <w:tcW w:w="952" w:type="dxa"/>
            <w:tcBorders>
              <w:top w:val="nil"/>
              <w:left w:val="nil"/>
              <w:bottom w:val="single" w:color="auto" w:sz="4" w:space="0"/>
              <w:right w:val="single" w:color="auto" w:sz="4" w:space="0"/>
            </w:tcBorders>
            <w:noWrap/>
            <w:vAlign w:val="center"/>
          </w:tcPr>
          <w:p w14:paraId="605EF3B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r>
      <w:tr w14:paraId="3D524A3D">
        <w:tblPrEx>
          <w:tblCellMar>
            <w:top w:w="0" w:type="dxa"/>
            <w:left w:w="108" w:type="dxa"/>
            <w:bottom w:w="0" w:type="dxa"/>
            <w:right w:w="108" w:type="dxa"/>
          </w:tblCellMar>
        </w:tblPrEx>
        <w:trPr>
          <w:trHeight w:val="397" w:hRule="atLeast"/>
        </w:trPr>
        <w:tc>
          <w:tcPr>
            <w:tcW w:w="418" w:type="dxa"/>
            <w:vMerge w:val="continue"/>
            <w:tcBorders>
              <w:top w:val="nil"/>
              <w:left w:val="single" w:color="auto" w:sz="4" w:space="0"/>
              <w:bottom w:val="single" w:color="auto" w:sz="4" w:space="0"/>
              <w:right w:val="single" w:color="auto" w:sz="4" w:space="0"/>
            </w:tcBorders>
            <w:noWrap w:val="0"/>
            <w:vAlign w:val="center"/>
          </w:tcPr>
          <w:p w14:paraId="392C6CB2">
            <w:pPr>
              <w:widowControl/>
              <w:spacing w:line="240" w:lineRule="auto"/>
              <w:ind w:firstLine="0" w:firstLineChars="0"/>
              <w:jc w:val="center"/>
              <w:rPr>
                <w:rFonts w:hint="eastAsia" w:ascii="宋体" w:hAnsi="宋体" w:eastAsia="宋体" w:cs="宋体"/>
                <w:color w:val="000000"/>
                <w:kern w:val="0"/>
                <w:sz w:val="21"/>
                <w:szCs w:val="21"/>
              </w:rPr>
            </w:pPr>
          </w:p>
        </w:tc>
        <w:tc>
          <w:tcPr>
            <w:tcW w:w="1500" w:type="dxa"/>
            <w:vMerge w:val="continue"/>
            <w:tcBorders>
              <w:top w:val="nil"/>
              <w:left w:val="single" w:color="auto" w:sz="4" w:space="0"/>
              <w:bottom w:val="single" w:color="auto" w:sz="4" w:space="0"/>
              <w:right w:val="single" w:color="auto" w:sz="4" w:space="0"/>
            </w:tcBorders>
            <w:noWrap w:val="0"/>
            <w:vAlign w:val="center"/>
          </w:tcPr>
          <w:p w14:paraId="064F653A">
            <w:pPr>
              <w:widowControl/>
              <w:spacing w:line="240" w:lineRule="auto"/>
              <w:ind w:firstLine="0" w:firstLineChars="0"/>
              <w:jc w:val="center"/>
              <w:rPr>
                <w:rFonts w:hint="eastAsia" w:ascii="宋体" w:hAnsi="宋体" w:eastAsia="宋体" w:cs="宋体"/>
                <w:color w:val="000000"/>
                <w:kern w:val="0"/>
                <w:sz w:val="21"/>
                <w:szCs w:val="21"/>
              </w:rPr>
            </w:pPr>
          </w:p>
        </w:tc>
        <w:tc>
          <w:tcPr>
            <w:tcW w:w="2040" w:type="dxa"/>
            <w:tcBorders>
              <w:top w:val="nil"/>
              <w:left w:val="nil"/>
              <w:bottom w:val="single" w:color="auto" w:sz="4" w:space="0"/>
              <w:right w:val="single" w:color="auto" w:sz="4" w:space="0"/>
            </w:tcBorders>
            <w:noWrap w:val="0"/>
            <w:vAlign w:val="center"/>
          </w:tcPr>
          <w:p w14:paraId="3C73FD7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GIS警情</w:t>
            </w:r>
          </w:p>
          <w:p w14:paraId="69D2968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位置数据</w:t>
            </w:r>
          </w:p>
        </w:tc>
        <w:tc>
          <w:tcPr>
            <w:tcW w:w="1590" w:type="dxa"/>
            <w:tcBorders>
              <w:top w:val="nil"/>
              <w:left w:val="nil"/>
              <w:bottom w:val="single" w:color="auto" w:sz="4" w:space="0"/>
              <w:right w:val="single" w:color="auto" w:sz="4" w:space="0"/>
            </w:tcBorders>
            <w:noWrap w:val="0"/>
            <w:vAlign w:val="center"/>
          </w:tcPr>
          <w:p w14:paraId="5640E7E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结构化数据</w:t>
            </w:r>
          </w:p>
        </w:tc>
        <w:tc>
          <w:tcPr>
            <w:tcW w:w="1370" w:type="dxa"/>
            <w:tcBorders>
              <w:top w:val="nil"/>
              <w:left w:val="nil"/>
              <w:bottom w:val="single" w:color="auto" w:sz="4" w:space="0"/>
              <w:right w:val="single" w:color="auto" w:sz="4" w:space="0"/>
            </w:tcBorders>
            <w:noWrap w:val="0"/>
            <w:vAlign w:val="center"/>
          </w:tcPr>
          <w:p w14:paraId="243F140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1000.00</w:t>
            </w:r>
          </w:p>
        </w:tc>
        <w:tc>
          <w:tcPr>
            <w:tcW w:w="1201" w:type="dxa"/>
            <w:tcBorders>
              <w:top w:val="nil"/>
              <w:left w:val="nil"/>
              <w:bottom w:val="single" w:color="auto" w:sz="4" w:space="0"/>
              <w:right w:val="single" w:color="auto" w:sz="4" w:space="0"/>
            </w:tcBorders>
            <w:noWrap w:val="0"/>
            <w:vAlign w:val="center"/>
          </w:tcPr>
          <w:p w14:paraId="7F8A296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c>
          <w:tcPr>
            <w:tcW w:w="952" w:type="dxa"/>
            <w:tcBorders>
              <w:top w:val="nil"/>
              <w:left w:val="nil"/>
              <w:bottom w:val="single" w:color="auto" w:sz="4" w:space="0"/>
              <w:right w:val="single" w:color="auto" w:sz="4" w:space="0"/>
            </w:tcBorders>
            <w:noWrap/>
            <w:vAlign w:val="center"/>
          </w:tcPr>
          <w:p w14:paraId="3FE192F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r>
      <w:tr w14:paraId="5EC36051">
        <w:tblPrEx>
          <w:tblCellMar>
            <w:top w:w="0" w:type="dxa"/>
            <w:left w:w="108" w:type="dxa"/>
            <w:bottom w:w="0" w:type="dxa"/>
            <w:right w:w="108" w:type="dxa"/>
          </w:tblCellMar>
        </w:tblPrEx>
        <w:trPr>
          <w:trHeight w:val="397" w:hRule="atLeast"/>
        </w:trPr>
        <w:tc>
          <w:tcPr>
            <w:tcW w:w="418" w:type="dxa"/>
            <w:vMerge w:val="continue"/>
            <w:tcBorders>
              <w:top w:val="nil"/>
              <w:left w:val="single" w:color="auto" w:sz="4" w:space="0"/>
              <w:bottom w:val="single" w:color="auto" w:sz="4" w:space="0"/>
              <w:right w:val="single" w:color="auto" w:sz="4" w:space="0"/>
            </w:tcBorders>
            <w:noWrap w:val="0"/>
            <w:vAlign w:val="center"/>
          </w:tcPr>
          <w:p w14:paraId="6E7D304B">
            <w:pPr>
              <w:widowControl/>
              <w:spacing w:line="240" w:lineRule="auto"/>
              <w:ind w:firstLine="0" w:firstLineChars="0"/>
              <w:jc w:val="center"/>
              <w:rPr>
                <w:rFonts w:hint="eastAsia" w:ascii="宋体" w:hAnsi="宋体" w:eastAsia="宋体" w:cs="宋体"/>
                <w:color w:val="000000"/>
                <w:kern w:val="0"/>
                <w:sz w:val="21"/>
                <w:szCs w:val="21"/>
              </w:rPr>
            </w:pPr>
          </w:p>
        </w:tc>
        <w:tc>
          <w:tcPr>
            <w:tcW w:w="1500" w:type="dxa"/>
            <w:vMerge w:val="continue"/>
            <w:tcBorders>
              <w:top w:val="nil"/>
              <w:left w:val="single" w:color="auto" w:sz="4" w:space="0"/>
              <w:bottom w:val="single" w:color="auto" w:sz="4" w:space="0"/>
              <w:right w:val="single" w:color="auto" w:sz="4" w:space="0"/>
            </w:tcBorders>
            <w:noWrap w:val="0"/>
            <w:vAlign w:val="center"/>
          </w:tcPr>
          <w:p w14:paraId="35E7DFF0">
            <w:pPr>
              <w:widowControl/>
              <w:spacing w:line="240" w:lineRule="auto"/>
              <w:ind w:firstLine="0" w:firstLineChars="0"/>
              <w:jc w:val="center"/>
              <w:rPr>
                <w:rFonts w:hint="eastAsia" w:ascii="宋体" w:hAnsi="宋体" w:eastAsia="宋体" w:cs="宋体"/>
                <w:color w:val="000000"/>
                <w:kern w:val="0"/>
                <w:sz w:val="21"/>
                <w:szCs w:val="21"/>
              </w:rPr>
            </w:pPr>
          </w:p>
        </w:tc>
        <w:tc>
          <w:tcPr>
            <w:tcW w:w="2040" w:type="dxa"/>
            <w:tcBorders>
              <w:top w:val="nil"/>
              <w:left w:val="nil"/>
              <w:bottom w:val="single" w:color="auto" w:sz="4" w:space="0"/>
              <w:right w:val="single" w:color="auto" w:sz="4" w:space="0"/>
            </w:tcBorders>
            <w:noWrap w:val="0"/>
            <w:vAlign w:val="center"/>
          </w:tcPr>
          <w:p w14:paraId="5625D903">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现场人员</w:t>
            </w:r>
          </w:p>
          <w:p w14:paraId="29FB5D2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上传数据</w:t>
            </w:r>
          </w:p>
        </w:tc>
        <w:tc>
          <w:tcPr>
            <w:tcW w:w="1590" w:type="dxa"/>
            <w:tcBorders>
              <w:top w:val="nil"/>
              <w:left w:val="nil"/>
              <w:bottom w:val="single" w:color="auto" w:sz="4" w:space="0"/>
              <w:right w:val="single" w:color="auto" w:sz="4" w:space="0"/>
            </w:tcBorders>
            <w:noWrap w:val="0"/>
            <w:vAlign w:val="center"/>
          </w:tcPr>
          <w:p w14:paraId="13D04B4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结构化数据</w:t>
            </w:r>
          </w:p>
        </w:tc>
        <w:tc>
          <w:tcPr>
            <w:tcW w:w="1370" w:type="dxa"/>
            <w:tcBorders>
              <w:top w:val="nil"/>
              <w:left w:val="nil"/>
              <w:bottom w:val="single" w:color="auto" w:sz="4" w:space="0"/>
              <w:right w:val="single" w:color="auto" w:sz="4" w:space="0"/>
            </w:tcBorders>
            <w:noWrap w:val="0"/>
            <w:vAlign w:val="center"/>
          </w:tcPr>
          <w:p w14:paraId="1C0D205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3000.00</w:t>
            </w:r>
          </w:p>
        </w:tc>
        <w:tc>
          <w:tcPr>
            <w:tcW w:w="1201" w:type="dxa"/>
            <w:tcBorders>
              <w:top w:val="nil"/>
              <w:left w:val="nil"/>
              <w:bottom w:val="single" w:color="auto" w:sz="4" w:space="0"/>
              <w:right w:val="single" w:color="auto" w:sz="4" w:space="0"/>
            </w:tcBorders>
            <w:noWrap w:val="0"/>
            <w:vAlign w:val="center"/>
          </w:tcPr>
          <w:p w14:paraId="6FF62EC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c>
          <w:tcPr>
            <w:tcW w:w="952" w:type="dxa"/>
            <w:tcBorders>
              <w:top w:val="nil"/>
              <w:left w:val="nil"/>
              <w:bottom w:val="single" w:color="auto" w:sz="4" w:space="0"/>
              <w:right w:val="single" w:color="auto" w:sz="4" w:space="0"/>
            </w:tcBorders>
            <w:noWrap/>
            <w:vAlign w:val="center"/>
          </w:tcPr>
          <w:p w14:paraId="4D6488E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0.03</w:t>
            </w:r>
          </w:p>
        </w:tc>
      </w:tr>
      <w:tr w14:paraId="1F1A437E">
        <w:tblPrEx>
          <w:tblCellMar>
            <w:top w:w="0" w:type="dxa"/>
            <w:left w:w="108" w:type="dxa"/>
            <w:bottom w:w="0" w:type="dxa"/>
            <w:right w:w="108" w:type="dxa"/>
          </w:tblCellMar>
        </w:tblPrEx>
        <w:trPr>
          <w:trHeight w:val="397" w:hRule="atLeast"/>
        </w:trPr>
        <w:tc>
          <w:tcPr>
            <w:tcW w:w="418" w:type="dxa"/>
            <w:vMerge w:val="restart"/>
            <w:tcBorders>
              <w:top w:val="nil"/>
              <w:left w:val="single" w:color="auto" w:sz="4" w:space="0"/>
              <w:bottom w:val="single" w:color="auto" w:sz="4" w:space="0"/>
              <w:right w:val="single" w:color="auto" w:sz="4" w:space="0"/>
            </w:tcBorders>
            <w:noWrap/>
            <w:vAlign w:val="center"/>
          </w:tcPr>
          <w:p w14:paraId="3AF2E95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w:t>
            </w:r>
          </w:p>
        </w:tc>
        <w:tc>
          <w:tcPr>
            <w:tcW w:w="1500" w:type="dxa"/>
            <w:vMerge w:val="restart"/>
            <w:tcBorders>
              <w:top w:val="nil"/>
              <w:left w:val="single" w:color="auto" w:sz="4" w:space="0"/>
              <w:bottom w:val="single" w:color="auto" w:sz="4" w:space="0"/>
              <w:right w:val="single" w:color="auto" w:sz="4" w:space="0"/>
            </w:tcBorders>
            <w:noWrap w:val="0"/>
            <w:vAlign w:val="center"/>
          </w:tcPr>
          <w:p w14:paraId="5267CF7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联勤联动力量调度管理</w:t>
            </w:r>
          </w:p>
        </w:tc>
        <w:tc>
          <w:tcPr>
            <w:tcW w:w="2040" w:type="dxa"/>
            <w:tcBorders>
              <w:top w:val="nil"/>
              <w:left w:val="nil"/>
              <w:bottom w:val="single" w:color="auto" w:sz="4" w:space="0"/>
              <w:right w:val="single" w:color="auto" w:sz="4" w:space="0"/>
            </w:tcBorders>
            <w:noWrap w:val="0"/>
            <w:vAlign w:val="center"/>
          </w:tcPr>
          <w:p w14:paraId="205D3F9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消防下发指</w:t>
            </w:r>
          </w:p>
          <w:p w14:paraId="25FD222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令数据</w:t>
            </w:r>
          </w:p>
        </w:tc>
        <w:tc>
          <w:tcPr>
            <w:tcW w:w="1590" w:type="dxa"/>
            <w:tcBorders>
              <w:top w:val="nil"/>
              <w:left w:val="nil"/>
              <w:bottom w:val="single" w:color="auto" w:sz="4" w:space="0"/>
              <w:right w:val="single" w:color="auto" w:sz="4" w:space="0"/>
            </w:tcBorders>
            <w:noWrap w:val="0"/>
            <w:vAlign w:val="center"/>
          </w:tcPr>
          <w:p w14:paraId="52C99C1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结构化数据</w:t>
            </w:r>
          </w:p>
        </w:tc>
        <w:tc>
          <w:tcPr>
            <w:tcW w:w="1370" w:type="dxa"/>
            <w:tcBorders>
              <w:top w:val="nil"/>
              <w:left w:val="nil"/>
              <w:bottom w:val="single" w:color="auto" w:sz="4" w:space="0"/>
              <w:right w:val="single" w:color="auto" w:sz="4" w:space="0"/>
            </w:tcBorders>
            <w:noWrap w:val="0"/>
            <w:vAlign w:val="center"/>
          </w:tcPr>
          <w:p w14:paraId="1DF47E7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1000.00</w:t>
            </w:r>
          </w:p>
        </w:tc>
        <w:tc>
          <w:tcPr>
            <w:tcW w:w="1201" w:type="dxa"/>
            <w:tcBorders>
              <w:top w:val="nil"/>
              <w:left w:val="nil"/>
              <w:bottom w:val="single" w:color="auto" w:sz="4" w:space="0"/>
              <w:right w:val="single" w:color="auto" w:sz="4" w:space="0"/>
            </w:tcBorders>
            <w:noWrap w:val="0"/>
            <w:vAlign w:val="center"/>
          </w:tcPr>
          <w:p w14:paraId="427E5BD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c>
          <w:tcPr>
            <w:tcW w:w="952" w:type="dxa"/>
            <w:tcBorders>
              <w:top w:val="nil"/>
              <w:left w:val="nil"/>
              <w:bottom w:val="single" w:color="auto" w:sz="4" w:space="0"/>
              <w:right w:val="single" w:color="auto" w:sz="4" w:space="0"/>
            </w:tcBorders>
            <w:noWrap/>
            <w:vAlign w:val="center"/>
          </w:tcPr>
          <w:p w14:paraId="2355FB5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r>
      <w:tr w14:paraId="6F249353">
        <w:tblPrEx>
          <w:tblCellMar>
            <w:top w:w="0" w:type="dxa"/>
            <w:left w:w="108" w:type="dxa"/>
            <w:bottom w:w="0" w:type="dxa"/>
            <w:right w:w="108" w:type="dxa"/>
          </w:tblCellMar>
        </w:tblPrEx>
        <w:trPr>
          <w:trHeight w:val="397" w:hRule="atLeast"/>
        </w:trPr>
        <w:tc>
          <w:tcPr>
            <w:tcW w:w="418" w:type="dxa"/>
            <w:vMerge w:val="continue"/>
            <w:tcBorders>
              <w:top w:val="nil"/>
              <w:left w:val="single" w:color="auto" w:sz="4" w:space="0"/>
              <w:bottom w:val="single" w:color="auto" w:sz="4" w:space="0"/>
              <w:right w:val="single" w:color="auto" w:sz="4" w:space="0"/>
            </w:tcBorders>
            <w:noWrap w:val="0"/>
            <w:vAlign w:val="center"/>
          </w:tcPr>
          <w:p w14:paraId="4309D33E">
            <w:pPr>
              <w:widowControl/>
              <w:spacing w:line="240" w:lineRule="auto"/>
              <w:ind w:firstLine="0" w:firstLineChars="0"/>
              <w:jc w:val="center"/>
              <w:rPr>
                <w:rFonts w:hint="eastAsia" w:ascii="宋体" w:hAnsi="宋体" w:eastAsia="宋体" w:cs="宋体"/>
                <w:color w:val="000000"/>
                <w:kern w:val="0"/>
                <w:sz w:val="21"/>
                <w:szCs w:val="21"/>
              </w:rPr>
            </w:pPr>
          </w:p>
        </w:tc>
        <w:tc>
          <w:tcPr>
            <w:tcW w:w="1500" w:type="dxa"/>
            <w:vMerge w:val="continue"/>
            <w:tcBorders>
              <w:top w:val="nil"/>
              <w:left w:val="single" w:color="auto" w:sz="4" w:space="0"/>
              <w:bottom w:val="single" w:color="auto" w:sz="4" w:space="0"/>
              <w:right w:val="single" w:color="auto" w:sz="4" w:space="0"/>
            </w:tcBorders>
            <w:noWrap w:val="0"/>
            <w:vAlign w:val="center"/>
          </w:tcPr>
          <w:p w14:paraId="7F082546">
            <w:pPr>
              <w:widowControl/>
              <w:spacing w:line="240" w:lineRule="auto"/>
              <w:ind w:firstLine="0" w:firstLineChars="0"/>
              <w:jc w:val="center"/>
              <w:rPr>
                <w:rFonts w:hint="eastAsia" w:ascii="宋体" w:hAnsi="宋体" w:eastAsia="宋体" w:cs="宋体"/>
                <w:color w:val="000000"/>
                <w:kern w:val="0"/>
                <w:sz w:val="21"/>
                <w:szCs w:val="21"/>
              </w:rPr>
            </w:pPr>
          </w:p>
        </w:tc>
        <w:tc>
          <w:tcPr>
            <w:tcW w:w="2040" w:type="dxa"/>
            <w:tcBorders>
              <w:top w:val="nil"/>
              <w:left w:val="nil"/>
              <w:bottom w:val="single" w:color="auto" w:sz="4" w:space="0"/>
              <w:right w:val="single" w:color="auto" w:sz="4" w:space="0"/>
            </w:tcBorders>
            <w:noWrap w:val="0"/>
            <w:vAlign w:val="center"/>
          </w:tcPr>
          <w:p w14:paraId="26F21F1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联勤联动人员</w:t>
            </w:r>
          </w:p>
          <w:p w14:paraId="3CFD58D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上传数据</w:t>
            </w:r>
          </w:p>
        </w:tc>
        <w:tc>
          <w:tcPr>
            <w:tcW w:w="1590" w:type="dxa"/>
            <w:tcBorders>
              <w:top w:val="nil"/>
              <w:left w:val="nil"/>
              <w:bottom w:val="single" w:color="auto" w:sz="4" w:space="0"/>
              <w:right w:val="single" w:color="auto" w:sz="4" w:space="0"/>
            </w:tcBorders>
            <w:noWrap w:val="0"/>
            <w:vAlign w:val="center"/>
          </w:tcPr>
          <w:p w14:paraId="2CD35A3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结构化数据</w:t>
            </w:r>
          </w:p>
        </w:tc>
        <w:tc>
          <w:tcPr>
            <w:tcW w:w="1370" w:type="dxa"/>
            <w:tcBorders>
              <w:top w:val="nil"/>
              <w:left w:val="nil"/>
              <w:bottom w:val="single" w:color="auto" w:sz="4" w:space="0"/>
              <w:right w:val="single" w:color="auto" w:sz="4" w:space="0"/>
            </w:tcBorders>
            <w:noWrap w:val="0"/>
            <w:vAlign w:val="center"/>
          </w:tcPr>
          <w:p w14:paraId="04B1C32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1000.00</w:t>
            </w:r>
          </w:p>
        </w:tc>
        <w:tc>
          <w:tcPr>
            <w:tcW w:w="1201" w:type="dxa"/>
            <w:tcBorders>
              <w:top w:val="nil"/>
              <w:left w:val="nil"/>
              <w:bottom w:val="single" w:color="auto" w:sz="4" w:space="0"/>
              <w:right w:val="single" w:color="auto" w:sz="4" w:space="0"/>
            </w:tcBorders>
            <w:noWrap w:val="0"/>
            <w:vAlign w:val="center"/>
          </w:tcPr>
          <w:p w14:paraId="463A98F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c>
          <w:tcPr>
            <w:tcW w:w="952" w:type="dxa"/>
            <w:tcBorders>
              <w:top w:val="nil"/>
              <w:left w:val="nil"/>
              <w:bottom w:val="single" w:color="auto" w:sz="4" w:space="0"/>
              <w:right w:val="single" w:color="auto" w:sz="4" w:space="0"/>
            </w:tcBorders>
            <w:noWrap/>
            <w:vAlign w:val="center"/>
          </w:tcPr>
          <w:p w14:paraId="32E216E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r>
      <w:tr w14:paraId="62500141">
        <w:tblPrEx>
          <w:tblCellMar>
            <w:top w:w="0" w:type="dxa"/>
            <w:left w:w="108" w:type="dxa"/>
            <w:bottom w:w="0" w:type="dxa"/>
            <w:right w:w="108" w:type="dxa"/>
          </w:tblCellMar>
        </w:tblPrEx>
        <w:trPr>
          <w:trHeight w:val="397" w:hRule="atLeast"/>
        </w:trPr>
        <w:tc>
          <w:tcPr>
            <w:tcW w:w="418" w:type="dxa"/>
            <w:tcBorders>
              <w:top w:val="nil"/>
              <w:left w:val="single" w:color="auto" w:sz="4" w:space="0"/>
              <w:bottom w:val="single" w:color="auto" w:sz="4" w:space="0"/>
              <w:right w:val="single" w:color="auto" w:sz="4" w:space="0"/>
            </w:tcBorders>
            <w:noWrap/>
            <w:vAlign w:val="center"/>
          </w:tcPr>
          <w:p w14:paraId="7208006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w:t>
            </w:r>
          </w:p>
        </w:tc>
        <w:tc>
          <w:tcPr>
            <w:tcW w:w="1500" w:type="dxa"/>
            <w:tcBorders>
              <w:top w:val="nil"/>
              <w:left w:val="nil"/>
              <w:bottom w:val="single" w:color="auto" w:sz="4" w:space="0"/>
              <w:right w:val="single" w:color="auto" w:sz="4" w:space="0"/>
            </w:tcBorders>
            <w:noWrap w:val="0"/>
            <w:vAlign w:val="center"/>
          </w:tcPr>
          <w:p w14:paraId="3DC90F3B">
            <w:pPr>
              <w:pStyle w:val="11"/>
              <w:spacing w:line="240" w:lineRule="auto"/>
              <w:ind w:left="0" w:leftChars="0"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业务安全</w:t>
            </w:r>
          </w:p>
          <w:p w14:paraId="2D74C5F9">
            <w:pPr>
              <w:pStyle w:val="11"/>
              <w:spacing w:line="240" w:lineRule="auto"/>
              <w:ind w:left="0" w:leftChars="0"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管理系统</w:t>
            </w:r>
          </w:p>
        </w:tc>
        <w:tc>
          <w:tcPr>
            <w:tcW w:w="2040" w:type="dxa"/>
            <w:tcBorders>
              <w:top w:val="nil"/>
              <w:left w:val="nil"/>
              <w:bottom w:val="single" w:color="auto" w:sz="4" w:space="0"/>
              <w:right w:val="single" w:color="auto" w:sz="4" w:space="0"/>
            </w:tcBorders>
            <w:noWrap w:val="0"/>
            <w:vAlign w:val="center"/>
          </w:tcPr>
          <w:p w14:paraId="70866682">
            <w:pPr>
              <w:pStyle w:val="11"/>
              <w:spacing w:line="240" w:lineRule="auto"/>
              <w:ind w:left="0" w:leftChars="0"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安全事件日志</w:t>
            </w:r>
          </w:p>
        </w:tc>
        <w:tc>
          <w:tcPr>
            <w:tcW w:w="1590" w:type="dxa"/>
            <w:tcBorders>
              <w:top w:val="nil"/>
              <w:left w:val="nil"/>
              <w:bottom w:val="single" w:color="auto" w:sz="4" w:space="0"/>
              <w:right w:val="single" w:color="auto" w:sz="4" w:space="0"/>
            </w:tcBorders>
            <w:noWrap w:val="0"/>
            <w:vAlign w:val="center"/>
          </w:tcPr>
          <w:p w14:paraId="5CEA6CC3">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结构化数据</w:t>
            </w:r>
          </w:p>
        </w:tc>
        <w:tc>
          <w:tcPr>
            <w:tcW w:w="1370" w:type="dxa"/>
            <w:tcBorders>
              <w:top w:val="nil"/>
              <w:left w:val="nil"/>
              <w:bottom w:val="single" w:color="auto" w:sz="4" w:space="0"/>
              <w:right w:val="single" w:color="auto" w:sz="4" w:space="0"/>
            </w:tcBorders>
            <w:noWrap/>
            <w:vAlign w:val="center"/>
          </w:tcPr>
          <w:p w14:paraId="20957E45">
            <w:pPr>
              <w:pStyle w:val="11"/>
              <w:spacing w:line="240" w:lineRule="auto"/>
              <w:ind w:left="0" w:leftChars="0"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500000</w:t>
            </w:r>
          </w:p>
        </w:tc>
        <w:tc>
          <w:tcPr>
            <w:tcW w:w="1201" w:type="dxa"/>
            <w:tcBorders>
              <w:top w:val="nil"/>
              <w:left w:val="nil"/>
              <w:bottom w:val="single" w:color="auto" w:sz="4" w:space="0"/>
              <w:right w:val="single" w:color="auto" w:sz="4" w:space="0"/>
            </w:tcBorders>
            <w:noWrap/>
            <w:vAlign w:val="center"/>
          </w:tcPr>
          <w:p w14:paraId="5A9CBE3D">
            <w:pPr>
              <w:pStyle w:val="11"/>
              <w:spacing w:line="240" w:lineRule="auto"/>
              <w:ind w:left="0" w:leftChars="0"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0.015</w:t>
            </w:r>
          </w:p>
        </w:tc>
        <w:tc>
          <w:tcPr>
            <w:tcW w:w="952" w:type="dxa"/>
            <w:tcBorders>
              <w:top w:val="nil"/>
              <w:left w:val="nil"/>
              <w:bottom w:val="single" w:color="auto" w:sz="4" w:space="0"/>
              <w:right w:val="single" w:color="auto" w:sz="4" w:space="0"/>
            </w:tcBorders>
            <w:noWrap/>
            <w:vAlign w:val="center"/>
          </w:tcPr>
          <w:p w14:paraId="7EDBDA9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w:t>
            </w:r>
            <w:r>
              <w:rPr>
                <w:rFonts w:hint="eastAsia" w:ascii="宋体" w:hAnsi="宋体" w:eastAsia="宋体" w:cs="宋体"/>
                <w:color w:val="000000"/>
                <w:kern w:val="0"/>
                <w:sz w:val="21"/>
                <w:szCs w:val="21"/>
                <w:lang w:eastAsia="zh-Hans"/>
              </w:rPr>
              <w:t>.2</w:t>
            </w:r>
          </w:p>
        </w:tc>
      </w:tr>
      <w:tr w14:paraId="0954C923">
        <w:tblPrEx>
          <w:tblCellMar>
            <w:top w:w="0" w:type="dxa"/>
            <w:left w:w="108" w:type="dxa"/>
            <w:bottom w:w="0" w:type="dxa"/>
            <w:right w:w="108" w:type="dxa"/>
          </w:tblCellMar>
        </w:tblPrEx>
        <w:trPr>
          <w:trHeight w:val="397" w:hRule="atLeast"/>
        </w:trPr>
        <w:tc>
          <w:tcPr>
            <w:tcW w:w="418" w:type="dxa"/>
            <w:tcBorders>
              <w:top w:val="nil"/>
              <w:left w:val="single" w:color="auto" w:sz="4" w:space="0"/>
              <w:bottom w:val="single" w:color="auto" w:sz="4" w:space="0"/>
              <w:right w:val="single" w:color="auto" w:sz="4" w:space="0"/>
            </w:tcBorders>
            <w:noWrap/>
            <w:vAlign w:val="center"/>
          </w:tcPr>
          <w:p w14:paraId="54A38D9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w:t>
            </w:r>
          </w:p>
        </w:tc>
        <w:tc>
          <w:tcPr>
            <w:tcW w:w="1500" w:type="dxa"/>
            <w:tcBorders>
              <w:top w:val="nil"/>
              <w:left w:val="nil"/>
              <w:bottom w:val="single" w:color="auto" w:sz="4" w:space="0"/>
              <w:right w:val="single" w:color="auto" w:sz="4" w:space="0"/>
            </w:tcBorders>
            <w:noWrap w:val="0"/>
            <w:vAlign w:val="center"/>
          </w:tcPr>
          <w:p w14:paraId="22318074">
            <w:pPr>
              <w:pStyle w:val="11"/>
              <w:spacing w:line="240" w:lineRule="auto"/>
              <w:ind w:left="0" w:leftChars="0"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统一运维</w:t>
            </w:r>
          </w:p>
          <w:p w14:paraId="4EAC6918">
            <w:pPr>
              <w:pStyle w:val="11"/>
              <w:spacing w:line="240" w:lineRule="auto"/>
              <w:ind w:left="0" w:leftChars="0"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系统</w:t>
            </w:r>
          </w:p>
        </w:tc>
        <w:tc>
          <w:tcPr>
            <w:tcW w:w="2040" w:type="dxa"/>
            <w:tcBorders>
              <w:top w:val="nil"/>
              <w:left w:val="nil"/>
              <w:bottom w:val="single" w:color="auto" w:sz="4" w:space="0"/>
              <w:right w:val="single" w:color="auto" w:sz="4" w:space="0"/>
            </w:tcBorders>
            <w:noWrap w:val="0"/>
            <w:vAlign w:val="center"/>
          </w:tcPr>
          <w:p w14:paraId="0C5679E5">
            <w:pPr>
              <w:pStyle w:val="11"/>
              <w:spacing w:line="240" w:lineRule="auto"/>
              <w:ind w:left="0" w:leftChars="0"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运维日志</w:t>
            </w:r>
          </w:p>
        </w:tc>
        <w:tc>
          <w:tcPr>
            <w:tcW w:w="1590" w:type="dxa"/>
            <w:tcBorders>
              <w:top w:val="nil"/>
              <w:left w:val="nil"/>
              <w:bottom w:val="single" w:color="auto" w:sz="4" w:space="0"/>
              <w:right w:val="single" w:color="auto" w:sz="4" w:space="0"/>
            </w:tcBorders>
            <w:noWrap w:val="0"/>
            <w:vAlign w:val="center"/>
          </w:tcPr>
          <w:p w14:paraId="524AAF9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结构化数据</w:t>
            </w:r>
          </w:p>
        </w:tc>
        <w:tc>
          <w:tcPr>
            <w:tcW w:w="1370" w:type="dxa"/>
            <w:tcBorders>
              <w:top w:val="nil"/>
              <w:left w:val="nil"/>
              <w:bottom w:val="single" w:color="auto" w:sz="4" w:space="0"/>
              <w:right w:val="single" w:color="auto" w:sz="4" w:space="0"/>
            </w:tcBorders>
            <w:noWrap/>
            <w:vAlign w:val="center"/>
          </w:tcPr>
          <w:p w14:paraId="4BD73DE4">
            <w:pPr>
              <w:pStyle w:val="11"/>
              <w:spacing w:line="240" w:lineRule="auto"/>
              <w:ind w:left="0" w:leftChars="0"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360000</w:t>
            </w:r>
          </w:p>
        </w:tc>
        <w:tc>
          <w:tcPr>
            <w:tcW w:w="1201" w:type="dxa"/>
            <w:tcBorders>
              <w:top w:val="nil"/>
              <w:left w:val="nil"/>
              <w:bottom w:val="single" w:color="auto" w:sz="4" w:space="0"/>
              <w:right w:val="single" w:color="auto" w:sz="4" w:space="0"/>
            </w:tcBorders>
            <w:noWrap/>
            <w:vAlign w:val="center"/>
          </w:tcPr>
          <w:p w14:paraId="71BD0CCC">
            <w:pPr>
              <w:pStyle w:val="11"/>
              <w:spacing w:line="240" w:lineRule="auto"/>
              <w:ind w:left="0" w:leftChars="0"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0.03</w:t>
            </w:r>
          </w:p>
        </w:tc>
        <w:tc>
          <w:tcPr>
            <w:tcW w:w="952" w:type="dxa"/>
            <w:tcBorders>
              <w:top w:val="nil"/>
              <w:left w:val="nil"/>
              <w:bottom w:val="single" w:color="auto" w:sz="4" w:space="0"/>
              <w:right w:val="single" w:color="auto" w:sz="4" w:space="0"/>
            </w:tcBorders>
            <w:noWrap/>
            <w:vAlign w:val="center"/>
          </w:tcPr>
          <w:p w14:paraId="1DFFB34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eastAsia="zh-Hans"/>
              </w:rPr>
              <w:t>1.18</w:t>
            </w:r>
          </w:p>
        </w:tc>
      </w:tr>
      <w:tr w14:paraId="282ED155">
        <w:tblPrEx>
          <w:tblCellMar>
            <w:top w:w="0" w:type="dxa"/>
            <w:left w:w="108" w:type="dxa"/>
            <w:bottom w:w="0" w:type="dxa"/>
            <w:right w:w="108" w:type="dxa"/>
          </w:tblCellMar>
        </w:tblPrEx>
        <w:trPr>
          <w:trHeight w:val="397" w:hRule="atLeast"/>
        </w:trPr>
        <w:tc>
          <w:tcPr>
            <w:tcW w:w="418" w:type="dxa"/>
            <w:tcBorders>
              <w:top w:val="nil"/>
              <w:left w:val="single" w:color="auto" w:sz="4" w:space="0"/>
              <w:bottom w:val="single" w:color="auto" w:sz="4" w:space="0"/>
              <w:right w:val="single" w:color="auto" w:sz="4" w:space="0"/>
            </w:tcBorders>
            <w:noWrap/>
            <w:vAlign w:val="center"/>
          </w:tcPr>
          <w:p w14:paraId="6C6D4278">
            <w:pPr>
              <w:widowControl/>
              <w:spacing w:line="240" w:lineRule="auto"/>
              <w:ind w:firstLine="0" w:firstLineChars="0"/>
              <w:jc w:val="center"/>
              <w:rPr>
                <w:rFonts w:hint="eastAsia" w:ascii="宋体" w:hAnsi="宋体" w:eastAsia="宋体" w:cs="宋体"/>
                <w:color w:val="000000"/>
                <w:kern w:val="0"/>
                <w:sz w:val="21"/>
                <w:szCs w:val="21"/>
              </w:rPr>
            </w:pPr>
          </w:p>
        </w:tc>
        <w:tc>
          <w:tcPr>
            <w:tcW w:w="1500" w:type="dxa"/>
            <w:tcBorders>
              <w:top w:val="nil"/>
              <w:left w:val="nil"/>
              <w:bottom w:val="single" w:color="auto" w:sz="4" w:space="0"/>
              <w:right w:val="single" w:color="auto" w:sz="4" w:space="0"/>
            </w:tcBorders>
            <w:noWrap w:val="0"/>
            <w:vAlign w:val="center"/>
          </w:tcPr>
          <w:p w14:paraId="69C1F283">
            <w:pPr>
              <w:widowControl/>
              <w:spacing w:line="240" w:lineRule="auto"/>
              <w:ind w:firstLine="0" w:firstLineChars="0"/>
              <w:jc w:val="center"/>
              <w:rPr>
                <w:rFonts w:hint="eastAsia" w:ascii="宋体" w:hAnsi="宋体" w:eastAsia="宋体" w:cs="宋体"/>
                <w:color w:val="000000"/>
                <w:kern w:val="0"/>
                <w:sz w:val="21"/>
                <w:szCs w:val="21"/>
              </w:rPr>
            </w:pPr>
          </w:p>
        </w:tc>
        <w:tc>
          <w:tcPr>
            <w:tcW w:w="2040" w:type="dxa"/>
            <w:tcBorders>
              <w:top w:val="nil"/>
              <w:left w:val="nil"/>
              <w:bottom w:val="single" w:color="auto" w:sz="4" w:space="0"/>
              <w:right w:val="single" w:color="auto" w:sz="4" w:space="0"/>
            </w:tcBorders>
            <w:noWrap w:val="0"/>
            <w:vAlign w:val="center"/>
          </w:tcPr>
          <w:p w14:paraId="5FC7FD02">
            <w:pPr>
              <w:widowControl/>
              <w:spacing w:line="240" w:lineRule="auto"/>
              <w:ind w:firstLine="0" w:firstLineChars="0"/>
              <w:jc w:val="center"/>
              <w:rPr>
                <w:rFonts w:hint="eastAsia" w:ascii="宋体" w:hAnsi="宋体" w:eastAsia="宋体" w:cs="宋体"/>
                <w:color w:val="000000"/>
                <w:kern w:val="0"/>
                <w:sz w:val="21"/>
                <w:szCs w:val="21"/>
              </w:rPr>
            </w:pPr>
          </w:p>
        </w:tc>
        <w:tc>
          <w:tcPr>
            <w:tcW w:w="1590" w:type="dxa"/>
            <w:tcBorders>
              <w:top w:val="nil"/>
              <w:left w:val="nil"/>
              <w:bottom w:val="single" w:color="auto" w:sz="4" w:space="0"/>
              <w:right w:val="single" w:color="auto" w:sz="4" w:space="0"/>
            </w:tcBorders>
            <w:noWrap w:val="0"/>
            <w:vAlign w:val="center"/>
          </w:tcPr>
          <w:p w14:paraId="48C522E7">
            <w:pPr>
              <w:widowControl/>
              <w:spacing w:line="240" w:lineRule="auto"/>
              <w:ind w:firstLine="0" w:firstLineChars="0"/>
              <w:jc w:val="center"/>
              <w:rPr>
                <w:rFonts w:hint="eastAsia" w:ascii="宋体" w:hAnsi="宋体" w:eastAsia="宋体" w:cs="宋体"/>
                <w:color w:val="000000"/>
                <w:kern w:val="0"/>
                <w:sz w:val="21"/>
                <w:szCs w:val="21"/>
              </w:rPr>
            </w:pPr>
          </w:p>
        </w:tc>
        <w:tc>
          <w:tcPr>
            <w:tcW w:w="1370" w:type="dxa"/>
            <w:tcBorders>
              <w:top w:val="nil"/>
              <w:left w:val="nil"/>
              <w:bottom w:val="single" w:color="auto" w:sz="4" w:space="0"/>
              <w:right w:val="single" w:color="auto" w:sz="4" w:space="0"/>
            </w:tcBorders>
            <w:noWrap/>
            <w:vAlign w:val="center"/>
          </w:tcPr>
          <w:p w14:paraId="11B70C93">
            <w:pPr>
              <w:widowControl/>
              <w:spacing w:line="240" w:lineRule="auto"/>
              <w:ind w:firstLine="0" w:firstLineChars="0"/>
              <w:jc w:val="center"/>
              <w:rPr>
                <w:rFonts w:hint="eastAsia" w:ascii="宋体" w:hAnsi="宋体" w:eastAsia="宋体" w:cs="宋体"/>
                <w:color w:val="000000"/>
                <w:kern w:val="0"/>
                <w:sz w:val="21"/>
                <w:szCs w:val="21"/>
              </w:rPr>
            </w:pPr>
          </w:p>
        </w:tc>
        <w:tc>
          <w:tcPr>
            <w:tcW w:w="1201" w:type="dxa"/>
            <w:tcBorders>
              <w:top w:val="nil"/>
              <w:left w:val="nil"/>
              <w:bottom w:val="single" w:color="auto" w:sz="4" w:space="0"/>
              <w:right w:val="single" w:color="auto" w:sz="4" w:space="0"/>
            </w:tcBorders>
            <w:noWrap/>
            <w:vAlign w:val="center"/>
          </w:tcPr>
          <w:p w14:paraId="5C5B0A9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合计：</w:t>
            </w:r>
          </w:p>
        </w:tc>
        <w:tc>
          <w:tcPr>
            <w:tcW w:w="952" w:type="dxa"/>
            <w:tcBorders>
              <w:top w:val="nil"/>
              <w:left w:val="nil"/>
              <w:bottom w:val="single" w:color="auto" w:sz="4" w:space="0"/>
              <w:right w:val="single" w:color="auto" w:sz="4" w:space="0"/>
            </w:tcBorders>
            <w:noWrap/>
            <w:vAlign w:val="center"/>
          </w:tcPr>
          <w:p w14:paraId="2E4AD63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10.306</w:t>
            </w:r>
          </w:p>
        </w:tc>
      </w:tr>
    </w:tbl>
    <w:p w14:paraId="7C4B7446">
      <w:pPr>
        <w:numPr>
          <w:ilvl w:val="0"/>
          <w:numId w:val="37"/>
        </w:numPr>
        <w:spacing w:before="240" w:beforeLines="100"/>
        <w:ind w:firstLineChars="0"/>
      </w:pPr>
      <w:r>
        <w:rPr>
          <w:rFonts w:hint="eastAsia"/>
        </w:rPr>
        <w:t>非结构化数据测算</w:t>
      </w:r>
    </w:p>
    <w:p w14:paraId="7AA71BE4">
      <w:pPr>
        <w:numPr>
          <w:ilvl w:val="0"/>
          <w:numId w:val="38"/>
        </w:numPr>
      </w:pPr>
      <w:r>
        <w:rPr>
          <w:rFonts w:hint="eastAsia"/>
        </w:rPr>
        <w:t>音频存储量</w:t>
      </w:r>
    </w:p>
    <w:p w14:paraId="3C48A595">
      <w:pPr>
        <w:pStyle w:val="8"/>
        <w:spacing w:before="120" w:after="120"/>
        <w:rPr>
          <w:rFonts w:hint="eastAsia" w:ascii="黑体" w:hAnsi="黑体" w:cs="黑体"/>
        </w:rPr>
      </w:pPr>
      <w:r>
        <w:rPr>
          <w:rFonts w:hint="eastAsia" w:ascii="黑体" w:hAnsi="黑体" w:cs="黑体"/>
        </w:rPr>
        <w:t>表 3-15 音频信息量测算表</w:t>
      </w:r>
    </w:p>
    <w:tbl>
      <w:tblPr>
        <w:tblStyle w:val="12"/>
        <w:tblW w:w="9090" w:type="dxa"/>
        <w:tblInd w:w="-184" w:type="dxa"/>
        <w:tblLayout w:type="fixed"/>
        <w:tblCellMar>
          <w:top w:w="0" w:type="dxa"/>
          <w:left w:w="108" w:type="dxa"/>
          <w:bottom w:w="0" w:type="dxa"/>
          <w:right w:w="108" w:type="dxa"/>
        </w:tblCellMar>
      </w:tblPr>
      <w:tblGrid>
        <w:gridCol w:w="604"/>
        <w:gridCol w:w="1985"/>
        <w:gridCol w:w="1307"/>
        <w:gridCol w:w="937"/>
        <w:gridCol w:w="1201"/>
        <w:gridCol w:w="1256"/>
        <w:gridCol w:w="927"/>
        <w:gridCol w:w="873"/>
      </w:tblGrid>
      <w:tr w14:paraId="2CDA5366">
        <w:tblPrEx>
          <w:tblCellMar>
            <w:top w:w="0" w:type="dxa"/>
            <w:left w:w="108" w:type="dxa"/>
            <w:bottom w:w="0" w:type="dxa"/>
            <w:right w:w="108" w:type="dxa"/>
          </w:tblCellMar>
        </w:tblPrEx>
        <w:trPr>
          <w:trHeight w:val="397" w:hRule="atLeast"/>
        </w:trPr>
        <w:tc>
          <w:tcPr>
            <w:tcW w:w="604" w:type="dxa"/>
            <w:tcBorders>
              <w:top w:val="single" w:color="auto" w:sz="4" w:space="0"/>
              <w:left w:val="single" w:color="auto" w:sz="4" w:space="0"/>
              <w:bottom w:val="single" w:color="auto" w:sz="4" w:space="0"/>
              <w:right w:val="single" w:color="auto" w:sz="4" w:space="0"/>
            </w:tcBorders>
            <w:shd w:val="clear" w:color="auto" w:fill="EEECE1"/>
            <w:noWrap w:val="0"/>
            <w:vAlign w:val="center"/>
          </w:tcPr>
          <w:p w14:paraId="2DE1F23D">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序号</w:t>
            </w:r>
          </w:p>
        </w:tc>
        <w:tc>
          <w:tcPr>
            <w:tcW w:w="1984" w:type="dxa"/>
            <w:tcBorders>
              <w:top w:val="single" w:color="auto" w:sz="4" w:space="0"/>
              <w:left w:val="nil"/>
              <w:bottom w:val="single" w:color="auto" w:sz="4" w:space="0"/>
              <w:right w:val="single" w:color="auto" w:sz="4" w:space="0"/>
            </w:tcBorders>
            <w:shd w:val="clear" w:color="auto" w:fill="EEECE1"/>
            <w:noWrap w:val="0"/>
            <w:vAlign w:val="center"/>
          </w:tcPr>
          <w:p w14:paraId="1199F89D">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系统名称</w:t>
            </w:r>
          </w:p>
        </w:tc>
        <w:tc>
          <w:tcPr>
            <w:tcW w:w="1306" w:type="dxa"/>
            <w:tcBorders>
              <w:top w:val="single" w:color="auto" w:sz="4" w:space="0"/>
              <w:left w:val="nil"/>
              <w:bottom w:val="single" w:color="auto" w:sz="4" w:space="0"/>
              <w:right w:val="single" w:color="auto" w:sz="4" w:space="0"/>
            </w:tcBorders>
            <w:shd w:val="clear" w:color="auto" w:fill="EEECE1"/>
            <w:noWrap w:val="0"/>
            <w:vAlign w:val="center"/>
          </w:tcPr>
          <w:p w14:paraId="746908A5">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数据来源</w:t>
            </w:r>
          </w:p>
        </w:tc>
        <w:tc>
          <w:tcPr>
            <w:tcW w:w="937" w:type="dxa"/>
            <w:tcBorders>
              <w:top w:val="single" w:color="auto" w:sz="4" w:space="0"/>
              <w:left w:val="nil"/>
              <w:bottom w:val="single" w:color="auto" w:sz="4" w:space="0"/>
              <w:right w:val="single" w:color="auto" w:sz="4" w:space="0"/>
            </w:tcBorders>
            <w:shd w:val="clear" w:color="auto" w:fill="EEECE1"/>
            <w:noWrap w:val="0"/>
            <w:vAlign w:val="center"/>
          </w:tcPr>
          <w:p w14:paraId="62CFC8EA">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数据</w:t>
            </w:r>
          </w:p>
          <w:p w14:paraId="19CB4013">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类型</w:t>
            </w:r>
          </w:p>
        </w:tc>
        <w:tc>
          <w:tcPr>
            <w:tcW w:w="1200" w:type="dxa"/>
            <w:tcBorders>
              <w:top w:val="single" w:color="auto" w:sz="4" w:space="0"/>
              <w:left w:val="nil"/>
              <w:bottom w:val="single" w:color="auto" w:sz="4" w:space="0"/>
              <w:right w:val="single" w:color="auto" w:sz="4" w:space="0"/>
            </w:tcBorders>
            <w:shd w:val="clear" w:color="auto" w:fill="EEECE1"/>
            <w:noWrap w:val="0"/>
            <w:vAlign w:val="center"/>
          </w:tcPr>
          <w:p w14:paraId="7D7A684E">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日报警量（次）</w:t>
            </w:r>
          </w:p>
        </w:tc>
        <w:tc>
          <w:tcPr>
            <w:tcW w:w="1255" w:type="dxa"/>
            <w:tcBorders>
              <w:top w:val="single" w:color="auto" w:sz="4" w:space="0"/>
              <w:left w:val="nil"/>
              <w:bottom w:val="single" w:color="auto" w:sz="4" w:space="0"/>
              <w:right w:val="single" w:color="auto" w:sz="4" w:space="0"/>
            </w:tcBorders>
            <w:shd w:val="clear" w:color="auto" w:fill="EEECE1"/>
            <w:noWrap w:val="0"/>
            <w:vAlign w:val="center"/>
          </w:tcPr>
          <w:p w14:paraId="287892E9">
            <w:pPr>
              <w:widowControl/>
              <w:spacing w:line="240" w:lineRule="auto"/>
              <w:ind w:firstLine="0" w:firstLineChars="0"/>
              <w:rPr>
                <w:rFonts w:ascii="宋体" w:hAnsi="宋体" w:cs="宋体"/>
                <w:b/>
                <w:bCs/>
                <w:color w:val="000000"/>
                <w:kern w:val="0"/>
                <w:sz w:val="21"/>
                <w:szCs w:val="21"/>
              </w:rPr>
            </w:pPr>
            <w:r>
              <w:rPr>
                <w:rFonts w:hint="eastAsia" w:ascii="宋体" w:hAnsi="宋体" w:cs="宋体"/>
                <w:b/>
                <w:bCs/>
                <w:color w:val="000000"/>
                <w:kern w:val="0"/>
                <w:sz w:val="21"/>
                <w:szCs w:val="21"/>
              </w:rPr>
              <w:t>单次录音（MB/次）</w:t>
            </w:r>
          </w:p>
        </w:tc>
        <w:tc>
          <w:tcPr>
            <w:tcW w:w="927" w:type="dxa"/>
            <w:tcBorders>
              <w:top w:val="single" w:color="auto" w:sz="4" w:space="0"/>
              <w:left w:val="nil"/>
              <w:bottom w:val="single" w:color="auto" w:sz="4" w:space="0"/>
              <w:right w:val="single" w:color="auto" w:sz="4" w:space="0"/>
            </w:tcBorders>
            <w:shd w:val="clear" w:color="auto" w:fill="EEECE1"/>
            <w:noWrap w:val="0"/>
            <w:vAlign w:val="center"/>
          </w:tcPr>
          <w:p w14:paraId="0D8A0A59">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单日总量（G）</w:t>
            </w:r>
          </w:p>
        </w:tc>
        <w:tc>
          <w:tcPr>
            <w:tcW w:w="873" w:type="dxa"/>
            <w:tcBorders>
              <w:top w:val="single" w:color="auto" w:sz="4" w:space="0"/>
              <w:left w:val="nil"/>
              <w:bottom w:val="single" w:color="auto" w:sz="4" w:space="0"/>
              <w:right w:val="single" w:color="auto" w:sz="4" w:space="0"/>
            </w:tcBorders>
            <w:shd w:val="clear" w:color="auto" w:fill="EEECE1"/>
            <w:noWrap w:val="0"/>
            <w:vAlign w:val="center"/>
          </w:tcPr>
          <w:p w14:paraId="5BCBC81A">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1年总量（TB）</w:t>
            </w:r>
          </w:p>
        </w:tc>
      </w:tr>
      <w:tr w14:paraId="50F7FE39">
        <w:tblPrEx>
          <w:tblCellMar>
            <w:top w:w="0" w:type="dxa"/>
            <w:left w:w="108" w:type="dxa"/>
            <w:bottom w:w="0" w:type="dxa"/>
            <w:right w:w="108" w:type="dxa"/>
          </w:tblCellMar>
        </w:tblPrEx>
        <w:trPr>
          <w:trHeight w:val="397" w:hRule="atLeast"/>
        </w:trPr>
        <w:tc>
          <w:tcPr>
            <w:tcW w:w="604" w:type="dxa"/>
            <w:tcBorders>
              <w:top w:val="nil"/>
              <w:left w:val="single" w:color="auto" w:sz="4" w:space="0"/>
              <w:bottom w:val="single" w:color="auto" w:sz="4" w:space="0"/>
              <w:right w:val="single" w:color="auto" w:sz="4" w:space="0"/>
            </w:tcBorders>
            <w:noWrap/>
            <w:vAlign w:val="center"/>
          </w:tcPr>
          <w:p w14:paraId="6452DC29">
            <w:pPr>
              <w:pStyle w:val="11"/>
              <w:spacing w:line="240" w:lineRule="auto"/>
              <w:ind w:left="0" w:leftChars="0"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w:t>
            </w:r>
          </w:p>
        </w:tc>
        <w:tc>
          <w:tcPr>
            <w:tcW w:w="1984" w:type="dxa"/>
            <w:tcBorders>
              <w:top w:val="nil"/>
              <w:left w:val="nil"/>
              <w:bottom w:val="single" w:color="auto" w:sz="4" w:space="0"/>
              <w:right w:val="single" w:color="auto" w:sz="4" w:space="0"/>
            </w:tcBorders>
            <w:noWrap/>
            <w:vAlign w:val="center"/>
          </w:tcPr>
          <w:p w14:paraId="22430079">
            <w:pPr>
              <w:pStyle w:val="11"/>
              <w:spacing w:line="240" w:lineRule="auto"/>
              <w:ind w:left="0" w:leftChars="0"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全省119报警电话录音</w:t>
            </w:r>
          </w:p>
        </w:tc>
        <w:tc>
          <w:tcPr>
            <w:tcW w:w="1306" w:type="dxa"/>
            <w:tcBorders>
              <w:top w:val="nil"/>
              <w:left w:val="nil"/>
              <w:bottom w:val="single" w:color="auto" w:sz="4" w:space="0"/>
              <w:right w:val="single" w:color="auto" w:sz="4" w:space="0"/>
            </w:tcBorders>
            <w:noWrap/>
            <w:vAlign w:val="center"/>
          </w:tcPr>
          <w:p w14:paraId="1A4B4D5C">
            <w:pPr>
              <w:pStyle w:val="11"/>
              <w:spacing w:line="240" w:lineRule="auto"/>
              <w:ind w:left="0" w:leftChars="0"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群众报警</w:t>
            </w:r>
          </w:p>
        </w:tc>
        <w:tc>
          <w:tcPr>
            <w:tcW w:w="937" w:type="dxa"/>
            <w:tcBorders>
              <w:top w:val="nil"/>
              <w:left w:val="nil"/>
              <w:bottom w:val="single" w:color="auto" w:sz="4" w:space="0"/>
              <w:right w:val="single" w:color="auto" w:sz="4" w:space="0"/>
            </w:tcBorders>
            <w:noWrap/>
            <w:vAlign w:val="center"/>
          </w:tcPr>
          <w:p w14:paraId="706217BC">
            <w:pPr>
              <w:pStyle w:val="11"/>
              <w:spacing w:line="240" w:lineRule="auto"/>
              <w:ind w:left="0" w:leftChars="0"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音频</w:t>
            </w:r>
          </w:p>
        </w:tc>
        <w:tc>
          <w:tcPr>
            <w:tcW w:w="1200" w:type="dxa"/>
            <w:tcBorders>
              <w:top w:val="nil"/>
              <w:left w:val="nil"/>
              <w:bottom w:val="single" w:color="auto" w:sz="4" w:space="0"/>
              <w:right w:val="single" w:color="auto" w:sz="4" w:space="0"/>
            </w:tcBorders>
            <w:noWrap/>
            <w:vAlign w:val="center"/>
          </w:tcPr>
          <w:p w14:paraId="78A654D2">
            <w:pPr>
              <w:pStyle w:val="11"/>
              <w:spacing w:line="240" w:lineRule="auto"/>
              <w:ind w:left="0" w:leftChars="0"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1000</w:t>
            </w:r>
          </w:p>
        </w:tc>
        <w:tc>
          <w:tcPr>
            <w:tcW w:w="1255" w:type="dxa"/>
            <w:tcBorders>
              <w:top w:val="nil"/>
              <w:left w:val="nil"/>
              <w:bottom w:val="single" w:color="auto" w:sz="4" w:space="0"/>
              <w:right w:val="single" w:color="auto" w:sz="4" w:space="0"/>
            </w:tcBorders>
            <w:noWrap/>
            <w:vAlign w:val="center"/>
          </w:tcPr>
          <w:p w14:paraId="3D61C40E">
            <w:pPr>
              <w:pStyle w:val="11"/>
              <w:spacing w:line="240" w:lineRule="auto"/>
              <w:ind w:left="0" w:leftChars="0"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w:t>
            </w:r>
          </w:p>
        </w:tc>
        <w:tc>
          <w:tcPr>
            <w:tcW w:w="927" w:type="dxa"/>
            <w:tcBorders>
              <w:top w:val="nil"/>
              <w:left w:val="nil"/>
              <w:bottom w:val="single" w:color="auto" w:sz="4" w:space="0"/>
              <w:right w:val="single" w:color="auto" w:sz="4" w:space="0"/>
            </w:tcBorders>
            <w:noWrap/>
            <w:vAlign w:val="center"/>
          </w:tcPr>
          <w:p w14:paraId="54DEAFBF">
            <w:pPr>
              <w:pStyle w:val="11"/>
              <w:spacing w:line="240" w:lineRule="auto"/>
              <w:ind w:left="0" w:leftChars="0"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w:t>
            </w:r>
          </w:p>
        </w:tc>
        <w:tc>
          <w:tcPr>
            <w:tcW w:w="873" w:type="dxa"/>
            <w:tcBorders>
              <w:top w:val="nil"/>
              <w:left w:val="nil"/>
              <w:bottom w:val="single" w:color="auto" w:sz="4" w:space="0"/>
              <w:right w:val="single" w:color="auto" w:sz="4" w:space="0"/>
            </w:tcBorders>
            <w:noWrap/>
            <w:vAlign w:val="center"/>
          </w:tcPr>
          <w:p w14:paraId="547BBC28">
            <w:pPr>
              <w:pStyle w:val="11"/>
              <w:spacing w:line="240" w:lineRule="auto"/>
              <w:ind w:left="0" w:leftChars="0"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0.365</w:t>
            </w:r>
          </w:p>
        </w:tc>
      </w:tr>
    </w:tbl>
    <w:p w14:paraId="017B8864">
      <w:pPr>
        <w:spacing w:before="240" w:beforeLines="100"/>
      </w:pPr>
      <w:r>
        <w:rPr>
          <w:rFonts w:hint="eastAsia"/>
        </w:rPr>
        <w:t>全省</w:t>
      </w:r>
      <w:r>
        <w:t>119</w:t>
      </w:r>
      <w:r>
        <w:rPr>
          <w:rFonts w:hint="eastAsia"/>
        </w:rPr>
        <w:t>报警电话量按每天</w:t>
      </w:r>
      <w:r>
        <w:t>1000</w:t>
      </w:r>
      <w:r>
        <w:rPr>
          <w:rFonts w:hint="eastAsia"/>
        </w:rPr>
        <w:t>次估算，每次通话时长按</w:t>
      </w:r>
      <w:r>
        <w:t>1</w:t>
      </w:r>
      <w:r>
        <w:rPr>
          <w:rFonts w:hint="eastAsia"/>
        </w:rPr>
        <w:t>分钟估算，单次录音文件大小估计在</w:t>
      </w:r>
      <w:r>
        <w:t>1MB</w:t>
      </w:r>
      <w:r>
        <w:rPr>
          <w:rFonts w:hint="eastAsia"/>
        </w:rPr>
        <w:t>左右。根据应急管理部消防局消防接处警标准规范要求，</w:t>
      </w:r>
      <w:r>
        <w:t>119</w:t>
      </w:r>
      <w:r>
        <w:rPr>
          <w:rFonts w:hint="eastAsia"/>
        </w:rPr>
        <w:t>报警录音文件存储时间不小于1年，如按</w:t>
      </w:r>
      <w:r>
        <w:t>1</w:t>
      </w:r>
      <w:r>
        <w:rPr>
          <w:rFonts w:hint="eastAsia"/>
        </w:rPr>
        <w:t>年存储来估算，</w:t>
      </w:r>
      <w:r>
        <w:t>1</w:t>
      </w:r>
      <w:r>
        <w:rPr>
          <w:rFonts w:hint="eastAsia"/>
        </w:rPr>
        <w:t>年全省报警录音存储量为</w:t>
      </w:r>
      <w:r>
        <w:t>0.365TB .</w:t>
      </w:r>
    </w:p>
    <w:p w14:paraId="476F8893">
      <w:pPr>
        <w:numPr>
          <w:ilvl w:val="0"/>
          <w:numId w:val="38"/>
        </w:numPr>
      </w:pPr>
      <w:r>
        <w:rPr>
          <w:rFonts w:hint="eastAsia"/>
        </w:rPr>
        <w:t>图片存储量</w:t>
      </w:r>
    </w:p>
    <w:p w14:paraId="672AB150">
      <w:pPr>
        <w:pStyle w:val="8"/>
        <w:spacing w:before="120" w:after="120"/>
        <w:rPr>
          <w:rFonts w:hint="eastAsia" w:ascii="黑体" w:hAnsi="黑体" w:cs="黑体"/>
        </w:rPr>
      </w:pPr>
      <w:r>
        <w:rPr>
          <w:rFonts w:hint="eastAsia" w:ascii="黑体" w:hAnsi="黑体" w:cs="黑体"/>
        </w:rPr>
        <w:t>表 3-16 图片信息量测算表</w:t>
      </w:r>
    </w:p>
    <w:tbl>
      <w:tblPr>
        <w:tblStyle w:val="12"/>
        <w:tblW w:w="9090" w:type="dxa"/>
        <w:tblInd w:w="-193" w:type="dxa"/>
        <w:tblLayout w:type="fixed"/>
        <w:tblCellMar>
          <w:top w:w="0" w:type="dxa"/>
          <w:left w:w="108" w:type="dxa"/>
          <w:bottom w:w="0" w:type="dxa"/>
          <w:right w:w="108" w:type="dxa"/>
        </w:tblCellMar>
      </w:tblPr>
      <w:tblGrid>
        <w:gridCol w:w="482"/>
        <w:gridCol w:w="1964"/>
        <w:gridCol w:w="1569"/>
        <w:gridCol w:w="1049"/>
        <w:gridCol w:w="1119"/>
        <w:gridCol w:w="1049"/>
        <w:gridCol w:w="949"/>
        <w:gridCol w:w="909"/>
      </w:tblGrid>
      <w:tr w14:paraId="389FD321">
        <w:tblPrEx>
          <w:tblCellMar>
            <w:top w:w="0" w:type="dxa"/>
            <w:left w:w="108" w:type="dxa"/>
            <w:bottom w:w="0" w:type="dxa"/>
            <w:right w:w="108" w:type="dxa"/>
          </w:tblCellMar>
        </w:tblPrEx>
        <w:trPr>
          <w:trHeight w:val="397" w:hRule="atLeast"/>
        </w:trPr>
        <w:tc>
          <w:tcPr>
            <w:tcW w:w="482" w:type="dxa"/>
            <w:tcBorders>
              <w:top w:val="single" w:color="auto" w:sz="4" w:space="0"/>
              <w:left w:val="single" w:color="auto" w:sz="4" w:space="0"/>
              <w:bottom w:val="single" w:color="auto" w:sz="4" w:space="0"/>
              <w:right w:val="single" w:color="auto" w:sz="4" w:space="0"/>
            </w:tcBorders>
            <w:shd w:val="clear" w:color="auto" w:fill="EEECE1"/>
            <w:noWrap w:val="0"/>
            <w:vAlign w:val="center"/>
          </w:tcPr>
          <w:p w14:paraId="3F2183F7">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序号</w:t>
            </w:r>
          </w:p>
        </w:tc>
        <w:tc>
          <w:tcPr>
            <w:tcW w:w="1964" w:type="dxa"/>
            <w:tcBorders>
              <w:top w:val="single" w:color="auto" w:sz="4" w:space="0"/>
              <w:left w:val="nil"/>
              <w:bottom w:val="single" w:color="auto" w:sz="4" w:space="0"/>
              <w:right w:val="single" w:color="auto" w:sz="4" w:space="0"/>
            </w:tcBorders>
            <w:shd w:val="clear" w:color="auto" w:fill="EEECE1"/>
            <w:noWrap w:val="0"/>
            <w:vAlign w:val="center"/>
          </w:tcPr>
          <w:p w14:paraId="08DA4703">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系统名称</w:t>
            </w:r>
          </w:p>
        </w:tc>
        <w:tc>
          <w:tcPr>
            <w:tcW w:w="1569" w:type="dxa"/>
            <w:tcBorders>
              <w:top w:val="single" w:color="auto" w:sz="4" w:space="0"/>
              <w:left w:val="nil"/>
              <w:bottom w:val="single" w:color="auto" w:sz="4" w:space="0"/>
              <w:right w:val="single" w:color="auto" w:sz="4" w:space="0"/>
            </w:tcBorders>
            <w:shd w:val="clear" w:color="auto" w:fill="EEECE1"/>
            <w:noWrap w:val="0"/>
            <w:vAlign w:val="center"/>
          </w:tcPr>
          <w:p w14:paraId="29CE7F62">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数据来源</w:t>
            </w:r>
          </w:p>
        </w:tc>
        <w:tc>
          <w:tcPr>
            <w:tcW w:w="1049" w:type="dxa"/>
            <w:tcBorders>
              <w:top w:val="single" w:color="auto" w:sz="4" w:space="0"/>
              <w:left w:val="nil"/>
              <w:bottom w:val="single" w:color="auto" w:sz="4" w:space="0"/>
              <w:right w:val="single" w:color="auto" w:sz="4" w:space="0"/>
            </w:tcBorders>
            <w:shd w:val="clear" w:color="auto" w:fill="EEECE1"/>
            <w:noWrap w:val="0"/>
            <w:vAlign w:val="center"/>
          </w:tcPr>
          <w:p w14:paraId="0D29E7C8">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数据类型</w:t>
            </w:r>
          </w:p>
        </w:tc>
        <w:tc>
          <w:tcPr>
            <w:tcW w:w="1119" w:type="dxa"/>
            <w:tcBorders>
              <w:top w:val="single" w:color="auto" w:sz="4" w:space="0"/>
              <w:left w:val="nil"/>
              <w:bottom w:val="single" w:color="auto" w:sz="4" w:space="0"/>
              <w:right w:val="single" w:color="auto" w:sz="4" w:space="0"/>
            </w:tcBorders>
            <w:shd w:val="clear" w:color="auto" w:fill="EEECE1"/>
            <w:noWrap w:val="0"/>
            <w:vAlign w:val="center"/>
          </w:tcPr>
          <w:p w14:paraId="32F8F2C7">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日处警量</w:t>
            </w:r>
          </w:p>
        </w:tc>
        <w:tc>
          <w:tcPr>
            <w:tcW w:w="1049" w:type="dxa"/>
            <w:tcBorders>
              <w:top w:val="single" w:color="auto" w:sz="4" w:space="0"/>
              <w:left w:val="nil"/>
              <w:bottom w:val="single" w:color="auto" w:sz="4" w:space="0"/>
              <w:right w:val="single" w:color="auto" w:sz="4" w:space="0"/>
            </w:tcBorders>
            <w:shd w:val="clear" w:color="auto" w:fill="EEECE1"/>
            <w:noWrap w:val="0"/>
            <w:vAlign w:val="center"/>
          </w:tcPr>
          <w:p w14:paraId="15A5B797">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日上传数据量（张）</w:t>
            </w:r>
          </w:p>
        </w:tc>
        <w:tc>
          <w:tcPr>
            <w:tcW w:w="949" w:type="dxa"/>
            <w:tcBorders>
              <w:top w:val="single" w:color="auto" w:sz="4" w:space="0"/>
              <w:left w:val="nil"/>
              <w:bottom w:val="single" w:color="auto" w:sz="4" w:space="0"/>
              <w:right w:val="single" w:color="auto" w:sz="4" w:space="0"/>
            </w:tcBorders>
            <w:shd w:val="clear" w:color="auto" w:fill="EEECE1"/>
            <w:noWrap w:val="0"/>
            <w:vAlign w:val="center"/>
          </w:tcPr>
          <w:p w14:paraId="0283531C">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大小（MB/条）</w:t>
            </w:r>
          </w:p>
        </w:tc>
        <w:tc>
          <w:tcPr>
            <w:tcW w:w="909" w:type="dxa"/>
            <w:tcBorders>
              <w:top w:val="single" w:color="auto" w:sz="4" w:space="0"/>
              <w:left w:val="nil"/>
              <w:bottom w:val="single" w:color="auto" w:sz="4" w:space="0"/>
              <w:right w:val="single" w:color="auto" w:sz="4" w:space="0"/>
            </w:tcBorders>
            <w:shd w:val="clear" w:color="auto" w:fill="EEECE1"/>
            <w:noWrap w:val="0"/>
            <w:vAlign w:val="center"/>
          </w:tcPr>
          <w:p w14:paraId="5BF6BA49">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3年总量（TB）</w:t>
            </w:r>
          </w:p>
        </w:tc>
      </w:tr>
      <w:tr w14:paraId="033C0C3D">
        <w:tblPrEx>
          <w:tblCellMar>
            <w:top w:w="0" w:type="dxa"/>
            <w:left w:w="108" w:type="dxa"/>
            <w:bottom w:w="0" w:type="dxa"/>
            <w:right w:w="108" w:type="dxa"/>
          </w:tblCellMar>
        </w:tblPrEx>
        <w:trPr>
          <w:trHeight w:val="397" w:hRule="atLeast"/>
        </w:trPr>
        <w:tc>
          <w:tcPr>
            <w:tcW w:w="482" w:type="dxa"/>
            <w:tcBorders>
              <w:top w:val="nil"/>
              <w:left w:val="single" w:color="auto" w:sz="4" w:space="0"/>
              <w:bottom w:val="single" w:color="auto" w:sz="4" w:space="0"/>
              <w:right w:val="single" w:color="auto" w:sz="4" w:space="0"/>
            </w:tcBorders>
            <w:noWrap/>
            <w:vAlign w:val="center"/>
          </w:tcPr>
          <w:p w14:paraId="51520B04">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w:t>
            </w:r>
          </w:p>
        </w:tc>
        <w:tc>
          <w:tcPr>
            <w:tcW w:w="1964" w:type="dxa"/>
            <w:tcBorders>
              <w:top w:val="nil"/>
              <w:left w:val="nil"/>
              <w:bottom w:val="single" w:color="auto" w:sz="4" w:space="0"/>
              <w:right w:val="single" w:color="auto" w:sz="4" w:space="0"/>
            </w:tcBorders>
            <w:noWrap/>
            <w:vAlign w:val="center"/>
          </w:tcPr>
          <w:p w14:paraId="11A2DC1F">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智能接处警应用</w:t>
            </w:r>
          </w:p>
        </w:tc>
        <w:tc>
          <w:tcPr>
            <w:tcW w:w="1569" w:type="dxa"/>
            <w:tcBorders>
              <w:top w:val="nil"/>
              <w:left w:val="nil"/>
              <w:bottom w:val="single" w:color="auto" w:sz="4" w:space="0"/>
              <w:right w:val="single" w:color="auto" w:sz="4" w:space="0"/>
            </w:tcBorders>
            <w:noWrap w:val="0"/>
            <w:vAlign w:val="center"/>
          </w:tcPr>
          <w:p w14:paraId="649FD6E1">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现场人员上传照片</w:t>
            </w:r>
          </w:p>
        </w:tc>
        <w:tc>
          <w:tcPr>
            <w:tcW w:w="1049" w:type="dxa"/>
            <w:tcBorders>
              <w:top w:val="nil"/>
              <w:left w:val="nil"/>
              <w:bottom w:val="single" w:color="auto" w:sz="4" w:space="0"/>
              <w:right w:val="single" w:color="auto" w:sz="4" w:space="0"/>
            </w:tcBorders>
            <w:noWrap/>
            <w:vAlign w:val="center"/>
          </w:tcPr>
          <w:p w14:paraId="21038CAD">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图片</w:t>
            </w:r>
          </w:p>
        </w:tc>
        <w:tc>
          <w:tcPr>
            <w:tcW w:w="1119" w:type="dxa"/>
            <w:tcBorders>
              <w:top w:val="nil"/>
              <w:left w:val="nil"/>
              <w:bottom w:val="single" w:color="auto" w:sz="4" w:space="0"/>
              <w:right w:val="single" w:color="auto" w:sz="4" w:space="0"/>
            </w:tcBorders>
            <w:noWrap/>
            <w:vAlign w:val="center"/>
          </w:tcPr>
          <w:p w14:paraId="5A778CB8">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300</w:t>
            </w:r>
          </w:p>
        </w:tc>
        <w:tc>
          <w:tcPr>
            <w:tcW w:w="1049" w:type="dxa"/>
            <w:tcBorders>
              <w:top w:val="nil"/>
              <w:left w:val="nil"/>
              <w:bottom w:val="single" w:color="auto" w:sz="4" w:space="0"/>
              <w:right w:val="single" w:color="auto" w:sz="4" w:space="0"/>
            </w:tcBorders>
            <w:noWrap/>
            <w:vAlign w:val="center"/>
          </w:tcPr>
          <w:p w14:paraId="61E274C1">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1200</w:t>
            </w:r>
          </w:p>
        </w:tc>
        <w:tc>
          <w:tcPr>
            <w:tcW w:w="949" w:type="dxa"/>
            <w:tcBorders>
              <w:top w:val="nil"/>
              <w:left w:val="nil"/>
              <w:bottom w:val="single" w:color="auto" w:sz="4" w:space="0"/>
              <w:right w:val="single" w:color="auto" w:sz="4" w:space="0"/>
            </w:tcBorders>
            <w:noWrap/>
            <w:vAlign w:val="center"/>
          </w:tcPr>
          <w:p w14:paraId="4C584DAB">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2</w:t>
            </w:r>
          </w:p>
        </w:tc>
        <w:tc>
          <w:tcPr>
            <w:tcW w:w="909" w:type="dxa"/>
            <w:tcBorders>
              <w:top w:val="nil"/>
              <w:left w:val="nil"/>
              <w:bottom w:val="single" w:color="auto" w:sz="4" w:space="0"/>
              <w:right w:val="single" w:color="auto" w:sz="4" w:space="0"/>
            </w:tcBorders>
            <w:noWrap/>
            <w:vAlign w:val="center"/>
          </w:tcPr>
          <w:p w14:paraId="5C68243A">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2.628</w:t>
            </w:r>
          </w:p>
        </w:tc>
      </w:tr>
      <w:tr w14:paraId="41AA9623">
        <w:tblPrEx>
          <w:tblCellMar>
            <w:top w:w="0" w:type="dxa"/>
            <w:left w:w="108" w:type="dxa"/>
            <w:bottom w:w="0" w:type="dxa"/>
            <w:right w:w="108" w:type="dxa"/>
          </w:tblCellMar>
        </w:tblPrEx>
        <w:trPr>
          <w:trHeight w:val="397" w:hRule="atLeast"/>
        </w:trPr>
        <w:tc>
          <w:tcPr>
            <w:tcW w:w="482" w:type="dxa"/>
            <w:tcBorders>
              <w:top w:val="nil"/>
              <w:left w:val="single" w:color="auto" w:sz="4" w:space="0"/>
              <w:bottom w:val="single" w:color="auto" w:sz="4" w:space="0"/>
              <w:right w:val="single" w:color="auto" w:sz="4" w:space="0"/>
            </w:tcBorders>
            <w:noWrap/>
            <w:vAlign w:val="bottom"/>
          </w:tcPr>
          <w:p w14:paraId="691E12C5">
            <w:pPr>
              <w:widowControl/>
              <w:spacing w:line="240" w:lineRule="auto"/>
              <w:ind w:firstLine="0" w:firstLineChars="0"/>
              <w:jc w:val="center"/>
              <w:rPr>
                <w:rFonts w:ascii="宋体" w:hAnsi="宋体" w:cs="宋体"/>
                <w:color w:val="000000"/>
                <w:kern w:val="0"/>
                <w:sz w:val="21"/>
                <w:szCs w:val="21"/>
              </w:rPr>
            </w:pPr>
            <w:r>
              <w:rPr>
                <w:rFonts w:ascii="宋体" w:hAnsi="宋体" w:cs="宋体"/>
                <w:color w:val="000000"/>
                <w:kern w:val="0"/>
                <w:sz w:val="21"/>
                <w:szCs w:val="21"/>
              </w:rPr>
              <w:t>2</w:t>
            </w:r>
          </w:p>
        </w:tc>
        <w:tc>
          <w:tcPr>
            <w:tcW w:w="1964" w:type="dxa"/>
            <w:tcBorders>
              <w:top w:val="nil"/>
              <w:left w:val="nil"/>
              <w:bottom w:val="single" w:color="auto" w:sz="4" w:space="0"/>
              <w:right w:val="single" w:color="auto" w:sz="4" w:space="0"/>
            </w:tcBorders>
            <w:noWrap/>
            <w:vAlign w:val="center"/>
          </w:tcPr>
          <w:p w14:paraId="32DFADA6">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联勤联动力量调度管理</w:t>
            </w:r>
          </w:p>
        </w:tc>
        <w:tc>
          <w:tcPr>
            <w:tcW w:w="1569" w:type="dxa"/>
            <w:tcBorders>
              <w:top w:val="nil"/>
              <w:left w:val="nil"/>
              <w:bottom w:val="single" w:color="auto" w:sz="4" w:space="0"/>
              <w:right w:val="single" w:color="auto" w:sz="4" w:space="0"/>
            </w:tcBorders>
            <w:noWrap w:val="0"/>
            <w:vAlign w:val="center"/>
          </w:tcPr>
          <w:p w14:paraId="02C3B6D0">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现场人员上传照片</w:t>
            </w:r>
          </w:p>
        </w:tc>
        <w:tc>
          <w:tcPr>
            <w:tcW w:w="1049" w:type="dxa"/>
            <w:tcBorders>
              <w:top w:val="nil"/>
              <w:left w:val="nil"/>
              <w:bottom w:val="single" w:color="auto" w:sz="4" w:space="0"/>
              <w:right w:val="single" w:color="auto" w:sz="4" w:space="0"/>
            </w:tcBorders>
            <w:noWrap/>
            <w:vAlign w:val="center"/>
          </w:tcPr>
          <w:p w14:paraId="3C61B225">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图片</w:t>
            </w:r>
          </w:p>
        </w:tc>
        <w:tc>
          <w:tcPr>
            <w:tcW w:w="1119" w:type="dxa"/>
            <w:tcBorders>
              <w:top w:val="nil"/>
              <w:left w:val="nil"/>
              <w:bottom w:val="single" w:color="auto" w:sz="4" w:space="0"/>
              <w:right w:val="single" w:color="auto" w:sz="4" w:space="0"/>
            </w:tcBorders>
            <w:noWrap/>
            <w:vAlign w:val="center"/>
          </w:tcPr>
          <w:p w14:paraId="7F133DDA">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300</w:t>
            </w:r>
          </w:p>
        </w:tc>
        <w:tc>
          <w:tcPr>
            <w:tcW w:w="1049" w:type="dxa"/>
            <w:tcBorders>
              <w:top w:val="nil"/>
              <w:left w:val="nil"/>
              <w:bottom w:val="single" w:color="auto" w:sz="4" w:space="0"/>
              <w:right w:val="single" w:color="auto" w:sz="4" w:space="0"/>
            </w:tcBorders>
            <w:noWrap/>
            <w:vAlign w:val="center"/>
          </w:tcPr>
          <w:p w14:paraId="5FFFF9E5">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1200</w:t>
            </w:r>
          </w:p>
        </w:tc>
        <w:tc>
          <w:tcPr>
            <w:tcW w:w="949" w:type="dxa"/>
            <w:tcBorders>
              <w:top w:val="nil"/>
              <w:left w:val="nil"/>
              <w:bottom w:val="single" w:color="auto" w:sz="4" w:space="0"/>
              <w:right w:val="single" w:color="auto" w:sz="4" w:space="0"/>
            </w:tcBorders>
            <w:noWrap/>
            <w:vAlign w:val="center"/>
          </w:tcPr>
          <w:p w14:paraId="385A194B">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2</w:t>
            </w:r>
          </w:p>
        </w:tc>
        <w:tc>
          <w:tcPr>
            <w:tcW w:w="909" w:type="dxa"/>
            <w:tcBorders>
              <w:top w:val="nil"/>
              <w:left w:val="nil"/>
              <w:bottom w:val="single" w:color="auto" w:sz="4" w:space="0"/>
              <w:right w:val="single" w:color="auto" w:sz="4" w:space="0"/>
            </w:tcBorders>
            <w:noWrap/>
            <w:vAlign w:val="center"/>
          </w:tcPr>
          <w:p w14:paraId="37E07C01">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2.628</w:t>
            </w:r>
          </w:p>
        </w:tc>
      </w:tr>
      <w:tr w14:paraId="1006199A">
        <w:tblPrEx>
          <w:tblCellMar>
            <w:top w:w="0" w:type="dxa"/>
            <w:left w:w="108" w:type="dxa"/>
            <w:bottom w:w="0" w:type="dxa"/>
            <w:right w:w="108" w:type="dxa"/>
          </w:tblCellMar>
        </w:tblPrEx>
        <w:trPr>
          <w:trHeight w:val="397" w:hRule="atLeast"/>
        </w:trPr>
        <w:tc>
          <w:tcPr>
            <w:tcW w:w="482" w:type="dxa"/>
            <w:tcBorders>
              <w:top w:val="nil"/>
              <w:left w:val="single" w:color="auto" w:sz="4" w:space="0"/>
              <w:bottom w:val="single" w:color="auto" w:sz="4" w:space="0"/>
              <w:right w:val="single" w:color="auto" w:sz="4" w:space="0"/>
            </w:tcBorders>
            <w:noWrap/>
            <w:vAlign w:val="bottom"/>
          </w:tcPr>
          <w:p w14:paraId="294113EF">
            <w:pPr>
              <w:widowControl/>
              <w:spacing w:line="240" w:lineRule="auto"/>
              <w:ind w:firstLine="0" w:firstLineChars="0"/>
              <w:jc w:val="left"/>
              <w:rPr>
                <w:rFonts w:ascii="宋体" w:hAnsi="宋体" w:cs="宋体"/>
                <w:color w:val="000000"/>
                <w:kern w:val="0"/>
                <w:sz w:val="21"/>
                <w:szCs w:val="21"/>
              </w:rPr>
            </w:pPr>
            <w:r>
              <w:rPr>
                <w:rFonts w:hint="eastAsia" w:ascii="宋体" w:hAnsi="宋体" w:cs="宋体"/>
                <w:color w:val="000000"/>
                <w:kern w:val="0"/>
                <w:sz w:val="21"/>
                <w:szCs w:val="21"/>
              </w:rPr>
              <w:t>　</w:t>
            </w:r>
          </w:p>
        </w:tc>
        <w:tc>
          <w:tcPr>
            <w:tcW w:w="1964" w:type="dxa"/>
            <w:tcBorders>
              <w:top w:val="nil"/>
              <w:left w:val="nil"/>
              <w:bottom w:val="single" w:color="auto" w:sz="4" w:space="0"/>
              <w:right w:val="single" w:color="auto" w:sz="4" w:space="0"/>
            </w:tcBorders>
            <w:noWrap/>
            <w:vAlign w:val="bottom"/>
          </w:tcPr>
          <w:p w14:paraId="6D75599B">
            <w:pPr>
              <w:widowControl/>
              <w:spacing w:line="240" w:lineRule="auto"/>
              <w:ind w:firstLine="0" w:firstLineChars="0"/>
              <w:jc w:val="left"/>
              <w:rPr>
                <w:rFonts w:ascii="宋体" w:hAnsi="宋体" w:cs="宋体"/>
                <w:color w:val="000000"/>
                <w:kern w:val="0"/>
                <w:sz w:val="21"/>
                <w:szCs w:val="21"/>
              </w:rPr>
            </w:pPr>
            <w:r>
              <w:rPr>
                <w:rFonts w:hint="eastAsia" w:ascii="宋体" w:hAnsi="宋体" w:cs="宋体"/>
                <w:color w:val="000000"/>
                <w:kern w:val="0"/>
                <w:sz w:val="21"/>
                <w:szCs w:val="21"/>
              </w:rPr>
              <w:t>　</w:t>
            </w:r>
          </w:p>
        </w:tc>
        <w:tc>
          <w:tcPr>
            <w:tcW w:w="1569" w:type="dxa"/>
            <w:tcBorders>
              <w:top w:val="nil"/>
              <w:left w:val="nil"/>
              <w:bottom w:val="single" w:color="auto" w:sz="4" w:space="0"/>
              <w:right w:val="single" w:color="auto" w:sz="4" w:space="0"/>
            </w:tcBorders>
            <w:noWrap/>
            <w:vAlign w:val="bottom"/>
          </w:tcPr>
          <w:p w14:paraId="5A3597AE">
            <w:pPr>
              <w:widowControl/>
              <w:spacing w:line="240" w:lineRule="auto"/>
              <w:ind w:firstLine="0" w:firstLineChars="0"/>
              <w:jc w:val="left"/>
              <w:rPr>
                <w:rFonts w:ascii="宋体" w:hAnsi="宋体" w:cs="宋体"/>
                <w:color w:val="000000"/>
                <w:kern w:val="0"/>
                <w:sz w:val="21"/>
                <w:szCs w:val="21"/>
              </w:rPr>
            </w:pPr>
            <w:r>
              <w:rPr>
                <w:rFonts w:hint="eastAsia" w:ascii="宋体" w:hAnsi="宋体" w:cs="宋体"/>
                <w:color w:val="000000"/>
                <w:kern w:val="0"/>
                <w:sz w:val="21"/>
                <w:szCs w:val="21"/>
              </w:rPr>
              <w:t>　</w:t>
            </w:r>
          </w:p>
        </w:tc>
        <w:tc>
          <w:tcPr>
            <w:tcW w:w="1049" w:type="dxa"/>
            <w:tcBorders>
              <w:top w:val="nil"/>
              <w:left w:val="nil"/>
              <w:bottom w:val="single" w:color="auto" w:sz="4" w:space="0"/>
              <w:right w:val="single" w:color="auto" w:sz="4" w:space="0"/>
            </w:tcBorders>
            <w:noWrap/>
            <w:vAlign w:val="bottom"/>
          </w:tcPr>
          <w:p w14:paraId="0F0999E4">
            <w:pPr>
              <w:widowControl/>
              <w:spacing w:line="240" w:lineRule="auto"/>
              <w:ind w:firstLine="0" w:firstLineChars="0"/>
              <w:jc w:val="left"/>
              <w:rPr>
                <w:rFonts w:ascii="宋体" w:hAnsi="宋体" w:cs="宋体"/>
                <w:color w:val="000000"/>
                <w:kern w:val="0"/>
                <w:sz w:val="21"/>
                <w:szCs w:val="21"/>
              </w:rPr>
            </w:pPr>
            <w:r>
              <w:rPr>
                <w:rFonts w:hint="eastAsia" w:ascii="宋体" w:hAnsi="宋体" w:cs="宋体"/>
                <w:color w:val="000000"/>
                <w:kern w:val="0"/>
                <w:sz w:val="21"/>
                <w:szCs w:val="21"/>
              </w:rPr>
              <w:t>　</w:t>
            </w:r>
          </w:p>
        </w:tc>
        <w:tc>
          <w:tcPr>
            <w:tcW w:w="1119" w:type="dxa"/>
            <w:tcBorders>
              <w:top w:val="nil"/>
              <w:left w:val="nil"/>
              <w:bottom w:val="single" w:color="auto" w:sz="4" w:space="0"/>
              <w:right w:val="single" w:color="auto" w:sz="4" w:space="0"/>
            </w:tcBorders>
            <w:noWrap/>
            <w:vAlign w:val="bottom"/>
          </w:tcPr>
          <w:p w14:paraId="10CA8F90">
            <w:pPr>
              <w:widowControl/>
              <w:spacing w:line="240" w:lineRule="auto"/>
              <w:ind w:firstLine="0" w:firstLineChars="0"/>
              <w:jc w:val="left"/>
              <w:rPr>
                <w:rFonts w:ascii="宋体" w:hAnsi="宋体" w:cs="宋体"/>
                <w:color w:val="000000"/>
                <w:kern w:val="0"/>
                <w:sz w:val="21"/>
                <w:szCs w:val="21"/>
              </w:rPr>
            </w:pPr>
            <w:r>
              <w:rPr>
                <w:rFonts w:hint="eastAsia" w:ascii="宋体" w:hAnsi="宋体" w:cs="宋体"/>
                <w:color w:val="000000"/>
                <w:kern w:val="0"/>
                <w:sz w:val="21"/>
                <w:szCs w:val="21"/>
              </w:rPr>
              <w:t>　</w:t>
            </w:r>
          </w:p>
        </w:tc>
        <w:tc>
          <w:tcPr>
            <w:tcW w:w="1049" w:type="dxa"/>
            <w:tcBorders>
              <w:top w:val="nil"/>
              <w:left w:val="nil"/>
              <w:bottom w:val="single" w:color="auto" w:sz="4" w:space="0"/>
              <w:right w:val="single" w:color="auto" w:sz="4" w:space="0"/>
            </w:tcBorders>
            <w:noWrap/>
            <w:vAlign w:val="bottom"/>
          </w:tcPr>
          <w:p w14:paraId="35D57792">
            <w:pPr>
              <w:widowControl/>
              <w:spacing w:line="240" w:lineRule="auto"/>
              <w:ind w:firstLine="0" w:firstLineChars="0"/>
              <w:jc w:val="left"/>
              <w:rPr>
                <w:rFonts w:ascii="宋体" w:hAnsi="宋体" w:cs="宋体"/>
                <w:color w:val="000000"/>
                <w:kern w:val="0"/>
                <w:sz w:val="21"/>
                <w:szCs w:val="21"/>
              </w:rPr>
            </w:pPr>
            <w:r>
              <w:rPr>
                <w:rFonts w:hint="eastAsia" w:ascii="宋体" w:hAnsi="宋体" w:cs="宋体"/>
                <w:color w:val="000000"/>
                <w:kern w:val="0"/>
                <w:sz w:val="21"/>
                <w:szCs w:val="21"/>
              </w:rPr>
              <w:t>　</w:t>
            </w:r>
          </w:p>
        </w:tc>
        <w:tc>
          <w:tcPr>
            <w:tcW w:w="949" w:type="dxa"/>
            <w:tcBorders>
              <w:top w:val="nil"/>
              <w:left w:val="nil"/>
              <w:bottom w:val="single" w:color="auto" w:sz="4" w:space="0"/>
              <w:right w:val="single" w:color="auto" w:sz="4" w:space="0"/>
            </w:tcBorders>
            <w:noWrap/>
            <w:vAlign w:val="bottom"/>
          </w:tcPr>
          <w:p w14:paraId="3D22B702">
            <w:pPr>
              <w:widowControl/>
              <w:spacing w:line="240" w:lineRule="auto"/>
              <w:ind w:firstLine="0" w:firstLineChars="0"/>
              <w:jc w:val="right"/>
              <w:rPr>
                <w:rFonts w:ascii="宋体" w:hAnsi="宋体" w:cs="宋体"/>
                <w:color w:val="000000"/>
                <w:kern w:val="0"/>
                <w:sz w:val="21"/>
                <w:szCs w:val="21"/>
              </w:rPr>
            </w:pPr>
            <w:r>
              <w:rPr>
                <w:rFonts w:hint="eastAsia" w:ascii="宋体" w:hAnsi="宋体" w:cs="宋体"/>
                <w:color w:val="000000"/>
                <w:kern w:val="0"/>
                <w:sz w:val="21"/>
                <w:szCs w:val="21"/>
              </w:rPr>
              <w:t>合计：</w:t>
            </w:r>
          </w:p>
        </w:tc>
        <w:tc>
          <w:tcPr>
            <w:tcW w:w="909" w:type="dxa"/>
            <w:tcBorders>
              <w:top w:val="nil"/>
              <w:left w:val="nil"/>
              <w:bottom w:val="single" w:color="auto" w:sz="4" w:space="0"/>
              <w:right w:val="single" w:color="auto" w:sz="4" w:space="0"/>
            </w:tcBorders>
            <w:noWrap/>
            <w:vAlign w:val="bottom"/>
          </w:tcPr>
          <w:p w14:paraId="44DE4F18">
            <w:pPr>
              <w:widowControl/>
              <w:spacing w:line="240" w:lineRule="auto"/>
              <w:ind w:firstLine="0" w:firstLineChars="0"/>
              <w:jc w:val="center"/>
              <w:rPr>
                <w:rFonts w:ascii="宋体" w:hAnsi="宋体" w:cs="宋体"/>
                <w:color w:val="000000"/>
                <w:kern w:val="0"/>
                <w:sz w:val="21"/>
                <w:szCs w:val="21"/>
              </w:rPr>
            </w:pPr>
            <w:r>
              <w:rPr>
                <w:rFonts w:ascii="宋体" w:hAnsi="宋体" w:cs="宋体"/>
                <w:color w:val="000000"/>
                <w:kern w:val="0"/>
                <w:sz w:val="21"/>
                <w:szCs w:val="21"/>
              </w:rPr>
              <w:t>5.256</w:t>
            </w:r>
          </w:p>
        </w:tc>
      </w:tr>
    </w:tbl>
    <w:p w14:paraId="193D0348">
      <w:pPr>
        <w:spacing w:before="240" w:beforeLines="100"/>
      </w:pPr>
      <w:r>
        <w:rPr>
          <w:rFonts w:hint="eastAsia"/>
        </w:rPr>
        <w:t>全省消防日出警量按</w:t>
      </w:r>
      <w:r>
        <w:t>300</w:t>
      </w:r>
      <w:r>
        <w:rPr>
          <w:rFonts w:hint="eastAsia"/>
        </w:rPr>
        <w:t>次估算，单次出警现场人员按上传图片</w:t>
      </w:r>
      <w:r>
        <w:t>4</w:t>
      </w:r>
      <w:r>
        <w:rPr>
          <w:rFonts w:hint="eastAsia"/>
        </w:rPr>
        <w:t>张估算，日上传数据量约为</w:t>
      </w:r>
      <w:r>
        <w:t>1200</w:t>
      </w:r>
      <w:r>
        <w:rPr>
          <w:rFonts w:hint="eastAsia"/>
        </w:rPr>
        <w:t>张，每张图片分辨率按</w:t>
      </w:r>
      <w:r>
        <w:t>1920*1080</w:t>
      </w:r>
      <w:r>
        <w:rPr>
          <w:rFonts w:hint="eastAsia"/>
        </w:rPr>
        <w:t>估算，单张图片大小约</w:t>
      </w:r>
      <w:r>
        <w:t xml:space="preserve">2MB. </w:t>
      </w:r>
      <w:r>
        <w:rPr>
          <w:rFonts w:hint="eastAsia"/>
        </w:rPr>
        <w:t>通过计算，</w:t>
      </w:r>
      <w:r>
        <w:t>3</w:t>
      </w:r>
      <w:r>
        <w:rPr>
          <w:rFonts w:hint="eastAsia"/>
        </w:rPr>
        <w:t>年图片总存储量约</w:t>
      </w:r>
      <w:r>
        <w:t>7.884TB</w:t>
      </w:r>
      <w:r>
        <w:rPr>
          <w:rFonts w:hint="eastAsia"/>
        </w:rPr>
        <w:t>。</w:t>
      </w:r>
    </w:p>
    <w:p w14:paraId="657F9DB9">
      <w:pPr>
        <w:numPr>
          <w:ilvl w:val="0"/>
          <w:numId w:val="38"/>
        </w:numPr>
      </w:pPr>
      <w:r>
        <w:rPr>
          <w:rFonts w:hint="eastAsia"/>
        </w:rPr>
        <w:t>视频存储量</w:t>
      </w:r>
    </w:p>
    <w:p w14:paraId="329247E9">
      <w:pPr>
        <w:pStyle w:val="8"/>
        <w:spacing w:before="120" w:after="120"/>
        <w:rPr>
          <w:rFonts w:hint="eastAsia" w:ascii="黑体" w:hAnsi="黑体" w:cs="黑体"/>
        </w:rPr>
      </w:pPr>
      <w:r>
        <w:rPr>
          <w:rFonts w:hint="eastAsia" w:ascii="黑体" w:hAnsi="黑体" w:cs="黑体"/>
        </w:rPr>
        <w:t>表 3-17视频信息量测算表</w:t>
      </w:r>
    </w:p>
    <w:tbl>
      <w:tblPr>
        <w:tblStyle w:val="12"/>
        <w:tblW w:w="9225" w:type="dxa"/>
        <w:tblInd w:w="-187" w:type="dxa"/>
        <w:tblLayout w:type="fixed"/>
        <w:tblCellMar>
          <w:top w:w="0" w:type="dxa"/>
          <w:left w:w="108" w:type="dxa"/>
          <w:bottom w:w="0" w:type="dxa"/>
          <w:right w:w="108" w:type="dxa"/>
        </w:tblCellMar>
      </w:tblPr>
      <w:tblGrid>
        <w:gridCol w:w="498"/>
        <w:gridCol w:w="1903"/>
        <w:gridCol w:w="1968"/>
        <w:gridCol w:w="764"/>
        <w:gridCol w:w="900"/>
        <w:gridCol w:w="1005"/>
        <w:gridCol w:w="1080"/>
        <w:gridCol w:w="1107"/>
      </w:tblGrid>
      <w:tr w14:paraId="17B67C62">
        <w:tblPrEx>
          <w:tblCellMar>
            <w:top w:w="0" w:type="dxa"/>
            <w:left w:w="108" w:type="dxa"/>
            <w:bottom w:w="0" w:type="dxa"/>
            <w:right w:w="108" w:type="dxa"/>
          </w:tblCellMar>
        </w:tblPrEx>
        <w:trPr>
          <w:trHeight w:val="397" w:hRule="atLeast"/>
          <w:tblHeader/>
        </w:trPr>
        <w:tc>
          <w:tcPr>
            <w:tcW w:w="498" w:type="dxa"/>
            <w:tcBorders>
              <w:top w:val="single" w:color="auto" w:sz="4" w:space="0"/>
              <w:left w:val="single" w:color="auto" w:sz="4" w:space="0"/>
              <w:bottom w:val="single" w:color="auto" w:sz="4" w:space="0"/>
              <w:right w:val="single" w:color="auto" w:sz="4" w:space="0"/>
            </w:tcBorders>
            <w:shd w:val="clear" w:color="auto" w:fill="EEECE1"/>
            <w:noWrap w:val="0"/>
            <w:vAlign w:val="center"/>
          </w:tcPr>
          <w:p w14:paraId="0B17EC3A">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序号</w:t>
            </w:r>
          </w:p>
        </w:tc>
        <w:tc>
          <w:tcPr>
            <w:tcW w:w="1903" w:type="dxa"/>
            <w:tcBorders>
              <w:top w:val="single" w:color="auto" w:sz="4" w:space="0"/>
              <w:left w:val="nil"/>
              <w:bottom w:val="single" w:color="auto" w:sz="4" w:space="0"/>
              <w:right w:val="single" w:color="auto" w:sz="4" w:space="0"/>
            </w:tcBorders>
            <w:shd w:val="clear" w:color="auto" w:fill="EEECE1"/>
            <w:noWrap w:val="0"/>
            <w:vAlign w:val="center"/>
          </w:tcPr>
          <w:p w14:paraId="03CBD050">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系统名称</w:t>
            </w:r>
          </w:p>
        </w:tc>
        <w:tc>
          <w:tcPr>
            <w:tcW w:w="1968" w:type="dxa"/>
            <w:tcBorders>
              <w:top w:val="single" w:color="auto" w:sz="4" w:space="0"/>
              <w:left w:val="nil"/>
              <w:bottom w:val="single" w:color="auto" w:sz="4" w:space="0"/>
              <w:right w:val="single" w:color="auto" w:sz="4" w:space="0"/>
            </w:tcBorders>
            <w:shd w:val="clear" w:color="auto" w:fill="EEECE1"/>
            <w:noWrap w:val="0"/>
            <w:vAlign w:val="center"/>
          </w:tcPr>
          <w:p w14:paraId="43EB7F38">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数据来源</w:t>
            </w:r>
          </w:p>
        </w:tc>
        <w:tc>
          <w:tcPr>
            <w:tcW w:w="764" w:type="dxa"/>
            <w:tcBorders>
              <w:top w:val="single" w:color="auto" w:sz="4" w:space="0"/>
              <w:left w:val="nil"/>
              <w:bottom w:val="single" w:color="auto" w:sz="4" w:space="0"/>
              <w:right w:val="single" w:color="auto" w:sz="4" w:space="0"/>
            </w:tcBorders>
            <w:shd w:val="clear" w:color="auto" w:fill="EEECE1"/>
            <w:noWrap w:val="0"/>
            <w:vAlign w:val="center"/>
          </w:tcPr>
          <w:p w14:paraId="1F047AFE">
            <w:pPr>
              <w:widowControl/>
              <w:spacing w:line="240" w:lineRule="auto"/>
              <w:ind w:firstLine="0" w:firstLineChars="0"/>
              <w:jc w:val="center"/>
              <w:rPr>
                <w:rFonts w:hint="eastAsia" w:ascii="宋体" w:hAnsi="宋体" w:cs="宋体"/>
                <w:b/>
                <w:bCs/>
                <w:color w:val="000000"/>
                <w:kern w:val="0"/>
                <w:sz w:val="21"/>
                <w:szCs w:val="21"/>
              </w:rPr>
            </w:pPr>
            <w:r>
              <w:rPr>
                <w:rFonts w:hint="eastAsia" w:ascii="宋体" w:hAnsi="宋体" w:cs="宋体"/>
                <w:b/>
                <w:bCs/>
                <w:color w:val="000000"/>
                <w:kern w:val="0"/>
                <w:sz w:val="21"/>
                <w:szCs w:val="21"/>
              </w:rPr>
              <w:t>数据</w:t>
            </w:r>
          </w:p>
          <w:p w14:paraId="7799E1A5">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类型</w:t>
            </w:r>
          </w:p>
        </w:tc>
        <w:tc>
          <w:tcPr>
            <w:tcW w:w="900" w:type="dxa"/>
            <w:tcBorders>
              <w:top w:val="single" w:color="auto" w:sz="4" w:space="0"/>
              <w:left w:val="nil"/>
              <w:bottom w:val="single" w:color="auto" w:sz="4" w:space="0"/>
              <w:right w:val="single" w:color="auto" w:sz="4" w:space="0"/>
            </w:tcBorders>
            <w:shd w:val="clear" w:color="auto" w:fill="EEECE1"/>
            <w:noWrap w:val="0"/>
            <w:vAlign w:val="center"/>
          </w:tcPr>
          <w:p w14:paraId="7FE0089A">
            <w:pPr>
              <w:widowControl/>
              <w:spacing w:line="240" w:lineRule="auto"/>
              <w:ind w:firstLine="0" w:firstLineChars="0"/>
              <w:jc w:val="center"/>
              <w:rPr>
                <w:rFonts w:hint="eastAsia" w:ascii="宋体" w:hAnsi="宋体" w:cs="宋体"/>
                <w:b/>
                <w:bCs/>
                <w:color w:val="000000"/>
                <w:kern w:val="0"/>
                <w:sz w:val="21"/>
                <w:szCs w:val="21"/>
              </w:rPr>
            </w:pPr>
            <w:r>
              <w:rPr>
                <w:rFonts w:hint="eastAsia" w:ascii="宋体" w:hAnsi="宋体" w:cs="宋体"/>
                <w:b/>
                <w:bCs/>
                <w:color w:val="000000"/>
                <w:kern w:val="0"/>
                <w:sz w:val="21"/>
                <w:szCs w:val="21"/>
              </w:rPr>
              <w:t>日处</w:t>
            </w:r>
          </w:p>
          <w:p w14:paraId="40F11752">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警量</w:t>
            </w:r>
          </w:p>
        </w:tc>
        <w:tc>
          <w:tcPr>
            <w:tcW w:w="1005" w:type="dxa"/>
            <w:tcBorders>
              <w:top w:val="single" w:color="auto" w:sz="4" w:space="0"/>
              <w:left w:val="nil"/>
              <w:bottom w:val="single" w:color="auto" w:sz="4" w:space="0"/>
              <w:right w:val="single" w:color="auto" w:sz="4" w:space="0"/>
            </w:tcBorders>
            <w:shd w:val="clear" w:color="auto" w:fill="EEECE1"/>
            <w:noWrap w:val="0"/>
            <w:vAlign w:val="center"/>
          </w:tcPr>
          <w:p w14:paraId="7B0FF931">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日上传数据量（个）</w:t>
            </w:r>
          </w:p>
        </w:tc>
        <w:tc>
          <w:tcPr>
            <w:tcW w:w="1080" w:type="dxa"/>
            <w:tcBorders>
              <w:top w:val="single" w:color="auto" w:sz="4" w:space="0"/>
              <w:left w:val="nil"/>
              <w:bottom w:val="single" w:color="auto" w:sz="4" w:space="0"/>
              <w:right w:val="single" w:color="auto" w:sz="4" w:space="0"/>
            </w:tcBorders>
            <w:shd w:val="clear" w:color="auto" w:fill="EEECE1"/>
            <w:noWrap w:val="0"/>
            <w:vAlign w:val="center"/>
          </w:tcPr>
          <w:p w14:paraId="1271C3C2">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大小（MB/条）</w:t>
            </w:r>
          </w:p>
        </w:tc>
        <w:tc>
          <w:tcPr>
            <w:tcW w:w="1107" w:type="dxa"/>
            <w:tcBorders>
              <w:top w:val="single" w:color="auto" w:sz="4" w:space="0"/>
              <w:left w:val="nil"/>
              <w:bottom w:val="single" w:color="auto" w:sz="4" w:space="0"/>
              <w:right w:val="single" w:color="auto" w:sz="4" w:space="0"/>
            </w:tcBorders>
            <w:shd w:val="clear" w:color="auto" w:fill="EEECE1"/>
            <w:noWrap w:val="0"/>
            <w:vAlign w:val="center"/>
          </w:tcPr>
          <w:p w14:paraId="7BB1F8A9">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3年总量（TB）</w:t>
            </w:r>
          </w:p>
        </w:tc>
      </w:tr>
      <w:tr w14:paraId="479576EA">
        <w:tblPrEx>
          <w:tblCellMar>
            <w:top w:w="0" w:type="dxa"/>
            <w:left w:w="108" w:type="dxa"/>
            <w:bottom w:w="0" w:type="dxa"/>
            <w:right w:w="108" w:type="dxa"/>
          </w:tblCellMar>
        </w:tblPrEx>
        <w:trPr>
          <w:trHeight w:val="397" w:hRule="atLeast"/>
        </w:trPr>
        <w:tc>
          <w:tcPr>
            <w:tcW w:w="498" w:type="dxa"/>
            <w:tcBorders>
              <w:top w:val="nil"/>
              <w:left w:val="single" w:color="auto" w:sz="4" w:space="0"/>
              <w:bottom w:val="single" w:color="auto" w:sz="4" w:space="0"/>
              <w:right w:val="single" w:color="auto" w:sz="4" w:space="0"/>
            </w:tcBorders>
            <w:noWrap/>
            <w:vAlign w:val="center"/>
          </w:tcPr>
          <w:p w14:paraId="0BE7FE61">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w:t>
            </w:r>
          </w:p>
        </w:tc>
        <w:tc>
          <w:tcPr>
            <w:tcW w:w="1903" w:type="dxa"/>
            <w:tcBorders>
              <w:top w:val="nil"/>
              <w:left w:val="nil"/>
              <w:bottom w:val="single" w:color="auto" w:sz="4" w:space="0"/>
              <w:right w:val="single" w:color="auto" w:sz="4" w:space="0"/>
            </w:tcBorders>
            <w:noWrap/>
            <w:vAlign w:val="center"/>
          </w:tcPr>
          <w:p w14:paraId="271FC3F7">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智能接处警应用</w:t>
            </w:r>
          </w:p>
        </w:tc>
        <w:tc>
          <w:tcPr>
            <w:tcW w:w="1968" w:type="dxa"/>
            <w:tcBorders>
              <w:top w:val="nil"/>
              <w:left w:val="nil"/>
              <w:bottom w:val="single" w:color="auto" w:sz="4" w:space="0"/>
              <w:right w:val="single" w:color="auto" w:sz="4" w:space="0"/>
            </w:tcBorders>
            <w:noWrap w:val="0"/>
            <w:vAlign w:val="center"/>
          </w:tcPr>
          <w:p w14:paraId="6ADC0CB1">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灾害现场消防人员上传拍摄视频</w:t>
            </w:r>
          </w:p>
        </w:tc>
        <w:tc>
          <w:tcPr>
            <w:tcW w:w="764" w:type="dxa"/>
            <w:tcBorders>
              <w:top w:val="nil"/>
              <w:left w:val="nil"/>
              <w:bottom w:val="single" w:color="auto" w:sz="4" w:space="0"/>
              <w:right w:val="single" w:color="auto" w:sz="4" w:space="0"/>
            </w:tcBorders>
            <w:noWrap/>
            <w:vAlign w:val="center"/>
          </w:tcPr>
          <w:p w14:paraId="11B4F51D">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视频</w:t>
            </w:r>
          </w:p>
        </w:tc>
        <w:tc>
          <w:tcPr>
            <w:tcW w:w="900" w:type="dxa"/>
            <w:tcBorders>
              <w:top w:val="nil"/>
              <w:left w:val="nil"/>
              <w:bottom w:val="single" w:color="auto" w:sz="4" w:space="0"/>
              <w:right w:val="single" w:color="auto" w:sz="4" w:space="0"/>
            </w:tcBorders>
            <w:noWrap/>
            <w:vAlign w:val="center"/>
          </w:tcPr>
          <w:p w14:paraId="0EEF3B04">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300</w:t>
            </w:r>
          </w:p>
        </w:tc>
        <w:tc>
          <w:tcPr>
            <w:tcW w:w="1005" w:type="dxa"/>
            <w:tcBorders>
              <w:top w:val="nil"/>
              <w:left w:val="nil"/>
              <w:bottom w:val="single" w:color="auto" w:sz="4" w:space="0"/>
              <w:right w:val="single" w:color="auto" w:sz="4" w:space="0"/>
            </w:tcBorders>
            <w:noWrap/>
            <w:vAlign w:val="center"/>
          </w:tcPr>
          <w:p w14:paraId="324CEAD4">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600</w:t>
            </w:r>
          </w:p>
        </w:tc>
        <w:tc>
          <w:tcPr>
            <w:tcW w:w="1080" w:type="dxa"/>
            <w:tcBorders>
              <w:top w:val="nil"/>
              <w:left w:val="nil"/>
              <w:bottom w:val="single" w:color="auto" w:sz="4" w:space="0"/>
              <w:right w:val="single" w:color="auto" w:sz="4" w:space="0"/>
            </w:tcBorders>
            <w:noWrap/>
            <w:vAlign w:val="center"/>
          </w:tcPr>
          <w:p w14:paraId="267D82B4">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7.68</w:t>
            </w:r>
          </w:p>
        </w:tc>
        <w:tc>
          <w:tcPr>
            <w:tcW w:w="1107" w:type="dxa"/>
            <w:tcBorders>
              <w:top w:val="nil"/>
              <w:left w:val="nil"/>
              <w:bottom w:val="single" w:color="auto" w:sz="4" w:space="0"/>
              <w:right w:val="single" w:color="auto" w:sz="4" w:space="0"/>
            </w:tcBorders>
            <w:noWrap/>
            <w:vAlign w:val="center"/>
          </w:tcPr>
          <w:p w14:paraId="49EBAED0">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5.045</w:t>
            </w:r>
          </w:p>
        </w:tc>
      </w:tr>
      <w:tr w14:paraId="40ADE9F9">
        <w:tblPrEx>
          <w:tblCellMar>
            <w:top w:w="0" w:type="dxa"/>
            <w:left w:w="108" w:type="dxa"/>
            <w:bottom w:w="0" w:type="dxa"/>
            <w:right w:w="108" w:type="dxa"/>
          </w:tblCellMar>
        </w:tblPrEx>
        <w:trPr>
          <w:trHeight w:val="397" w:hRule="atLeast"/>
        </w:trPr>
        <w:tc>
          <w:tcPr>
            <w:tcW w:w="498" w:type="dxa"/>
            <w:tcBorders>
              <w:top w:val="nil"/>
              <w:left w:val="single" w:color="auto" w:sz="4" w:space="0"/>
              <w:bottom w:val="single" w:color="auto" w:sz="4" w:space="0"/>
              <w:right w:val="single" w:color="auto" w:sz="4" w:space="0"/>
            </w:tcBorders>
            <w:noWrap/>
            <w:vAlign w:val="center"/>
          </w:tcPr>
          <w:p w14:paraId="1E7C72B5">
            <w:pPr>
              <w:widowControl/>
              <w:spacing w:line="240" w:lineRule="auto"/>
              <w:ind w:firstLine="0" w:firstLineChars="0"/>
              <w:jc w:val="center"/>
              <w:rPr>
                <w:rFonts w:ascii="宋体" w:hAnsi="宋体" w:cs="宋体"/>
                <w:color w:val="000000"/>
                <w:kern w:val="0"/>
                <w:sz w:val="21"/>
                <w:szCs w:val="21"/>
              </w:rPr>
            </w:pPr>
            <w:r>
              <w:rPr>
                <w:rFonts w:ascii="宋体" w:hAnsi="宋体" w:cs="宋体"/>
                <w:color w:val="000000"/>
                <w:kern w:val="0"/>
                <w:sz w:val="21"/>
                <w:szCs w:val="21"/>
              </w:rPr>
              <w:t>2</w:t>
            </w:r>
          </w:p>
        </w:tc>
        <w:tc>
          <w:tcPr>
            <w:tcW w:w="1903" w:type="dxa"/>
            <w:tcBorders>
              <w:top w:val="nil"/>
              <w:left w:val="nil"/>
              <w:bottom w:val="single" w:color="auto" w:sz="4" w:space="0"/>
              <w:right w:val="single" w:color="auto" w:sz="4" w:space="0"/>
            </w:tcBorders>
            <w:noWrap/>
            <w:vAlign w:val="center"/>
          </w:tcPr>
          <w:p w14:paraId="1D7A5583">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联勤联动力量调度管理</w:t>
            </w:r>
          </w:p>
        </w:tc>
        <w:tc>
          <w:tcPr>
            <w:tcW w:w="1968" w:type="dxa"/>
            <w:tcBorders>
              <w:top w:val="nil"/>
              <w:left w:val="nil"/>
              <w:bottom w:val="single" w:color="auto" w:sz="4" w:space="0"/>
              <w:right w:val="single" w:color="auto" w:sz="4" w:space="0"/>
            </w:tcBorders>
            <w:noWrap w:val="0"/>
            <w:vAlign w:val="center"/>
          </w:tcPr>
          <w:p w14:paraId="31C26A6C">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灾害现场消防人员上传拍摄视频</w:t>
            </w:r>
          </w:p>
        </w:tc>
        <w:tc>
          <w:tcPr>
            <w:tcW w:w="764" w:type="dxa"/>
            <w:tcBorders>
              <w:top w:val="nil"/>
              <w:left w:val="nil"/>
              <w:bottom w:val="single" w:color="auto" w:sz="4" w:space="0"/>
              <w:right w:val="single" w:color="auto" w:sz="4" w:space="0"/>
            </w:tcBorders>
            <w:noWrap/>
            <w:vAlign w:val="center"/>
          </w:tcPr>
          <w:p w14:paraId="52A5F253">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视频</w:t>
            </w:r>
          </w:p>
        </w:tc>
        <w:tc>
          <w:tcPr>
            <w:tcW w:w="900" w:type="dxa"/>
            <w:tcBorders>
              <w:top w:val="nil"/>
              <w:left w:val="nil"/>
              <w:bottom w:val="single" w:color="auto" w:sz="4" w:space="0"/>
              <w:right w:val="single" w:color="auto" w:sz="4" w:space="0"/>
            </w:tcBorders>
            <w:noWrap/>
            <w:vAlign w:val="center"/>
          </w:tcPr>
          <w:p w14:paraId="664CA7CB">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300</w:t>
            </w:r>
          </w:p>
        </w:tc>
        <w:tc>
          <w:tcPr>
            <w:tcW w:w="1005" w:type="dxa"/>
            <w:tcBorders>
              <w:top w:val="nil"/>
              <w:left w:val="nil"/>
              <w:bottom w:val="single" w:color="auto" w:sz="4" w:space="0"/>
              <w:right w:val="single" w:color="auto" w:sz="4" w:space="0"/>
            </w:tcBorders>
            <w:noWrap/>
            <w:vAlign w:val="center"/>
          </w:tcPr>
          <w:p w14:paraId="5B7A1E07">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600</w:t>
            </w:r>
          </w:p>
        </w:tc>
        <w:tc>
          <w:tcPr>
            <w:tcW w:w="1080" w:type="dxa"/>
            <w:tcBorders>
              <w:top w:val="nil"/>
              <w:left w:val="nil"/>
              <w:bottom w:val="single" w:color="auto" w:sz="4" w:space="0"/>
              <w:right w:val="single" w:color="auto" w:sz="4" w:space="0"/>
            </w:tcBorders>
            <w:noWrap/>
            <w:vAlign w:val="center"/>
          </w:tcPr>
          <w:p w14:paraId="05809330">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7.68</w:t>
            </w:r>
          </w:p>
        </w:tc>
        <w:tc>
          <w:tcPr>
            <w:tcW w:w="1107" w:type="dxa"/>
            <w:tcBorders>
              <w:top w:val="nil"/>
              <w:left w:val="nil"/>
              <w:bottom w:val="single" w:color="auto" w:sz="4" w:space="0"/>
              <w:right w:val="single" w:color="auto" w:sz="4" w:space="0"/>
            </w:tcBorders>
            <w:noWrap/>
            <w:vAlign w:val="center"/>
          </w:tcPr>
          <w:p w14:paraId="731EDB40">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5.045</w:t>
            </w:r>
          </w:p>
        </w:tc>
      </w:tr>
      <w:tr w14:paraId="1E949C46">
        <w:tblPrEx>
          <w:tblCellMar>
            <w:top w:w="0" w:type="dxa"/>
            <w:left w:w="108" w:type="dxa"/>
            <w:bottom w:w="0" w:type="dxa"/>
            <w:right w:w="108" w:type="dxa"/>
          </w:tblCellMar>
        </w:tblPrEx>
        <w:trPr>
          <w:trHeight w:val="397" w:hRule="atLeast"/>
        </w:trPr>
        <w:tc>
          <w:tcPr>
            <w:tcW w:w="498" w:type="dxa"/>
            <w:tcBorders>
              <w:top w:val="nil"/>
              <w:left w:val="single" w:color="auto" w:sz="4" w:space="0"/>
              <w:bottom w:val="single" w:color="auto" w:sz="4" w:space="0"/>
              <w:right w:val="single" w:color="auto" w:sz="4" w:space="0"/>
            </w:tcBorders>
            <w:noWrap/>
            <w:vAlign w:val="bottom"/>
          </w:tcPr>
          <w:p w14:paraId="29F98186">
            <w:pPr>
              <w:widowControl/>
              <w:spacing w:line="240" w:lineRule="auto"/>
              <w:ind w:firstLine="0" w:firstLineChars="0"/>
              <w:jc w:val="left"/>
              <w:rPr>
                <w:rFonts w:ascii="宋体" w:hAnsi="宋体" w:cs="宋体"/>
                <w:color w:val="000000"/>
                <w:kern w:val="0"/>
                <w:sz w:val="21"/>
                <w:szCs w:val="21"/>
              </w:rPr>
            </w:pPr>
            <w:r>
              <w:rPr>
                <w:rFonts w:hint="eastAsia" w:ascii="宋体" w:hAnsi="宋体" w:cs="宋体"/>
                <w:color w:val="000000"/>
                <w:kern w:val="0"/>
                <w:sz w:val="21"/>
                <w:szCs w:val="21"/>
              </w:rPr>
              <w:t>　</w:t>
            </w:r>
          </w:p>
        </w:tc>
        <w:tc>
          <w:tcPr>
            <w:tcW w:w="1903" w:type="dxa"/>
            <w:tcBorders>
              <w:top w:val="nil"/>
              <w:left w:val="nil"/>
              <w:bottom w:val="single" w:color="auto" w:sz="4" w:space="0"/>
              <w:right w:val="single" w:color="auto" w:sz="4" w:space="0"/>
            </w:tcBorders>
            <w:noWrap/>
            <w:vAlign w:val="bottom"/>
          </w:tcPr>
          <w:p w14:paraId="10270466">
            <w:pPr>
              <w:widowControl/>
              <w:spacing w:line="240" w:lineRule="auto"/>
              <w:ind w:firstLine="0" w:firstLineChars="0"/>
              <w:jc w:val="left"/>
              <w:rPr>
                <w:rFonts w:ascii="宋体" w:hAnsi="宋体" w:cs="宋体"/>
                <w:color w:val="000000"/>
                <w:kern w:val="0"/>
                <w:sz w:val="21"/>
                <w:szCs w:val="21"/>
              </w:rPr>
            </w:pPr>
            <w:r>
              <w:rPr>
                <w:rFonts w:hint="eastAsia" w:ascii="宋体" w:hAnsi="宋体" w:cs="宋体"/>
                <w:color w:val="000000"/>
                <w:kern w:val="0"/>
                <w:sz w:val="21"/>
                <w:szCs w:val="21"/>
              </w:rPr>
              <w:t>　</w:t>
            </w:r>
          </w:p>
        </w:tc>
        <w:tc>
          <w:tcPr>
            <w:tcW w:w="1968" w:type="dxa"/>
            <w:tcBorders>
              <w:top w:val="nil"/>
              <w:left w:val="nil"/>
              <w:bottom w:val="single" w:color="auto" w:sz="4" w:space="0"/>
              <w:right w:val="single" w:color="auto" w:sz="4" w:space="0"/>
            </w:tcBorders>
            <w:noWrap/>
            <w:vAlign w:val="bottom"/>
          </w:tcPr>
          <w:p w14:paraId="6E17E8CE">
            <w:pPr>
              <w:widowControl/>
              <w:spacing w:line="240" w:lineRule="auto"/>
              <w:ind w:firstLine="0" w:firstLineChars="0"/>
              <w:jc w:val="left"/>
              <w:rPr>
                <w:rFonts w:ascii="宋体" w:hAnsi="宋体" w:cs="宋体"/>
                <w:color w:val="000000"/>
                <w:kern w:val="0"/>
                <w:sz w:val="21"/>
                <w:szCs w:val="21"/>
              </w:rPr>
            </w:pPr>
            <w:r>
              <w:rPr>
                <w:rFonts w:hint="eastAsia" w:ascii="宋体" w:hAnsi="宋体" w:cs="宋体"/>
                <w:color w:val="000000"/>
                <w:kern w:val="0"/>
                <w:sz w:val="21"/>
                <w:szCs w:val="21"/>
              </w:rPr>
              <w:t>　</w:t>
            </w:r>
          </w:p>
        </w:tc>
        <w:tc>
          <w:tcPr>
            <w:tcW w:w="764" w:type="dxa"/>
            <w:tcBorders>
              <w:top w:val="nil"/>
              <w:left w:val="nil"/>
              <w:bottom w:val="single" w:color="auto" w:sz="4" w:space="0"/>
              <w:right w:val="single" w:color="auto" w:sz="4" w:space="0"/>
            </w:tcBorders>
            <w:noWrap/>
            <w:vAlign w:val="bottom"/>
          </w:tcPr>
          <w:p w14:paraId="753C60FF">
            <w:pPr>
              <w:widowControl/>
              <w:spacing w:line="240" w:lineRule="auto"/>
              <w:ind w:firstLine="0" w:firstLineChars="0"/>
              <w:jc w:val="left"/>
              <w:rPr>
                <w:rFonts w:ascii="宋体" w:hAnsi="宋体" w:cs="宋体"/>
                <w:color w:val="000000"/>
                <w:kern w:val="0"/>
                <w:sz w:val="21"/>
                <w:szCs w:val="21"/>
              </w:rPr>
            </w:pPr>
            <w:r>
              <w:rPr>
                <w:rFonts w:hint="eastAsia" w:ascii="宋体" w:hAnsi="宋体" w:cs="宋体"/>
                <w:color w:val="000000"/>
                <w:kern w:val="0"/>
                <w:sz w:val="21"/>
                <w:szCs w:val="21"/>
              </w:rPr>
              <w:t>　</w:t>
            </w:r>
          </w:p>
        </w:tc>
        <w:tc>
          <w:tcPr>
            <w:tcW w:w="900" w:type="dxa"/>
            <w:tcBorders>
              <w:top w:val="nil"/>
              <w:left w:val="nil"/>
              <w:bottom w:val="single" w:color="auto" w:sz="4" w:space="0"/>
              <w:right w:val="single" w:color="auto" w:sz="4" w:space="0"/>
            </w:tcBorders>
            <w:noWrap/>
            <w:vAlign w:val="bottom"/>
          </w:tcPr>
          <w:p w14:paraId="587102D4">
            <w:pPr>
              <w:widowControl/>
              <w:spacing w:line="240" w:lineRule="auto"/>
              <w:ind w:firstLine="0" w:firstLineChars="0"/>
              <w:jc w:val="left"/>
              <w:rPr>
                <w:rFonts w:ascii="宋体" w:hAnsi="宋体" w:cs="宋体"/>
                <w:color w:val="000000"/>
                <w:kern w:val="0"/>
                <w:sz w:val="21"/>
                <w:szCs w:val="21"/>
              </w:rPr>
            </w:pPr>
            <w:r>
              <w:rPr>
                <w:rFonts w:hint="eastAsia" w:ascii="宋体" w:hAnsi="宋体" w:cs="宋体"/>
                <w:color w:val="000000"/>
                <w:kern w:val="0"/>
                <w:sz w:val="21"/>
                <w:szCs w:val="21"/>
              </w:rPr>
              <w:t>　</w:t>
            </w:r>
          </w:p>
        </w:tc>
        <w:tc>
          <w:tcPr>
            <w:tcW w:w="1005" w:type="dxa"/>
            <w:tcBorders>
              <w:top w:val="nil"/>
              <w:left w:val="nil"/>
              <w:bottom w:val="single" w:color="auto" w:sz="4" w:space="0"/>
              <w:right w:val="single" w:color="auto" w:sz="4" w:space="0"/>
            </w:tcBorders>
            <w:noWrap/>
            <w:vAlign w:val="bottom"/>
          </w:tcPr>
          <w:p w14:paraId="1FBC59F2">
            <w:pPr>
              <w:widowControl/>
              <w:spacing w:line="240" w:lineRule="auto"/>
              <w:ind w:firstLine="0" w:firstLineChars="0"/>
              <w:jc w:val="left"/>
              <w:rPr>
                <w:rFonts w:ascii="宋体" w:hAnsi="宋体" w:cs="宋体"/>
                <w:color w:val="000000"/>
                <w:kern w:val="0"/>
                <w:sz w:val="21"/>
                <w:szCs w:val="21"/>
              </w:rPr>
            </w:pPr>
            <w:r>
              <w:rPr>
                <w:rFonts w:hint="eastAsia" w:ascii="宋体" w:hAnsi="宋体" w:cs="宋体"/>
                <w:color w:val="000000"/>
                <w:kern w:val="0"/>
                <w:sz w:val="21"/>
                <w:szCs w:val="21"/>
              </w:rPr>
              <w:t>　</w:t>
            </w:r>
          </w:p>
        </w:tc>
        <w:tc>
          <w:tcPr>
            <w:tcW w:w="1080" w:type="dxa"/>
            <w:tcBorders>
              <w:top w:val="nil"/>
              <w:left w:val="nil"/>
              <w:bottom w:val="single" w:color="auto" w:sz="4" w:space="0"/>
              <w:right w:val="single" w:color="auto" w:sz="4" w:space="0"/>
            </w:tcBorders>
            <w:noWrap/>
            <w:vAlign w:val="bottom"/>
          </w:tcPr>
          <w:p w14:paraId="657EF87E">
            <w:pPr>
              <w:widowControl/>
              <w:spacing w:line="240" w:lineRule="auto"/>
              <w:ind w:firstLine="0" w:firstLineChars="0"/>
              <w:jc w:val="right"/>
              <w:rPr>
                <w:rFonts w:ascii="宋体" w:hAnsi="宋体" w:cs="宋体"/>
                <w:color w:val="000000"/>
                <w:kern w:val="0"/>
                <w:sz w:val="21"/>
                <w:szCs w:val="21"/>
              </w:rPr>
            </w:pPr>
            <w:r>
              <w:rPr>
                <w:rFonts w:hint="eastAsia" w:ascii="宋体" w:hAnsi="宋体" w:cs="宋体"/>
                <w:color w:val="000000"/>
                <w:kern w:val="0"/>
                <w:sz w:val="21"/>
                <w:szCs w:val="21"/>
              </w:rPr>
              <w:t>合计：</w:t>
            </w:r>
          </w:p>
        </w:tc>
        <w:tc>
          <w:tcPr>
            <w:tcW w:w="1107" w:type="dxa"/>
            <w:tcBorders>
              <w:top w:val="nil"/>
              <w:left w:val="nil"/>
              <w:bottom w:val="single" w:color="auto" w:sz="4" w:space="0"/>
              <w:right w:val="single" w:color="auto" w:sz="4" w:space="0"/>
            </w:tcBorders>
            <w:noWrap/>
            <w:vAlign w:val="bottom"/>
          </w:tcPr>
          <w:p w14:paraId="037A09B0">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w:t>
            </w:r>
            <w:r>
              <w:rPr>
                <w:rFonts w:ascii="宋体" w:hAnsi="宋体" w:cs="宋体"/>
                <w:color w:val="000000"/>
                <w:kern w:val="0"/>
                <w:sz w:val="21"/>
                <w:szCs w:val="21"/>
              </w:rPr>
              <w:t>0.09</w:t>
            </w:r>
          </w:p>
        </w:tc>
      </w:tr>
    </w:tbl>
    <w:p w14:paraId="65592572">
      <w:pPr>
        <w:spacing w:before="240" w:beforeLines="100"/>
      </w:pPr>
      <w:r>
        <w:rPr>
          <w:rFonts w:hint="eastAsia"/>
        </w:rPr>
        <w:t>全省消防日出警量按</w:t>
      </w:r>
      <w:r>
        <w:t>300</w:t>
      </w:r>
      <w:r>
        <w:rPr>
          <w:rFonts w:hint="eastAsia"/>
        </w:rPr>
        <w:t>次估算，单次出警现场人员按上传视频</w:t>
      </w:r>
      <w:r>
        <w:t>2</w:t>
      </w:r>
      <w:r>
        <w:rPr>
          <w:rFonts w:hint="eastAsia"/>
        </w:rPr>
        <w:t>个估算，全省日上传数据量约为上传视频</w:t>
      </w:r>
      <w:r>
        <w:t>600</w:t>
      </w:r>
      <w:r>
        <w:rPr>
          <w:rFonts w:hint="eastAsia"/>
        </w:rPr>
        <w:t>个，每个视频分辨率按</w:t>
      </w:r>
      <w:r>
        <w:t>1280*720</w:t>
      </w:r>
      <w:r>
        <w:rPr>
          <w:rFonts w:hint="eastAsia"/>
        </w:rPr>
        <w:t>估算，单个视频时长按</w:t>
      </w:r>
      <w:r>
        <w:t>1</w:t>
      </w:r>
      <w:r>
        <w:rPr>
          <w:rFonts w:hint="eastAsia"/>
        </w:rPr>
        <w:t>分钟估算，</w:t>
      </w:r>
      <w:r>
        <w:t>720p</w:t>
      </w:r>
      <w:r>
        <w:rPr>
          <w:rFonts w:hint="eastAsia"/>
        </w:rPr>
        <w:t>对应的码率是</w:t>
      </w:r>
      <w:r>
        <w:t xml:space="preserve">1024kpbs, </w:t>
      </w:r>
      <w:r>
        <w:rPr>
          <w:rFonts w:hint="eastAsia"/>
        </w:rPr>
        <w:t>一分钟需要存储量</w:t>
      </w:r>
      <w:r>
        <w:t>7.68M</w:t>
      </w:r>
      <w:r>
        <w:rPr>
          <w:rFonts w:hint="eastAsia"/>
        </w:rPr>
        <w:t>。通过计算，</w:t>
      </w:r>
      <w:r>
        <w:t>3</w:t>
      </w:r>
      <w:r>
        <w:rPr>
          <w:rFonts w:hint="eastAsia"/>
        </w:rPr>
        <w:t>年视频总存储量约</w:t>
      </w:r>
      <w:r>
        <w:t xml:space="preserve">10.09TB </w:t>
      </w:r>
      <w:r>
        <w:rPr>
          <w:rFonts w:hint="eastAsia"/>
        </w:rPr>
        <w:t>。</w:t>
      </w:r>
    </w:p>
    <w:p w14:paraId="5757967E">
      <w:r>
        <w:rPr>
          <w:rFonts w:hint="eastAsia"/>
        </w:rPr>
        <w:t>通过以上分析测算，指挥信息网结构化和非结构化存储资源需求估算为三年总量</w:t>
      </w:r>
      <w:r>
        <w:t>26.017TB</w:t>
      </w:r>
      <w:r>
        <w:rPr>
          <w:rFonts w:hint="eastAsia"/>
        </w:rPr>
        <w:t>。按照</w:t>
      </w:r>
      <w:r>
        <w:t>20%</w:t>
      </w:r>
      <w:r>
        <w:rPr>
          <w:rFonts w:hint="eastAsia"/>
        </w:rPr>
        <w:t>冗余估算，至少需要</w:t>
      </w:r>
      <w:r>
        <w:t>31TB</w:t>
      </w:r>
      <w:r>
        <w:rPr>
          <w:rFonts w:hint="eastAsia"/>
        </w:rPr>
        <w:t>存储量。成品软件部署资源需求依据咨询类似产品厂商推荐的部署配置要求进行估算，实际的存储资源需求量，将根据情况变化做适当调整。</w:t>
      </w:r>
    </w:p>
    <w:p w14:paraId="5F3F7264">
      <w:pPr>
        <w:pStyle w:val="2"/>
        <w:rPr>
          <w:rFonts w:hint="eastAsia"/>
        </w:rPr>
      </w:pPr>
      <w:r>
        <w:rPr>
          <w:rFonts w:hint="eastAsia"/>
        </w:rPr>
        <w:t>以上指挥信息网数据，智能接处警和联勤联动数据，支队均需要各自独立存储，总队汇聚各支队数据并进行存储，为全省消防数据治理和数据共享建立基础。</w:t>
      </w:r>
    </w:p>
    <w:p w14:paraId="3DC4A4E3">
      <w:pPr>
        <w:pStyle w:val="6"/>
      </w:pPr>
      <w:r>
        <w:rPr>
          <w:rFonts w:hint="eastAsia"/>
        </w:rPr>
        <w:t>3.4.3.2政务云存储资源需求估算</w:t>
      </w:r>
    </w:p>
    <w:p w14:paraId="3A6B8DF0">
      <w:pPr>
        <w:numPr>
          <w:ilvl w:val="0"/>
          <w:numId w:val="39"/>
        </w:numPr>
        <w:rPr>
          <w:rFonts w:hint="eastAsia"/>
          <w:color w:val="000000"/>
        </w:rPr>
      </w:pPr>
      <w:r>
        <w:rPr>
          <w:rFonts w:hint="eastAsia"/>
          <w:color w:val="000000"/>
        </w:rPr>
        <w:t>结构化数据测算</w:t>
      </w:r>
    </w:p>
    <w:p w14:paraId="2AB34E5B">
      <w:pPr>
        <w:pStyle w:val="15"/>
        <w:rPr>
          <w:rFonts w:hint="eastAsia" w:ascii="黑体" w:hAnsi="黑体" w:cs="黑体"/>
        </w:rPr>
      </w:pPr>
      <w:r>
        <w:rPr>
          <w:rFonts w:hint="eastAsia" w:ascii="黑体" w:hAnsi="黑体" w:cs="黑体"/>
        </w:rPr>
        <w:t>表3-18 政务云存储资源估算（结构化数据测算）</w:t>
      </w:r>
    </w:p>
    <w:tbl>
      <w:tblPr>
        <w:tblStyle w:val="12"/>
        <w:tblW w:w="9071" w:type="dxa"/>
        <w:tblInd w:w="-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1668"/>
        <w:gridCol w:w="1740"/>
        <w:gridCol w:w="1236"/>
        <w:gridCol w:w="1272"/>
        <w:gridCol w:w="1236"/>
        <w:gridCol w:w="1127"/>
      </w:tblGrid>
      <w:tr w14:paraId="042BB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792" w:type="dxa"/>
            <w:shd w:val="clear" w:color="000000" w:fill="EEECE1"/>
            <w:noWrap w:val="0"/>
            <w:vAlign w:val="center"/>
          </w:tcPr>
          <w:p w14:paraId="19D54489">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序号</w:t>
            </w:r>
          </w:p>
        </w:tc>
        <w:tc>
          <w:tcPr>
            <w:tcW w:w="1668" w:type="dxa"/>
            <w:shd w:val="clear" w:color="000000" w:fill="EEECE1"/>
            <w:noWrap w:val="0"/>
            <w:vAlign w:val="center"/>
          </w:tcPr>
          <w:p w14:paraId="17715EB8">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系统名称</w:t>
            </w:r>
          </w:p>
        </w:tc>
        <w:tc>
          <w:tcPr>
            <w:tcW w:w="1740" w:type="dxa"/>
            <w:shd w:val="clear" w:color="000000" w:fill="EEECE1"/>
            <w:noWrap w:val="0"/>
            <w:vAlign w:val="center"/>
          </w:tcPr>
          <w:p w14:paraId="7663112D">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数据来源</w:t>
            </w:r>
          </w:p>
        </w:tc>
        <w:tc>
          <w:tcPr>
            <w:tcW w:w="1236" w:type="dxa"/>
            <w:shd w:val="clear" w:color="000000" w:fill="EEECE1"/>
            <w:noWrap w:val="0"/>
            <w:vAlign w:val="center"/>
          </w:tcPr>
          <w:p w14:paraId="6A0C71EB">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数据类型</w:t>
            </w:r>
          </w:p>
        </w:tc>
        <w:tc>
          <w:tcPr>
            <w:tcW w:w="1272" w:type="dxa"/>
            <w:shd w:val="clear" w:color="000000" w:fill="EEECE1"/>
            <w:noWrap w:val="0"/>
            <w:vAlign w:val="center"/>
          </w:tcPr>
          <w:p w14:paraId="61176ECD">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日数据量（条）</w:t>
            </w:r>
          </w:p>
        </w:tc>
        <w:tc>
          <w:tcPr>
            <w:tcW w:w="1236" w:type="dxa"/>
            <w:shd w:val="clear" w:color="000000" w:fill="EEECE1"/>
            <w:noWrap w:val="0"/>
            <w:vAlign w:val="center"/>
          </w:tcPr>
          <w:p w14:paraId="626CDBD2">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大小</w:t>
            </w:r>
          </w:p>
          <w:p w14:paraId="0BB4DCB2">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（KB/条）</w:t>
            </w:r>
          </w:p>
        </w:tc>
        <w:tc>
          <w:tcPr>
            <w:tcW w:w="1127" w:type="dxa"/>
            <w:shd w:val="clear" w:color="000000" w:fill="EEECE1"/>
            <w:noWrap w:val="0"/>
            <w:vAlign w:val="center"/>
          </w:tcPr>
          <w:p w14:paraId="35C82A41">
            <w:pPr>
              <w:widowControl/>
              <w:spacing w:line="240" w:lineRule="auto"/>
              <w:ind w:firstLine="0" w:firstLineChars="0"/>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3年总量（TB）</w:t>
            </w:r>
          </w:p>
        </w:tc>
      </w:tr>
      <w:tr w14:paraId="79030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noWrap w:val="0"/>
            <w:vAlign w:val="center"/>
          </w:tcPr>
          <w:p w14:paraId="1E929C4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p>
        </w:tc>
        <w:tc>
          <w:tcPr>
            <w:tcW w:w="1668" w:type="dxa"/>
            <w:noWrap w:val="0"/>
            <w:vAlign w:val="center"/>
          </w:tcPr>
          <w:p w14:paraId="77DF60B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全省火灾防控综合一张图</w:t>
            </w:r>
          </w:p>
        </w:tc>
        <w:tc>
          <w:tcPr>
            <w:tcW w:w="1740" w:type="dxa"/>
            <w:noWrap w:val="0"/>
            <w:vAlign w:val="center"/>
          </w:tcPr>
          <w:p w14:paraId="439FCE4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火灾防控</w:t>
            </w:r>
          </w:p>
          <w:p w14:paraId="5CF3D598">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展示数据</w:t>
            </w:r>
          </w:p>
        </w:tc>
        <w:tc>
          <w:tcPr>
            <w:tcW w:w="1236" w:type="dxa"/>
            <w:noWrap w:val="0"/>
            <w:vAlign w:val="center"/>
          </w:tcPr>
          <w:p w14:paraId="33BBFDA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4B0C06E8">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3F838A6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500</w:t>
            </w:r>
          </w:p>
        </w:tc>
        <w:tc>
          <w:tcPr>
            <w:tcW w:w="1236" w:type="dxa"/>
            <w:noWrap w:val="0"/>
            <w:vAlign w:val="center"/>
          </w:tcPr>
          <w:p w14:paraId="2819946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1AB9B2A3">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0.005</w:t>
            </w:r>
          </w:p>
        </w:tc>
      </w:tr>
      <w:tr w14:paraId="5A8C6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restart"/>
            <w:noWrap w:val="0"/>
            <w:vAlign w:val="center"/>
          </w:tcPr>
          <w:p w14:paraId="5A096A4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w:t>
            </w:r>
          </w:p>
        </w:tc>
        <w:tc>
          <w:tcPr>
            <w:tcW w:w="1668" w:type="dxa"/>
            <w:vMerge w:val="restart"/>
            <w:noWrap w:val="0"/>
            <w:vAlign w:val="center"/>
          </w:tcPr>
          <w:p w14:paraId="0B96033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消防安全综合监管应用</w:t>
            </w:r>
          </w:p>
        </w:tc>
        <w:tc>
          <w:tcPr>
            <w:tcW w:w="1740" w:type="dxa"/>
            <w:noWrap w:val="0"/>
            <w:vAlign w:val="center"/>
          </w:tcPr>
          <w:p w14:paraId="4539CA3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消防隐患类</w:t>
            </w:r>
          </w:p>
          <w:p w14:paraId="755C21C8">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36" w:type="dxa"/>
            <w:noWrap w:val="0"/>
            <w:vAlign w:val="center"/>
          </w:tcPr>
          <w:p w14:paraId="6C46270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3D31D968">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04298B9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8000</w:t>
            </w:r>
          </w:p>
        </w:tc>
        <w:tc>
          <w:tcPr>
            <w:tcW w:w="1236" w:type="dxa"/>
            <w:noWrap w:val="0"/>
            <w:vAlign w:val="center"/>
          </w:tcPr>
          <w:p w14:paraId="517620F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w:t>
            </w:r>
          </w:p>
        </w:tc>
        <w:tc>
          <w:tcPr>
            <w:tcW w:w="1127" w:type="dxa"/>
            <w:noWrap w:val="0"/>
            <w:vAlign w:val="center"/>
          </w:tcPr>
          <w:p w14:paraId="22F0AD5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0.064</w:t>
            </w:r>
          </w:p>
        </w:tc>
      </w:tr>
      <w:tr w14:paraId="45F4A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2D89329B">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74DA1F8E">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3D3CA12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防火检查</w:t>
            </w:r>
          </w:p>
          <w:p w14:paraId="1F10F78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任务信息数据</w:t>
            </w:r>
          </w:p>
        </w:tc>
        <w:tc>
          <w:tcPr>
            <w:tcW w:w="1236" w:type="dxa"/>
            <w:noWrap w:val="0"/>
            <w:vAlign w:val="center"/>
          </w:tcPr>
          <w:p w14:paraId="4EDFB85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结构化数据</w:t>
            </w:r>
          </w:p>
        </w:tc>
        <w:tc>
          <w:tcPr>
            <w:tcW w:w="1272" w:type="dxa"/>
            <w:noWrap w:val="0"/>
            <w:vAlign w:val="center"/>
          </w:tcPr>
          <w:p w14:paraId="591FB79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w:t>
            </w:r>
          </w:p>
        </w:tc>
        <w:tc>
          <w:tcPr>
            <w:tcW w:w="1236" w:type="dxa"/>
            <w:noWrap w:val="0"/>
            <w:vAlign w:val="center"/>
          </w:tcPr>
          <w:p w14:paraId="393B3BF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41E57AA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r>
      <w:tr w14:paraId="54CAE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1605BFF6">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51A15FE9">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4B70341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社会单位物联网监测数据</w:t>
            </w:r>
          </w:p>
        </w:tc>
        <w:tc>
          <w:tcPr>
            <w:tcW w:w="1236" w:type="dxa"/>
            <w:noWrap w:val="0"/>
            <w:vAlign w:val="center"/>
          </w:tcPr>
          <w:p w14:paraId="406624F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625FECE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1FE92E63">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100000</w:t>
            </w:r>
          </w:p>
        </w:tc>
        <w:tc>
          <w:tcPr>
            <w:tcW w:w="1236" w:type="dxa"/>
            <w:noWrap w:val="0"/>
            <w:vAlign w:val="center"/>
          </w:tcPr>
          <w:p w14:paraId="6201021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w:t>
            </w:r>
          </w:p>
        </w:tc>
        <w:tc>
          <w:tcPr>
            <w:tcW w:w="1127" w:type="dxa"/>
            <w:noWrap w:val="0"/>
            <w:vAlign w:val="center"/>
          </w:tcPr>
          <w:p w14:paraId="19DC599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0.657</w:t>
            </w:r>
          </w:p>
        </w:tc>
      </w:tr>
      <w:tr w14:paraId="5682C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1F116446">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39510097">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2F975C8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行业消防</w:t>
            </w:r>
          </w:p>
          <w:p w14:paraId="154972F3">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隐患数据</w:t>
            </w:r>
          </w:p>
        </w:tc>
        <w:tc>
          <w:tcPr>
            <w:tcW w:w="1236" w:type="dxa"/>
            <w:noWrap w:val="0"/>
            <w:vAlign w:val="center"/>
          </w:tcPr>
          <w:p w14:paraId="44AD604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4BE78A0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7428709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3000</w:t>
            </w:r>
          </w:p>
        </w:tc>
        <w:tc>
          <w:tcPr>
            <w:tcW w:w="1236" w:type="dxa"/>
            <w:noWrap w:val="0"/>
            <w:vAlign w:val="center"/>
          </w:tcPr>
          <w:p w14:paraId="757FCA0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w:t>
            </w:r>
          </w:p>
        </w:tc>
        <w:tc>
          <w:tcPr>
            <w:tcW w:w="1127" w:type="dxa"/>
            <w:noWrap w:val="0"/>
            <w:vAlign w:val="center"/>
          </w:tcPr>
          <w:p w14:paraId="114047F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0.024</w:t>
            </w:r>
          </w:p>
        </w:tc>
      </w:tr>
      <w:tr w14:paraId="5AA34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07D5A654">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05FC5661">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5CA89B7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行业主管部门工作数据</w:t>
            </w:r>
          </w:p>
        </w:tc>
        <w:tc>
          <w:tcPr>
            <w:tcW w:w="1236" w:type="dxa"/>
            <w:noWrap w:val="0"/>
            <w:vAlign w:val="center"/>
          </w:tcPr>
          <w:p w14:paraId="64F96CE8">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54904A4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33B8BA6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w:t>
            </w:r>
          </w:p>
        </w:tc>
        <w:tc>
          <w:tcPr>
            <w:tcW w:w="1236" w:type="dxa"/>
            <w:noWrap w:val="0"/>
            <w:vAlign w:val="center"/>
          </w:tcPr>
          <w:p w14:paraId="4615907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5142525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r>
      <w:tr w14:paraId="1BB1C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0452EDB1">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5A8138AE">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0DF6BE0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消防所人员</w:t>
            </w:r>
          </w:p>
          <w:p w14:paraId="4ED4629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上传消防</w:t>
            </w:r>
          </w:p>
          <w:p w14:paraId="6FE1578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隐患数据</w:t>
            </w:r>
          </w:p>
        </w:tc>
        <w:tc>
          <w:tcPr>
            <w:tcW w:w="1236" w:type="dxa"/>
            <w:noWrap w:val="0"/>
            <w:vAlign w:val="center"/>
          </w:tcPr>
          <w:p w14:paraId="7E8B844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6599B1C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6007BFE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w:t>
            </w:r>
          </w:p>
        </w:tc>
        <w:tc>
          <w:tcPr>
            <w:tcW w:w="1236" w:type="dxa"/>
            <w:noWrap w:val="0"/>
            <w:vAlign w:val="center"/>
          </w:tcPr>
          <w:p w14:paraId="0FA7A778">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3E6D936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r>
      <w:tr w14:paraId="6D2EE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7B48C35A">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3A525160">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0D02DFE8">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消防部门发送给消防所</w:t>
            </w:r>
          </w:p>
          <w:p w14:paraId="1FF682D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指令数据</w:t>
            </w:r>
          </w:p>
        </w:tc>
        <w:tc>
          <w:tcPr>
            <w:tcW w:w="1236" w:type="dxa"/>
            <w:noWrap w:val="0"/>
            <w:vAlign w:val="center"/>
          </w:tcPr>
          <w:p w14:paraId="0A01E62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65BCDD2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2234BB5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w:t>
            </w:r>
          </w:p>
        </w:tc>
        <w:tc>
          <w:tcPr>
            <w:tcW w:w="1236" w:type="dxa"/>
            <w:noWrap w:val="0"/>
            <w:vAlign w:val="center"/>
          </w:tcPr>
          <w:p w14:paraId="0145149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1D9830F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r>
      <w:tr w14:paraId="6CDE7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142A3D86">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7B89A103">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0523137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民警上传消防监督检查数据</w:t>
            </w:r>
          </w:p>
        </w:tc>
        <w:tc>
          <w:tcPr>
            <w:tcW w:w="1236" w:type="dxa"/>
            <w:noWrap w:val="0"/>
            <w:vAlign w:val="center"/>
          </w:tcPr>
          <w:p w14:paraId="7B0C0F7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1DA6B5B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0FC754B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3000</w:t>
            </w:r>
          </w:p>
        </w:tc>
        <w:tc>
          <w:tcPr>
            <w:tcW w:w="1236" w:type="dxa"/>
            <w:noWrap w:val="0"/>
            <w:vAlign w:val="center"/>
          </w:tcPr>
          <w:p w14:paraId="3496E5E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w:t>
            </w:r>
          </w:p>
        </w:tc>
        <w:tc>
          <w:tcPr>
            <w:tcW w:w="1127" w:type="dxa"/>
            <w:noWrap w:val="0"/>
            <w:vAlign w:val="center"/>
          </w:tcPr>
          <w:p w14:paraId="52F5A3B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0.06</w:t>
            </w:r>
          </w:p>
        </w:tc>
      </w:tr>
      <w:tr w14:paraId="50908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restart"/>
            <w:noWrap w:val="0"/>
            <w:vAlign w:val="center"/>
          </w:tcPr>
          <w:p w14:paraId="28791D3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w:t>
            </w:r>
          </w:p>
        </w:tc>
        <w:tc>
          <w:tcPr>
            <w:tcW w:w="1668" w:type="dxa"/>
            <w:vMerge w:val="restart"/>
            <w:noWrap w:val="0"/>
            <w:vAlign w:val="center"/>
          </w:tcPr>
          <w:p w14:paraId="07FBB0D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城市消防合规运行监测保障应用</w:t>
            </w:r>
          </w:p>
        </w:tc>
        <w:tc>
          <w:tcPr>
            <w:tcW w:w="1740" w:type="dxa"/>
            <w:noWrap w:val="0"/>
            <w:vAlign w:val="center"/>
          </w:tcPr>
          <w:p w14:paraId="167A025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消防物联网</w:t>
            </w:r>
          </w:p>
          <w:p w14:paraId="464B562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监测数据</w:t>
            </w:r>
          </w:p>
        </w:tc>
        <w:tc>
          <w:tcPr>
            <w:tcW w:w="1236" w:type="dxa"/>
            <w:noWrap w:val="0"/>
            <w:vAlign w:val="center"/>
          </w:tcPr>
          <w:p w14:paraId="1ABCC16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504095A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69B5259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100000</w:t>
            </w:r>
          </w:p>
        </w:tc>
        <w:tc>
          <w:tcPr>
            <w:tcW w:w="1236" w:type="dxa"/>
            <w:noWrap w:val="0"/>
            <w:vAlign w:val="center"/>
          </w:tcPr>
          <w:p w14:paraId="1AD7050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w:t>
            </w:r>
          </w:p>
        </w:tc>
        <w:tc>
          <w:tcPr>
            <w:tcW w:w="1127" w:type="dxa"/>
            <w:noWrap w:val="0"/>
            <w:vAlign w:val="center"/>
          </w:tcPr>
          <w:p w14:paraId="31C49E5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0.657</w:t>
            </w:r>
          </w:p>
        </w:tc>
      </w:tr>
      <w:tr w14:paraId="1E6C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02B4DEE8">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355B0ECA">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371F7808">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社会单位消防安全自主管理数据</w:t>
            </w:r>
          </w:p>
        </w:tc>
        <w:tc>
          <w:tcPr>
            <w:tcW w:w="1236" w:type="dxa"/>
            <w:noWrap w:val="0"/>
            <w:vAlign w:val="center"/>
          </w:tcPr>
          <w:p w14:paraId="29DDDB4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4397053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206A11C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100000</w:t>
            </w:r>
          </w:p>
        </w:tc>
        <w:tc>
          <w:tcPr>
            <w:tcW w:w="1236" w:type="dxa"/>
            <w:noWrap w:val="0"/>
            <w:vAlign w:val="center"/>
          </w:tcPr>
          <w:p w14:paraId="7591E1F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5D1D5EC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1.095</w:t>
            </w:r>
          </w:p>
        </w:tc>
      </w:tr>
      <w:tr w14:paraId="3572E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4769C744">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33EB0855">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3CEF3A0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社会单位基础数据</w:t>
            </w:r>
          </w:p>
        </w:tc>
        <w:tc>
          <w:tcPr>
            <w:tcW w:w="1236" w:type="dxa"/>
            <w:noWrap w:val="0"/>
            <w:vAlign w:val="center"/>
          </w:tcPr>
          <w:p w14:paraId="2A08FC1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3181938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25E8683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5000</w:t>
            </w:r>
          </w:p>
        </w:tc>
        <w:tc>
          <w:tcPr>
            <w:tcW w:w="1236" w:type="dxa"/>
            <w:noWrap w:val="0"/>
            <w:vAlign w:val="center"/>
          </w:tcPr>
          <w:p w14:paraId="6C590C73">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w:t>
            </w:r>
          </w:p>
        </w:tc>
        <w:tc>
          <w:tcPr>
            <w:tcW w:w="1127" w:type="dxa"/>
            <w:noWrap w:val="0"/>
            <w:vAlign w:val="center"/>
          </w:tcPr>
          <w:p w14:paraId="69F00DC3">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0.11</w:t>
            </w:r>
          </w:p>
        </w:tc>
      </w:tr>
      <w:tr w14:paraId="68D7B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208D8AFE">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1F26EFD7">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3CE678A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技术服务机构管理数据</w:t>
            </w:r>
          </w:p>
        </w:tc>
        <w:tc>
          <w:tcPr>
            <w:tcW w:w="1236" w:type="dxa"/>
            <w:noWrap w:val="0"/>
            <w:vAlign w:val="center"/>
          </w:tcPr>
          <w:p w14:paraId="2186768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3B689F3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6947517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5000</w:t>
            </w:r>
          </w:p>
        </w:tc>
        <w:tc>
          <w:tcPr>
            <w:tcW w:w="1236" w:type="dxa"/>
            <w:noWrap w:val="0"/>
            <w:vAlign w:val="center"/>
          </w:tcPr>
          <w:p w14:paraId="33C4C05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592AD63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0.055</w:t>
            </w:r>
          </w:p>
        </w:tc>
      </w:tr>
      <w:tr w14:paraId="4D7E2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4BF2659C">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2659C429">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2526C48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消防设施运行监控告警数据</w:t>
            </w:r>
          </w:p>
        </w:tc>
        <w:tc>
          <w:tcPr>
            <w:tcW w:w="1236" w:type="dxa"/>
            <w:noWrap w:val="0"/>
            <w:vAlign w:val="center"/>
          </w:tcPr>
          <w:p w14:paraId="363A1AC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270C790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6E13362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20000</w:t>
            </w:r>
          </w:p>
        </w:tc>
        <w:tc>
          <w:tcPr>
            <w:tcW w:w="1236" w:type="dxa"/>
            <w:noWrap w:val="0"/>
            <w:vAlign w:val="center"/>
          </w:tcPr>
          <w:p w14:paraId="58A1770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w:t>
            </w:r>
          </w:p>
        </w:tc>
        <w:tc>
          <w:tcPr>
            <w:tcW w:w="1127" w:type="dxa"/>
            <w:noWrap w:val="0"/>
            <w:vAlign w:val="center"/>
          </w:tcPr>
          <w:p w14:paraId="5236EDA3">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0.2</w:t>
            </w:r>
          </w:p>
        </w:tc>
      </w:tr>
      <w:tr w14:paraId="62486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restart"/>
            <w:noWrap w:val="0"/>
            <w:vAlign w:val="center"/>
          </w:tcPr>
          <w:p w14:paraId="0303AE1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w:t>
            </w:r>
          </w:p>
        </w:tc>
        <w:tc>
          <w:tcPr>
            <w:tcW w:w="1668" w:type="dxa"/>
            <w:vMerge w:val="restart"/>
            <w:noWrap w:val="0"/>
            <w:vAlign w:val="center"/>
          </w:tcPr>
          <w:p w14:paraId="6967114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社会单位消防安全自主管理</w:t>
            </w:r>
          </w:p>
        </w:tc>
        <w:tc>
          <w:tcPr>
            <w:tcW w:w="1740" w:type="dxa"/>
            <w:noWrap w:val="0"/>
            <w:vAlign w:val="center"/>
          </w:tcPr>
          <w:p w14:paraId="7759163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社会单位工商信息</w:t>
            </w:r>
          </w:p>
        </w:tc>
        <w:tc>
          <w:tcPr>
            <w:tcW w:w="1236" w:type="dxa"/>
            <w:noWrap w:val="0"/>
            <w:vAlign w:val="center"/>
          </w:tcPr>
          <w:p w14:paraId="627659B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15012558">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2A6845A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3000</w:t>
            </w:r>
          </w:p>
        </w:tc>
        <w:tc>
          <w:tcPr>
            <w:tcW w:w="1236" w:type="dxa"/>
            <w:noWrap w:val="0"/>
            <w:vAlign w:val="center"/>
          </w:tcPr>
          <w:p w14:paraId="6C5EC8D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2D448F7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0.032</w:t>
            </w:r>
          </w:p>
        </w:tc>
      </w:tr>
      <w:tr w14:paraId="52699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51CD0C0F">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6785DAD3">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010CE11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社会单位基础信息采集数据</w:t>
            </w:r>
          </w:p>
        </w:tc>
        <w:tc>
          <w:tcPr>
            <w:tcW w:w="1236" w:type="dxa"/>
            <w:noWrap w:val="0"/>
            <w:vAlign w:val="center"/>
          </w:tcPr>
          <w:p w14:paraId="7DB0542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6BB8315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11870E7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5000</w:t>
            </w:r>
          </w:p>
        </w:tc>
        <w:tc>
          <w:tcPr>
            <w:tcW w:w="1236" w:type="dxa"/>
            <w:noWrap w:val="0"/>
            <w:vAlign w:val="center"/>
          </w:tcPr>
          <w:p w14:paraId="33E6E7C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3543242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0.055</w:t>
            </w:r>
          </w:p>
        </w:tc>
      </w:tr>
      <w:tr w14:paraId="696E7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5EDFF1A0">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7F58E648">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5999CE6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社会单位自我管理数据</w:t>
            </w:r>
          </w:p>
        </w:tc>
        <w:tc>
          <w:tcPr>
            <w:tcW w:w="1236" w:type="dxa"/>
            <w:noWrap w:val="0"/>
            <w:vAlign w:val="center"/>
          </w:tcPr>
          <w:p w14:paraId="459A700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5116414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0DBD6E2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50000</w:t>
            </w:r>
          </w:p>
        </w:tc>
        <w:tc>
          <w:tcPr>
            <w:tcW w:w="1236" w:type="dxa"/>
            <w:noWrap w:val="0"/>
            <w:vAlign w:val="center"/>
          </w:tcPr>
          <w:p w14:paraId="5CBF504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w:t>
            </w:r>
          </w:p>
        </w:tc>
        <w:tc>
          <w:tcPr>
            <w:tcW w:w="1127" w:type="dxa"/>
            <w:noWrap w:val="0"/>
            <w:vAlign w:val="center"/>
          </w:tcPr>
          <w:p w14:paraId="4923F66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1.1</w:t>
            </w:r>
          </w:p>
        </w:tc>
      </w:tr>
      <w:tr w14:paraId="72047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noWrap w:val="0"/>
            <w:vAlign w:val="center"/>
          </w:tcPr>
          <w:p w14:paraId="2A26972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w:t>
            </w:r>
          </w:p>
        </w:tc>
        <w:tc>
          <w:tcPr>
            <w:tcW w:w="1668" w:type="dxa"/>
            <w:noWrap w:val="0"/>
            <w:vAlign w:val="center"/>
          </w:tcPr>
          <w:p w14:paraId="69BF646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火灾风险</w:t>
            </w:r>
          </w:p>
          <w:p w14:paraId="0DAFA0F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评估应用</w:t>
            </w:r>
          </w:p>
        </w:tc>
        <w:tc>
          <w:tcPr>
            <w:tcW w:w="1740" w:type="dxa"/>
            <w:noWrap w:val="0"/>
            <w:vAlign w:val="center"/>
          </w:tcPr>
          <w:p w14:paraId="7244E58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火灾风险评估数据</w:t>
            </w:r>
          </w:p>
        </w:tc>
        <w:tc>
          <w:tcPr>
            <w:tcW w:w="1236" w:type="dxa"/>
            <w:noWrap w:val="0"/>
            <w:vAlign w:val="center"/>
          </w:tcPr>
          <w:p w14:paraId="705A3F4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1309153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1E10B89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500</w:t>
            </w:r>
          </w:p>
        </w:tc>
        <w:tc>
          <w:tcPr>
            <w:tcW w:w="1236" w:type="dxa"/>
            <w:noWrap w:val="0"/>
            <w:vAlign w:val="center"/>
          </w:tcPr>
          <w:p w14:paraId="75C8898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37FB2F4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0.005</w:t>
            </w:r>
          </w:p>
        </w:tc>
      </w:tr>
      <w:tr w14:paraId="37D01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restart"/>
            <w:noWrap w:val="0"/>
            <w:vAlign w:val="center"/>
          </w:tcPr>
          <w:p w14:paraId="1D3A04C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w:t>
            </w:r>
          </w:p>
        </w:tc>
        <w:tc>
          <w:tcPr>
            <w:tcW w:w="1668" w:type="dxa"/>
            <w:vMerge w:val="restart"/>
            <w:noWrap w:val="0"/>
            <w:vAlign w:val="center"/>
          </w:tcPr>
          <w:p w14:paraId="18DC6DA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装备智能化</w:t>
            </w:r>
          </w:p>
          <w:p w14:paraId="2B7A7D7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管理</w:t>
            </w:r>
          </w:p>
        </w:tc>
        <w:tc>
          <w:tcPr>
            <w:tcW w:w="1740" w:type="dxa"/>
            <w:noWrap w:val="0"/>
            <w:vAlign w:val="center"/>
          </w:tcPr>
          <w:p w14:paraId="1606B31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人员信息数据</w:t>
            </w:r>
          </w:p>
        </w:tc>
        <w:tc>
          <w:tcPr>
            <w:tcW w:w="1236" w:type="dxa"/>
            <w:noWrap w:val="0"/>
            <w:vAlign w:val="center"/>
          </w:tcPr>
          <w:p w14:paraId="6D3240D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5E13BB2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4BB7527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w:t>
            </w:r>
          </w:p>
        </w:tc>
        <w:tc>
          <w:tcPr>
            <w:tcW w:w="1236" w:type="dxa"/>
            <w:noWrap w:val="0"/>
            <w:vAlign w:val="center"/>
          </w:tcPr>
          <w:p w14:paraId="774F097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546601B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r>
      <w:tr w14:paraId="26205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688496A1">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4A818A7B">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00D5EA7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装备信息数据</w:t>
            </w:r>
          </w:p>
        </w:tc>
        <w:tc>
          <w:tcPr>
            <w:tcW w:w="1236" w:type="dxa"/>
            <w:noWrap w:val="0"/>
            <w:vAlign w:val="center"/>
          </w:tcPr>
          <w:p w14:paraId="0B931ED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59862D2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13A3344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2000</w:t>
            </w:r>
          </w:p>
        </w:tc>
        <w:tc>
          <w:tcPr>
            <w:tcW w:w="1236" w:type="dxa"/>
            <w:noWrap w:val="0"/>
            <w:vAlign w:val="center"/>
          </w:tcPr>
          <w:p w14:paraId="0F1A90A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21AC9DD8">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0.022</w:t>
            </w:r>
          </w:p>
        </w:tc>
      </w:tr>
      <w:tr w14:paraId="715E5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2BCA83A4">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66F44556">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20E88603">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物资信息数据</w:t>
            </w:r>
          </w:p>
        </w:tc>
        <w:tc>
          <w:tcPr>
            <w:tcW w:w="1236" w:type="dxa"/>
            <w:noWrap w:val="0"/>
            <w:vAlign w:val="center"/>
          </w:tcPr>
          <w:p w14:paraId="6D9DE00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6B77158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1771AAA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5000</w:t>
            </w:r>
          </w:p>
        </w:tc>
        <w:tc>
          <w:tcPr>
            <w:tcW w:w="1236" w:type="dxa"/>
            <w:noWrap w:val="0"/>
            <w:vAlign w:val="center"/>
          </w:tcPr>
          <w:p w14:paraId="3A42AF03">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59F15A2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0.055</w:t>
            </w:r>
          </w:p>
        </w:tc>
      </w:tr>
      <w:tr w14:paraId="074C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329B7D8D">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265CEF4A">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228BB5E8">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车辆信息数据</w:t>
            </w:r>
          </w:p>
        </w:tc>
        <w:tc>
          <w:tcPr>
            <w:tcW w:w="1236" w:type="dxa"/>
            <w:noWrap w:val="0"/>
            <w:vAlign w:val="center"/>
          </w:tcPr>
          <w:p w14:paraId="70396A7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151D44B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67F774A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500</w:t>
            </w:r>
          </w:p>
        </w:tc>
        <w:tc>
          <w:tcPr>
            <w:tcW w:w="1236" w:type="dxa"/>
            <w:noWrap w:val="0"/>
            <w:vAlign w:val="center"/>
          </w:tcPr>
          <w:p w14:paraId="762BCB2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0F26628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0.005</w:t>
            </w:r>
          </w:p>
        </w:tc>
      </w:tr>
      <w:tr w14:paraId="140C7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restart"/>
            <w:noWrap w:val="0"/>
            <w:vAlign w:val="center"/>
          </w:tcPr>
          <w:p w14:paraId="220D0B9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w:t>
            </w:r>
          </w:p>
        </w:tc>
        <w:tc>
          <w:tcPr>
            <w:tcW w:w="1668" w:type="dxa"/>
            <w:vMerge w:val="restart"/>
            <w:noWrap w:val="0"/>
            <w:vAlign w:val="center"/>
          </w:tcPr>
          <w:p w14:paraId="5BAF7C3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智慧队站</w:t>
            </w:r>
          </w:p>
          <w:p w14:paraId="2E238823">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管理应用</w:t>
            </w:r>
          </w:p>
        </w:tc>
        <w:tc>
          <w:tcPr>
            <w:tcW w:w="1740" w:type="dxa"/>
            <w:noWrap w:val="0"/>
            <w:vAlign w:val="center"/>
          </w:tcPr>
          <w:p w14:paraId="52ABC58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人员请销假</w:t>
            </w:r>
          </w:p>
          <w:p w14:paraId="7802A23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36" w:type="dxa"/>
            <w:noWrap w:val="0"/>
            <w:vAlign w:val="center"/>
          </w:tcPr>
          <w:p w14:paraId="7CE79E0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4AFAFAC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5F36094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200</w:t>
            </w:r>
          </w:p>
        </w:tc>
        <w:tc>
          <w:tcPr>
            <w:tcW w:w="1236" w:type="dxa"/>
            <w:noWrap w:val="0"/>
            <w:vAlign w:val="center"/>
          </w:tcPr>
          <w:p w14:paraId="38A4A70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15</w:t>
            </w:r>
          </w:p>
        </w:tc>
        <w:tc>
          <w:tcPr>
            <w:tcW w:w="1127" w:type="dxa"/>
            <w:noWrap w:val="0"/>
            <w:vAlign w:val="center"/>
          </w:tcPr>
          <w:p w14:paraId="5E056B7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0.003</w:t>
            </w:r>
          </w:p>
        </w:tc>
      </w:tr>
      <w:tr w14:paraId="13C11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6A834997">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2E07C07B">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676DC8C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公务车辆</w:t>
            </w:r>
          </w:p>
          <w:p w14:paraId="070C2A3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申请数据</w:t>
            </w:r>
          </w:p>
        </w:tc>
        <w:tc>
          <w:tcPr>
            <w:tcW w:w="1236" w:type="dxa"/>
            <w:noWrap w:val="0"/>
            <w:vAlign w:val="center"/>
          </w:tcPr>
          <w:p w14:paraId="6B0ABFC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5457523D">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4F6F40C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200</w:t>
            </w:r>
          </w:p>
        </w:tc>
        <w:tc>
          <w:tcPr>
            <w:tcW w:w="1236" w:type="dxa"/>
            <w:noWrap w:val="0"/>
            <w:vAlign w:val="center"/>
          </w:tcPr>
          <w:p w14:paraId="2EB1C97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15</w:t>
            </w:r>
          </w:p>
        </w:tc>
        <w:tc>
          <w:tcPr>
            <w:tcW w:w="1127" w:type="dxa"/>
            <w:noWrap w:val="0"/>
            <w:vAlign w:val="center"/>
          </w:tcPr>
          <w:p w14:paraId="6E1310E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0.003</w:t>
            </w:r>
          </w:p>
        </w:tc>
      </w:tr>
      <w:tr w14:paraId="6CC02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144CB6FF">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2F557C99">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09F6BBD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装备物资入库、申领、出库数据</w:t>
            </w:r>
          </w:p>
        </w:tc>
        <w:tc>
          <w:tcPr>
            <w:tcW w:w="1236" w:type="dxa"/>
            <w:noWrap w:val="0"/>
            <w:vAlign w:val="center"/>
          </w:tcPr>
          <w:p w14:paraId="5F8562A3">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5ED17DD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43D41D1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1500</w:t>
            </w:r>
          </w:p>
        </w:tc>
        <w:tc>
          <w:tcPr>
            <w:tcW w:w="1236" w:type="dxa"/>
            <w:noWrap w:val="0"/>
            <w:vAlign w:val="center"/>
          </w:tcPr>
          <w:p w14:paraId="5CBD435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w:t>
            </w:r>
          </w:p>
        </w:tc>
        <w:tc>
          <w:tcPr>
            <w:tcW w:w="1127" w:type="dxa"/>
            <w:noWrap w:val="0"/>
            <w:vAlign w:val="center"/>
          </w:tcPr>
          <w:p w14:paraId="699997C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0.03</w:t>
            </w:r>
          </w:p>
        </w:tc>
      </w:tr>
      <w:tr w14:paraId="0DEBD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45427F11">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1851D9D6">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43115BF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访客登记数据</w:t>
            </w:r>
          </w:p>
        </w:tc>
        <w:tc>
          <w:tcPr>
            <w:tcW w:w="1236" w:type="dxa"/>
            <w:noWrap w:val="0"/>
            <w:vAlign w:val="center"/>
          </w:tcPr>
          <w:p w14:paraId="112A4C3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2B30B64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72FDE25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500</w:t>
            </w:r>
          </w:p>
        </w:tc>
        <w:tc>
          <w:tcPr>
            <w:tcW w:w="1236" w:type="dxa"/>
            <w:noWrap w:val="0"/>
            <w:vAlign w:val="center"/>
          </w:tcPr>
          <w:p w14:paraId="6E30712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4762D49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0.005</w:t>
            </w:r>
          </w:p>
        </w:tc>
      </w:tr>
      <w:tr w14:paraId="7EDB3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2474F49F">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37A8B669">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6A8A2D0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岗位练兵数据</w:t>
            </w:r>
          </w:p>
        </w:tc>
        <w:tc>
          <w:tcPr>
            <w:tcW w:w="1236" w:type="dxa"/>
            <w:noWrap w:val="0"/>
            <w:vAlign w:val="center"/>
          </w:tcPr>
          <w:p w14:paraId="4179EAF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2097FC9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52EBF34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5000</w:t>
            </w:r>
          </w:p>
        </w:tc>
        <w:tc>
          <w:tcPr>
            <w:tcW w:w="1236" w:type="dxa"/>
            <w:noWrap w:val="0"/>
            <w:vAlign w:val="center"/>
          </w:tcPr>
          <w:p w14:paraId="7F97B64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w:t>
            </w:r>
          </w:p>
        </w:tc>
        <w:tc>
          <w:tcPr>
            <w:tcW w:w="1127" w:type="dxa"/>
            <w:noWrap w:val="0"/>
            <w:vAlign w:val="center"/>
          </w:tcPr>
          <w:p w14:paraId="65C0D43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0.11</w:t>
            </w:r>
          </w:p>
        </w:tc>
      </w:tr>
      <w:tr w14:paraId="2FBD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restart"/>
            <w:noWrap w:val="0"/>
            <w:vAlign w:val="center"/>
          </w:tcPr>
          <w:p w14:paraId="3CD6F8F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w:t>
            </w:r>
          </w:p>
        </w:tc>
        <w:tc>
          <w:tcPr>
            <w:tcW w:w="1668" w:type="dxa"/>
            <w:vMerge w:val="restart"/>
            <w:noWrap w:val="0"/>
            <w:vAlign w:val="center"/>
          </w:tcPr>
          <w:p w14:paraId="00F5F06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公众服务应用</w:t>
            </w:r>
          </w:p>
        </w:tc>
        <w:tc>
          <w:tcPr>
            <w:tcW w:w="1740" w:type="dxa"/>
            <w:noWrap w:val="0"/>
            <w:vAlign w:val="center"/>
          </w:tcPr>
          <w:p w14:paraId="6201C7F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便民服务数据</w:t>
            </w:r>
          </w:p>
        </w:tc>
        <w:tc>
          <w:tcPr>
            <w:tcW w:w="1236" w:type="dxa"/>
            <w:noWrap w:val="0"/>
            <w:vAlign w:val="center"/>
          </w:tcPr>
          <w:p w14:paraId="32CB29D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52C96AA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6EDFE74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500</w:t>
            </w:r>
          </w:p>
        </w:tc>
        <w:tc>
          <w:tcPr>
            <w:tcW w:w="1236" w:type="dxa"/>
            <w:noWrap w:val="0"/>
            <w:vAlign w:val="center"/>
          </w:tcPr>
          <w:p w14:paraId="2D83D3B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09F50B1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0.005</w:t>
            </w:r>
          </w:p>
        </w:tc>
      </w:tr>
      <w:tr w14:paraId="18C8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49CC2BC3">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37C4721E">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3BC6013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隐患举报数据</w:t>
            </w:r>
          </w:p>
        </w:tc>
        <w:tc>
          <w:tcPr>
            <w:tcW w:w="1236" w:type="dxa"/>
            <w:noWrap w:val="0"/>
            <w:vAlign w:val="center"/>
          </w:tcPr>
          <w:p w14:paraId="668A8BBB">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2A8DE13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3B767D0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500</w:t>
            </w:r>
          </w:p>
        </w:tc>
        <w:tc>
          <w:tcPr>
            <w:tcW w:w="1236" w:type="dxa"/>
            <w:noWrap w:val="0"/>
            <w:vAlign w:val="center"/>
          </w:tcPr>
          <w:p w14:paraId="1E852F43">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w:t>
            </w:r>
          </w:p>
        </w:tc>
        <w:tc>
          <w:tcPr>
            <w:tcW w:w="1127" w:type="dxa"/>
            <w:noWrap w:val="0"/>
            <w:vAlign w:val="center"/>
          </w:tcPr>
          <w:p w14:paraId="7D4B840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0.01</w:t>
            </w:r>
          </w:p>
        </w:tc>
      </w:tr>
      <w:tr w14:paraId="1F89B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49C230F7">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472163CB">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48615F0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消防监督</w:t>
            </w:r>
          </w:p>
          <w:p w14:paraId="329B00A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公示数据</w:t>
            </w:r>
          </w:p>
        </w:tc>
        <w:tc>
          <w:tcPr>
            <w:tcW w:w="1236" w:type="dxa"/>
            <w:noWrap w:val="0"/>
            <w:vAlign w:val="center"/>
          </w:tcPr>
          <w:p w14:paraId="48A5266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4B42128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00250D1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3000</w:t>
            </w:r>
          </w:p>
        </w:tc>
        <w:tc>
          <w:tcPr>
            <w:tcW w:w="1236" w:type="dxa"/>
            <w:noWrap w:val="0"/>
            <w:vAlign w:val="center"/>
          </w:tcPr>
          <w:p w14:paraId="6ACA4D8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342427F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0.032</w:t>
            </w:r>
          </w:p>
        </w:tc>
      </w:tr>
      <w:tr w14:paraId="2E04A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restart"/>
            <w:noWrap w:val="0"/>
            <w:vAlign w:val="center"/>
          </w:tcPr>
          <w:p w14:paraId="4D4162B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9</w:t>
            </w:r>
          </w:p>
        </w:tc>
        <w:tc>
          <w:tcPr>
            <w:tcW w:w="1668" w:type="dxa"/>
            <w:vMerge w:val="restart"/>
            <w:noWrap w:val="0"/>
            <w:vAlign w:val="center"/>
          </w:tcPr>
          <w:p w14:paraId="4BD9D06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数据中台</w:t>
            </w:r>
          </w:p>
        </w:tc>
        <w:tc>
          <w:tcPr>
            <w:tcW w:w="1740" w:type="dxa"/>
            <w:noWrap w:val="0"/>
            <w:vAlign w:val="center"/>
          </w:tcPr>
          <w:p w14:paraId="5BDCA66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火灾防控类</w:t>
            </w:r>
          </w:p>
          <w:p w14:paraId="000895E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36" w:type="dxa"/>
            <w:noWrap w:val="0"/>
            <w:vAlign w:val="center"/>
          </w:tcPr>
          <w:p w14:paraId="660B8100">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17ABD65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21BBA3B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424600</w:t>
            </w:r>
          </w:p>
        </w:tc>
        <w:tc>
          <w:tcPr>
            <w:tcW w:w="1236" w:type="dxa"/>
            <w:noWrap w:val="0"/>
            <w:vAlign w:val="center"/>
          </w:tcPr>
          <w:p w14:paraId="13FE8513">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660C463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4.4</w:t>
            </w:r>
          </w:p>
        </w:tc>
      </w:tr>
      <w:tr w14:paraId="633FB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193EF1A9">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4B739D1D">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1F237DF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灭火救援类</w:t>
            </w:r>
          </w:p>
          <w:p w14:paraId="1705C75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36" w:type="dxa"/>
            <w:noWrap w:val="0"/>
            <w:vAlign w:val="center"/>
          </w:tcPr>
          <w:p w14:paraId="31C266C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50402137">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2394661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90000</w:t>
            </w:r>
          </w:p>
        </w:tc>
        <w:tc>
          <w:tcPr>
            <w:tcW w:w="1236" w:type="dxa"/>
            <w:noWrap w:val="0"/>
            <w:vAlign w:val="center"/>
          </w:tcPr>
          <w:p w14:paraId="4C8EE3E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3A9956CE">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p>
        </w:tc>
      </w:tr>
      <w:tr w14:paraId="69B4A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5674D5C1">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6B55A493">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3371418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综合保障类</w:t>
            </w:r>
          </w:p>
          <w:p w14:paraId="33A51F9F">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36" w:type="dxa"/>
            <w:noWrap w:val="0"/>
            <w:vAlign w:val="center"/>
          </w:tcPr>
          <w:p w14:paraId="5B89C4A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61795216">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4ADE642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16000</w:t>
            </w:r>
          </w:p>
        </w:tc>
        <w:tc>
          <w:tcPr>
            <w:tcW w:w="1236" w:type="dxa"/>
            <w:noWrap w:val="0"/>
            <w:vAlign w:val="center"/>
          </w:tcPr>
          <w:p w14:paraId="0365AF2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15</w:t>
            </w:r>
          </w:p>
        </w:tc>
        <w:tc>
          <w:tcPr>
            <w:tcW w:w="1127" w:type="dxa"/>
            <w:noWrap w:val="0"/>
            <w:vAlign w:val="center"/>
          </w:tcPr>
          <w:p w14:paraId="7117BF5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0.255</w:t>
            </w:r>
          </w:p>
        </w:tc>
      </w:tr>
      <w:tr w14:paraId="0604C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vMerge w:val="continue"/>
            <w:noWrap w:val="0"/>
            <w:vAlign w:val="center"/>
          </w:tcPr>
          <w:p w14:paraId="12903C3A">
            <w:pPr>
              <w:widowControl/>
              <w:spacing w:line="240" w:lineRule="auto"/>
              <w:ind w:firstLine="0" w:firstLineChars="0"/>
              <w:jc w:val="left"/>
              <w:rPr>
                <w:rFonts w:hint="eastAsia" w:ascii="宋体" w:hAnsi="宋体" w:eastAsia="宋体" w:cs="宋体"/>
                <w:color w:val="000000"/>
                <w:kern w:val="0"/>
                <w:sz w:val="21"/>
                <w:szCs w:val="21"/>
              </w:rPr>
            </w:pPr>
          </w:p>
        </w:tc>
        <w:tc>
          <w:tcPr>
            <w:tcW w:w="1668" w:type="dxa"/>
            <w:vMerge w:val="continue"/>
            <w:noWrap w:val="0"/>
            <w:vAlign w:val="center"/>
          </w:tcPr>
          <w:p w14:paraId="7A0DC151">
            <w:pPr>
              <w:widowControl/>
              <w:spacing w:line="240" w:lineRule="auto"/>
              <w:ind w:firstLine="0" w:firstLineChars="0"/>
              <w:jc w:val="left"/>
              <w:rPr>
                <w:rFonts w:hint="eastAsia" w:ascii="宋体" w:hAnsi="宋体" w:eastAsia="宋体" w:cs="宋体"/>
                <w:color w:val="000000"/>
                <w:kern w:val="0"/>
                <w:sz w:val="21"/>
                <w:szCs w:val="21"/>
              </w:rPr>
            </w:pPr>
          </w:p>
        </w:tc>
        <w:tc>
          <w:tcPr>
            <w:tcW w:w="1740" w:type="dxa"/>
            <w:noWrap w:val="0"/>
            <w:vAlign w:val="center"/>
          </w:tcPr>
          <w:p w14:paraId="0F199E8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队伍管理类</w:t>
            </w:r>
          </w:p>
          <w:p w14:paraId="2E8FA15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36" w:type="dxa"/>
            <w:noWrap w:val="0"/>
            <w:vAlign w:val="center"/>
          </w:tcPr>
          <w:p w14:paraId="34CCB465">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结构化</w:t>
            </w:r>
          </w:p>
          <w:p w14:paraId="044CBC3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w:t>
            </w:r>
          </w:p>
        </w:tc>
        <w:tc>
          <w:tcPr>
            <w:tcW w:w="1272" w:type="dxa"/>
            <w:noWrap w:val="0"/>
            <w:vAlign w:val="center"/>
          </w:tcPr>
          <w:p w14:paraId="1503FF9C">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8000</w:t>
            </w:r>
          </w:p>
        </w:tc>
        <w:tc>
          <w:tcPr>
            <w:tcW w:w="1236" w:type="dxa"/>
            <w:noWrap w:val="0"/>
            <w:vAlign w:val="center"/>
          </w:tcPr>
          <w:p w14:paraId="45110934">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w:t>
            </w:r>
          </w:p>
        </w:tc>
        <w:tc>
          <w:tcPr>
            <w:tcW w:w="1127" w:type="dxa"/>
            <w:noWrap w:val="0"/>
            <w:vAlign w:val="center"/>
          </w:tcPr>
          <w:p w14:paraId="0F852E43">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0.176</w:t>
            </w:r>
          </w:p>
        </w:tc>
      </w:tr>
      <w:tr w14:paraId="5E25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792" w:type="dxa"/>
            <w:noWrap w:val="0"/>
            <w:vAlign w:val="center"/>
          </w:tcPr>
          <w:p w14:paraId="5FAF2F78">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668" w:type="dxa"/>
            <w:noWrap w:val="0"/>
            <w:vAlign w:val="center"/>
          </w:tcPr>
          <w:p w14:paraId="0BF37AB2">
            <w:pPr>
              <w:widowControl/>
              <w:spacing w:line="240" w:lineRule="auto"/>
              <w:ind w:firstLine="0" w:firstLineChars="0"/>
              <w:jc w:val="center"/>
              <w:rPr>
                <w:rFonts w:hint="eastAsia" w:ascii="宋体" w:hAnsi="宋体" w:eastAsia="宋体" w:cs="宋体"/>
                <w:color w:val="000000"/>
                <w:kern w:val="0"/>
                <w:sz w:val="21"/>
                <w:szCs w:val="21"/>
                <w:lang w:eastAsia="zh-Hans"/>
              </w:rPr>
            </w:pPr>
            <w:r>
              <w:rPr>
                <w:rFonts w:hint="eastAsia" w:ascii="宋体" w:hAnsi="宋体" w:cs="宋体"/>
                <w:color w:val="000000"/>
                <w:kern w:val="0"/>
                <w:sz w:val="21"/>
                <w:szCs w:val="21"/>
                <w:lang w:eastAsia="zh-CN"/>
              </w:rPr>
              <w:t>XXX</w:t>
            </w:r>
            <w:r>
              <w:rPr>
                <w:rFonts w:hint="eastAsia" w:ascii="宋体" w:hAnsi="宋体" w:eastAsia="宋体" w:cs="宋体"/>
                <w:color w:val="000000"/>
                <w:kern w:val="0"/>
                <w:sz w:val="21"/>
                <w:szCs w:val="21"/>
                <w:lang w:eastAsia="zh-Hans"/>
              </w:rPr>
              <w:t>消防业务融合平台</w:t>
            </w:r>
          </w:p>
        </w:tc>
        <w:tc>
          <w:tcPr>
            <w:tcW w:w="1740" w:type="dxa"/>
            <w:noWrap w:val="0"/>
            <w:vAlign w:val="center"/>
          </w:tcPr>
          <w:p w14:paraId="020E4A54">
            <w:pPr>
              <w:widowControl/>
              <w:spacing w:line="240" w:lineRule="auto"/>
              <w:ind w:firstLine="0" w:firstLineChars="0"/>
              <w:jc w:val="center"/>
              <w:rPr>
                <w:rFonts w:hint="eastAsia" w:ascii="宋体" w:hAnsi="宋体" w:eastAsia="宋体" w:cs="宋体"/>
                <w:color w:val="000000"/>
                <w:kern w:val="0"/>
                <w:sz w:val="21"/>
                <w:szCs w:val="21"/>
                <w:lang w:eastAsia="zh-Hans"/>
              </w:rPr>
            </w:pPr>
            <w:r>
              <w:rPr>
                <w:rFonts w:hint="eastAsia" w:ascii="宋体" w:hAnsi="宋体" w:eastAsia="宋体" w:cs="宋体"/>
                <w:color w:val="000000"/>
                <w:kern w:val="0"/>
                <w:sz w:val="21"/>
                <w:szCs w:val="21"/>
                <w:lang w:eastAsia="zh-Hans"/>
              </w:rPr>
              <w:t>系统运算缓存的业务数据</w:t>
            </w:r>
          </w:p>
        </w:tc>
        <w:tc>
          <w:tcPr>
            <w:tcW w:w="1236" w:type="dxa"/>
            <w:noWrap w:val="0"/>
            <w:vAlign w:val="center"/>
          </w:tcPr>
          <w:p w14:paraId="3AD41E19">
            <w:pPr>
              <w:widowControl/>
              <w:spacing w:line="240" w:lineRule="auto"/>
              <w:ind w:firstLine="0" w:firstLineChars="0"/>
              <w:jc w:val="center"/>
              <w:rPr>
                <w:rFonts w:hint="eastAsia" w:ascii="宋体" w:hAnsi="宋体" w:eastAsia="宋体" w:cs="宋体"/>
                <w:color w:val="000000"/>
                <w:kern w:val="0"/>
                <w:sz w:val="21"/>
                <w:szCs w:val="21"/>
                <w:lang w:eastAsia="zh-Hans"/>
              </w:rPr>
            </w:pPr>
            <w:r>
              <w:rPr>
                <w:rFonts w:hint="eastAsia" w:ascii="宋体" w:hAnsi="宋体" w:eastAsia="宋体" w:cs="宋体"/>
                <w:color w:val="000000"/>
                <w:kern w:val="0"/>
                <w:sz w:val="21"/>
                <w:szCs w:val="21"/>
                <w:lang w:eastAsia="zh-Hans"/>
              </w:rPr>
              <w:t>结构化数据</w:t>
            </w:r>
          </w:p>
        </w:tc>
        <w:tc>
          <w:tcPr>
            <w:tcW w:w="1272" w:type="dxa"/>
            <w:noWrap w:val="0"/>
            <w:vAlign w:val="center"/>
          </w:tcPr>
          <w:p w14:paraId="1980F55A">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20000</w:t>
            </w:r>
          </w:p>
        </w:tc>
        <w:tc>
          <w:tcPr>
            <w:tcW w:w="1236" w:type="dxa"/>
            <w:noWrap w:val="0"/>
            <w:vAlign w:val="center"/>
          </w:tcPr>
          <w:p w14:paraId="2D8C8CA1">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p>
        </w:tc>
        <w:tc>
          <w:tcPr>
            <w:tcW w:w="1127" w:type="dxa"/>
            <w:noWrap w:val="0"/>
            <w:vAlign w:val="center"/>
          </w:tcPr>
          <w:p w14:paraId="765786FA">
            <w:pPr>
              <w:widowControl/>
              <w:spacing w:line="240" w:lineRule="auto"/>
              <w:ind w:firstLine="0" w:firstLineChars="0"/>
              <w:jc w:val="center"/>
              <w:rPr>
                <w:rFonts w:hint="eastAsia" w:ascii="宋体" w:hAnsi="宋体" w:eastAsia="宋体" w:cs="宋体"/>
                <w:color w:val="000000"/>
                <w:kern w:val="0"/>
                <w:sz w:val="21"/>
                <w:szCs w:val="21"/>
                <w:lang w:eastAsia="zh-Hans"/>
              </w:rPr>
            </w:pPr>
            <w:r>
              <w:rPr>
                <w:rFonts w:hint="eastAsia" w:ascii="宋体" w:hAnsi="宋体" w:eastAsia="宋体" w:cs="宋体"/>
                <w:color w:val="000000"/>
                <w:kern w:val="0"/>
                <w:sz w:val="21"/>
                <w:szCs w:val="21"/>
              </w:rPr>
              <w:t>0</w:t>
            </w:r>
            <w:r>
              <w:rPr>
                <w:rFonts w:hint="eastAsia" w:ascii="宋体" w:hAnsi="宋体" w:eastAsia="宋体" w:cs="宋体"/>
                <w:color w:val="000000"/>
                <w:kern w:val="0"/>
                <w:sz w:val="21"/>
                <w:szCs w:val="21"/>
                <w:lang w:eastAsia="zh-Hans"/>
              </w:rPr>
              <w:t>.22</w:t>
            </w:r>
          </w:p>
        </w:tc>
      </w:tr>
      <w:tr w14:paraId="49D2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2" w:type="dxa"/>
            <w:noWrap w:val="0"/>
            <w:vAlign w:val="center"/>
          </w:tcPr>
          <w:p w14:paraId="1A73DD49">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w:t>
            </w:r>
          </w:p>
        </w:tc>
        <w:tc>
          <w:tcPr>
            <w:tcW w:w="1668" w:type="dxa"/>
            <w:noWrap w:val="0"/>
            <w:vAlign w:val="center"/>
          </w:tcPr>
          <w:p w14:paraId="4FDD8DE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w:t>
            </w:r>
          </w:p>
        </w:tc>
        <w:tc>
          <w:tcPr>
            <w:tcW w:w="1740" w:type="dxa"/>
            <w:noWrap w:val="0"/>
            <w:vAlign w:val="center"/>
          </w:tcPr>
          <w:p w14:paraId="18EFB2AE">
            <w:pPr>
              <w:widowControl/>
              <w:spacing w:line="240" w:lineRule="auto"/>
              <w:ind w:firstLine="0" w:firstLineChars="0"/>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w:t>
            </w:r>
          </w:p>
        </w:tc>
        <w:tc>
          <w:tcPr>
            <w:tcW w:w="1236" w:type="dxa"/>
            <w:noWrap w:val="0"/>
            <w:vAlign w:val="center"/>
          </w:tcPr>
          <w:p w14:paraId="598D684A">
            <w:pPr>
              <w:widowControl/>
              <w:spacing w:line="240" w:lineRule="auto"/>
              <w:ind w:firstLine="0" w:firstLineChars="0"/>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w:t>
            </w:r>
          </w:p>
        </w:tc>
        <w:tc>
          <w:tcPr>
            <w:tcW w:w="1272" w:type="dxa"/>
            <w:noWrap w:val="0"/>
            <w:vAlign w:val="center"/>
          </w:tcPr>
          <w:p w14:paraId="7C65B3C2">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w:t>
            </w:r>
          </w:p>
        </w:tc>
        <w:tc>
          <w:tcPr>
            <w:tcW w:w="1236" w:type="dxa"/>
            <w:noWrap w:val="0"/>
            <w:vAlign w:val="center"/>
          </w:tcPr>
          <w:p w14:paraId="04AFC2C6">
            <w:pPr>
              <w:widowControl/>
              <w:spacing w:line="240" w:lineRule="auto"/>
              <w:ind w:firstLine="0" w:firstLineChars="0"/>
              <w:jc w:val="righ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合计：</w:t>
            </w:r>
          </w:p>
        </w:tc>
        <w:tc>
          <w:tcPr>
            <w:tcW w:w="1127" w:type="dxa"/>
            <w:noWrap w:val="0"/>
            <w:vAlign w:val="center"/>
          </w:tcPr>
          <w:p w14:paraId="7BAC7C28">
            <w:pPr>
              <w:widowControl/>
              <w:spacing w:line="240" w:lineRule="auto"/>
              <w:ind w:firstLine="0" w:firstLineChars="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10.5</w:t>
            </w:r>
          </w:p>
        </w:tc>
      </w:tr>
    </w:tbl>
    <w:p w14:paraId="6A1417FC">
      <w:pPr>
        <w:spacing w:before="240" w:beforeLines="100"/>
      </w:pPr>
      <w:r>
        <w:t>2</w:t>
      </w:r>
      <w:r>
        <w:rPr>
          <w:rFonts w:hint="eastAsia"/>
        </w:rPr>
        <w:t>、非结构化数据测算</w:t>
      </w:r>
    </w:p>
    <w:p w14:paraId="71E2B165">
      <w:pPr>
        <w:pStyle w:val="17"/>
        <w:widowControl/>
        <w:numPr>
          <w:ilvl w:val="0"/>
          <w:numId w:val="40"/>
        </w:numPr>
        <w:spacing w:after="120" w:afterLines="50"/>
        <w:ind w:firstLine="480"/>
        <w:jc w:val="left"/>
      </w:pPr>
      <w:r>
        <w:rPr>
          <w:rFonts w:hint="eastAsia"/>
        </w:rPr>
        <w:t>图片存储量</w:t>
      </w:r>
    </w:p>
    <w:p w14:paraId="4A0C2660">
      <w:pPr>
        <w:pStyle w:val="15"/>
        <w:rPr>
          <w:rFonts w:hint="eastAsia" w:ascii="黑体" w:hAnsi="黑体" w:cs="黑体"/>
        </w:rPr>
      </w:pPr>
      <w:r>
        <w:rPr>
          <w:rFonts w:hint="eastAsia" w:ascii="黑体" w:hAnsi="黑体" w:cs="黑体"/>
        </w:rPr>
        <w:t>表3-19政务云图片存储资源估算</w:t>
      </w:r>
    </w:p>
    <w:tbl>
      <w:tblPr>
        <w:tblStyle w:val="12"/>
        <w:tblW w:w="9071" w:type="dxa"/>
        <w:tblInd w:w="-227" w:type="dxa"/>
        <w:tblLayout w:type="autofit"/>
        <w:tblCellMar>
          <w:top w:w="0" w:type="dxa"/>
          <w:left w:w="108" w:type="dxa"/>
          <w:bottom w:w="0" w:type="dxa"/>
          <w:right w:w="108" w:type="dxa"/>
        </w:tblCellMar>
      </w:tblPr>
      <w:tblGrid>
        <w:gridCol w:w="577"/>
        <w:gridCol w:w="1410"/>
        <w:gridCol w:w="2035"/>
        <w:gridCol w:w="764"/>
        <w:gridCol w:w="1614"/>
        <w:gridCol w:w="1243"/>
        <w:gridCol w:w="1428"/>
      </w:tblGrid>
      <w:tr w14:paraId="5E688ED0">
        <w:tblPrEx>
          <w:tblCellMar>
            <w:top w:w="0" w:type="dxa"/>
            <w:left w:w="108" w:type="dxa"/>
            <w:bottom w:w="0" w:type="dxa"/>
            <w:right w:w="108" w:type="dxa"/>
          </w:tblCellMar>
        </w:tblPrEx>
        <w:trPr>
          <w:trHeight w:val="397" w:hRule="atLeast"/>
          <w:tblHeader/>
        </w:trPr>
        <w:tc>
          <w:tcPr>
            <w:tcW w:w="318" w:type="pct"/>
            <w:tcBorders>
              <w:top w:val="single" w:color="auto" w:sz="4" w:space="0"/>
              <w:left w:val="single" w:color="auto" w:sz="4" w:space="0"/>
              <w:bottom w:val="single" w:color="auto" w:sz="4" w:space="0"/>
              <w:right w:val="single" w:color="auto" w:sz="4" w:space="0"/>
            </w:tcBorders>
            <w:shd w:val="clear" w:color="auto" w:fill="EEECE1"/>
            <w:noWrap w:val="0"/>
            <w:tcMar>
              <w:top w:w="15" w:type="dxa"/>
              <w:left w:w="108" w:type="dxa"/>
              <w:bottom w:w="0" w:type="dxa"/>
              <w:right w:w="108" w:type="dxa"/>
            </w:tcMar>
            <w:vAlign w:val="center"/>
          </w:tcPr>
          <w:p w14:paraId="7836DA88">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序号</w:t>
            </w:r>
          </w:p>
        </w:tc>
        <w:tc>
          <w:tcPr>
            <w:tcW w:w="777" w:type="pct"/>
            <w:tcBorders>
              <w:top w:val="single" w:color="auto" w:sz="4" w:space="0"/>
              <w:left w:val="nil"/>
              <w:bottom w:val="single" w:color="auto" w:sz="4" w:space="0"/>
              <w:right w:val="single" w:color="auto" w:sz="4" w:space="0"/>
            </w:tcBorders>
            <w:shd w:val="clear" w:color="auto" w:fill="EEECE1"/>
            <w:noWrap w:val="0"/>
            <w:tcMar>
              <w:top w:w="15" w:type="dxa"/>
              <w:left w:w="108" w:type="dxa"/>
              <w:bottom w:w="0" w:type="dxa"/>
              <w:right w:w="108" w:type="dxa"/>
            </w:tcMar>
            <w:vAlign w:val="center"/>
          </w:tcPr>
          <w:p w14:paraId="31243E88">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系统名称</w:t>
            </w:r>
          </w:p>
        </w:tc>
        <w:tc>
          <w:tcPr>
            <w:tcW w:w="1121" w:type="pct"/>
            <w:tcBorders>
              <w:top w:val="single" w:color="auto" w:sz="4" w:space="0"/>
              <w:left w:val="nil"/>
              <w:bottom w:val="single" w:color="auto" w:sz="4" w:space="0"/>
              <w:right w:val="single" w:color="auto" w:sz="4" w:space="0"/>
            </w:tcBorders>
            <w:shd w:val="clear" w:color="auto" w:fill="EEECE1"/>
            <w:noWrap w:val="0"/>
            <w:tcMar>
              <w:top w:w="15" w:type="dxa"/>
              <w:left w:w="108" w:type="dxa"/>
              <w:bottom w:w="0" w:type="dxa"/>
              <w:right w:w="108" w:type="dxa"/>
            </w:tcMar>
            <w:vAlign w:val="center"/>
          </w:tcPr>
          <w:p w14:paraId="434C4073">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数据来源</w:t>
            </w:r>
          </w:p>
        </w:tc>
        <w:tc>
          <w:tcPr>
            <w:tcW w:w="421" w:type="pct"/>
            <w:tcBorders>
              <w:top w:val="single" w:color="auto" w:sz="4" w:space="0"/>
              <w:left w:val="nil"/>
              <w:bottom w:val="single" w:color="auto" w:sz="4" w:space="0"/>
              <w:right w:val="single" w:color="auto" w:sz="4" w:space="0"/>
            </w:tcBorders>
            <w:shd w:val="clear" w:color="auto" w:fill="EEECE1"/>
            <w:noWrap w:val="0"/>
            <w:tcMar>
              <w:top w:w="15" w:type="dxa"/>
              <w:left w:w="108" w:type="dxa"/>
              <w:bottom w:w="0" w:type="dxa"/>
              <w:right w:w="108" w:type="dxa"/>
            </w:tcMar>
            <w:vAlign w:val="center"/>
          </w:tcPr>
          <w:p w14:paraId="0040E6F1">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数据类型</w:t>
            </w:r>
          </w:p>
        </w:tc>
        <w:tc>
          <w:tcPr>
            <w:tcW w:w="889" w:type="pct"/>
            <w:tcBorders>
              <w:top w:val="single" w:color="auto" w:sz="4" w:space="0"/>
              <w:left w:val="nil"/>
              <w:bottom w:val="single" w:color="auto" w:sz="4" w:space="0"/>
              <w:right w:val="single" w:color="auto" w:sz="4" w:space="0"/>
            </w:tcBorders>
            <w:shd w:val="clear" w:color="auto" w:fill="EEECE1"/>
            <w:noWrap w:val="0"/>
            <w:tcMar>
              <w:top w:w="15" w:type="dxa"/>
              <w:left w:w="108" w:type="dxa"/>
              <w:bottom w:w="0" w:type="dxa"/>
              <w:right w:w="108" w:type="dxa"/>
            </w:tcMar>
            <w:vAlign w:val="center"/>
          </w:tcPr>
          <w:p w14:paraId="45BF988C">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月数据量（张）</w:t>
            </w:r>
          </w:p>
        </w:tc>
        <w:tc>
          <w:tcPr>
            <w:tcW w:w="685" w:type="pct"/>
            <w:tcBorders>
              <w:top w:val="single" w:color="auto" w:sz="4" w:space="0"/>
              <w:left w:val="nil"/>
              <w:bottom w:val="single" w:color="auto" w:sz="4" w:space="0"/>
              <w:right w:val="single" w:color="auto" w:sz="4" w:space="0"/>
            </w:tcBorders>
            <w:shd w:val="clear" w:color="auto" w:fill="EEECE1"/>
            <w:noWrap w:val="0"/>
            <w:tcMar>
              <w:top w:w="15" w:type="dxa"/>
              <w:left w:w="108" w:type="dxa"/>
              <w:bottom w:w="0" w:type="dxa"/>
              <w:right w:w="108" w:type="dxa"/>
            </w:tcMar>
            <w:vAlign w:val="center"/>
          </w:tcPr>
          <w:p w14:paraId="54B4FDCC">
            <w:pPr>
              <w:widowControl/>
              <w:spacing w:line="240" w:lineRule="auto"/>
              <w:ind w:firstLine="0" w:firstLineChars="0"/>
              <w:jc w:val="center"/>
              <w:rPr>
                <w:rFonts w:hint="eastAsia" w:ascii="宋体" w:hAnsi="宋体" w:cs="宋体"/>
                <w:b/>
                <w:bCs/>
                <w:color w:val="000000"/>
                <w:kern w:val="0"/>
                <w:sz w:val="21"/>
                <w:szCs w:val="21"/>
              </w:rPr>
            </w:pPr>
            <w:r>
              <w:rPr>
                <w:rFonts w:hint="eastAsia" w:ascii="宋体" w:hAnsi="宋体" w:cs="宋体"/>
                <w:b/>
                <w:bCs/>
                <w:color w:val="000000"/>
                <w:kern w:val="0"/>
                <w:sz w:val="21"/>
                <w:szCs w:val="21"/>
              </w:rPr>
              <w:t>大小</w:t>
            </w:r>
          </w:p>
          <w:p w14:paraId="5EE1AD20">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（MB/条）</w:t>
            </w:r>
          </w:p>
        </w:tc>
        <w:tc>
          <w:tcPr>
            <w:tcW w:w="787" w:type="pct"/>
            <w:tcBorders>
              <w:top w:val="single" w:color="auto" w:sz="4" w:space="0"/>
              <w:left w:val="nil"/>
              <w:bottom w:val="single" w:color="auto" w:sz="4" w:space="0"/>
              <w:right w:val="single" w:color="auto" w:sz="4" w:space="0"/>
            </w:tcBorders>
            <w:shd w:val="clear" w:color="auto" w:fill="EEECE1"/>
            <w:noWrap w:val="0"/>
            <w:tcMar>
              <w:top w:w="15" w:type="dxa"/>
              <w:left w:w="108" w:type="dxa"/>
              <w:bottom w:w="0" w:type="dxa"/>
              <w:right w:w="108" w:type="dxa"/>
            </w:tcMar>
            <w:vAlign w:val="center"/>
          </w:tcPr>
          <w:p w14:paraId="6C58428F">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3年总量（TB）</w:t>
            </w:r>
          </w:p>
        </w:tc>
      </w:tr>
      <w:tr w14:paraId="229F57EB">
        <w:tblPrEx>
          <w:tblCellMar>
            <w:top w:w="0" w:type="dxa"/>
            <w:left w:w="108" w:type="dxa"/>
            <w:bottom w:w="0" w:type="dxa"/>
            <w:right w:w="108" w:type="dxa"/>
          </w:tblCellMar>
        </w:tblPrEx>
        <w:trPr>
          <w:trHeight w:val="397" w:hRule="atLeast"/>
        </w:trPr>
        <w:tc>
          <w:tcPr>
            <w:tcW w:w="318" w:type="pct"/>
            <w:vMerge w:val="restart"/>
            <w:tcBorders>
              <w:top w:val="nil"/>
              <w:left w:val="single" w:color="auto" w:sz="4" w:space="0"/>
              <w:right w:val="single" w:color="auto" w:sz="4" w:space="0"/>
            </w:tcBorders>
            <w:noWrap w:val="0"/>
            <w:tcMar>
              <w:top w:w="15" w:type="dxa"/>
              <w:left w:w="108" w:type="dxa"/>
              <w:bottom w:w="0" w:type="dxa"/>
              <w:right w:w="108" w:type="dxa"/>
            </w:tcMar>
            <w:vAlign w:val="center"/>
          </w:tcPr>
          <w:p w14:paraId="05233BF5">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w:t>
            </w:r>
          </w:p>
        </w:tc>
        <w:tc>
          <w:tcPr>
            <w:tcW w:w="777" w:type="pct"/>
            <w:vMerge w:val="restart"/>
            <w:tcBorders>
              <w:top w:val="nil"/>
              <w:left w:val="single" w:color="auto" w:sz="4" w:space="0"/>
              <w:right w:val="single" w:color="auto" w:sz="4" w:space="0"/>
            </w:tcBorders>
            <w:noWrap w:val="0"/>
            <w:tcMar>
              <w:top w:w="15" w:type="dxa"/>
              <w:left w:w="108" w:type="dxa"/>
              <w:bottom w:w="0" w:type="dxa"/>
              <w:right w:w="108" w:type="dxa"/>
            </w:tcMar>
            <w:vAlign w:val="center"/>
          </w:tcPr>
          <w:p w14:paraId="3F4D4ADC">
            <w:pPr>
              <w:widowControl/>
              <w:spacing w:line="240" w:lineRule="auto"/>
              <w:ind w:firstLine="0" w:firstLineChars="0"/>
              <w:jc w:val="center"/>
              <w:rPr>
                <w:rFonts w:hint="eastAsia" w:ascii="宋体" w:hAnsi="宋体" w:cs="宋体"/>
                <w:color w:val="000000"/>
                <w:kern w:val="0"/>
                <w:sz w:val="21"/>
                <w:szCs w:val="21"/>
              </w:rPr>
            </w:pPr>
            <w:r>
              <w:rPr>
                <w:rFonts w:hint="eastAsia" w:ascii="宋体" w:hAnsi="宋体" w:cs="宋体"/>
                <w:color w:val="000000"/>
                <w:kern w:val="0"/>
                <w:sz w:val="21"/>
                <w:szCs w:val="21"/>
              </w:rPr>
              <w:t>消防安全综合监管</w:t>
            </w:r>
          </w:p>
        </w:tc>
        <w:tc>
          <w:tcPr>
            <w:tcW w:w="1121" w:type="pct"/>
            <w:tcBorders>
              <w:top w:val="nil"/>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0F8BB41D">
            <w:pPr>
              <w:widowControl/>
              <w:spacing w:line="240" w:lineRule="auto"/>
              <w:ind w:firstLine="0" w:firstLineChars="0"/>
              <w:jc w:val="center"/>
              <w:rPr>
                <w:rFonts w:hint="eastAsia" w:ascii="宋体" w:hAnsi="宋体" w:cs="宋体"/>
                <w:color w:val="000000"/>
                <w:kern w:val="0"/>
                <w:sz w:val="21"/>
                <w:szCs w:val="21"/>
              </w:rPr>
            </w:pPr>
            <w:r>
              <w:rPr>
                <w:rFonts w:hint="eastAsia" w:ascii="宋体" w:hAnsi="宋体" w:cs="宋体"/>
                <w:color w:val="000000"/>
                <w:kern w:val="0"/>
                <w:sz w:val="21"/>
                <w:szCs w:val="21"/>
              </w:rPr>
              <w:t>工作人员上传消防隐患数据</w:t>
            </w:r>
          </w:p>
          <w:p w14:paraId="71A9C859">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（图片）</w:t>
            </w:r>
          </w:p>
        </w:tc>
        <w:tc>
          <w:tcPr>
            <w:tcW w:w="421" w:type="pct"/>
            <w:tcBorders>
              <w:top w:val="nil"/>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0001E32E">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图片</w:t>
            </w:r>
          </w:p>
        </w:tc>
        <w:tc>
          <w:tcPr>
            <w:tcW w:w="889" w:type="pct"/>
            <w:tcBorders>
              <w:top w:val="nil"/>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35B54661">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144000.00</w:t>
            </w:r>
          </w:p>
        </w:tc>
        <w:tc>
          <w:tcPr>
            <w:tcW w:w="685" w:type="pct"/>
            <w:tcBorders>
              <w:top w:val="nil"/>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6D4BD5F1">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2</w:t>
            </w:r>
          </w:p>
        </w:tc>
        <w:tc>
          <w:tcPr>
            <w:tcW w:w="787" w:type="pct"/>
            <w:tcBorders>
              <w:top w:val="nil"/>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4322A426">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10.368</w:t>
            </w:r>
          </w:p>
        </w:tc>
      </w:tr>
      <w:tr w14:paraId="32404F58">
        <w:tblPrEx>
          <w:tblCellMar>
            <w:top w:w="0" w:type="dxa"/>
            <w:left w:w="108" w:type="dxa"/>
            <w:bottom w:w="0" w:type="dxa"/>
            <w:right w:w="108" w:type="dxa"/>
          </w:tblCellMar>
        </w:tblPrEx>
        <w:trPr>
          <w:trHeight w:val="397" w:hRule="atLeast"/>
        </w:trPr>
        <w:tc>
          <w:tcPr>
            <w:tcW w:w="318" w:type="pct"/>
            <w:vMerge w:val="continue"/>
            <w:tcBorders>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24E7BF20">
            <w:pPr>
              <w:widowControl/>
              <w:spacing w:line="240" w:lineRule="auto"/>
              <w:ind w:firstLine="0" w:firstLineChars="0"/>
              <w:jc w:val="center"/>
              <w:rPr>
                <w:rFonts w:ascii="宋体" w:hAnsi="宋体" w:cs="宋体"/>
                <w:color w:val="000000"/>
                <w:kern w:val="0"/>
                <w:sz w:val="21"/>
                <w:szCs w:val="21"/>
              </w:rPr>
            </w:pPr>
          </w:p>
        </w:tc>
        <w:tc>
          <w:tcPr>
            <w:tcW w:w="777" w:type="pct"/>
            <w:vMerge w:val="continue"/>
            <w:tcBorders>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3A2F744F">
            <w:pPr>
              <w:widowControl/>
              <w:spacing w:line="240" w:lineRule="auto"/>
              <w:ind w:firstLine="0" w:firstLineChars="0"/>
              <w:jc w:val="center"/>
              <w:rPr>
                <w:rFonts w:ascii="宋体" w:hAnsi="宋体" w:cs="宋体"/>
                <w:color w:val="000000"/>
                <w:kern w:val="0"/>
                <w:sz w:val="21"/>
                <w:szCs w:val="21"/>
              </w:rPr>
            </w:pPr>
          </w:p>
        </w:tc>
        <w:tc>
          <w:tcPr>
            <w:tcW w:w="1121" w:type="pct"/>
            <w:tcBorders>
              <w:top w:val="nil"/>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481F1328">
            <w:pPr>
              <w:widowControl/>
              <w:spacing w:line="240" w:lineRule="auto"/>
              <w:ind w:firstLine="0" w:firstLineChars="0"/>
              <w:jc w:val="center"/>
              <w:rPr>
                <w:rFonts w:hint="eastAsia" w:ascii="宋体" w:hAnsi="宋体" w:cs="宋体"/>
                <w:color w:val="000000"/>
                <w:kern w:val="0"/>
                <w:sz w:val="21"/>
                <w:szCs w:val="21"/>
              </w:rPr>
            </w:pPr>
            <w:r>
              <w:rPr>
                <w:rFonts w:hint="eastAsia" w:ascii="宋体" w:hAnsi="宋体" w:cs="宋体"/>
                <w:color w:val="000000"/>
                <w:kern w:val="0"/>
                <w:sz w:val="21"/>
                <w:szCs w:val="21"/>
              </w:rPr>
              <w:t>民警上传检</w:t>
            </w:r>
          </w:p>
          <w:p w14:paraId="668E4382">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查隐患照片</w:t>
            </w:r>
          </w:p>
        </w:tc>
        <w:tc>
          <w:tcPr>
            <w:tcW w:w="421" w:type="pct"/>
            <w:tcBorders>
              <w:top w:val="nil"/>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5BEF77C3">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图片</w:t>
            </w:r>
          </w:p>
        </w:tc>
        <w:tc>
          <w:tcPr>
            <w:tcW w:w="889" w:type="pct"/>
            <w:tcBorders>
              <w:top w:val="nil"/>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78A5CA99">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240000.00</w:t>
            </w:r>
          </w:p>
        </w:tc>
        <w:tc>
          <w:tcPr>
            <w:tcW w:w="685" w:type="pct"/>
            <w:tcBorders>
              <w:top w:val="nil"/>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0BBD052B">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2</w:t>
            </w:r>
          </w:p>
        </w:tc>
        <w:tc>
          <w:tcPr>
            <w:tcW w:w="787" w:type="pct"/>
            <w:tcBorders>
              <w:top w:val="nil"/>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65A1F191">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17.28</w:t>
            </w:r>
          </w:p>
        </w:tc>
      </w:tr>
      <w:tr w14:paraId="36AF5780">
        <w:tblPrEx>
          <w:tblCellMar>
            <w:top w:w="0" w:type="dxa"/>
            <w:left w:w="108" w:type="dxa"/>
            <w:bottom w:w="0" w:type="dxa"/>
            <w:right w:w="108" w:type="dxa"/>
          </w:tblCellMar>
        </w:tblPrEx>
        <w:trPr>
          <w:trHeight w:val="397" w:hRule="atLeast"/>
        </w:trPr>
        <w:tc>
          <w:tcPr>
            <w:tcW w:w="318" w:type="pct"/>
            <w:vMerge w:val="restar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658C6B68">
            <w:pPr>
              <w:widowControl/>
              <w:spacing w:line="240" w:lineRule="auto"/>
              <w:ind w:firstLine="0" w:firstLineChars="0"/>
              <w:jc w:val="center"/>
              <w:rPr>
                <w:rFonts w:hint="eastAsia" w:ascii="宋体" w:hAnsi="宋体" w:cs="宋体"/>
                <w:color w:val="000000"/>
                <w:kern w:val="0"/>
                <w:sz w:val="21"/>
                <w:szCs w:val="21"/>
              </w:rPr>
            </w:pPr>
            <w:r>
              <w:rPr>
                <w:rFonts w:hint="eastAsia" w:ascii="宋体" w:hAnsi="宋体" w:cs="宋体"/>
                <w:color w:val="000000"/>
                <w:kern w:val="0"/>
                <w:sz w:val="21"/>
                <w:szCs w:val="21"/>
              </w:rPr>
              <w:t>2</w:t>
            </w:r>
          </w:p>
        </w:tc>
        <w:tc>
          <w:tcPr>
            <w:tcW w:w="777" w:type="pct"/>
            <w:vMerge w:val="restar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15B8496B">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智慧队站管理应用</w:t>
            </w:r>
          </w:p>
        </w:tc>
        <w:tc>
          <w:tcPr>
            <w:tcW w:w="1121"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22A04C25">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人员上传请销假数据（照片）</w:t>
            </w:r>
          </w:p>
        </w:tc>
        <w:tc>
          <w:tcPr>
            <w:tcW w:w="421"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7DDC6500">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图片</w:t>
            </w:r>
          </w:p>
        </w:tc>
        <w:tc>
          <w:tcPr>
            <w:tcW w:w="889"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5726A978">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6000.00</w:t>
            </w:r>
          </w:p>
        </w:tc>
        <w:tc>
          <w:tcPr>
            <w:tcW w:w="685"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14B8DD90">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2</w:t>
            </w:r>
          </w:p>
        </w:tc>
        <w:tc>
          <w:tcPr>
            <w:tcW w:w="787"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52E660E8">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0.432</w:t>
            </w:r>
          </w:p>
        </w:tc>
      </w:tr>
      <w:tr w14:paraId="4FD84F6F">
        <w:tblPrEx>
          <w:tblCellMar>
            <w:top w:w="0" w:type="dxa"/>
            <w:left w:w="108" w:type="dxa"/>
            <w:bottom w:w="0" w:type="dxa"/>
            <w:right w:w="108" w:type="dxa"/>
          </w:tblCellMar>
        </w:tblPrEx>
        <w:trPr>
          <w:trHeight w:val="397" w:hRule="atLeast"/>
        </w:trPr>
        <w:tc>
          <w:tcPr>
            <w:tcW w:w="318" w:type="pct"/>
            <w:vMerge w:val="continue"/>
            <w:tcBorders>
              <w:top w:val="single" w:color="auto" w:sz="4" w:space="0"/>
              <w:left w:val="single" w:color="auto" w:sz="4" w:space="0"/>
              <w:bottom w:val="single" w:color="auto" w:sz="4" w:space="0"/>
              <w:right w:val="single" w:color="auto" w:sz="4" w:space="0"/>
            </w:tcBorders>
            <w:noWrap w:val="0"/>
            <w:vAlign w:val="center"/>
          </w:tcPr>
          <w:p w14:paraId="5FB6479E">
            <w:pPr>
              <w:widowControl/>
              <w:spacing w:line="240" w:lineRule="auto"/>
              <w:ind w:firstLine="0" w:firstLineChars="0"/>
              <w:jc w:val="left"/>
              <w:rPr>
                <w:rFonts w:ascii="宋体" w:hAnsi="宋体" w:cs="宋体"/>
                <w:color w:val="000000"/>
                <w:kern w:val="0"/>
                <w:sz w:val="21"/>
                <w:szCs w:val="21"/>
              </w:rPr>
            </w:pPr>
          </w:p>
        </w:tc>
        <w:tc>
          <w:tcPr>
            <w:tcW w:w="777" w:type="pct"/>
            <w:vMerge w:val="continue"/>
            <w:tcBorders>
              <w:top w:val="single" w:color="auto" w:sz="4" w:space="0"/>
              <w:left w:val="single" w:color="auto" w:sz="4" w:space="0"/>
              <w:bottom w:val="single" w:color="auto" w:sz="4" w:space="0"/>
              <w:right w:val="single" w:color="auto" w:sz="4" w:space="0"/>
            </w:tcBorders>
            <w:noWrap w:val="0"/>
            <w:vAlign w:val="center"/>
          </w:tcPr>
          <w:p w14:paraId="1D762CC0">
            <w:pPr>
              <w:widowControl/>
              <w:spacing w:line="240" w:lineRule="auto"/>
              <w:ind w:firstLine="0" w:firstLineChars="0"/>
              <w:jc w:val="left"/>
              <w:rPr>
                <w:rFonts w:ascii="宋体" w:hAnsi="宋体" w:cs="宋体"/>
                <w:color w:val="000000"/>
                <w:kern w:val="0"/>
                <w:sz w:val="21"/>
                <w:szCs w:val="21"/>
              </w:rPr>
            </w:pPr>
          </w:p>
        </w:tc>
        <w:tc>
          <w:tcPr>
            <w:tcW w:w="1121"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0DBB8AA5">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访客登记数据（证件照片）</w:t>
            </w:r>
          </w:p>
        </w:tc>
        <w:tc>
          <w:tcPr>
            <w:tcW w:w="421"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465EF32F">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图片</w:t>
            </w:r>
          </w:p>
        </w:tc>
        <w:tc>
          <w:tcPr>
            <w:tcW w:w="889"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3BF8FE37">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15000.00</w:t>
            </w:r>
          </w:p>
        </w:tc>
        <w:tc>
          <w:tcPr>
            <w:tcW w:w="685"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5F5386CA">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2</w:t>
            </w:r>
          </w:p>
        </w:tc>
        <w:tc>
          <w:tcPr>
            <w:tcW w:w="787"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282246A8">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1.08</w:t>
            </w:r>
          </w:p>
        </w:tc>
      </w:tr>
      <w:tr w14:paraId="7CA47C57">
        <w:tblPrEx>
          <w:tblCellMar>
            <w:top w:w="0" w:type="dxa"/>
            <w:left w:w="108" w:type="dxa"/>
            <w:bottom w:w="0" w:type="dxa"/>
            <w:right w:w="108" w:type="dxa"/>
          </w:tblCellMar>
        </w:tblPrEx>
        <w:trPr>
          <w:trHeight w:val="397" w:hRule="atLeast"/>
        </w:trPr>
        <w:tc>
          <w:tcPr>
            <w:tcW w:w="318"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3DDBF4A6">
            <w:pPr>
              <w:widowControl/>
              <w:spacing w:line="240" w:lineRule="auto"/>
              <w:ind w:firstLine="0" w:firstLineChars="0"/>
              <w:jc w:val="center"/>
              <w:rPr>
                <w:rFonts w:hint="eastAsia" w:ascii="宋体" w:hAnsi="宋体" w:cs="宋体"/>
                <w:color w:val="000000"/>
                <w:kern w:val="0"/>
                <w:sz w:val="21"/>
                <w:szCs w:val="21"/>
              </w:rPr>
            </w:pPr>
            <w:r>
              <w:rPr>
                <w:rFonts w:hint="eastAsia" w:ascii="宋体" w:hAnsi="宋体" w:cs="宋体"/>
                <w:color w:val="000000"/>
                <w:kern w:val="0"/>
                <w:sz w:val="21"/>
                <w:szCs w:val="21"/>
              </w:rPr>
              <w:t>3</w:t>
            </w:r>
          </w:p>
        </w:tc>
        <w:tc>
          <w:tcPr>
            <w:tcW w:w="777"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2B8AA83F">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公众服务应用</w:t>
            </w:r>
          </w:p>
        </w:tc>
        <w:tc>
          <w:tcPr>
            <w:tcW w:w="1121"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70A11419">
            <w:pPr>
              <w:widowControl/>
              <w:spacing w:line="240" w:lineRule="auto"/>
              <w:ind w:firstLine="0" w:firstLineChars="0"/>
              <w:jc w:val="center"/>
              <w:rPr>
                <w:rFonts w:hint="eastAsia" w:ascii="宋体" w:hAnsi="宋体" w:cs="宋体"/>
                <w:color w:val="000000"/>
                <w:kern w:val="0"/>
                <w:sz w:val="21"/>
                <w:szCs w:val="21"/>
              </w:rPr>
            </w:pPr>
            <w:r>
              <w:rPr>
                <w:rFonts w:hint="eastAsia" w:ascii="宋体" w:hAnsi="宋体" w:cs="宋体"/>
                <w:color w:val="000000"/>
                <w:kern w:val="0"/>
                <w:sz w:val="21"/>
                <w:szCs w:val="21"/>
              </w:rPr>
              <w:t>公众隐患</w:t>
            </w:r>
          </w:p>
          <w:p w14:paraId="1D965DE5">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举报数据</w:t>
            </w:r>
          </w:p>
        </w:tc>
        <w:tc>
          <w:tcPr>
            <w:tcW w:w="421"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5C3F7DB1">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图片</w:t>
            </w:r>
          </w:p>
        </w:tc>
        <w:tc>
          <w:tcPr>
            <w:tcW w:w="889"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72D4AFB4">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15000.00</w:t>
            </w:r>
          </w:p>
        </w:tc>
        <w:tc>
          <w:tcPr>
            <w:tcW w:w="685"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5DFC1E47">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2</w:t>
            </w:r>
          </w:p>
        </w:tc>
        <w:tc>
          <w:tcPr>
            <w:tcW w:w="787"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6C317412">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1.08</w:t>
            </w:r>
          </w:p>
        </w:tc>
      </w:tr>
      <w:tr w14:paraId="260092C6">
        <w:tblPrEx>
          <w:tblCellMar>
            <w:top w:w="0" w:type="dxa"/>
            <w:left w:w="108" w:type="dxa"/>
            <w:bottom w:w="0" w:type="dxa"/>
            <w:right w:w="108" w:type="dxa"/>
          </w:tblCellMar>
        </w:tblPrEx>
        <w:trPr>
          <w:trHeight w:val="397" w:hRule="atLeast"/>
        </w:trPr>
        <w:tc>
          <w:tcPr>
            <w:tcW w:w="318"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7479BA75">
            <w:pPr>
              <w:widowControl/>
              <w:spacing w:line="240" w:lineRule="auto"/>
              <w:ind w:firstLine="0" w:firstLineChars="0"/>
              <w:jc w:val="left"/>
              <w:rPr>
                <w:rFonts w:ascii="宋体" w:hAnsi="宋体" w:cs="宋体"/>
                <w:color w:val="000000"/>
                <w:kern w:val="0"/>
                <w:sz w:val="21"/>
                <w:szCs w:val="21"/>
              </w:rPr>
            </w:pPr>
          </w:p>
        </w:tc>
        <w:tc>
          <w:tcPr>
            <w:tcW w:w="777"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6A9DF0A9">
            <w:pPr>
              <w:widowControl/>
              <w:spacing w:line="240" w:lineRule="auto"/>
              <w:ind w:firstLine="0" w:firstLineChars="0"/>
              <w:jc w:val="left"/>
              <w:rPr>
                <w:rFonts w:ascii="宋体" w:hAnsi="宋体" w:cs="宋体"/>
                <w:color w:val="000000"/>
                <w:kern w:val="0"/>
                <w:sz w:val="21"/>
                <w:szCs w:val="21"/>
              </w:rPr>
            </w:pPr>
          </w:p>
        </w:tc>
        <w:tc>
          <w:tcPr>
            <w:tcW w:w="1121"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7C397BE2">
            <w:pPr>
              <w:widowControl/>
              <w:spacing w:line="240" w:lineRule="auto"/>
              <w:ind w:firstLine="0" w:firstLineChars="0"/>
              <w:jc w:val="left"/>
              <w:rPr>
                <w:rFonts w:ascii="宋体" w:hAnsi="宋体" w:cs="宋体"/>
                <w:color w:val="000000"/>
                <w:kern w:val="0"/>
                <w:sz w:val="21"/>
                <w:szCs w:val="21"/>
              </w:rPr>
            </w:pPr>
          </w:p>
        </w:tc>
        <w:tc>
          <w:tcPr>
            <w:tcW w:w="421"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4FCA082B">
            <w:pPr>
              <w:widowControl/>
              <w:spacing w:line="240" w:lineRule="auto"/>
              <w:ind w:firstLine="0" w:firstLineChars="0"/>
              <w:jc w:val="left"/>
              <w:rPr>
                <w:rFonts w:ascii="宋体" w:hAnsi="宋体" w:cs="宋体"/>
                <w:color w:val="000000"/>
                <w:kern w:val="0"/>
                <w:sz w:val="21"/>
                <w:szCs w:val="21"/>
              </w:rPr>
            </w:pPr>
          </w:p>
        </w:tc>
        <w:tc>
          <w:tcPr>
            <w:tcW w:w="889"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734B6014">
            <w:pPr>
              <w:widowControl/>
              <w:spacing w:line="240" w:lineRule="auto"/>
              <w:ind w:firstLine="0" w:firstLineChars="0"/>
              <w:jc w:val="left"/>
              <w:rPr>
                <w:rFonts w:ascii="宋体" w:hAnsi="宋体" w:cs="宋体"/>
                <w:color w:val="000000"/>
                <w:kern w:val="0"/>
                <w:sz w:val="21"/>
                <w:szCs w:val="21"/>
              </w:rPr>
            </w:pPr>
          </w:p>
        </w:tc>
        <w:tc>
          <w:tcPr>
            <w:tcW w:w="685"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7D6F8B42">
            <w:pPr>
              <w:widowControl/>
              <w:spacing w:line="240" w:lineRule="auto"/>
              <w:ind w:firstLine="0" w:firstLineChars="0"/>
              <w:jc w:val="left"/>
              <w:rPr>
                <w:rFonts w:ascii="宋体" w:hAnsi="宋体" w:cs="宋体"/>
                <w:color w:val="000000"/>
                <w:kern w:val="0"/>
                <w:sz w:val="21"/>
                <w:szCs w:val="21"/>
              </w:rPr>
            </w:pPr>
            <w:r>
              <w:rPr>
                <w:rFonts w:hint="eastAsia" w:ascii="宋体" w:hAnsi="宋体" w:cs="宋体"/>
                <w:color w:val="000000"/>
                <w:kern w:val="0"/>
                <w:sz w:val="21"/>
                <w:szCs w:val="21"/>
              </w:rPr>
              <w:t xml:space="preserve">  合计：</w:t>
            </w:r>
          </w:p>
        </w:tc>
        <w:tc>
          <w:tcPr>
            <w:tcW w:w="787" w:type="pct"/>
            <w:tcBorders>
              <w:top w:val="single" w:color="auto" w:sz="4" w:space="0"/>
              <w:left w:val="single" w:color="auto" w:sz="4" w:space="0"/>
              <w:bottom w:val="single" w:color="auto" w:sz="4" w:space="0"/>
              <w:right w:val="single" w:color="auto" w:sz="4" w:space="0"/>
            </w:tcBorders>
            <w:noWrap w:val="0"/>
            <w:tcMar>
              <w:top w:w="15" w:type="dxa"/>
              <w:left w:w="108" w:type="dxa"/>
              <w:bottom w:w="0" w:type="dxa"/>
              <w:right w:w="108" w:type="dxa"/>
            </w:tcMar>
            <w:vAlign w:val="center"/>
          </w:tcPr>
          <w:p w14:paraId="03EAFBB8">
            <w:pPr>
              <w:widowControl/>
              <w:spacing w:line="240" w:lineRule="auto"/>
              <w:ind w:firstLine="210" w:firstLineChars="100"/>
              <w:jc w:val="left"/>
              <w:rPr>
                <w:rFonts w:ascii="宋体" w:hAnsi="宋体" w:cs="宋体"/>
                <w:color w:val="000000"/>
                <w:kern w:val="0"/>
                <w:sz w:val="21"/>
                <w:szCs w:val="21"/>
              </w:rPr>
            </w:pPr>
            <w:r>
              <w:rPr>
                <w:rFonts w:ascii="宋体" w:hAnsi="宋体" w:cs="宋体"/>
                <w:color w:val="000000"/>
                <w:kern w:val="0"/>
                <w:sz w:val="21"/>
                <w:szCs w:val="21"/>
              </w:rPr>
              <w:t>30.24</w:t>
            </w:r>
          </w:p>
        </w:tc>
      </w:tr>
    </w:tbl>
    <w:p w14:paraId="6752B49C">
      <w:pPr>
        <w:rPr>
          <w:rFonts w:hint="eastAsia"/>
        </w:rPr>
      </w:pPr>
    </w:p>
    <w:p w14:paraId="0D51DF32">
      <w:pPr>
        <w:rPr>
          <w:rFonts w:hint="eastAsia"/>
        </w:rPr>
      </w:pPr>
      <w:r>
        <w:rPr>
          <w:rFonts w:hint="eastAsia"/>
        </w:rPr>
        <w:t>在消防安全综合监管工作中，全省按</w:t>
      </w:r>
      <w:r>
        <w:t>300</w:t>
      </w:r>
      <w:r>
        <w:rPr>
          <w:rFonts w:hint="eastAsia"/>
        </w:rPr>
        <w:t>个消防所来计算，每个消防所配备2名隐患检查员。每名工作人员每月按上传240张消防隐患照片估算。每月上传照片数量约为</w:t>
      </w:r>
      <w:r>
        <w:t>144000</w:t>
      </w:r>
      <w:r>
        <w:rPr>
          <w:rFonts w:hint="eastAsia"/>
        </w:rPr>
        <w:t>张。每张图片分辨率按</w:t>
      </w:r>
      <w:r>
        <w:t>1920*1080</w:t>
      </w:r>
      <w:r>
        <w:rPr>
          <w:rFonts w:hint="eastAsia"/>
        </w:rPr>
        <w:t>估算，单张图片大小约</w:t>
      </w:r>
      <w:r>
        <w:t xml:space="preserve">2MB. </w:t>
      </w:r>
      <w:r>
        <w:rPr>
          <w:rFonts w:hint="eastAsia"/>
        </w:rPr>
        <w:t>通过计算，</w:t>
      </w:r>
      <w:r>
        <w:t>3</w:t>
      </w:r>
      <w:r>
        <w:rPr>
          <w:rFonts w:hint="eastAsia"/>
        </w:rPr>
        <w:t>年消防所工作管理应用照片存储量约为</w:t>
      </w:r>
      <w:r>
        <w:t>10.368TB</w:t>
      </w:r>
      <w:r>
        <w:rPr>
          <w:rFonts w:hint="eastAsia"/>
        </w:rPr>
        <w:t>。</w:t>
      </w:r>
    </w:p>
    <w:p w14:paraId="6C98C3A8">
      <w:pPr>
        <w:rPr>
          <w:rFonts w:hint="eastAsia"/>
        </w:rPr>
      </w:pPr>
      <w:r>
        <w:rPr>
          <w:rFonts w:hint="eastAsia"/>
        </w:rPr>
        <w:t>在消防安全综合监管工作中，全省按</w:t>
      </w:r>
      <w:r>
        <w:t>1000</w:t>
      </w:r>
      <w:r>
        <w:rPr>
          <w:rFonts w:hint="eastAsia"/>
        </w:rPr>
        <w:t>个派出所估算，每个派出所大约配备</w:t>
      </w:r>
      <w:r>
        <w:t>2</w:t>
      </w:r>
      <w:r>
        <w:rPr>
          <w:rFonts w:hint="eastAsia"/>
        </w:rPr>
        <w:t>名民警进行防火监督检查任务，每名工作人员每月按上传</w:t>
      </w:r>
      <w:r>
        <w:t>120</w:t>
      </w:r>
      <w:r>
        <w:rPr>
          <w:rFonts w:hint="eastAsia"/>
        </w:rPr>
        <w:t>张消防隐患照片估算。每月上传照片数量约为</w:t>
      </w:r>
      <w:r>
        <w:t>240000</w:t>
      </w:r>
      <w:r>
        <w:rPr>
          <w:rFonts w:hint="eastAsia"/>
        </w:rPr>
        <w:t>张。每张图片分辨率按</w:t>
      </w:r>
      <w:r>
        <w:t>1920*1080</w:t>
      </w:r>
      <w:r>
        <w:rPr>
          <w:rFonts w:hint="eastAsia"/>
        </w:rPr>
        <w:t>估算，单张图片大小约</w:t>
      </w:r>
      <w:r>
        <w:t xml:space="preserve">2MB. </w:t>
      </w:r>
      <w:r>
        <w:rPr>
          <w:rFonts w:hint="eastAsia"/>
        </w:rPr>
        <w:t>通过计算，</w:t>
      </w:r>
      <w:r>
        <w:t>3</w:t>
      </w:r>
      <w:r>
        <w:rPr>
          <w:rFonts w:hint="eastAsia"/>
        </w:rPr>
        <w:t>年公安派出所防火监督管理照片存储量约为</w:t>
      </w:r>
      <w:r>
        <w:t>17.28TB</w:t>
      </w:r>
      <w:r>
        <w:rPr>
          <w:rFonts w:hint="eastAsia"/>
        </w:rPr>
        <w:t>。</w:t>
      </w:r>
    </w:p>
    <w:p w14:paraId="1722B062">
      <w:r>
        <w:rPr>
          <w:rFonts w:hint="eastAsia"/>
          <w:lang w:eastAsia="zh-CN"/>
        </w:rPr>
        <w:t>XXX</w:t>
      </w:r>
      <w:r>
        <w:rPr>
          <w:rFonts w:hint="eastAsia"/>
        </w:rPr>
        <w:t>全省消防每天请销假人数在</w:t>
      </w:r>
      <w:r>
        <w:t>200</w:t>
      </w:r>
      <w:r>
        <w:rPr>
          <w:rFonts w:hint="eastAsia"/>
        </w:rPr>
        <w:t>人左右，每次请销假上传一张照片，每个月上传</w:t>
      </w:r>
      <w:r>
        <w:t>6000</w:t>
      </w:r>
      <w:r>
        <w:rPr>
          <w:rFonts w:hint="eastAsia"/>
        </w:rPr>
        <w:t>张照片，每张图片分辨率按</w:t>
      </w:r>
      <w:r>
        <w:t>1920*1080</w:t>
      </w:r>
      <w:r>
        <w:rPr>
          <w:rFonts w:hint="eastAsia"/>
        </w:rPr>
        <w:t>估算，单张图片大小约</w:t>
      </w:r>
      <w:r>
        <w:t xml:space="preserve">2MB. </w:t>
      </w:r>
      <w:r>
        <w:rPr>
          <w:rFonts w:hint="eastAsia"/>
        </w:rPr>
        <w:t>通过计算，</w:t>
      </w:r>
      <w:r>
        <w:t>3</w:t>
      </w:r>
      <w:r>
        <w:rPr>
          <w:rFonts w:hint="eastAsia"/>
        </w:rPr>
        <w:t>年请销假照片存储量约为</w:t>
      </w:r>
      <w:r>
        <w:t>0.432TB.</w:t>
      </w:r>
    </w:p>
    <w:p w14:paraId="47BC41EF">
      <w:r>
        <w:rPr>
          <w:rFonts w:hint="eastAsia"/>
          <w:lang w:eastAsia="zh-CN"/>
        </w:rPr>
        <w:t>XXX</w:t>
      </w:r>
      <w:r>
        <w:rPr>
          <w:rFonts w:hint="eastAsia"/>
        </w:rPr>
        <w:t>全省消防每天访客登记在</w:t>
      </w:r>
      <w:r>
        <w:t>500</w:t>
      </w:r>
      <w:r>
        <w:rPr>
          <w:rFonts w:hint="eastAsia"/>
        </w:rPr>
        <w:t>人左右，每次访客登记需要上传一张证件照片。每个月上传</w:t>
      </w:r>
      <w:r>
        <w:t>15000</w:t>
      </w:r>
      <w:r>
        <w:rPr>
          <w:rFonts w:hint="eastAsia"/>
        </w:rPr>
        <w:t>张照片，每张图片分辨率按</w:t>
      </w:r>
      <w:r>
        <w:t>1920*1080</w:t>
      </w:r>
      <w:r>
        <w:rPr>
          <w:rFonts w:hint="eastAsia"/>
        </w:rPr>
        <w:t>估算，单张图片大小约</w:t>
      </w:r>
      <w:r>
        <w:t xml:space="preserve">2MB. </w:t>
      </w:r>
      <w:r>
        <w:rPr>
          <w:rFonts w:hint="eastAsia"/>
        </w:rPr>
        <w:t>通过计算，</w:t>
      </w:r>
      <w:r>
        <w:t>3</w:t>
      </w:r>
      <w:r>
        <w:rPr>
          <w:rFonts w:hint="eastAsia"/>
        </w:rPr>
        <w:t>年请销假照片存储量约为</w:t>
      </w:r>
      <w:r>
        <w:t>1.08TB.</w:t>
      </w:r>
    </w:p>
    <w:p w14:paraId="037B6E43">
      <w:r>
        <w:rPr>
          <w:rFonts w:hint="eastAsia"/>
          <w:lang w:eastAsia="zh-CN"/>
        </w:rPr>
        <w:t>XXX</w:t>
      </w:r>
      <w:r>
        <w:rPr>
          <w:rFonts w:hint="eastAsia"/>
        </w:rPr>
        <w:t>全省消防公众隐患举报在</w:t>
      </w:r>
      <w:r>
        <w:t>500</w:t>
      </w:r>
      <w:r>
        <w:rPr>
          <w:rFonts w:hint="eastAsia"/>
        </w:rPr>
        <w:t>次左右，假设每次举报上传一张隐患举报照片。每个月上传</w:t>
      </w:r>
      <w:r>
        <w:t>15000</w:t>
      </w:r>
      <w:r>
        <w:rPr>
          <w:rFonts w:hint="eastAsia"/>
        </w:rPr>
        <w:t>张照片，每张图片分辨率按</w:t>
      </w:r>
      <w:r>
        <w:t>1920*1080</w:t>
      </w:r>
      <w:r>
        <w:rPr>
          <w:rFonts w:hint="eastAsia"/>
        </w:rPr>
        <w:t>估算，单张图片大小约</w:t>
      </w:r>
      <w:r>
        <w:t xml:space="preserve">2MB. </w:t>
      </w:r>
      <w:r>
        <w:rPr>
          <w:rFonts w:hint="eastAsia"/>
        </w:rPr>
        <w:t>通过计算，</w:t>
      </w:r>
      <w:r>
        <w:t>3</w:t>
      </w:r>
      <w:r>
        <w:rPr>
          <w:rFonts w:hint="eastAsia"/>
        </w:rPr>
        <w:t>年公众隐患举报上传照片存储量约为</w:t>
      </w:r>
      <w:r>
        <w:t>1.08TB.</w:t>
      </w:r>
    </w:p>
    <w:p w14:paraId="5ECC00F3">
      <w:r>
        <w:rPr>
          <w:rFonts w:hint="eastAsia"/>
        </w:rPr>
        <w:t>根据以上测算，</w:t>
      </w:r>
      <w:r>
        <w:rPr>
          <w:rFonts w:hint="eastAsia"/>
          <w:lang w:eastAsia="zh-CN"/>
        </w:rPr>
        <w:t>XXX</w:t>
      </w:r>
      <w:r>
        <w:rPr>
          <w:rFonts w:hint="eastAsia"/>
        </w:rPr>
        <w:t>全省消防政务云照片存储量约为</w:t>
      </w:r>
      <w:r>
        <w:t xml:space="preserve">30.24TB. </w:t>
      </w:r>
      <w:r>
        <w:rPr>
          <w:rFonts w:hint="eastAsia"/>
        </w:rPr>
        <w:t>其中火灾防控类照片数据为</w:t>
      </w:r>
      <w:r>
        <w:t>27.648TB</w:t>
      </w:r>
      <w:r>
        <w:rPr>
          <w:rFonts w:hint="eastAsia"/>
        </w:rPr>
        <w:t>，综合保障类照片数据为</w:t>
      </w:r>
      <w:r>
        <w:t>1.08TB</w:t>
      </w:r>
      <w:r>
        <w:rPr>
          <w:rFonts w:hint="eastAsia"/>
        </w:rPr>
        <w:t>，队伍管理类照片数据为</w:t>
      </w:r>
      <w:r>
        <w:t>1.512TB</w:t>
      </w:r>
      <w:r>
        <w:rPr>
          <w:rFonts w:hint="eastAsia"/>
        </w:rPr>
        <w:t>。</w:t>
      </w:r>
    </w:p>
    <w:p w14:paraId="1836ED25">
      <w:pPr>
        <w:pStyle w:val="17"/>
        <w:widowControl/>
        <w:numPr>
          <w:ilvl w:val="0"/>
          <w:numId w:val="40"/>
        </w:numPr>
        <w:spacing w:after="120" w:afterLines="50"/>
        <w:ind w:firstLine="480"/>
        <w:jc w:val="left"/>
      </w:pPr>
      <w:r>
        <w:rPr>
          <w:rFonts w:hint="eastAsia"/>
        </w:rPr>
        <w:t>数据中台非结构化数据存储量</w:t>
      </w:r>
    </w:p>
    <w:p w14:paraId="39F16B08">
      <w:pPr>
        <w:pStyle w:val="15"/>
        <w:rPr>
          <w:rFonts w:hint="eastAsia" w:ascii="黑体" w:hAnsi="黑体" w:cs="黑体"/>
        </w:rPr>
      </w:pPr>
      <w:r>
        <w:rPr>
          <w:rFonts w:hint="eastAsia" w:ascii="黑体" w:hAnsi="黑体" w:cs="黑体"/>
        </w:rPr>
        <w:t>表3-20政务云数据中台非结构化数据存储量</w:t>
      </w:r>
    </w:p>
    <w:tbl>
      <w:tblPr>
        <w:tblStyle w:val="12"/>
        <w:tblW w:w="9071" w:type="dxa"/>
        <w:tblInd w:w="-260" w:type="dxa"/>
        <w:tblLayout w:type="autofit"/>
        <w:tblCellMar>
          <w:top w:w="0" w:type="dxa"/>
          <w:left w:w="108" w:type="dxa"/>
          <w:bottom w:w="0" w:type="dxa"/>
          <w:right w:w="108" w:type="dxa"/>
        </w:tblCellMar>
      </w:tblPr>
      <w:tblGrid>
        <w:gridCol w:w="852"/>
        <w:gridCol w:w="1779"/>
        <w:gridCol w:w="2241"/>
        <w:gridCol w:w="2506"/>
        <w:gridCol w:w="1693"/>
      </w:tblGrid>
      <w:tr w14:paraId="2CA1EC86">
        <w:tblPrEx>
          <w:tblCellMar>
            <w:top w:w="0" w:type="dxa"/>
            <w:left w:w="108" w:type="dxa"/>
            <w:bottom w:w="0" w:type="dxa"/>
            <w:right w:w="108" w:type="dxa"/>
          </w:tblCellMar>
        </w:tblPrEx>
        <w:trPr>
          <w:trHeight w:val="397" w:hRule="atLeast"/>
          <w:tblHeader/>
        </w:trPr>
        <w:tc>
          <w:tcPr>
            <w:tcW w:w="852" w:type="dxa"/>
            <w:tcBorders>
              <w:top w:val="single" w:color="auto" w:sz="4" w:space="0"/>
              <w:left w:val="single" w:color="auto" w:sz="4" w:space="0"/>
              <w:bottom w:val="single" w:color="auto" w:sz="4" w:space="0"/>
              <w:right w:val="single" w:color="auto" w:sz="4" w:space="0"/>
            </w:tcBorders>
            <w:shd w:val="clear" w:color="auto" w:fill="EEECE1"/>
            <w:noWrap w:val="0"/>
            <w:vAlign w:val="center"/>
          </w:tcPr>
          <w:p w14:paraId="3A3399FD">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序号</w:t>
            </w:r>
          </w:p>
        </w:tc>
        <w:tc>
          <w:tcPr>
            <w:tcW w:w="1779" w:type="dxa"/>
            <w:tcBorders>
              <w:top w:val="single" w:color="auto" w:sz="4" w:space="0"/>
              <w:left w:val="nil"/>
              <w:bottom w:val="single" w:color="auto" w:sz="4" w:space="0"/>
              <w:right w:val="single" w:color="auto" w:sz="4" w:space="0"/>
            </w:tcBorders>
            <w:shd w:val="clear" w:color="auto" w:fill="EEECE1"/>
            <w:noWrap w:val="0"/>
            <w:vAlign w:val="center"/>
          </w:tcPr>
          <w:p w14:paraId="5FAEB835">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系统名称</w:t>
            </w:r>
          </w:p>
        </w:tc>
        <w:tc>
          <w:tcPr>
            <w:tcW w:w="2241" w:type="dxa"/>
            <w:tcBorders>
              <w:top w:val="single" w:color="auto" w:sz="4" w:space="0"/>
              <w:left w:val="nil"/>
              <w:bottom w:val="single" w:color="auto" w:sz="4" w:space="0"/>
              <w:right w:val="single" w:color="auto" w:sz="4" w:space="0"/>
            </w:tcBorders>
            <w:shd w:val="clear" w:color="auto" w:fill="EEECE1"/>
            <w:noWrap w:val="0"/>
            <w:vAlign w:val="center"/>
          </w:tcPr>
          <w:p w14:paraId="4A30E85F">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数据来源</w:t>
            </w:r>
          </w:p>
        </w:tc>
        <w:tc>
          <w:tcPr>
            <w:tcW w:w="2506" w:type="dxa"/>
            <w:tcBorders>
              <w:top w:val="single" w:color="auto" w:sz="4" w:space="0"/>
              <w:left w:val="nil"/>
              <w:bottom w:val="single" w:color="auto" w:sz="4" w:space="0"/>
              <w:right w:val="single" w:color="auto" w:sz="4" w:space="0"/>
            </w:tcBorders>
            <w:shd w:val="clear" w:color="auto" w:fill="EEECE1"/>
            <w:noWrap w:val="0"/>
            <w:vAlign w:val="center"/>
          </w:tcPr>
          <w:p w14:paraId="47DF84ED">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数据类型</w:t>
            </w:r>
          </w:p>
        </w:tc>
        <w:tc>
          <w:tcPr>
            <w:tcW w:w="1693" w:type="dxa"/>
            <w:tcBorders>
              <w:top w:val="single" w:color="auto" w:sz="4" w:space="0"/>
              <w:left w:val="nil"/>
              <w:bottom w:val="single" w:color="auto" w:sz="4" w:space="0"/>
              <w:right w:val="single" w:color="auto" w:sz="4" w:space="0"/>
            </w:tcBorders>
            <w:shd w:val="clear" w:color="auto" w:fill="EEECE1"/>
            <w:noWrap w:val="0"/>
            <w:vAlign w:val="center"/>
          </w:tcPr>
          <w:p w14:paraId="6DFF2C31">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3年总量（TB）</w:t>
            </w:r>
          </w:p>
        </w:tc>
      </w:tr>
      <w:tr w14:paraId="20E557E0">
        <w:tblPrEx>
          <w:tblCellMar>
            <w:top w:w="0" w:type="dxa"/>
            <w:left w:w="108" w:type="dxa"/>
            <w:bottom w:w="0" w:type="dxa"/>
            <w:right w:w="108" w:type="dxa"/>
          </w:tblCellMar>
        </w:tblPrEx>
        <w:trPr>
          <w:trHeight w:val="397" w:hRule="atLeast"/>
        </w:trPr>
        <w:tc>
          <w:tcPr>
            <w:tcW w:w="852" w:type="dxa"/>
            <w:vMerge w:val="restart"/>
            <w:tcBorders>
              <w:top w:val="single" w:color="auto" w:sz="4" w:space="0"/>
              <w:left w:val="single" w:color="auto" w:sz="4" w:space="0"/>
              <w:bottom w:val="single" w:color="auto" w:sz="4" w:space="0"/>
              <w:right w:val="single" w:color="auto" w:sz="4" w:space="0"/>
            </w:tcBorders>
            <w:noWrap w:val="0"/>
            <w:vAlign w:val="center"/>
          </w:tcPr>
          <w:p w14:paraId="5A0ACED2">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w:t>
            </w:r>
          </w:p>
        </w:tc>
        <w:tc>
          <w:tcPr>
            <w:tcW w:w="1779" w:type="dxa"/>
            <w:vMerge w:val="restart"/>
            <w:tcBorders>
              <w:top w:val="single" w:color="auto" w:sz="4" w:space="0"/>
              <w:left w:val="single" w:color="auto" w:sz="4" w:space="0"/>
              <w:bottom w:val="single" w:color="auto" w:sz="4" w:space="0"/>
              <w:right w:val="single" w:color="auto" w:sz="4" w:space="0"/>
            </w:tcBorders>
            <w:noWrap w:val="0"/>
            <w:vAlign w:val="center"/>
          </w:tcPr>
          <w:p w14:paraId="6E4D77A4">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数据中台</w:t>
            </w:r>
          </w:p>
        </w:tc>
        <w:tc>
          <w:tcPr>
            <w:tcW w:w="2241" w:type="dxa"/>
            <w:tcBorders>
              <w:top w:val="single" w:color="auto" w:sz="4" w:space="0"/>
              <w:left w:val="nil"/>
              <w:bottom w:val="single" w:color="auto" w:sz="4" w:space="0"/>
              <w:right w:val="single" w:color="auto" w:sz="4" w:space="0"/>
            </w:tcBorders>
            <w:noWrap w:val="0"/>
            <w:vAlign w:val="center"/>
          </w:tcPr>
          <w:p w14:paraId="073042AA">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火灾防控类数据</w:t>
            </w:r>
          </w:p>
        </w:tc>
        <w:tc>
          <w:tcPr>
            <w:tcW w:w="2506" w:type="dxa"/>
            <w:tcBorders>
              <w:top w:val="single" w:color="auto" w:sz="4" w:space="0"/>
              <w:left w:val="nil"/>
              <w:bottom w:val="single" w:color="auto" w:sz="4" w:space="0"/>
              <w:right w:val="single" w:color="auto" w:sz="4" w:space="0"/>
            </w:tcBorders>
            <w:noWrap w:val="0"/>
            <w:vAlign w:val="center"/>
          </w:tcPr>
          <w:p w14:paraId="08A709CB">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非结构化数据</w:t>
            </w:r>
          </w:p>
        </w:tc>
        <w:tc>
          <w:tcPr>
            <w:tcW w:w="1693" w:type="dxa"/>
            <w:tcBorders>
              <w:top w:val="single" w:color="auto" w:sz="4" w:space="0"/>
              <w:left w:val="nil"/>
              <w:bottom w:val="single" w:color="auto" w:sz="4" w:space="0"/>
              <w:right w:val="single" w:color="auto" w:sz="4" w:space="0"/>
            </w:tcBorders>
            <w:noWrap w:val="0"/>
            <w:vAlign w:val="center"/>
          </w:tcPr>
          <w:p w14:paraId="6A20BFCC">
            <w:pPr>
              <w:widowControl/>
              <w:spacing w:line="240" w:lineRule="auto"/>
              <w:ind w:firstLine="0" w:firstLineChars="0"/>
              <w:jc w:val="center"/>
              <w:rPr>
                <w:rFonts w:ascii="宋体" w:hAnsi="宋体" w:cs="宋体"/>
                <w:color w:val="000000"/>
                <w:kern w:val="0"/>
                <w:sz w:val="21"/>
                <w:szCs w:val="21"/>
              </w:rPr>
            </w:pPr>
            <w:r>
              <w:rPr>
                <w:rFonts w:ascii="宋体" w:hAnsi="宋体" w:cs="宋体"/>
                <w:color w:val="000000"/>
                <w:kern w:val="0"/>
                <w:sz w:val="21"/>
                <w:szCs w:val="21"/>
              </w:rPr>
              <w:t>27.648</w:t>
            </w:r>
          </w:p>
        </w:tc>
      </w:tr>
      <w:tr w14:paraId="56CE8358">
        <w:tblPrEx>
          <w:tblCellMar>
            <w:top w:w="0" w:type="dxa"/>
            <w:left w:w="108" w:type="dxa"/>
            <w:bottom w:w="0" w:type="dxa"/>
            <w:right w:w="108" w:type="dxa"/>
          </w:tblCellMar>
        </w:tblPrEx>
        <w:trPr>
          <w:trHeight w:val="397" w:hRule="atLeast"/>
        </w:trPr>
        <w:tc>
          <w:tcPr>
            <w:tcW w:w="852" w:type="dxa"/>
            <w:vMerge w:val="continue"/>
            <w:tcBorders>
              <w:top w:val="single" w:color="auto" w:sz="4" w:space="0"/>
              <w:left w:val="single" w:color="auto" w:sz="4" w:space="0"/>
              <w:bottom w:val="single" w:color="auto" w:sz="4" w:space="0"/>
              <w:right w:val="single" w:color="auto" w:sz="4" w:space="0"/>
            </w:tcBorders>
            <w:noWrap w:val="0"/>
            <w:vAlign w:val="center"/>
          </w:tcPr>
          <w:p w14:paraId="2DABD63C">
            <w:pPr>
              <w:widowControl/>
              <w:spacing w:line="240" w:lineRule="auto"/>
              <w:ind w:firstLine="0" w:firstLineChars="0"/>
              <w:jc w:val="left"/>
              <w:rPr>
                <w:rFonts w:ascii="宋体" w:hAnsi="宋体" w:cs="宋体"/>
                <w:color w:val="000000"/>
                <w:kern w:val="0"/>
                <w:sz w:val="21"/>
                <w:szCs w:val="21"/>
              </w:rPr>
            </w:pPr>
          </w:p>
        </w:tc>
        <w:tc>
          <w:tcPr>
            <w:tcW w:w="1779" w:type="dxa"/>
            <w:vMerge w:val="continue"/>
            <w:tcBorders>
              <w:top w:val="single" w:color="auto" w:sz="4" w:space="0"/>
              <w:left w:val="single" w:color="auto" w:sz="4" w:space="0"/>
              <w:bottom w:val="single" w:color="auto" w:sz="4" w:space="0"/>
              <w:right w:val="single" w:color="auto" w:sz="4" w:space="0"/>
            </w:tcBorders>
            <w:noWrap w:val="0"/>
            <w:vAlign w:val="center"/>
          </w:tcPr>
          <w:p w14:paraId="7178AA14">
            <w:pPr>
              <w:widowControl/>
              <w:spacing w:line="240" w:lineRule="auto"/>
              <w:ind w:firstLine="0" w:firstLineChars="0"/>
              <w:jc w:val="left"/>
              <w:rPr>
                <w:rFonts w:ascii="宋体" w:hAnsi="宋体" w:cs="宋体"/>
                <w:color w:val="000000"/>
                <w:kern w:val="0"/>
                <w:sz w:val="21"/>
                <w:szCs w:val="21"/>
              </w:rPr>
            </w:pPr>
          </w:p>
        </w:tc>
        <w:tc>
          <w:tcPr>
            <w:tcW w:w="2241" w:type="dxa"/>
            <w:tcBorders>
              <w:top w:val="nil"/>
              <w:left w:val="nil"/>
              <w:bottom w:val="single" w:color="auto" w:sz="4" w:space="0"/>
              <w:right w:val="single" w:color="auto" w:sz="4" w:space="0"/>
            </w:tcBorders>
            <w:noWrap w:val="0"/>
            <w:vAlign w:val="center"/>
          </w:tcPr>
          <w:p w14:paraId="385EEF10">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灭火救援类数据</w:t>
            </w:r>
          </w:p>
        </w:tc>
        <w:tc>
          <w:tcPr>
            <w:tcW w:w="2506" w:type="dxa"/>
            <w:tcBorders>
              <w:top w:val="nil"/>
              <w:left w:val="nil"/>
              <w:bottom w:val="single" w:color="auto" w:sz="4" w:space="0"/>
              <w:right w:val="single" w:color="auto" w:sz="4" w:space="0"/>
            </w:tcBorders>
            <w:noWrap w:val="0"/>
            <w:vAlign w:val="center"/>
          </w:tcPr>
          <w:p w14:paraId="4162D911">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非结构化数据</w:t>
            </w:r>
          </w:p>
        </w:tc>
        <w:tc>
          <w:tcPr>
            <w:tcW w:w="1693" w:type="dxa"/>
            <w:tcBorders>
              <w:top w:val="nil"/>
              <w:left w:val="nil"/>
              <w:bottom w:val="single" w:color="auto" w:sz="4" w:space="0"/>
              <w:right w:val="single" w:color="auto" w:sz="4" w:space="0"/>
            </w:tcBorders>
            <w:noWrap w:val="0"/>
            <w:vAlign w:val="center"/>
          </w:tcPr>
          <w:p w14:paraId="4223CDF3">
            <w:pPr>
              <w:widowControl/>
              <w:spacing w:line="240" w:lineRule="auto"/>
              <w:ind w:firstLine="0" w:firstLineChars="0"/>
              <w:jc w:val="center"/>
              <w:rPr>
                <w:rFonts w:ascii="宋体" w:hAnsi="宋体" w:cs="宋体"/>
                <w:color w:val="000000"/>
                <w:kern w:val="0"/>
                <w:sz w:val="21"/>
                <w:szCs w:val="21"/>
              </w:rPr>
            </w:pPr>
            <w:r>
              <w:rPr>
                <w:rFonts w:ascii="宋体" w:hAnsi="宋体" w:cs="宋体"/>
                <w:color w:val="000000"/>
                <w:kern w:val="0"/>
                <w:sz w:val="21"/>
                <w:szCs w:val="21"/>
              </w:rPr>
              <w:t>15.711</w:t>
            </w:r>
          </w:p>
        </w:tc>
      </w:tr>
      <w:tr w14:paraId="5077EF2C">
        <w:tblPrEx>
          <w:tblCellMar>
            <w:top w:w="0" w:type="dxa"/>
            <w:left w:w="108" w:type="dxa"/>
            <w:bottom w:w="0" w:type="dxa"/>
            <w:right w:w="108" w:type="dxa"/>
          </w:tblCellMar>
        </w:tblPrEx>
        <w:trPr>
          <w:trHeight w:val="397" w:hRule="atLeast"/>
        </w:trPr>
        <w:tc>
          <w:tcPr>
            <w:tcW w:w="852" w:type="dxa"/>
            <w:vMerge w:val="continue"/>
            <w:tcBorders>
              <w:top w:val="single" w:color="auto" w:sz="4" w:space="0"/>
              <w:left w:val="single" w:color="auto" w:sz="4" w:space="0"/>
              <w:bottom w:val="single" w:color="auto" w:sz="4" w:space="0"/>
              <w:right w:val="single" w:color="auto" w:sz="4" w:space="0"/>
            </w:tcBorders>
            <w:noWrap w:val="0"/>
            <w:vAlign w:val="center"/>
          </w:tcPr>
          <w:p w14:paraId="40FCCEA0">
            <w:pPr>
              <w:widowControl/>
              <w:spacing w:line="240" w:lineRule="auto"/>
              <w:ind w:firstLine="0" w:firstLineChars="0"/>
              <w:jc w:val="left"/>
              <w:rPr>
                <w:rFonts w:ascii="宋体" w:hAnsi="宋体" w:cs="宋体"/>
                <w:color w:val="000000"/>
                <w:kern w:val="0"/>
                <w:sz w:val="21"/>
                <w:szCs w:val="21"/>
              </w:rPr>
            </w:pPr>
          </w:p>
        </w:tc>
        <w:tc>
          <w:tcPr>
            <w:tcW w:w="1779" w:type="dxa"/>
            <w:vMerge w:val="continue"/>
            <w:tcBorders>
              <w:top w:val="single" w:color="auto" w:sz="4" w:space="0"/>
              <w:left w:val="single" w:color="auto" w:sz="4" w:space="0"/>
              <w:bottom w:val="single" w:color="auto" w:sz="4" w:space="0"/>
              <w:right w:val="single" w:color="auto" w:sz="4" w:space="0"/>
            </w:tcBorders>
            <w:noWrap w:val="0"/>
            <w:vAlign w:val="center"/>
          </w:tcPr>
          <w:p w14:paraId="10584071">
            <w:pPr>
              <w:widowControl/>
              <w:spacing w:line="240" w:lineRule="auto"/>
              <w:ind w:firstLine="0" w:firstLineChars="0"/>
              <w:jc w:val="left"/>
              <w:rPr>
                <w:rFonts w:ascii="宋体" w:hAnsi="宋体" w:cs="宋体"/>
                <w:color w:val="000000"/>
                <w:kern w:val="0"/>
                <w:sz w:val="21"/>
                <w:szCs w:val="21"/>
              </w:rPr>
            </w:pPr>
          </w:p>
        </w:tc>
        <w:tc>
          <w:tcPr>
            <w:tcW w:w="2241" w:type="dxa"/>
            <w:tcBorders>
              <w:top w:val="nil"/>
              <w:left w:val="nil"/>
              <w:bottom w:val="single" w:color="auto" w:sz="4" w:space="0"/>
              <w:right w:val="single" w:color="auto" w:sz="4" w:space="0"/>
            </w:tcBorders>
            <w:noWrap w:val="0"/>
            <w:vAlign w:val="center"/>
          </w:tcPr>
          <w:p w14:paraId="0599213E">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综合保障类数据</w:t>
            </w:r>
          </w:p>
        </w:tc>
        <w:tc>
          <w:tcPr>
            <w:tcW w:w="2506" w:type="dxa"/>
            <w:tcBorders>
              <w:top w:val="nil"/>
              <w:left w:val="nil"/>
              <w:bottom w:val="single" w:color="auto" w:sz="4" w:space="0"/>
              <w:right w:val="single" w:color="auto" w:sz="4" w:space="0"/>
            </w:tcBorders>
            <w:noWrap w:val="0"/>
            <w:vAlign w:val="center"/>
          </w:tcPr>
          <w:p w14:paraId="05E7533D">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非结构化数据</w:t>
            </w:r>
          </w:p>
        </w:tc>
        <w:tc>
          <w:tcPr>
            <w:tcW w:w="1693" w:type="dxa"/>
            <w:tcBorders>
              <w:top w:val="nil"/>
              <w:left w:val="nil"/>
              <w:bottom w:val="single" w:color="auto" w:sz="4" w:space="0"/>
              <w:right w:val="single" w:color="auto" w:sz="4" w:space="0"/>
            </w:tcBorders>
            <w:noWrap w:val="0"/>
            <w:vAlign w:val="center"/>
          </w:tcPr>
          <w:p w14:paraId="4149B501">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1.08</w:t>
            </w:r>
          </w:p>
        </w:tc>
      </w:tr>
      <w:tr w14:paraId="004AB1DD">
        <w:tblPrEx>
          <w:tblCellMar>
            <w:top w:w="0" w:type="dxa"/>
            <w:left w:w="108" w:type="dxa"/>
            <w:bottom w:w="0" w:type="dxa"/>
            <w:right w:w="108" w:type="dxa"/>
          </w:tblCellMar>
        </w:tblPrEx>
        <w:trPr>
          <w:trHeight w:val="397" w:hRule="atLeast"/>
        </w:trPr>
        <w:tc>
          <w:tcPr>
            <w:tcW w:w="852" w:type="dxa"/>
            <w:vMerge w:val="continue"/>
            <w:tcBorders>
              <w:top w:val="single" w:color="auto" w:sz="4" w:space="0"/>
              <w:left w:val="single" w:color="auto" w:sz="4" w:space="0"/>
              <w:bottom w:val="single" w:color="auto" w:sz="4" w:space="0"/>
              <w:right w:val="single" w:color="auto" w:sz="4" w:space="0"/>
            </w:tcBorders>
            <w:noWrap w:val="0"/>
            <w:vAlign w:val="center"/>
          </w:tcPr>
          <w:p w14:paraId="3DF3701C">
            <w:pPr>
              <w:widowControl/>
              <w:spacing w:line="240" w:lineRule="auto"/>
              <w:ind w:firstLine="0" w:firstLineChars="0"/>
              <w:jc w:val="left"/>
              <w:rPr>
                <w:rFonts w:ascii="宋体" w:hAnsi="宋体" w:cs="宋体"/>
                <w:color w:val="000000"/>
                <w:kern w:val="0"/>
                <w:sz w:val="21"/>
                <w:szCs w:val="21"/>
              </w:rPr>
            </w:pPr>
          </w:p>
        </w:tc>
        <w:tc>
          <w:tcPr>
            <w:tcW w:w="1779" w:type="dxa"/>
            <w:vMerge w:val="continue"/>
            <w:tcBorders>
              <w:top w:val="single" w:color="auto" w:sz="4" w:space="0"/>
              <w:left w:val="single" w:color="auto" w:sz="4" w:space="0"/>
              <w:bottom w:val="single" w:color="auto" w:sz="4" w:space="0"/>
              <w:right w:val="single" w:color="auto" w:sz="4" w:space="0"/>
            </w:tcBorders>
            <w:noWrap w:val="0"/>
            <w:vAlign w:val="center"/>
          </w:tcPr>
          <w:p w14:paraId="6C795099">
            <w:pPr>
              <w:widowControl/>
              <w:spacing w:line="240" w:lineRule="auto"/>
              <w:ind w:firstLine="0" w:firstLineChars="0"/>
              <w:jc w:val="left"/>
              <w:rPr>
                <w:rFonts w:ascii="宋体" w:hAnsi="宋体" w:cs="宋体"/>
                <w:color w:val="000000"/>
                <w:kern w:val="0"/>
                <w:sz w:val="21"/>
                <w:szCs w:val="21"/>
              </w:rPr>
            </w:pPr>
          </w:p>
        </w:tc>
        <w:tc>
          <w:tcPr>
            <w:tcW w:w="2241" w:type="dxa"/>
            <w:tcBorders>
              <w:top w:val="nil"/>
              <w:left w:val="nil"/>
              <w:bottom w:val="single" w:color="auto" w:sz="4" w:space="0"/>
              <w:right w:val="single" w:color="auto" w:sz="4" w:space="0"/>
            </w:tcBorders>
            <w:noWrap w:val="0"/>
            <w:vAlign w:val="center"/>
          </w:tcPr>
          <w:p w14:paraId="2CF04A4B">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队伍管理类数据</w:t>
            </w:r>
          </w:p>
        </w:tc>
        <w:tc>
          <w:tcPr>
            <w:tcW w:w="2506" w:type="dxa"/>
            <w:tcBorders>
              <w:top w:val="nil"/>
              <w:left w:val="nil"/>
              <w:bottom w:val="single" w:color="auto" w:sz="4" w:space="0"/>
              <w:right w:val="single" w:color="auto" w:sz="4" w:space="0"/>
            </w:tcBorders>
            <w:noWrap w:val="0"/>
            <w:vAlign w:val="center"/>
          </w:tcPr>
          <w:p w14:paraId="24B06781">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非结构化数据</w:t>
            </w:r>
          </w:p>
        </w:tc>
        <w:tc>
          <w:tcPr>
            <w:tcW w:w="1693" w:type="dxa"/>
            <w:tcBorders>
              <w:top w:val="nil"/>
              <w:left w:val="nil"/>
              <w:bottom w:val="single" w:color="auto" w:sz="4" w:space="0"/>
              <w:right w:val="single" w:color="auto" w:sz="4" w:space="0"/>
            </w:tcBorders>
            <w:noWrap w:val="0"/>
            <w:vAlign w:val="center"/>
          </w:tcPr>
          <w:p w14:paraId="36D35646">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1.512</w:t>
            </w:r>
          </w:p>
        </w:tc>
      </w:tr>
      <w:tr w14:paraId="7F4E5181">
        <w:tblPrEx>
          <w:tblCellMar>
            <w:top w:w="0" w:type="dxa"/>
            <w:left w:w="108" w:type="dxa"/>
            <w:bottom w:w="0" w:type="dxa"/>
            <w:right w:w="108" w:type="dxa"/>
          </w:tblCellMar>
        </w:tblPrEx>
        <w:trPr>
          <w:trHeight w:val="397" w:hRule="atLeast"/>
        </w:trPr>
        <w:tc>
          <w:tcPr>
            <w:tcW w:w="7378" w:type="dxa"/>
            <w:gridSpan w:val="4"/>
            <w:tcBorders>
              <w:top w:val="nil"/>
              <w:left w:val="single" w:color="auto" w:sz="4" w:space="0"/>
              <w:bottom w:val="single" w:color="auto" w:sz="4" w:space="0"/>
              <w:right w:val="single" w:color="auto" w:sz="4" w:space="0"/>
            </w:tcBorders>
            <w:noWrap w:val="0"/>
            <w:vAlign w:val="center"/>
          </w:tcPr>
          <w:p w14:paraId="16DEDD7B">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合计：</w:t>
            </w:r>
          </w:p>
        </w:tc>
        <w:tc>
          <w:tcPr>
            <w:tcW w:w="1693" w:type="dxa"/>
            <w:tcBorders>
              <w:top w:val="nil"/>
              <w:left w:val="nil"/>
              <w:bottom w:val="single" w:color="auto" w:sz="4" w:space="0"/>
              <w:right w:val="single" w:color="auto" w:sz="4" w:space="0"/>
            </w:tcBorders>
            <w:noWrap w:val="0"/>
            <w:vAlign w:val="center"/>
          </w:tcPr>
          <w:p w14:paraId="5EE59E79">
            <w:pPr>
              <w:widowControl/>
              <w:spacing w:line="240" w:lineRule="auto"/>
              <w:ind w:firstLine="0" w:firstLineChars="0"/>
              <w:jc w:val="center"/>
              <w:rPr>
                <w:rFonts w:ascii="宋体" w:hAnsi="宋体" w:cs="宋体"/>
                <w:color w:val="000000"/>
                <w:kern w:val="0"/>
                <w:sz w:val="21"/>
                <w:szCs w:val="21"/>
              </w:rPr>
            </w:pPr>
            <w:r>
              <w:rPr>
                <w:rFonts w:ascii="宋体" w:hAnsi="宋体" w:cs="宋体"/>
                <w:color w:val="000000"/>
                <w:kern w:val="0"/>
                <w:sz w:val="21"/>
                <w:szCs w:val="21"/>
              </w:rPr>
              <w:t>45.951</w:t>
            </w:r>
          </w:p>
        </w:tc>
      </w:tr>
    </w:tbl>
    <w:p w14:paraId="585BB200">
      <w:pPr>
        <w:spacing w:before="240" w:beforeLines="100"/>
      </w:pPr>
      <w:r>
        <w:rPr>
          <w:rFonts w:hint="eastAsia"/>
        </w:rPr>
        <w:t>根据测算，火灾防控类非结构化数据为</w:t>
      </w:r>
      <w:r>
        <w:t>27.648TB</w:t>
      </w:r>
      <w:r>
        <w:rPr>
          <w:rFonts w:hint="eastAsia"/>
        </w:rPr>
        <w:t>，灭火救援类非结构化数据为</w:t>
      </w:r>
      <w:r>
        <w:t>15.711TB</w:t>
      </w:r>
      <w:r>
        <w:rPr>
          <w:rFonts w:hint="eastAsia"/>
        </w:rPr>
        <w:t>，综合保障类非结构化数据为</w:t>
      </w:r>
      <w:r>
        <w:t>1.08TB</w:t>
      </w:r>
      <w:r>
        <w:rPr>
          <w:rFonts w:hint="eastAsia"/>
        </w:rPr>
        <w:t>，队伍管理类非结构化数据为</w:t>
      </w:r>
      <w:r>
        <w:t>1.512TB</w:t>
      </w:r>
      <w:r>
        <w:rPr>
          <w:rFonts w:hint="eastAsia"/>
        </w:rPr>
        <w:t>，数据中台非结构化数据存储总合计约为</w:t>
      </w:r>
      <w:r>
        <w:t>45.951TB.</w:t>
      </w:r>
    </w:p>
    <w:p w14:paraId="4A72BDEA">
      <w:r>
        <w:rPr>
          <w:rFonts w:hint="eastAsia"/>
        </w:rPr>
        <w:t>通过以上分析测算，政务云结构化和非结构化存储资源需求估算为三年总量</w:t>
      </w:r>
      <w:r>
        <w:t xml:space="preserve">56.451TB.. </w:t>
      </w:r>
      <w:r>
        <w:rPr>
          <w:rFonts w:hint="eastAsia"/>
        </w:rPr>
        <w:t>按百分之</w:t>
      </w:r>
      <w:r>
        <w:t>20%</w:t>
      </w:r>
      <w:r>
        <w:rPr>
          <w:rFonts w:hint="eastAsia"/>
        </w:rPr>
        <w:t>冗余计算，并按照数据保留</w:t>
      </w:r>
      <w:r>
        <w:t>1</w:t>
      </w:r>
      <w:r>
        <w:rPr>
          <w:rFonts w:hint="eastAsia"/>
        </w:rPr>
        <w:t>个全备份量设计，至少需要约</w:t>
      </w:r>
      <w:r>
        <w:t>136TB</w:t>
      </w:r>
      <w:r>
        <w:rPr>
          <w:rFonts w:hint="eastAsia"/>
        </w:rPr>
        <w:t>存储量，成品软件部署资源需求全部依据咨询类似产品厂商推荐的部署配置要求得出结果，实际的存储资源需求量将根据情况变化做适当调整。</w:t>
      </w:r>
    </w:p>
    <w:p w14:paraId="338F8874">
      <w:pPr>
        <w:pStyle w:val="6"/>
      </w:pPr>
      <w:r>
        <w:rPr>
          <w:rFonts w:hint="eastAsia"/>
        </w:rPr>
        <w:t>3.4.3.3指挥信息网与电子政务外网间流量测算</w:t>
      </w:r>
    </w:p>
    <w:p w14:paraId="20392B21">
      <w:pPr>
        <w:pStyle w:val="8"/>
        <w:spacing w:before="120" w:after="120"/>
        <w:ind w:firstLine="0" w:firstLineChars="0"/>
        <w:rPr>
          <w:rFonts w:hint="eastAsia" w:ascii="黑体" w:hAnsi="黑体" w:cs="黑体"/>
        </w:rPr>
      </w:pPr>
      <w:r>
        <w:rPr>
          <w:rFonts w:hint="eastAsia" w:ascii="黑体" w:hAnsi="黑体" w:cs="黑体"/>
        </w:rPr>
        <w:t>表 3-21 流量测算表</w:t>
      </w:r>
    </w:p>
    <w:tbl>
      <w:tblPr>
        <w:tblStyle w:val="12"/>
        <w:tblW w:w="9075" w:type="dxa"/>
        <w:tblInd w:w="-357" w:type="dxa"/>
        <w:tblLayout w:type="fixed"/>
        <w:tblCellMar>
          <w:top w:w="0" w:type="dxa"/>
          <w:left w:w="108" w:type="dxa"/>
          <w:bottom w:w="0" w:type="dxa"/>
          <w:right w:w="108" w:type="dxa"/>
        </w:tblCellMar>
      </w:tblPr>
      <w:tblGrid>
        <w:gridCol w:w="969"/>
        <w:gridCol w:w="4815"/>
        <w:gridCol w:w="3291"/>
      </w:tblGrid>
      <w:tr w14:paraId="2CD3DF54">
        <w:tblPrEx>
          <w:tblCellMar>
            <w:top w:w="0" w:type="dxa"/>
            <w:left w:w="108" w:type="dxa"/>
            <w:bottom w:w="0" w:type="dxa"/>
            <w:right w:w="108" w:type="dxa"/>
          </w:tblCellMar>
        </w:tblPrEx>
        <w:trPr>
          <w:trHeight w:val="397" w:hRule="atLeast"/>
          <w:tblHeader/>
        </w:trPr>
        <w:tc>
          <w:tcPr>
            <w:tcW w:w="534" w:type="pct"/>
            <w:tcBorders>
              <w:top w:val="single" w:color="000000" w:sz="4" w:space="0"/>
              <w:left w:val="single" w:color="000000" w:sz="4" w:space="0"/>
              <w:bottom w:val="single" w:color="000000" w:sz="4" w:space="0"/>
              <w:right w:val="single" w:color="000000" w:sz="4" w:space="0"/>
            </w:tcBorders>
            <w:shd w:val="clear" w:color="auto" w:fill="EEECE1"/>
            <w:noWrap w:val="0"/>
            <w:vAlign w:val="center"/>
          </w:tcPr>
          <w:p w14:paraId="27FCD31C">
            <w:pPr>
              <w:spacing w:line="240" w:lineRule="auto"/>
              <w:ind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序号</w:t>
            </w:r>
          </w:p>
        </w:tc>
        <w:tc>
          <w:tcPr>
            <w:tcW w:w="2653" w:type="pct"/>
            <w:tcBorders>
              <w:top w:val="single" w:color="000000" w:sz="4" w:space="0"/>
              <w:left w:val="single" w:color="000000" w:sz="4" w:space="0"/>
              <w:bottom w:val="single" w:color="000000" w:sz="4" w:space="0"/>
              <w:right w:val="single" w:color="000000" w:sz="4" w:space="0"/>
            </w:tcBorders>
            <w:shd w:val="clear" w:color="auto" w:fill="EEECE1"/>
            <w:noWrap w:val="0"/>
            <w:vAlign w:val="center"/>
          </w:tcPr>
          <w:p w14:paraId="0446A851">
            <w:pPr>
              <w:spacing w:line="240" w:lineRule="auto"/>
              <w:ind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系统名称</w:t>
            </w:r>
          </w:p>
        </w:tc>
        <w:tc>
          <w:tcPr>
            <w:tcW w:w="1813" w:type="pct"/>
            <w:tcBorders>
              <w:top w:val="single" w:color="000000" w:sz="4" w:space="0"/>
              <w:left w:val="single" w:color="000000" w:sz="4" w:space="0"/>
              <w:bottom w:val="single" w:color="000000" w:sz="4" w:space="0"/>
              <w:right w:val="single" w:color="000000" w:sz="4" w:space="0"/>
            </w:tcBorders>
            <w:shd w:val="clear" w:color="auto" w:fill="EEECE1"/>
            <w:noWrap w:val="0"/>
            <w:vAlign w:val="center"/>
          </w:tcPr>
          <w:p w14:paraId="498CF824">
            <w:pPr>
              <w:spacing w:line="240" w:lineRule="auto"/>
              <w:ind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跨网数据交换流量（TB/年）</w:t>
            </w:r>
          </w:p>
        </w:tc>
      </w:tr>
      <w:tr w14:paraId="0F0305F6">
        <w:tblPrEx>
          <w:tblCellMar>
            <w:top w:w="0" w:type="dxa"/>
            <w:left w:w="108" w:type="dxa"/>
            <w:bottom w:w="0" w:type="dxa"/>
            <w:right w:w="108" w:type="dxa"/>
          </w:tblCellMar>
        </w:tblPrEx>
        <w:trPr>
          <w:trHeight w:val="397" w:hRule="atLeast"/>
        </w:trPr>
        <w:tc>
          <w:tcPr>
            <w:tcW w:w="534" w:type="pct"/>
            <w:tcBorders>
              <w:top w:val="single" w:color="000000" w:sz="4" w:space="0"/>
              <w:left w:val="single" w:color="000000" w:sz="4" w:space="0"/>
              <w:bottom w:val="single" w:color="000000" w:sz="4" w:space="0"/>
              <w:right w:val="single" w:color="000000" w:sz="4" w:space="0"/>
            </w:tcBorders>
            <w:noWrap w:val="0"/>
            <w:vAlign w:val="center"/>
          </w:tcPr>
          <w:p w14:paraId="7522B785">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c>
          <w:tcPr>
            <w:tcW w:w="2653" w:type="pct"/>
            <w:tcBorders>
              <w:top w:val="single" w:color="000000" w:sz="4" w:space="0"/>
              <w:left w:val="single" w:color="000000" w:sz="4" w:space="0"/>
              <w:bottom w:val="single" w:color="000000" w:sz="4" w:space="0"/>
              <w:right w:val="single" w:color="000000" w:sz="4" w:space="0"/>
            </w:tcBorders>
            <w:noWrap w:val="0"/>
            <w:vAlign w:val="center"/>
          </w:tcPr>
          <w:p w14:paraId="120EE70F">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全省火灾防控综合一张图</w:t>
            </w:r>
          </w:p>
        </w:tc>
        <w:tc>
          <w:tcPr>
            <w:tcW w:w="1813" w:type="pct"/>
            <w:tcBorders>
              <w:top w:val="single" w:color="000000" w:sz="4" w:space="0"/>
              <w:left w:val="single" w:color="000000" w:sz="4" w:space="0"/>
              <w:bottom w:val="single" w:color="000000" w:sz="4" w:space="0"/>
              <w:right w:val="single" w:color="000000" w:sz="4" w:space="0"/>
            </w:tcBorders>
            <w:noWrap w:val="0"/>
            <w:vAlign w:val="center"/>
          </w:tcPr>
          <w:p w14:paraId="34D1D0E3">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0.1</w:t>
            </w:r>
          </w:p>
        </w:tc>
      </w:tr>
      <w:tr w14:paraId="5430B164">
        <w:tblPrEx>
          <w:tblCellMar>
            <w:top w:w="0" w:type="dxa"/>
            <w:left w:w="108" w:type="dxa"/>
            <w:bottom w:w="0" w:type="dxa"/>
            <w:right w:w="108" w:type="dxa"/>
          </w:tblCellMar>
        </w:tblPrEx>
        <w:trPr>
          <w:trHeight w:val="397" w:hRule="atLeast"/>
        </w:trPr>
        <w:tc>
          <w:tcPr>
            <w:tcW w:w="534" w:type="pct"/>
            <w:tcBorders>
              <w:top w:val="single" w:color="000000" w:sz="4" w:space="0"/>
              <w:left w:val="single" w:color="000000" w:sz="4" w:space="0"/>
              <w:bottom w:val="single" w:color="000000" w:sz="4" w:space="0"/>
              <w:right w:val="single" w:color="000000" w:sz="4" w:space="0"/>
            </w:tcBorders>
            <w:noWrap w:val="0"/>
            <w:vAlign w:val="center"/>
          </w:tcPr>
          <w:p w14:paraId="2534CCEB">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2</w:t>
            </w:r>
          </w:p>
        </w:tc>
        <w:tc>
          <w:tcPr>
            <w:tcW w:w="2653" w:type="pct"/>
            <w:tcBorders>
              <w:top w:val="single" w:color="000000" w:sz="4" w:space="0"/>
              <w:left w:val="single" w:color="000000" w:sz="4" w:space="0"/>
              <w:bottom w:val="single" w:color="000000" w:sz="4" w:space="0"/>
              <w:right w:val="single" w:color="000000" w:sz="4" w:space="0"/>
            </w:tcBorders>
            <w:noWrap w:val="0"/>
            <w:vAlign w:val="center"/>
          </w:tcPr>
          <w:p w14:paraId="6F8E9F1A">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消防安全综合监管应用</w:t>
            </w:r>
          </w:p>
        </w:tc>
        <w:tc>
          <w:tcPr>
            <w:tcW w:w="1813" w:type="pct"/>
            <w:tcBorders>
              <w:top w:val="single" w:color="000000" w:sz="4" w:space="0"/>
              <w:left w:val="single" w:color="000000" w:sz="4" w:space="0"/>
              <w:bottom w:val="single" w:color="000000" w:sz="4" w:space="0"/>
              <w:right w:val="single" w:color="000000" w:sz="4" w:space="0"/>
            </w:tcBorders>
            <w:noWrap w:val="0"/>
            <w:vAlign w:val="center"/>
          </w:tcPr>
          <w:p w14:paraId="4A1023A8">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r>
      <w:tr w14:paraId="4EFECA68">
        <w:tblPrEx>
          <w:tblCellMar>
            <w:top w:w="0" w:type="dxa"/>
            <w:left w:w="108" w:type="dxa"/>
            <w:bottom w:w="0" w:type="dxa"/>
            <w:right w:w="108" w:type="dxa"/>
          </w:tblCellMar>
        </w:tblPrEx>
        <w:trPr>
          <w:trHeight w:val="397" w:hRule="atLeast"/>
        </w:trPr>
        <w:tc>
          <w:tcPr>
            <w:tcW w:w="534" w:type="pct"/>
            <w:tcBorders>
              <w:top w:val="single" w:color="000000" w:sz="4" w:space="0"/>
              <w:left w:val="single" w:color="000000" w:sz="4" w:space="0"/>
              <w:bottom w:val="single" w:color="000000" w:sz="4" w:space="0"/>
              <w:right w:val="single" w:color="000000" w:sz="4" w:space="0"/>
            </w:tcBorders>
            <w:noWrap w:val="0"/>
            <w:vAlign w:val="center"/>
          </w:tcPr>
          <w:p w14:paraId="4EF51769">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3</w:t>
            </w:r>
          </w:p>
        </w:tc>
        <w:tc>
          <w:tcPr>
            <w:tcW w:w="2653" w:type="pct"/>
            <w:tcBorders>
              <w:top w:val="single" w:color="000000" w:sz="4" w:space="0"/>
              <w:left w:val="single" w:color="000000" w:sz="4" w:space="0"/>
              <w:bottom w:val="single" w:color="000000" w:sz="4" w:space="0"/>
              <w:right w:val="single" w:color="000000" w:sz="4" w:space="0"/>
            </w:tcBorders>
            <w:noWrap w:val="0"/>
            <w:vAlign w:val="center"/>
          </w:tcPr>
          <w:p w14:paraId="6351DBA0">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火灾风险评估应用</w:t>
            </w:r>
          </w:p>
        </w:tc>
        <w:tc>
          <w:tcPr>
            <w:tcW w:w="1813" w:type="pct"/>
            <w:tcBorders>
              <w:top w:val="single" w:color="000000" w:sz="4" w:space="0"/>
              <w:left w:val="single" w:color="000000" w:sz="4" w:space="0"/>
              <w:bottom w:val="single" w:color="000000" w:sz="4" w:space="0"/>
              <w:right w:val="single" w:color="000000" w:sz="4" w:space="0"/>
            </w:tcBorders>
            <w:noWrap w:val="0"/>
            <w:vAlign w:val="center"/>
          </w:tcPr>
          <w:p w14:paraId="47C58B1F">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0.1</w:t>
            </w:r>
          </w:p>
        </w:tc>
      </w:tr>
      <w:tr w14:paraId="3ABF975B">
        <w:tblPrEx>
          <w:tblCellMar>
            <w:top w:w="0" w:type="dxa"/>
            <w:left w:w="108" w:type="dxa"/>
            <w:bottom w:w="0" w:type="dxa"/>
            <w:right w:w="108" w:type="dxa"/>
          </w:tblCellMar>
        </w:tblPrEx>
        <w:trPr>
          <w:trHeight w:val="397" w:hRule="atLeast"/>
        </w:trPr>
        <w:tc>
          <w:tcPr>
            <w:tcW w:w="534" w:type="pct"/>
            <w:tcBorders>
              <w:top w:val="single" w:color="000000" w:sz="4" w:space="0"/>
              <w:left w:val="single" w:color="000000" w:sz="4" w:space="0"/>
              <w:bottom w:val="single" w:color="000000" w:sz="4" w:space="0"/>
              <w:right w:val="single" w:color="000000" w:sz="4" w:space="0"/>
            </w:tcBorders>
            <w:noWrap w:val="0"/>
            <w:vAlign w:val="center"/>
          </w:tcPr>
          <w:p w14:paraId="4E8BC2FD">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4</w:t>
            </w:r>
          </w:p>
        </w:tc>
        <w:tc>
          <w:tcPr>
            <w:tcW w:w="2653" w:type="pct"/>
            <w:tcBorders>
              <w:top w:val="single" w:color="000000" w:sz="4" w:space="0"/>
              <w:left w:val="single" w:color="000000" w:sz="4" w:space="0"/>
              <w:bottom w:val="single" w:color="000000" w:sz="4" w:space="0"/>
              <w:right w:val="single" w:color="000000" w:sz="4" w:space="0"/>
            </w:tcBorders>
            <w:noWrap w:val="0"/>
            <w:vAlign w:val="center"/>
          </w:tcPr>
          <w:p w14:paraId="25A429BF">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社会单位消防安全自主管理应用</w:t>
            </w:r>
          </w:p>
        </w:tc>
        <w:tc>
          <w:tcPr>
            <w:tcW w:w="1813" w:type="pct"/>
            <w:tcBorders>
              <w:top w:val="single" w:color="000000" w:sz="4" w:space="0"/>
              <w:left w:val="single" w:color="000000" w:sz="4" w:space="0"/>
              <w:bottom w:val="single" w:color="000000" w:sz="4" w:space="0"/>
              <w:right w:val="single" w:color="000000" w:sz="4" w:space="0"/>
            </w:tcBorders>
            <w:noWrap w:val="0"/>
            <w:vAlign w:val="center"/>
          </w:tcPr>
          <w:p w14:paraId="0AF963D7">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0.3</w:t>
            </w:r>
          </w:p>
        </w:tc>
      </w:tr>
      <w:tr w14:paraId="04B4EA44">
        <w:tblPrEx>
          <w:tblCellMar>
            <w:top w:w="0" w:type="dxa"/>
            <w:left w:w="108" w:type="dxa"/>
            <w:bottom w:w="0" w:type="dxa"/>
            <w:right w:w="108" w:type="dxa"/>
          </w:tblCellMar>
        </w:tblPrEx>
        <w:trPr>
          <w:trHeight w:val="397" w:hRule="atLeast"/>
        </w:trPr>
        <w:tc>
          <w:tcPr>
            <w:tcW w:w="534" w:type="pct"/>
            <w:tcBorders>
              <w:top w:val="single" w:color="000000" w:sz="4" w:space="0"/>
              <w:left w:val="single" w:color="000000" w:sz="4" w:space="0"/>
              <w:bottom w:val="single" w:color="000000" w:sz="4" w:space="0"/>
              <w:right w:val="single" w:color="000000" w:sz="4" w:space="0"/>
            </w:tcBorders>
            <w:noWrap w:val="0"/>
            <w:vAlign w:val="center"/>
          </w:tcPr>
          <w:p w14:paraId="3F424D24">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5</w:t>
            </w:r>
          </w:p>
        </w:tc>
        <w:tc>
          <w:tcPr>
            <w:tcW w:w="2653" w:type="pct"/>
            <w:tcBorders>
              <w:top w:val="single" w:color="000000" w:sz="4" w:space="0"/>
              <w:left w:val="single" w:color="000000" w:sz="4" w:space="0"/>
              <w:bottom w:val="single" w:color="000000" w:sz="4" w:space="0"/>
              <w:right w:val="single" w:color="000000" w:sz="4" w:space="0"/>
            </w:tcBorders>
            <w:noWrap w:val="0"/>
            <w:vAlign w:val="center"/>
          </w:tcPr>
          <w:p w14:paraId="6C103CA8">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全省灭火救援态势感知</w:t>
            </w:r>
          </w:p>
        </w:tc>
        <w:tc>
          <w:tcPr>
            <w:tcW w:w="1813" w:type="pct"/>
            <w:tcBorders>
              <w:top w:val="single" w:color="000000" w:sz="4" w:space="0"/>
              <w:left w:val="single" w:color="000000" w:sz="4" w:space="0"/>
              <w:bottom w:val="single" w:color="000000" w:sz="4" w:space="0"/>
              <w:right w:val="single" w:color="000000" w:sz="4" w:space="0"/>
            </w:tcBorders>
            <w:noWrap w:val="0"/>
            <w:vAlign w:val="center"/>
          </w:tcPr>
          <w:p w14:paraId="46343769">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0.1</w:t>
            </w:r>
          </w:p>
        </w:tc>
      </w:tr>
      <w:tr w14:paraId="44E83EBC">
        <w:tblPrEx>
          <w:tblCellMar>
            <w:top w:w="0" w:type="dxa"/>
            <w:left w:w="108" w:type="dxa"/>
            <w:bottom w:w="0" w:type="dxa"/>
            <w:right w:w="108" w:type="dxa"/>
          </w:tblCellMar>
        </w:tblPrEx>
        <w:trPr>
          <w:trHeight w:val="397" w:hRule="atLeast"/>
        </w:trPr>
        <w:tc>
          <w:tcPr>
            <w:tcW w:w="534" w:type="pct"/>
            <w:tcBorders>
              <w:top w:val="single" w:color="000000" w:sz="4" w:space="0"/>
              <w:left w:val="single" w:color="000000" w:sz="4" w:space="0"/>
              <w:bottom w:val="single" w:color="000000" w:sz="4" w:space="0"/>
              <w:right w:val="single" w:color="000000" w:sz="4" w:space="0"/>
            </w:tcBorders>
            <w:noWrap w:val="0"/>
            <w:vAlign w:val="center"/>
          </w:tcPr>
          <w:p w14:paraId="7770D960">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6</w:t>
            </w:r>
          </w:p>
        </w:tc>
        <w:tc>
          <w:tcPr>
            <w:tcW w:w="2653" w:type="pct"/>
            <w:tcBorders>
              <w:top w:val="single" w:color="000000" w:sz="4" w:space="0"/>
              <w:left w:val="single" w:color="000000" w:sz="4" w:space="0"/>
              <w:bottom w:val="single" w:color="000000" w:sz="4" w:space="0"/>
              <w:right w:val="single" w:color="000000" w:sz="4" w:space="0"/>
            </w:tcBorders>
            <w:noWrap w:val="0"/>
            <w:vAlign w:val="center"/>
          </w:tcPr>
          <w:p w14:paraId="1D98B2AB">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智能指挥系统增强版</w:t>
            </w:r>
          </w:p>
        </w:tc>
        <w:tc>
          <w:tcPr>
            <w:tcW w:w="1813" w:type="pct"/>
            <w:tcBorders>
              <w:top w:val="single" w:color="000000" w:sz="4" w:space="0"/>
              <w:left w:val="single" w:color="000000" w:sz="4" w:space="0"/>
              <w:bottom w:val="single" w:color="000000" w:sz="4" w:space="0"/>
              <w:right w:val="single" w:color="000000" w:sz="4" w:space="0"/>
            </w:tcBorders>
            <w:noWrap w:val="0"/>
            <w:vAlign w:val="center"/>
          </w:tcPr>
          <w:p w14:paraId="174A64DD">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0.5</w:t>
            </w:r>
          </w:p>
        </w:tc>
      </w:tr>
      <w:tr w14:paraId="147F5D51">
        <w:tblPrEx>
          <w:tblCellMar>
            <w:top w:w="0" w:type="dxa"/>
            <w:left w:w="108" w:type="dxa"/>
            <w:bottom w:w="0" w:type="dxa"/>
            <w:right w:w="108" w:type="dxa"/>
          </w:tblCellMar>
        </w:tblPrEx>
        <w:trPr>
          <w:trHeight w:val="397" w:hRule="atLeast"/>
        </w:trPr>
        <w:tc>
          <w:tcPr>
            <w:tcW w:w="534" w:type="pct"/>
            <w:tcBorders>
              <w:top w:val="single" w:color="000000" w:sz="4" w:space="0"/>
              <w:left w:val="single" w:color="000000" w:sz="4" w:space="0"/>
              <w:bottom w:val="single" w:color="000000" w:sz="4" w:space="0"/>
              <w:right w:val="single" w:color="000000" w:sz="4" w:space="0"/>
            </w:tcBorders>
            <w:noWrap w:val="0"/>
            <w:vAlign w:val="center"/>
          </w:tcPr>
          <w:p w14:paraId="71D6DA8E">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7</w:t>
            </w:r>
          </w:p>
        </w:tc>
        <w:tc>
          <w:tcPr>
            <w:tcW w:w="2653" w:type="pct"/>
            <w:tcBorders>
              <w:top w:val="single" w:color="000000" w:sz="4" w:space="0"/>
              <w:left w:val="single" w:color="000000" w:sz="4" w:space="0"/>
              <w:bottom w:val="single" w:color="000000" w:sz="4" w:space="0"/>
              <w:right w:val="single" w:color="000000" w:sz="4" w:space="0"/>
            </w:tcBorders>
            <w:noWrap w:val="0"/>
            <w:vAlign w:val="center"/>
          </w:tcPr>
          <w:p w14:paraId="7FE78BC7">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智能接处警应用</w:t>
            </w:r>
          </w:p>
        </w:tc>
        <w:tc>
          <w:tcPr>
            <w:tcW w:w="1813" w:type="pct"/>
            <w:tcBorders>
              <w:top w:val="single" w:color="000000" w:sz="4" w:space="0"/>
              <w:left w:val="single" w:color="000000" w:sz="4" w:space="0"/>
              <w:bottom w:val="single" w:color="000000" w:sz="4" w:space="0"/>
              <w:right w:val="single" w:color="000000" w:sz="4" w:space="0"/>
            </w:tcBorders>
            <w:noWrap w:val="0"/>
            <w:vAlign w:val="center"/>
          </w:tcPr>
          <w:p w14:paraId="2D5E91D7">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0.3</w:t>
            </w:r>
          </w:p>
        </w:tc>
      </w:tr>
      <w:tr w14:paraId="31F17254">
        <w:tblPrEx>
          <w:tblCellMar>
            <w:top w:w="0" w:type="dxa"/>
            <w:left w:w="108" w:type="dxa"/>
            <w:bottom w:w="0" w:type="dxa"/>
            <w:right w:w="108" w:type="dxa"/>
          </w:tblCellMar>
        </w:tblPrEx>
        <w:trPr>
          <w:trHeight w:val="397" w:hRule="atLeast"/>
        </w:trPr>
        <w:tc>
          <w:tcPr>
            <w:tcW w:w="534" w:type="pct"/>
            <w:tcBorders>
              <w:top w:val="single" w:color="000000" w:sz="4" w:space="0"/>
              <w:left w:val="single" w:color="000000" w:sz="4" w:space="0"/>
              <w:bottom w:val="single" w:color="000000" w:sz="4" w:space="0"/>
              <w:right w:val="single" w:color="000000" w:sz="4" w:space="0"/>
            </w:tcBorders>
            <w:noWrap w:val="0"/>
            <w:vAlign w:val="center"/>
          </w:tcPr>
          <w:p w14:paraId="37D67102">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8</w:t>
            </w:r>
          </w:p>
        </w:tc>
        <w:tc>
          <w:tcPr>
            <w:tcW w:w="2653" w:type="pct"/>
            <w:tcBorders>
              <w:top w:val="single" w:color="000000" w:sz="4" w:space="0"/>
              <w:left w:val="single" w:color="000000" w:sz="4" w:space="0"/>
              <w:bottom w:val="single" w:color="000000" w:sz="4" w:space="0"/>
              <w:right w:val="single" w:color="000000" w:sz="4" w:space="0"/>
            </w:tcBorders>
            <w:noWrap w:val="0"/>
            <w:vAlign w:val="center"/>
          </w:tcPr>
          <w:p w14:paraId="3821902C">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联勤联动力量调度管理应用</w:t>
            </w:r>
          </w:p>
        </w:tc>
        <w:tc>
          <w:tcPr>
            <w:tcW w:w="1813" w:type="pct"/>
            <w:tcBorders>
              <w:top w:val="single" w:color="000000" w:sz="4" w:space="0"/>
              <w:left w:val="single" w:color="000000" w:sz="4" w:space="0"/>
              <w:bottom w:val="single" w:color="000000" w:sz="4" w:space="0"/>
              <w:right w:val="single" w:color="000000" w:sz="4" w:space="0"/>
            </w:tcBorders>
            <w:noWrap w:val="0"/>
            <w:vAlign w:val="center"/>
          </w:tcPr>
          <w:p w14:paraId="767E9033">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0.3</w:t>
            </w:r>
          </w:p>
        </w:tc>
      </w:tr>
      <w:tr w14:paraId="518C14B4">
        <w:tblPrEx>
          <w:tblCellMar>
            <w:top w:w="0" w:type="dxa"/>
            <w:left w:w="108" w:type="dxa"/>
            <w:bottom w:w="0" w:type="dxa"/>
            <w:right w:w="108" w:type="dxa"/>
          </w:tblCellMar>
        </w:tblPrEx>
        <w:trPr>
          <w:trHeight w:val="397" w:hRule="atLeast"/>
        </w:trPr>
        <w:tc>
          <w:tcPr>
            <w:tcW w:w="534" w:type="pct"/>
            <w:tcBorders>
              <w:top w:val="single" w:color="000000" w:sz="4" w:space="0"/>
              <w:left w:val="single" w:color="000000" w:sz="4" w:space="0"/>
              <w:bottom w:val="single" w:color="000000" w:sz="4" w:space="0"/>
              <w:right w:val="single" w:color="000000" w:sz="4" w:space="0"/>
            </w:tcBorders>
            <w:noWrap w:val="0"/>
            <w:vAlign w:val="center"/>
          </w:tcPr>
          <w:p w14:paraId="3C89C00A">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9</w:t>
            </w:r>
          </w:p>
        </w:tc>
        <w:tc>
          <w:tcPr>
            <w:tcW w:w="2653" w:type="pct"/>
            <w:tcBorders>
              <w:top w:val="single" w:color="000000" w:sz="4" w:space="0"/>
              <w:left w:val="single" w:color="000000" w:sz="4" w:space="0"/>
              <w:bottom w:val="single" w:color="000000" w:sz="4" w:space="0"/>
              <w:right w:val="single" w:color="000000" w:sz="4" w:space="0"/>
            </w:tcBorders>
            <w:noWrap w:val="0"/>
            <w:vAlign w:val="center"/>
          </w:tcPr>
          <w:p w14:paraId="6229C035">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装备智能化管理应用</w:t>
            </w:r>
          </w:p>
        </w:tc>
        <w:tc>
          <w:tcPr>
            <w:tcW w:w="1813" w:type="pct"/>
            <w:tcBorders>
              <w:top w:val="single" w:color="000000" w:sz="4" w:space="0"/>
              <w:left w:val="single" w:color="000000" w:sz="4" w:space="0"/>
              <w:bottom w:val="single" w:color="000000" w:sz="4" w:space="0"/>
              <w:right w:val="single" w:color="000000" w:sz="4" w:space="0"/>
            </w:tcBorders>
            <w:noWrap w:val="0"/>
            <w:vAlign w:val="center"/>
          </w:tcPr>
          <w:p w14:paraId="6715D0C9">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0.1</w:t>
            </w:r>
          </w:p>
        </w:tc>
      </w:tr>
      <w:tr w14:paraId="29D18019">
        <w:tblPrEx>
          <w:tblCellMar>
            <w:top w:w="0" w:type="dxa"/>
            <w:left w:w="108" w:type="dxa"/>
            <w:bottom w:w="0" w:type="dxa"/>
            <w:right w:w="108" w:type="dxa"/>
          </w:tblCellMar>
        </w:tblPrEx>
        <w:trPr>
          <w:trHeight w:val="397" w:hRule="atLeast"/>
        </w:trPr>
        <w:tc>
          <w:tcPr>
            <w:tcW w:w="534" w:type="pct"/>
            <w:tcBorders>
              <w:top w:val="single" w:color="000000" w:sz="4" w:space="0"/>
              <w:left w:val="single" w:color="000000" w:sz="4" w:space="0"/>
              <w:bottom w:val="single" w:color="000000" w:sz="4" w:space="0"/>
              <w:right w:val="single" w:color="000000" w:sz="4" w:space="0"/>
            </w:tcBorders>
            <w:noWrap w:val="0"/>
            <w:vAlign w:val="center"/>
          </w:tcPr>
          <w:p w14:paraId="198BD55D">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10</w:t>
            </w:r>
          </w:p>
        </w:tc>
        <w:tc>
          <w:tcPr>
            <w:tcW w:w="2653" w:type="pct"/>
            <w:tcBorders>
              <w:top w:val="single" w:color="000000" w:sz="4" w:space="0"/>
              <w:left w:val="single" w:color="000000" w:sz="4" w:space="0"/>
              <w:bottom w:val="single" w:color="000000" w:sz="4" w:space="0"/>
              <w:right w:val="single" w:color="000000" w:sz="4" w:space="0"/>
            </w:tcBorders>
            <w:noWrap w:val="0"/>
            <w:vAlign w:val="center"/>
          </w:tcPr>
          <w:p w14:paraId="1D833546">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公众服务应用</w:t>
            </w:r>
          </w:p>
        </w:tc>
        <w:tc>
          <w:tcPr>
            <w:tcW w:w="1813" w:type="pct"/>
            <w:tcBorders>
              <w:top w:val="single" w:color="000000" w:sz="4" w:space="0"/>
              <w:left w:val="single" w:color="000000" w:sz="4" w:space="0"/>
              <w:bottom w:val="single" w:color="000000" w:sz="4" w:space="0"/>
              <w:right w:val="single" w:color="000000" w:sz="4" w:space="0"/>
            </w:tcBorders>
            <w:noWrap w:val="0"/>
            <w:vAlign w:val="center"/>
          </w:tcPr>
          <w:p w14:paraId="52DEE3E4">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0.3</w:t>
            </w:r>
          </w:p>
        </w:tc>
      </w:tr>
      <w:tr w14:paraId="751C4982">
        <w:tblPrEx>
          <w:tblCellMar>
            <w:top w:w="0" w:type="dxa"/>
            <w:left w:w="108" w:type="dxa"/>
            <w:bottom w:w="0" w:type="dxa"/>
            <w:right w:w="108" w:type="dxa"/>
          </w:tblCellMar>
        </w:tblPrEx>
        <w:trPr>
          <w:trHeight w:val="397" w:hRule="atLeast"/>
        </w:trPr>
        <w:tc>
          <w:tcPr>
            <w:tcW w:w="534" w:type="pct"/>
            <w:tcBorders>
              <w:top w:val="single" w:color="000000" w:sz="4" w:space="0"/>
              <w:left w:val="single" w:color="000000" w:sz="4" w:space="0"/>
              <w:bottom w:val="single" w:color="000000" w:sz="4" w:space="0"/>
              <w:right w:val="single" w:color="000000" w:sz="4" w:space="0"/>
            </w:tcBorders>
            <w:noWrap w:val="0"/>
            <w:vAlign w:val="center"/>
          </w:tcPr>
          <w:p w14:paraId="0D1C48CD">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11</w:t>
            </w:r>
          </w:p>
        </w:tc>
        <w:tc>
          <w:tcPr>
            <w:tcW w:w="2653" w:type="pct"/>
            <w:tcBorders>
              <w:top w:val="single" w:color="000000" w:sz="4" w:space="0"/>
              <w:left w:val="single" w:color="000000" w:sz="4" w:space="0"/>
              <w:bottom w:val="single" w:color="000000" w:sz="4" w:space="0"/>
              <w:right w:val="single" w:color="000000" w:sz="4" w:space="0"/>
            </w:tcBorders>
            <w:noWrap w:val="0"/>
            <w:vAlign w:val="center"/>
          </w:tcPr>
          <w:p w14:paraId="6B4A5394">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数据治理</w:t>
            </w:r>
          </w:p>
        </w:tc>
        <w:tc>
          <w:tcPr>
            <w:tcW w:w="1813" w:type="pct"/>
            <w:tcBorders>
              <w:top w:val="single" w:color="000000" w:sz="4" w:space="0"/>
              <w:left w:val="single" w:color="000000" w:sz="4" w:space="0"/>
              <w:bottom w:val="single" w:color="000000" w:sz="4" w:space="0"/>
              <w:right w:val="single" w:color="000000" w:sz="4" w:space="0"/>
            </w:tcBorders>
            <w:noWrap w:val="0"/>
            <w:vAlign w:val="center"/>
          </w:tcPr>
          <w:p w14:paraId="4A6E3575">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r>
      <w:tr w14:paraId="29E51093">
        <w:tblPrEx>
          <w:tblCellMar>
            <w:top w:w="0" w:type="dxa"/>
            <w:left w:w="108" w:type="dxa"/>
            <w:bottom w:w="0" w:type="dxa"/>
            <w:right w:w="108" w:type="dxa"/>
          </w:tblCellMar>
        </w:tblPrEx>
        <w:trPr>
          <w:trHeight w:val="397" w:hRule="atLeast"/>
        </w:trPr>
        <w:tc>
          <w:tcPr>
            <w:tcW w:w="534" w:type="pct"/>
            <w:tcBorders>
              <w:top w:val="single" w:color="000000" w:sz="4" w:space="0"/>
              <w:left w:val="single" w:color="000000" w:sz="4" w:space="0"/>
              <w:bottom w:val="single" w:color="000000" w:sz="4" w:space="0"/>
              <w:right w:val="single" w:color="000000" w:sz="4" w:space="0"/>
            </w:tcBorders>
            <w:noWrap w:val="0"/>
            <w:vAlign w:val="center"/>
          </w:tcPr>
          <w:p w14:paraId="06A272DC">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12</w:t>
            </w:r>
          </w:p>
        </w:tc>
        <w:tc>
          <w:tcPr>
            <w:tcW w:w="2653" w:type="pct"/>
            <w:tcBorders>
              <w:top w:val="single" w:color="000000" w:sz="4" w:space="0"/>
              <w:left w:val="single" w:color="000000" w:sz="4" w:space="0"/>
              <w:bottom w:val="single" w:color="000000" w:sz="4" w:space="0"/>
              <w:right w:val="single" w:color="000000" w:sz="4" w:space="0"/>
            </w:tcBorders>
            <w:noWrap w:val="0"/>
            <w:vAlign w:val="center"/>
          </w:tcPr>
          <w:p w14:paraId="176B4704">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数据中台</w:t>
            </w:r>
          </w:p>
        </w:tc>
        <w:tc>
          <w:tcPr>
            <w:tcW w:w="1813" w:type="pct"/>
            <w:tcBorders>
              <w:top w:val="single" w:color="000000" w:sz="4" w:space="0"/>
              <w:left w:val="single" w:color="000000" w:sz="4" w:space="0"/>
              <w:bottom w:val="single" w:color="000000" w:sz="4" w:space="0"/>
              <w:right w:val="single" w:color="000000" w:sz="4" w:space="0"/>
            </w:tcBorders>
            <w:noWrap w:val="0"/>
            <w:vAlign w:val="center"/>
          </w:tcPr>
          <w:p w14:paraId="2AC1F7B5">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r>
      <w:tr w14:paraId="198E3E90">
        <w:tblPrEx>
          <w:tblCellMar>
            <w:top w:w="0" w:type="dxa"/>
            <w:left w:w="108" w:type="dxa"/>
            <w:bottom w:w="0" w:type="dxa"/>
            <w:right w:w="108" w:type="dxa"/>
          </w:tblCellMar>
        </w:tblPrEx>
        <w:trPr>
          <w:trHeight w:val="397" w:hRule="atLeast"/>
        </w:trPr>
        <w:tc>
          <w:tcPr>
            <w:tcW w:w="534" w:type="pct"/>
            <w:tcBorders>
              <w:top w:val="single" w:color="000000" w:sz="4" w:space="0"/>
              <w:left w:val="single" w:color="000000" w:sz="4" w:space="0"/>
              <w:bottom w:val="single" w:color="000000" w:sz="4" w:space="0"/>
              <w:right w:val="single" w:color="000000" w:sz="4" w:space="0"/>
            </w:tcBorders>
            <w:noWrap w:val="0"/>
            <w:vAlign w:val="center"/>
          </w:tcPr>
          <w:p w14:paraId="5CD2317B">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13</w:t>
            </w:r>
          </w:p>
        </w:tc>
        <w:tc>
          <w:tcPr>
            <w:tcW w:w="2653" w:type="pct"/>
            <w:tcBorders>
              <w:top w:val="single" w:color="000000" w:sz="4" w:space="0"/>
              <w:left w:val="single" w:color="000000" w:sz="4" w:space="0"/>
              <w:bottom w:val="single" w:color="000000" w:sz="4" w:space="0"/>
              <w:right w:val="single" w:color="000000" w:sz="4" w:space="0"/>
            </w:tcBorders>
            <w:noWrap w:val="0"/>
            <w:vAlign w:val="center"/>
          </w:tcPr>
          <w:p w14:paraId="16574F0A">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业务安全管理系统</w:t>
            </w:r>
          </w:p>
        </w:tc>
        <w:tc>
          <w:tcPr>
            <w:tcW w:w="1813" w:type="pct"/>
            <w:tcBorders>
              <w:top w:val="single" w:color="000000" w:sz="4" w:space="0"/>
              <w:left w:val="single" w:color="000000" w:sz="4" w:space="0"/>
              <w:bottom w:val="single" w:color="000000" w:sz="4" w:space="0"/>
              <w:right w:val="single" w:color="000000" w:sz="4" w:space="0"/>
            </w:tcBorders>
            <w:noWrap w:val="0"/>
            <w:vAlign w:val="center"/>
          </w:tcPr>
          <w:p w14:paraId="68417C30">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1.8</w:t>
            </w:r>
          </w:p>
        </w:tc>
      </w:tr>
      <w:tr w14:paraId="68315CE8">
        <w:tblPrEx>
          <w:tblCellMar>
            <w:top w:w="0" w:type="dxa"/>
            <w:left w:w="108" w:type="dxa"/>
            <w:bottom w:w="0" w:type="dxa"/>
            <w:right w:w="108" w:type="dxa"/>
          </w:tblCellMar>
        </w:tblPrEx>
        <w:trPr>
          <w:trHeight w:val="397" w:hRule="atLeast"/>
        </w:trPr>
        <w:tc>
          <w:tcPr>
            <w:tcW w:w="534" w:type="pct"/>
            <w:tcBorders>
              <w:top w:val="single" w:color="000000" w:sz="4" w:space="0"/>
              <w:left w:val="single" w:color="000000" w:sz="4" w:space="0"/>
              <w:bottom w:val="single" w:color="000000" w:sz="4" w:space="0"/>
              <w:right w:val="single" w:color="000000" w:sz="4" w:space="0"/>
            </w:tcBorders>
            <w:noWrap w:val="0"/>
            <w:vAlign w:val="center"/>
          </w:tcPr>
          <w:p w14:paraId="5A661CE1">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14</w:t>
            </w:r>
          </w:p>
        </w:tc>
        <w:tc>
          <w:tcPr>
            <w:tcW w:w="2653" w:type="pct"/>
            <w:tcBorders>
              <w:top w:val="single" w:color="000000" w:sz="4" w:space="0"/>
              <w:left w:val="single" w:color="000000" w:sz="4" w:space="0"/>
              <w:bottom w:val="single" w:color="000000" w:sz="4" w:space="0"/>
              <w:right w:val="single" w:color="000000" w:sz="4" w:space="0"/>
            </w:tcBorders>
            <w:noWrap w:val="0"/>
            <w:vAlign w:val="center"/>
          </w:tcPr>
          <w:p w14:paraId="372485A7">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统一运维系统</w:t>
            </w:r>
          </w:p>
        </w:tc>
        <w:tc>
          <w:tcPr>
            <w:tcW w:w="1813" w:type="pct"/>
            <w:tcBorders>
              <w:top w:val="single" w:color="000000" w:sz="4" w:space="0"/>
              <w:left w:val="single" w:color="000000" w:sz="4" w:space="0"/>
              <w:bottom w:val="single" w:color="000000" w:sz="4" w:space="0"/>
              <w:right w:val="single" w:color="000000" w:sz="4" w:space="0"/>
            </w:tcBorders>
            <w:noWrap w:val="0"/>
            <w:vAlign w:val="center"/>
          </w:tcPr>
          <w:p w14:paraId="3C36953A">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1.3</w:t>
            </w:r>
          </w:p>
        </w:tc>
      </w:tr>
      <w:tr w14:paraId="41932FF8">
        <w:tblPrEx>
          <w:tblCellMar>
            <w:top w:w="0" w:type="dxa"/>
            <w:left w:w="108" w:type="dxa"/>
            <w:bottom w:w="0" w:type="dxa"/>
            <w:right w:w="108" w:type="dxa"/>
          </w:tblCellMar>
        </w:tblPrEx>
        <w:trPr>
          <w:trHeight w:val="397" w:hRule="atLeast"/>
        </w:trPr>
        <w:tc>
          <w:tcPr>
            <w:tcW w:w="534" w:type="pct"/>
            <w:tcBorders>
              <w:top w:val="single" w:color="000000" w:sz="4" w:space="0"/>
              <w:left w:val="single" w:color="000000" w:sz="4" w:space="0"/>
              <w:bottom w:val="single" w:color="000000" w:sz="4" w:space="0"/>
              <w:right w:val="single" w:color="000000" w:sz="4" w:space="0"/>
            </w:tcBorders>
            <w:noWrap w:val="0"/>
            <w:vAlign w:val="center"/>
          </w:tcPr>
          <w:p w14:paraId="3BF70104">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15</w:t>
            </w:r>
          </w:p>
        </w:tc>
        <w:tc>
          <w:tcPr>
            <w:tcW w:w="2653" w:type="pct"/>
            <w:tcBorders>
              <w:top w:val="single" w:color="000000" w:sz="4" w:space="0"/>
              <w:left w:val="single" w:color="000000" w:sz="4" w:space="0"/>
              <w:bottom w:val="single" w:color="000000" w:sz="4" w:space="0"/>
              <w:right w:val="single" w:color="000000" w:sz="4" w:space="0"/>
            </w:tcBorders>
            <w:noWrap w:val="0"/>
            <w:vAlign w:val="center"/>
          </w:tcPr>
          <w:p w14:paraId="0B82FE19">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合计</w:t>
            </w:r>
          </w:p>
        </w:tc>
        <w:tc>
          <w:tcPr>
            <w:tcW w:w="1813" w:type="pct"/>
            <w:tcBorders>
              <w:top w:val="single" w:color="000000" w:sz="4" w:space="0"/>
              <w:left w:val="single" w:color="000000" w:sz="4" w:space="0"/>
              <w:bottom w:val="single" w:color="000000" w:sz="4" w:space="0"/>
              <w:right w:val="single" w:color="000000" w:sz="4" w:space="0"/>
            </w:tcBorders>
            <w:noWrap w:val="0"/>
            <w:vAlign w:val="center"/>
          </w:tcPr>
          <w:p w14:paraId="16FAFC74">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8.2</w:t>
            </w:r>
          </w:p>
        </w:tc>
      </w:tr>
    </w:tbl>
    <w:p w14:paraId="223CA60B">
      <w:pPr>
        <w:spacing w:before="240" w:beforeLines="100"/>
        <w:rPr>
          <w:lang w:eastAsia="zh-Hans"/>
        </w:rPr>
      </w:pPr>
      <w:r>
        <w:rPr>
          <w:rFonts w:hint="eastAsia"/>
          <w:lang w:eastAsia="zh-Hans"/>
        </w:rPr>
        <w:t>本期建设应用预计跨网年流量为</w:t>
      </w:r>
      <w:r>
        <w:rPr>
          <w:lang w:eastAsia="zh-Hans"/>
        </w:rPr>
        <w:t>8.2TB</w:t>
      </w:r>
      <w:r>
        <w:rPr>
          <w:rFonts w:hint="eastAsia"/>
          <w:lang w:eastAsia="zh-Hans"/>
        </w:rPr>
        <w:t>，考虑</w:t>
      </w:r>
      <w:r>
        <w:rPr>
          <w:lang w:eastAsia="zh-Hans"/>
        </w:rPr>
        <w:t>50%</w:t>
      </w:r>
      <w:r>
        <w:rPr>
          <w:rFonts w:hint="eastAsia"/>
          <w:lang w:eastAsia="zh-Hans"/>
        </w:rPr>
        <w:t>冗余，整体跨网流量按照</w:t>
      </w:r>
      <w:r>
        <w:rPr>
          <w:lang w:eastAsia="zh-Hans"/>
        </w:rPr>
        <w:t>12.3TB/</w:t>
      </w:r>
      <w:r>
        <w:rPr>
          <w:rFonts w:hint="eastAsia"/>
          <w:lang w:eastAsia="zh-Hans"/>
        </w:rPr>
        <w:t>年进行估算。</w:t>
      </w:r>
    </w:p>
    <w:p w14:paraId="4827D157">
      <w:pPr>
        <w:pStyle w:val="6"/>
      </w:pPr>
      <w:r>
        <w:rPr>
          <w:rFonts w:hint="eastAsia"/>
        </w:rPr>
        <w:t>3.4.3.4互联网</w:t>
      </w:r>
      <w:r>
        <w:rPr>
          <w:rFonts w:hint="eastAsia"/>
          <w:lang w:eastAsia="zh-Hans"/>
        </w:rPr>
        <w:t>带宽</w:t>
      </w:r>
      <w:r>
        <w:rPr>
          <w:rFonts w:hint="eastAsia"/>
        </w:rPr>
        <w:t>需求</w:t>
      </w:r>
    </w:p>
    <w:p w14:paraId="0B4D5EF4">
      <w:pPr>
        <w:rPr>
          <w:rFonts w:hint="eastAsia"/>
        </w:rPr>
      </w:pPr>
      <w:r>
        <w:rPr>
          <w:rFonts w:hint="eastAsia"/>
        </w:rPr>
        <w:t>由于社会联动能力支撑要求直接从互联网侧向指挥信息网实时同步数据，需要建立互联网数据拉取能力，获取实时交通</w:t>
      </w:r>
      <w:r>
        <w:rPr>
          <w:rFonts w:hint="eastAsia"/>
          <w:lang w:eastAsia="zh-Hans"/>
        </w:rPr>
        <w:t>流量、街景、实时人口热力数据、</w:t>
      </w:r>
      <w:r>
        <w:rPr>
          <w:lang w:eastAsia="zh-Hans"/>
        </w:rPr>
        <w:t>POI</w:t>
      </w:r>
      <w:r>
        <w:rPr>
          <w:rFonts w:hint="eastAsia"/>
        </w:rPr>
        <w:t>数据等，</w:t>
      </w:r>
      <w:r>
        <w:rPr>
          <w:rFonts w:hint="eastAsia"/>
          <w:lang w:eastAsia="zh-Hans"/>
        </w:rPr>
        <w:t>其中交通流量、实时人口热力数据、</w:t>
      </w:r>
      <w:r>
        <w:rPr>
          <w:lang w:eastAsia="zh-Hans"/>
        </w:rPr>
        <w:t>POI</w:t>
      </w:r>
      <w:r>
        <w:rPr>
          <w:rFonts w:hint="eastAsia"/>
          <w:lang w:eastAsia="zh-Hans"/>
        </w:rPr>
        <w:t>需要保障实时性，街景需要保证准实时性（</w:t>
      </w:r>
      <w:r>
        <w:rPr>
          <w:lang w:eastAsia="zh-Hans"/>
        </w:rPr>
        <w:t>2</w:t>
      </w:r>
      <w:r>
        <w:rPr>
          <w:rFonts w:hint="eastAsia"/>
          <w:lang w:eastAsia="zh-Hans"/>
        </w:rPr>
        <w:t>秒内刷出），地图包更新则使用空闲时段进行更新。</w:t>
      </w:r>
      <w:r>
        <w:rPr>
          <w:rFonts w:hint="eastAsia"/>
        </w:rPr>
        <w:t>根据数据结构划分，所需要获取的数据内容中，</w:t>
      </w:r>
      <w:r>
        <w:rPr>
          <w:rFonts w:hint="eastAsia"/>
          <w:lang w:eastAsia="zh-Hans"/>
        </w:rPr>
        <w:t>街景为图片数据，其余为结构化数据</w:t>
      </w:r>
      <w:r>
        <w:rPr>
          <w:rFonts w:hint="eastAsia"/>
        </w:rPr>
        <w:t>，结合一般性结构化数据带宽要求，在充分考虑冗余的基础上，</w:t>
      </w:r>
      <w:r>
        <w:rPr>
          <w:rFonts w:hint="eastAsia"/>
          <w:lang w:eastAsia="zh-Hans"/>
        </w:rPr>
        <w:t>结构化数据需要带宽为</w:t>
      </w:r>
      <w:r>
        <w:rPr>
          <w:lang w:eastAsia="zh-Hans"/>
        </w:rPr>
        <w:t>200kb/s</w:t>
      </w:r>
      <w:r>
        <w:rPr>
          <w:rFonts w:hint="eastAsia"/>
        </w:rPr>
        <w:t>；根据灭火救援作战人员数量，应</w:t>
      </w:r>
      <w:r>
        <w:rPr>
          <w:rFonts w:hint="eastAsia"/>
          <w:lang w:eastAsia="zh-Hans"/>
        </w:rPr>
        <w:t>保障</w:t>
      </w:r>
      <w:r>
        <w:rPr>
          <w:lang w:eastAsia="zh-Hans"/>
        </w:rPr>
        <w:t>20</w:t>
      </w:r>
      <w:r>
        <w:rPr>
          <w:rFonts w:hint="eastAsia"/>
          <w:lang w:eastAsia="zh-Hans"/>
        </w:rPr>
        <w:t>终端用户同时使用不同街景图片</w:t>
      </w:r>
      <w:r>
        <w:rPr>
          <w:rFonts w:hint="eastAsia"/>
        </w:rPr>
        <w:t>，此部分带宽</w:t>
      </w:r>
      <w:r>
        <w:rPr>
          <w:rFonts w:hint="eastAsia"/>
          <w:lang w:eastAsia="zh-Hans"/>
        </w:rPr>
        <w:t>需</w:t>
      </w:r>
      <w:r>
        <w:rPr>
          <w:rFonts w:hint="eastAsia"/>
        </w:rPr>
        <w:t>求为</w:t>
      </w:r>
      <w:r>
        <w:rPr>
          <w:lang w:eastAsia="zh-Hans"/>
        </w:rPr>
        <w:t>40</w:t>
      </w:r>
      <w:r>
        <w:rPr>
          <w:rFonts w:hint="eastAsia"/>
        </w:rPr>
        <w:t>M</w:t>
      </w:r>
      <w:r>
        <w:rPr>
          <w:lang w:eastAsia="zh-Hans"/>
        </w:rPr>
        <w:t>b/s</w:t>
      </w:r>
      <w:r>
        <w:rPr>
          <w:rFonts w:hint="eastAsia"/>
          <w:lang w:eastAsia="zh-Hans"/>
        </w:rPr>
        <w:t>，地图包</w:t>
      </w:r>
      <w:r>
        <w:rPr>
          <w:rFonts w:hint="eastAsia"/>
        </w:rPr>
        <w:t>更新一般</w:t>
      </w:r>
      <w:r>
        <w:rPr>
          <w:rFonts w:hint="eastAsia"/>
          <w:lang w:eastAsia="zh-Hans"/>
        </w:rPr>
        <w:t>带宽</w:t>
      </w:r>
      <w:r>
        <w:rPr>
          <w:rFonts w:hint="eastAsia"/>
        </w:rPr>
        <w:t>需</w:t>
      </w:r>
      <w:r>
        <w:rPr>
          <w:lang w:eastAsia="zh-Hans"/>
        </w:rPr>
        <w:t>10</w:t>
      </w:r>
      <w:r>
        <w:rPr>
          <w:rFonts w:hint="eastAsia"/>
        </w:rPr>
        <w:t>M</w:t>
      </w:r>
      <w:r>
        <w:rPr>
          <w:lang w:eastAsia="zh-Hans"/>
        </w:rPr>
        <w:t>b/s</w:t>
      </w:r>
      <w:r>
        <w:rPr>
          <w:rFonts w:hint="eastAsia"/>
        </w:rPr>
        <w:t>，考虑到上述场景的最不利情况，所需的互联网</w:t>
      </w:r>
      <w:r>
        <w:rPr>
          <w:rFonts w:hint="eastAsia"/>
          <w:lang w:eastAsia="zh-Hans"/>
        </w:rPr>
        <w:t>带宽</w:t>
      </w:r>
      <w:r>
        <w:rPr>
          <w:rFonts w:hint="eastAsia"/>
        </w:rPr>
        <w:t>最大值为</w:t>
      </w:r>
      <w:r>
        <w:rPr>
          <w:lang w:eastAsia="zh-Hans"/>
        </w:rPr>
        <w:t>50.2</w:t>
      </w:r>
      <w:r>
        <w:rPr>
          <w:rFonts w:hint="eastAsia"/>
        </w:rPr>
        <w:t>M</w:t>
      </w:r>
      <w:r>
        <w:rPr>
          <w:lang w:eastAsia="zh-Hans"/>
        </w:rPr>
        <w:t>b/s</w:t>
      </w:r>
      <w:r>
        <w:rPr>
          <w:rFonts w:hint="eastAsia"/>
          <w:lang w:eastAsia="zh-Hans"/>
        </w:rPr>
        <w:t>，最小</w:t>
      </w:r>
      <w:r>
        <w:rPr>
          <w:rFonts w:hint="eastAsia"/>
        </w:rPr>
        <w:t>值为</w:t>
      </w:r>
      <w:r>
        <w:rPr>
          <w:rFonts w:hint="eastAsia"/>
          <w:lang w:eastAsia="zh-Hans"/>
        </w:rPr>
        <w:t>需要</w:t>
      </w:r>
      <w:r>
        <w:rPr>
          <w:lang w:eastAsia="zh-Hans"/>
        </w:rPr>
        <w:t>200kb/s</w:t>
      </w:r>
      <w:r>
        <w:rPr>
          <w:rFonts w:hint="eastAsia"/>
        </w:rPr>
        <w:t>。</w:t>
      </w:r>
    </w:p>
    <w:p w14:paraId="17FAC723">
      <w:pPr>
        <w:pStyle w:val="6"/>
      </w:pPr>
      <w:r>
        <w:rPr>
          <w:rFonts w:hint="eastAsia"/>
        </w:rPr>
        <w:t>3.4.3.5</w:t>
      </w:r>
      <w:r>
        <w:rPr>
          <w:rFonts w:hint="eastAsia"/>
          <w:lang w:eastAsia="zh-Hans"/>
        </w:rPr>
        <w:t>数据备份</w:t>
      </w:r>
      <w:r>
        <w:rPr>
          <w:rFonts w:hint="eastAsia"/>
        </w:rPr>
        <w:t>需求</w:t>
      </w:r>
    </w:p>
    <w:p w14:paraId="529E77A8">
      <w:pPr>
        <w:numPr>
          <w:ilvl w:val="0"/>
          <w:numId w:val="41"/>
        </w:numPr>
        <w:rPr>
          <w:lang w:eastAsia="zh-Hans"/>
        </w:rPr>
      </w:pPr>
      <w:r>
        <w:rPr>
          <w:rFonts w:hint="eastAsia"/>
          <w:lang w:eastAsia="zh-Hans"/>
        </w:rPr>
        <w:t>备份策略</w:t>
      </w:r>
    </w:p>
    <w:p w14:paraId="45D6317A">
      <w:pPr>
        <w:rPr>
          <w:lang w:eastAsia="zh-Hans"/>
        </w:rPr>
      </w:pPr>
      <w:r>
        <w:rPr>
          <w:rFonts w:hint="eastAsia"/>
          <w:lang w:eastAsia="zh-Hans"/>
        </w:rPr>
        <w:t>数据备份方面需要使用全量备份和增量备份相结合的方式实现数据备份。备份范围包含虚拟机、数据库、文件、日志等。</w:t>
      </w:r>
    </w:p>
    <w:p w14:paraId="4D1456A4">
      <w:pPr>
        <w:rPr>
          <w:lang w:eastAsia="zh-Hans"/>
        </w:rPr>
      </w:pPr>
      <w:r>
        <w:rPr>
          <w:rFonts w:hint="eastAsia"/>
          <w:lang w:eastAsia="zh-Hans"/>
        </w:rPr>
        <w:t>在电子政务外网部署的系统，使用电子政务外网现有备份机制实现同城备份，主要备份文件、数据库、日志。每月全量备份一次、</w:t>
      </w:r>
      <w:r>
        <w:rPr>
          <w:lang w:eastAsia="zh-Hans"/>
        </w:rPr>
        <w:t>12</w:t>
      </w:r>
      <w:r>
        <w:rPr>
          <w:rFonts w:hint="eastAsia"/>
          <w:lang w:eastAsia="zh-Hans"/>
        </w:rPr>
        <w:t>小时增量备份一次、每</w:t>
      </w:r>
      <w:r>
        <w:rPr>
          <w:lang w:eastAsia="zh-Hans"/>
        </w:rPr>
        <w:t>2-4</w:t>
      </w:r>
      <w:r>
        <w:rPr>
          <w:rFonts w:hint="eastAsia"/>
          <w:lang w:eastAsia="zh-Hans"/>
        </w:rPr>
        <w:t>小时事务日志备份一次、数据保留期限为</w:t>
      </w:r>
      <w:r>
        <w:rPr>
          <w:lang w:eastAsia="zh-Hans"/>
        </w:rPr>
        <w:t>1</w:t>
      </w:r>
      <w:r>
        <w:rPr>
          <w:rFonts w:hint="eastAsia"/>
          <w:lang w:eastAsia="zh-Hans"/>
        </w:rPr>
        <w:t>个月，提供可用的数据库恢复副本不少于</w:t>
      </w:r>
      <w:r>
        <w:rPr>
          <w:lang w:eastAsia="zh-Hans"/>
        </w:rPr>
        <w:t>4</w:t>
      </w:r>
      <w:r>
        <w:rPr>
          <w:rFonts w:hint="eastAsia"/>
          <w:lang w:eastAsia="zh-Hans"/>
        </w:rPr>
        <w:t>份和事务日志级别的数据恢复能力。</w:t>
      </w:r>
    </w:p>
    <w:p w14:paraId="47F2995D">
      <w:pPr>
        <w:rPr>
          <w:lang w:eastAsia="zh-Hans"/>
        </w:rPr>
      </w:pPr>
      <w:r>
        <w:rPr>
          <w:rFonts w:hint="eastAsia"/>
          <w:lang w:eastAsia="zh-Hans"/>
        </w:rPr>
        <w:t>在指挥信息网部署的系统，使用本次建设的数据备份与恢复</w:t>
      </w:r>
      <w:r>
        <w:rPr>
          <w:rFonts w:hint="eastAsia"/>
        </w:rPr>
        <w:t>软件</w:t>
      </w:r>
      <w:r>
        <w:rPr>
          <w:rFonts w:hint="eastAsia"/>
          <w:lang w:eastAsia="zh-Hans"/>
        </w:rPr>
        <w:t>实现备份，主要备份虚拟机、数据库、文件、日志。每月全量备份一次、</w:t>
      </w:r>
      <w:r>
        <w:rPr>
          <w:lang w:eastAsia="zh-Hans"/>
        </w:rPr>
        <w:t>12</w:t>
      </w:r>
      <w:r>
        <w:rPr>
          <w:rFonts w:hint="eastAsia"/>
          <w:lang w:eastAsia="zh-Hans"/>
        </w:rPr>
        <w:t>小时增量备份一次、每</w:t>
      </w:r>
      <w:r>
        <w:rPr>
          <w:lang w:eastAsia="zh-Hans"/>
        </w:rPr>
        <w:t>2-4</w:t>
      </w:r>
      <w:r>
        <w:rPr>
          <w:rFonts w:hint="eastAsia"/>
          <w:lang w:eastAsia="zh-Hans"/>
        </w:rPr>
        <w:t>小时事务日志备份一次、数据保留期限为</w:t>
      </w:r>
      <w:r>
        <w:rPr>
          <w:lang w:eastAsia="zh-Hans"/>
        </w:rPr>
        <w:t>1</w:t>
      </w:r>
      <w:r>
        <w:rPr>
          <w:rFonts w:hint="eastAsia"/>
          <w:lang w:eastAsia="zh-Hans"/>
        </w:rPr>
        <w:t>个月，提供可用的数据库恢复副本不少于</w:t>
      </w:r>
      <w:r>
        <w:rPr>
          <w:lang w:eastAsia="zh-Hans"/>
        </w:rPr>
        <w:t>4</w:t>
      </w:r>
      <w:r>
        <w:rPr>
          <w:rFonts w:hint="eastAsia"/>
          <w:lang w:eastAsia="zh-Hans"/>
        </w:rPr>
        <w:t>份和事务日志级别的数据恢复能力。</w:t>
      </w:r>
    </w:p>
    <w:p w14:paraId="70625713">
      <w:pPr>
        <w:numPr>
          <w:ilvl w:val="0"/>
          <w:numId w:val="41"/>
        </w:numPr>
        <w:rPr>
          <w:lang w:eastAsia="zh-Hans"/>
        </w:rPr>
      </w:pPr>
      <w:r>
        <w:rPr>
          <w:rFonts w:hint="eastAsia"/>
          <w:lang w:eastAsia="zh-Hans"/>
        </w:rPr>
        <w:t>备份量计算</w:t>
      </w:r>
    </w:p>
    <w:p w14:paraId="20420958">
      <w:pPr>
        <w:numPr>
          <w:ilvl w:val="0"/>
          <w:numId w:val="42"/>
        </w:numPr>
        <w:rPr>
          <w:lang w:eastAsia="zh-Hans"/>
        </w:rPr>
      </w:pPr>
      <w:r>
        <w:rPr>
          <w:rFonts w:hint="eastAsia"/>
          <w:lang w:eastAsia="zh-Hans"/>
        </w:rPr>
        <w:t>电子政务外网侧</w:t>
      </w:r>
    </w:p>
    <w:p w14:paraId="5E437CC3">
      <w:pPr>
        <w:rPr>
          <w:lang w:eastAsia="zh-Hans"/>
        </w:rPr>
      </w:pPr>
      <w:r>
        <w:rPr>
          <w:rFonts w:hint="eastAsia"/>
          <w:lang w:eastAsia="zh-Hans"/>
        </w:rPr>
        <w:t>根据前述数据资源存储文件、数据库、日志计算平均每月</w:t>
      </w:r>
      <w:r>
        <w:rPr>
          <w:lang w:eastAsia="zh-Hans"/>
        </w:rPr>
        <w:t>2084.55GB</w:t>
      </w:r>
      <w:r>
        <w:rPr>
          <w:rFonts w:hint="eastAsia"/>
          <w:lang w:eastAsia="zh-Hans"/>
        </w:rPr>
        <w:t>。</w:t>
      </w:r>
    </w:p>
    <w:p w14:paraId="4DF123D8">
      <w:r>
        <w:rPr>
          <w:rFonts w:hint="eastAsia"/>
          <w:lang w:eastAsia="zh-Hans"/>
        </w:rPr>
        <w:t>全量灾备容量测算：</w:t>
      </w:r>
      <w:r>
        <w:rPr>
          <w:lang w:eastAsia="zh-Hans"/>
        </w:rPr>
        <w:t>2084.55GB*4*0.3*100%=2501.46GB</w:t>
      </w:r>
      <w:r>
        <w:rPr>
          <w:rFonts w:hint="eastAsia"/>
          <w:lang w:eastAsia="zh-Hans"/>
        </w:rPr>
        <w:t>（</w:t>
      </w:r>
      <w:r>
        <w:rPr>
          <w:lang w:eastAsia="zh-Hans"/>
        </w:rPr>
        <w:t>4-</w:t>
      </w:r>
      <w:r>
        <w:rPr>
          <w:rFonts w:hint="eastAsia"/>
          <w:lang w:eastAsia="zh-Hans"/>
        </w:rPr>
        <w:t>全备副本数、</w:t>
      </w:r>
      <w:r>
        <w:rPr>
          <w:lang w:eastAsia="zh-Hans"/>
        </w:rPr>
        <w:t>0.3-</w:t>
      </w:r>
      <w:r>
        <w:rPr>
          <w:rFonts w:hint="eastAsia"/>
          <w:lang w:eastAsia="zh-Hans"/>
        </w:rPr>
        <w:t>全备重删率、</w:t>
      </w:r>
      <w:r>
        <w:rPr>
          <w:lang w:eastAsia="zh-Hans"/>
        </w:rPr>
        <w:t>100%-</w:t>
      </w:r>
      <w:r>
        <w:rPr>
          <w:rFonts w:hint="eastAsia"/>
          <w:lang w:eastAsia="zh-Hans"/>
        </w:rPr>
        <w:t>实际需求占比）</w:t>
      </w:r>
      <w:r>
        <w:rPr>
          <w:rFonts w:hint="eastAsia"/>
        </w:rPr>
        <w:t>。</w:t>
      </w:r>
    </w:p>
    <w:p w14:paraId="7E8F7A51">
      <w:r>
        <w:rPr>
          <w:rFonts w:hint="eastAsia"/>
          <w:lang w:eastAsia="zh-Hans"/>
        </w:rPr>
        <w:t>增量灾备容量测算：</w:t>
      </w:r>
      <w:r>
        <w:rPr>
          <w:lang w:eastAsia="zh-Hans"/>
        </w:rPr>
        <w:t>2084.55GB*24*0.03*0.7=1050.61GB</w:t>
      </w:r>
      <w:r>
        <w:rPr>
          <w:rFonts w:hint="eastAsia"/>
          <w:lang w:eastAsia="zh-Hans"/>
        </w:rPr>
        <w:t>（</w:t>
      </w:r>
      <w:r>
        <w:rPr>
          <w:lang w:eastAsia="zh-Hans"/>
        </w:rPr>
        <w:t>24-</w:t>
      </w:r>
      <w:r>
        <w:rPr>
          <w:rFonts w:hint="eastAsia"/>
          <w:lang w:eastAsia="zh-Hans"/>
        </w:rPr>
        <w:t>增备副本数、</w:t>
      </w:r>
      <w:r>
        <w:rPr>
          <w:lang w:eastAsia="zh-Hans"/>
        </w:rPr>
        <w:t>0.03-</w:t>
      </w:r>
      <w:r>
        <w:rPr>
          <w:rFonts w:hint="eastAsia"/>
          <w:lang w:eastAsia="zh-Hans"/>
        </w:rPr>
        <w:t>日均数据变化率、</w:t>
      </w:r>
      <w:r>
        <w:rPr>
          <w:lang w:eastAsia="zh-Hans"/>
        </w:rPr>
        <w:t>0.7-</w:t>
      </w:r>
      <w:r>
        <w:rPr>
          <w:rFonts w:hint="eastAsia"/>
          <w:lang w:eastAsia="zh-Hans"/>
        </w:rPr>
        <w:t>增备重删率、</w:t>
      </w:r>
      <w:r>
        <w:rPr>
          <w:lang w:eastAsia="zh-Hans"/>
        </w:rPr>
        <w:t>100%-</w:t>
      </w:r>
      <w:r>
        <w:rPr>
          <w:rFonts w:hint="eastAsia"/>
          <w:lang w:eastAsia="zh-Hans"/>
        </w:rPr>
        <w:t>实际需求占比）</w:t>
      </w:r>
      <w:r>
        <w:rPr>
          <w:rFonts w:hint="eastAsia"/>
        </w:rPr>
        <w:t>。</w:t>
      </w:r>
    </w:p>
    <w:p w14:paraId="60C2D134">
      <w:r>
        <w:rPr>
          <w:rFonts w:hint="eastAsia"/>
          <w:lang w:eastAsia="zh-Hans"/>
        </w:rPr>
        <w:t>实际需求占比：</w:t>
      </w:r>
      <w:r>
        <w:rPr>
          <w:lang w:eastAsia="zh-Hans"/>
        </w:rPr>
        <w:t>100%</w:t>
      </w:r>
      <w:r>
        <w:rPr>
          <w:rFonts w:hint="eastAsia"/>
          <w:lang w:eastAsia="zh-Hans"/>
        </w:rPr>
        <w:t>可按实际需求预估调整</w:t>
      </w:r>
      <w:r>
        <w:rPr>
          <w:rFonts w:hint="eastAsia"/>
        </w:rPr>
        <w:t>。</w:t>
      </w:r>
    </w:p>
    <w:p w14:paraId="4A4950A6">
      <w:pPr>
        <w:rPr>
          <w:lang w:eastAsia="zh-Hans"/>
        </w:rPr>
      </w:pPr>
      <w:r>
        <w:rPr>
          <w:rFonts w:hint="eastAsia"/>
          <w:lang w:eastAsia="zh-Hans"/>
        </w:rPr>
        <w:t>月备份量</w:t>
      </w:r>
      <w:r>
        <w:rPr>
          <w:lang w:eastAsia="zh-Hans"/>
        </w:rPr>
        <w:t>=</w:t>
      </w:r>
      <w:r>
        <w:rPr>
          <w:rFonts w:hint="eastAsia"/>
          <w:lang w:eastAsia="zh-Hans"/>
        </w:rPr>
        <w:t>全量灾备容量</w:t>
      </w:r>
      <w:r>
        <w:rPr>
          <w:lang w:eastAsia="zh-Hans"/>
        </w:rPr>
        <w:t>+</w:t>
      </w:r>
      <w:r>
        <w:rPr>
          <w:rFonts w:hint="eastAsia"/>
          <w:lang w:eastAsia="zh-Hans"/>
        </w:rPr>
        <w:t>增量灾备容量</w:t>
      </w:r>
      <w:r>
        <w:rPr>
          <w:lang w:eastAsia="zh-Hans"/>
        </w:rPr>
        <w:t>=2501.46+1050.61=3552.07GB</w:t>
      </w:r>
      <w:r>
        <w:rPr>
          <w:rFonts w:hint="eastAsia"/>
          <w:lang w:eastAsia="zh-Hans"/>
        </w:rPr>
        <w:t>。</w:t>
      </w:r>
    </w:p>
    <w:p w14:paraId="1DD0B001">
      <w:pPr>
        <w:rPr>
          <w:lang w:eastAsia="zh-Hans"/>
        </w:rPr>
      </w:pPr>
      <w:r>
        <w:rPr>
          <w:rFonts w:hint="eastAsia"/>
          <w:lang w:eastAsia="zh-Hans"/>
        </w:rPr>
        <w:t>年备份量</w:t>
      </w:r>
      <w:r>
        <w:rPr>
          <w:lang w:eastAsia="zh-Hans"/>
        </w:rPr>
        <w:t>=</w:t>
      </w:r>
      <w:r>
        <w:rPr>
          <w:rFonts w:hint="eastAsia"/>
          <w:lang w:eastAsia="zh-Hans"/>
        </w:rPr>
        <w:t>月备份量</w:t>
      </w:r>
      <w:r>
        <w:rPr>
          <w:lang w:eastAsia="zh-Hans"/>
        </w:rPr>
        <w:t>*12=12*3552.07=42624.84GB</w:t>
      </w:r>
      <w:r>
        <w:rPr>
          <w:rFonts w:hint="eastAsia"/>
          <w:lang w:eastAsia="zh-Hans"/>
        </w:rPr>
        <w:t>。约</w:t>
      </w:r>
      <w:r>
        <w:rPr>
          <w:lang w:eastAsia="zh-Hans"/>
        </w:rPr>
        <w:t>41.6TB</w:t>
      </w:r>
      <w:r>
        <w:rPr>
          <w:rFonts w:hint="eastAsia"/>
          <w:lang w:eastAsia="zh-Hans"/>
        </w:rPr>
        <w:t>。</w:t>
      </w:r>
    </w:p>
    <w:p w14:paraId="38BDBA0A">
      <w:pPr>
        <w:numPr>
          <w:ilvl w:val="0"/>
          <w:numId w:val="42"/>
        </w:numPr>
        <w:rPr>
          <w:lang w:eastAsia="zh-Hans"/>
        </w:rPr>
      </w:pPr>
      <w:r>
        <w:rPr>
          <w:rFonts w:hint="eastAsia"/>
          <w:lang w:eastAsia="zh-Hans"/>
        </w:rPr>
        <w:t>指挥信息网侧</w:t>
      </w:r>
    </w:p>
    <w:p w14:paraId="7237FCA4">
      <w:pPr>
        <w:rPr>
          <w:lang w:eastAsia="zh-Hans"/>
        </w:rPr>
      </w:pPr>
      <w:r>
        <w:rPr>
          <w:rFonts w:hint="eastAsia"/>
          <w:lang w:eastAsia="zh-Hans"/>
        </w:rPr>
        <w:t>根据前述数据资源存储备份虚拟机、数据库、文件、日志计算平均每月</w:t>
      </w:r>
      <w:r>
        <w:rPr>
          <w:lang w:eastAsia="zh-Hans"/>
        </w:rPr>
        <w:t>958.32GB</w:t>
      </w:r>
      <w:r>
        <w:rPr>
          <w:rFonts w:hint="eastAsia"/>
          <w:lang w:eastAsia="zh-Hans"/>
        </w:rPr>
        <w:t>。</w:t>
      </w:r>
    </w:p>
    <w:p w14:paraId="42DDC40E">
      <w:r>
        <w:rPr>
          <w:rFonts w:hint="eastAsia"/>
          <w:lang w:eastAsia="zh-Hans"/>
        </w:rPr>
        <w:t>全量灾备容量测算：</w:t>
      </w:r>
      <w:r>
        <w:rPr>
          <w:lang w:eastAsia="zh-Hans"/>
        </w:rPr>
        <w:t>958.32GB*4*0.3*100%=1149.98GB</w:t>
      </w:r>
      <w:r>
        <w:rPr>
          <w:rFonts w:hint="eastAsia"/>
          <w:lang w:eastAsia="zh-Hans"/>
        </w:rPr>
        <w:t>（</w:t>
      </w:r>
      <w:r>
        <w:rPr>
          <w:lang w:eastAsia="zh-Hans"/>
        </w:rPr>
        <w:t>4-</w:t>
      </w:r>
      <w:r>
        <w:rPr>
          <w:rFonts w:hint="eastAsia"/>
          <w:lang w:eastAsia="zh-Hans"/>
        </w:rPr>
        <w:t>全备副本数、</w:t>
      </w:r>
      <w:r>
        <w:rPr>
          <w:lang w:eastAsia="zh-Hans"/>
        </w:rPr>
        <w:t>0.3-</w:t>
      </w:r>
      <w:r>
        <w:rPr>
          <w:rFonts w:hint="eastAsia"/>
          <w:lang w:eastAsia="zh-Hans"/>
        </w:rPr>
        <w:t>全备重删率、</w:t>
      </w:r>
      <w:r>
        <w:rPr>
          <w:lang w:eastAsia="zh-Hans"/>
        </w:rPr>
        <w:t>100%-</w:t>
      </w:r>
      <w:r>
        <w:rPr>
          <w:rFonts w:hint="eastAsia"/>
          <w:lang w:eastAsia="zh-Hans"/>
        </w:rPr>
        <w:t>实际需求占比）</w:t>
      </w:r>
      <w:r>
        <w:rPr>
          <w:rFonts w:hint="eastAsia"/>
        </w:rPr>
        <w:t>。</w:t>
      </w:r>
    </w:p>
    <w:p w14:paraId="0AF85943">
      <w:r>
        <w:rPr>
          <w:rFonts w:hint="eastAsia"/>
          <w:lang w:eastAsia="zh-Hans"/>
        </w:rPr>
        <w:t>增量灾备容量测算：</w:t>
      </w:r>
      <w:r>
        <w:rPr>
          <w:lang w:eastAsia="zh-Hans"/>
        </w:rPr>
        <w:t>958.32GB*24*0.03*0.7=482.99GB</w:t>
      </w:r>
      <w:r>
        <w:rPr>
          <w:rFonts w:hint="eastAsia"/>
          <w:lang w:eastAsia="zh-Hans"/>
        </w:rPr>
        <w:t>（</w:t>
      </w:r>
      <w:r>
        <w:rPr>
          <w:lang w:eastAsia="zh-Hans"/>
        </w:rPr>
        <w:t>24-</w:t>
      </w:r>
      <w:r>
        <w:rPr>
          <w:rFonts w:hint="eastAsia"/>
          <w:lang w:eastAsia="zh-Hans"/>
        </w:rPr>
        <w:t>增备副本数、</w:t>
      </w:r>
      <w:r>
        <w:rPr>
          <w:lang w:eastAsia="zh-Hans"/>
        </w:rPr>
        <w:t>0.03-</w:t>
      </w:r>
      <w:r>
        <w:rPr>
          <w:rFonts w:hint="eastAsia"/>
          <w:lang w:eastAsia="zh-Hans"/>
        </w:rPr>
        <w:t>日均数据变化率、</w:t>
      </w:r>
      <w:r>
        <w:rPr>
          <w:lang w:eastAsia="zh-Hans"/>
        </w:rPr>
        <w:t>0.7-</w:t>
      </w:r>
      <w:r>
        <w:rPr>
          <w:rFonts w:hint="eastAsia"/>
          <w:lang w:eastAsia="zh-Hans"/>
        </w:rPr>
        <w:t>增备重删率、</w:t>
      </w:r>
      <w:r>
        <w:rPr>
          <w:lang w:eastAsia="zh-Hans"/>
        </w:rPr>
        <w:t>100%-</w:t>
      </w:r>
      <w:r>
        <w:rPr>
          <w:rFonts w:hint="eastAsia"/>
          <w:lang w:eastAsia="zh-Hans"/>
        </w:rPr>
        <w:t>实际需求占比）</w:t>
      </w:r>
      <w:r>
        <w:rPr>
          <w:rFonts w:hint="eastAsia"/>
        </w:rPr>
        <w:t>。</w:t>
      </w:r>
    </w:p>
    <w:p w14:paraId="02EC528E">
      <w:r>
        <w:rPr>
          <w:rFonts w:hint="eastAsia"/>
          <w:lang w:eastAsia="zh-Hans"/>
        </w:rPr>
        <w:t>实际需求占比：</w:t>
      </w:r>
      <w:r>
        <w:rPr>
          <w:lang w:eastAsia="zh-Hans"/>
        </w:rPr>
        <w:t>100%</w:t>
      </w:r>
      <w:r>
        <w:rPr>
          <w:rFonts w:hint="eastAsia"/>
          <w:lang w:eastAsia="zh-Hans"/>
        </w:rPr>
        <w:t>可按实际需求预估调整</w:t>
      </w:r>
      <w:r>
        <w:rPr>
          <w:rFonts w:hint="eastAsia"/>
        </w:rPr>
        <w:t>。</w:t>
      </w:r>
    </w:p>
    <w:p w14:paraId="5A05667C">
      <w:pPr>
        <w:rPr>
          <w:lang w:eastAsia="zh-Hans"/>
        </w:rPr>
      </w:pPr>
      <w:r>
        <w:rPr>
          <w:rFonts w:hint="eastAsia"/>
          <w:lang w:eastAsia="zh-Hans"/>
        </w:rPr>
        <w:t>月备份量</w:t>
      </w:r>
      <w:r>
        <w:rPr>
          <w:lang w:eastAsia="zh-Hans"/>
        </w:rPr>
        <w:t>=</w:t>
      </w:r>
      <w:r>
        <w:rPr>
          <w:rFonts w:hint="eastAsia"/>
          <w:lang w:eastAsia="zh-Hans"/>
        </w:rPr>
        <w:t>全量灾备容量</w:t>
      </w:r>
      <w:r>
        <w:rPr>
          <w:lang w:eastAsia="zh-Hans"/>
        </w:rPr>
        <w:t>+</w:t>
      </w:r>
      <w:r>
        <w:rPr>
          <w:rFonts w:hint="eastAsia"/>
          <w:lang w:eastAsia="zh-Hans"/>
        </w:rPr>
        <w:t>增量灾备容量</w:t>
      </w:r>
      <w:r>
        <w:rPr>
          <w:lang w:eastAsia="zh-Hans"/>
        </w:rPr>
        <w:t>=1149.98+482.99=1632.97GB</w:t>
      </w:r>
      <w:r>
        <w:rPr>
          <w:rFonts w:hint="eastAsia"/>
          <w:lang w:eastAsia="zh-Hans"/>
        </w:rPr>
        <w:t>。</w:t>
      </w:r>
    </w:p>
    <w:p w14:paraId="56A35640">
      <w:pPr>
        <w:rPr>
          <w:lang w:eastAsia="zh-Hans"/>
        </w:rPr>
      </w:pPr>
      <w:r>
        <w:rPr>
          <w:rFonts w:hint="eastAsia"/>
          <w:lang w:eastAsia="zh-Hans"/>
        </w:rPr>
        <w:t>年备份量</w:t>
      </w:r>
      <w:r>
        <w:rPr>
          <w:lang w:eastAsia="zh-Hans"/>
        </w:rPr>
        <w:t>=</w:t>
      </w:r>
      <w:r>
        <w:rPr>
          <w:rFonts w:hint="eastAsia"/>
          <w:lang w:eastAsia="zh-Hans"/>
        </w:rPr>
        <w:t>月备份量</w:t>
      </w:r>
      <w:r>
        <w:rPr>
          <w:lang w:eastAsia="zh-Hans"/>
        </w:rPr>
        <w:t>*12=12*1632.97=19595.64GB</w:t>
      </w:r>
      <w:r>
        <w:rPr>
          <w:rFonts w:hint="eastAsia"/>
          <w:lang w:eastAsia="zh-Hans"/>
        </w:rPr>
        <w:t>。约</w:t>
      </w:r>
      <w:r>
        <w:rPr>
          <w:lang w:eastAsia="zh-Hans"/>
        </w:rPr>
        <w:t>19TB</w:t>
      </w:r>
      <w:r>
        <w:rPr>
          <w:rFonts w:hint="eastAsia"/>
          <w:lang w:eastAsia="zh-Hans"/>
        </w:rPr>
        <w:t>。</w:t>
      </w:r>
    </w:p>
    <w:p w14:paraId="4773A913"/>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黑体简体">
    <w:altName w:val="微软雅黑"/>
    <w:panose1 w:val="00000000000000000000"/>
    <w:charset w:val="86"/>
    <w:family w:val="auto"/>
    <w:pitch w:val="default"/>
    <w:sig w:usb0="00000000" w:usb1="00000000" w:usb2="00000012" w:usb3="00000000" w:csb0="00040001"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简宋">
    <w:altName w:val="微软雅黑"/>
    <w:panose1 w:val="02020300000000000000"/>
    <w:charset w:val="86"/>
    <w:family w:val="auto"/>
    <w:pitch w:val="default"/>
    <w:sig w:usb0="00000000" w:usb1="00000000" w:usb2="00000000" w:usb3="00000000" w:csb0="00160000" w:csb1="00000000"/>
  </w:font>
  <w:font w:name="SimSong">
    <w:altName w:val="微软雅黑"/>
    <w:panose1 w:val="020203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03BA37"/>
    <w:multiLevelType w:val="singleLevel"/>
    <w:tmpl w:val="9703BA37"/>
    <w:lvl w:ilvl="0" w:tentative="0">
      <w:start w:val="1"/>
      <w:numFmt w:val="decimal"/>
      <w:suff w:val="nothing"/>
      <w:lvlText w:val="（%1）"/>
      <w:lvlJc w:val="left"/>
    </w:lvl>
  </w:abstractNum>
  <w:abstractNum w:abstractNumId="1">
    <w:nsid w:val="9E779D3B"/>
    <w:multiLevelType w:val="singleLevel"/>
    <w:tmpl w:val="9E779D3B"/>
    <w:lvl w:ilvl="0" w:tentative="0">
      <w:start w:val="1"/>
      <w:numFmt w:val="decimal"/>
      <w:suff w:val="space"/>
      <w:lvlText w:val="%1."/>
      <w:lvlJc w:val="left"/>
    </w:lvl>
  </w:abstractNum>
  <w:abstractNum w:abstractNumId="2">
    <w:nsid w:val="B3337CAE"/>
    <w:multiLevelType w:val="singleLevel"/>
    <w:tmpl w:val="B3337CAE"/>
    <w:lvl w:ilvl="0" w:tentative="0">
      <w:start w:val="1"/>
      <w:numFmt w:val="decimal"/>
      <w:suff w:val="space"/>
      <w:lvlText w:val="%1."/>
      <w:lvlJc w:val="left"/>
    </w:lvl>
  </w:abstractNum>
  <w:abstractNum w:abstractNumId="3">
    <w:nsid w:val="B4C22C64"/>
    <w:multiLevelType w:val="singleLevel"/>
    <w:tmpl w:val="B4C22C64"/>
    <w:lvl w:ilvl="0" w:tentative="0">
      <w:start w:val="1"/>
      <w:numFmt w:val="decimal"/>
      <w:suff w:val="nothing"/>
      <w:lvlText w:val="（%1）"/>
      <w:lvlJc w:val="left"/>
    </w:lvl>
  </w:abstractNum>
  <w:abstractNum w:abstractNumId="4">
    <w:nsid w:val="B8CFEBE7"/>
    <w:multiLevelType w:val="multilevel"/>
    <w:tmpl w:val="B8CFEBE7"/>
    <w:lvl w:ilvl="0" w:tentative="0">
      <w:start w:val="1"/>
      <w:numFmt w:val="decimal"/>
      <w:suff w:val="nothing"/>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BD701D0E"/>
    <w:multiLevelType w:val="singleLevel"/>
    <w:tmpl w:val="BD701D0E"/>
    <w:lvl w:ilvl="0" w:tentative="0">
      <w:start w:val="1"/>
      <w:numFmt w:val="decimal"/>
      <w:suff w:val="nothing"/>
      <w:lvlText w:val="（%1）"/>
      <w:lvlJc w:val="left"/>
    </w:lvl>
  </w:abstractNum>
  <w:abstractNum w:abstractNumId="6">
    <w:nsid w:val="BF15FAF9"/>
    <w:multiLevelType w:val="singleLevel"/>
    <w:tmpl w:val="BF15FAF9"/>
    <w:lvl w:ilvl="0" w:tentative="0">
      <w:start w:val="1"/>
      <w:numFmt w:val="decimal"/>
      <w:suff w:val="nothing"/>
      <w:lvlText w:val="%1、"/>
      <w:lvlJc w:val="left"/>
    </w:lvl>
  </w:abstractNum>
  <w:abstractNum w:abstractNumId="7">
    <w:nsid w:val="C81033F2"/>
    <w:multiLevelType w:val="singleLevel"/>
    <w:tmpl w:val="C81033F2"/>
    <w:lvl w:ilvl="0" w:tentative="0">
      <w:start w:val="1"/>
      <w:numFmt w:val="decimal"/>
      <w:suff w:val="nothing"/>
      <w:lvlText w:val="（%1）"/>
      <w:lvlJc w:val="left"/>
    </w:lvl>
  </w:abstractNum>
  <w:abstractNum w:abstractNumId="8">
    <w:nsid w:val="CAA45520"/>
    <w:multiLevelType w:val="singleLevel"/>
    <w:tmpl w:val="CAA45520"/>
    <w:lvl w:ilvl="0" w:tentative="0">
      <w:start w:val="1"/>
      <w:numFmt w:val="decimal"/>
      <w:suff w:val="nothing"/>
      <w:lvlText w:val="（%1）"/>
      <w:lvlJc w:val="left"/>
    </w:lvl>
  </w:abstractNum>
  <w:abstractNum w:abstractNumId="9">
    <w:nsid w:val="DC7C7110"/>
    <w:multiLevelType w:val="singleLevel"/>
    <w:tmpl w:val="DC7C7110"/>
    <w:lvl w:ilvl="0" w:tentative="0">
      <w:start w:val="1"/>
      <w:numFmt w:val="decimal"/>
      <w:suff w:val="space"/>
      <w:lvlText w:val="%1."/>
      <w:lvlJc w:val="left"/>
    </w:lvl>
  </w:abstractNum>
  <w:abstractNum w:abstractNumId="10">
    <w:nsid w:val="DC9DCBC9"/>
    <w:multiLevelType w:val="singleLevel"/>
    <w:tmpl w:val="DC9DCBC9"/>
    <w:lvl w:ilvl="0" w:tentative="0">
      <w:start w:val="1"/>
      <w:numFmt w:val="decimal"/>
      <w:suff w:val="space"/>
      <w:lvlText w:val="%1."/>
      <w:lvlJc w:val="left"/>
    </w:lvl>
  </w:abstractNum>
  <w:abstractNum w:abstractNumId="11">
    <w:nsid w:val="E16966FA"/>
    <w:multiLevelType w:val="singleLevel"/>
    <w:tmpl w:val="E16966FA"/>
    <w:lvl w:ilvl="0" w:tentative="0">
      <w:start w:val="1"/>
      <w:numFmt w:val="decimal"/>
      <w:suff w:val="space"/>
      <w:lvlText w:val="%1）"/>
      <w:lvlJc w:val="left"/>
      <w:pPr>
        <w:tabs>
          <w:tab w:val="left" w:pos="0"/>
        </w:tabs>
      </w:pPr>
      <w:rPr>
        <w:rFonts w:hint="default"/>
      </w:rPr>
    </w:lvl>
  </w:abstractNum>
  <w:abstractNum w:abstractNumId="12">
    <w:nsid w:val="E5390A5B"/>
    <w:multiLevelType w:val="singleLevel"/>
    <w:tmpl w:val="E5390A5B"/>
    <w:lvl w:ilvl="0" w:tentative="0">
      <w:start w:val="1"/>
      <w:numFmt w:val="decimal"/>
      <w:suff w:val="space"/>
      <w:lvlText w:val="%1."/>
      <w:lvlJc w:val="left"/>
      <w:rPr>
        <w:rFonts w:hint="default"/>
        <w:b w:val="0"/>
        <w:bCs w:val="0"/>
      </w:rPr>
    </w:lvl>
  </w:abstractNum>
  <w:abstractNum w:abstractNumId="13">
    <w:nsid w:val="E5568B3D"/>
    <w:multiLevelType w:val="singleLevel"/>
    <w:tmpl w:val="E5568B3D"/>
    <w:lvl w:ilvl="0" w:tentative="0">
      <w:start w:val="1"/>
      <w:numFmt w:val="decimal"/>
      <w:suff w:val="space"/>
      <w:lvlText w:val="%1."/>
      <w:lvlJc w:val="left"/>
    </w:lvl>
  </w:abstractNum>
  <w:abstractNum w:abstractNumId="14">
    <w:nsid w:val="FA8C1C92"/>
    <w:multiLevelType w:val="singleLevel"/>
    <w:tmpl w:val="FA8C1C92"/>
    <w:lvl w:ilvl="0" w:tentative="0">
      <w:start w:val="1"/>
      <w:numFmt w:val="decimal"/>
      <w:suff w:val="nothing"/>
      <w:lvlText w:val="%1）"/>
      <w:lvlJc w:val="left"/>
      <w:pPr>
        <w:tabs>
          <w:tab w:val="left" w:pos="0"/>
        </w:tabs>
      </w:pPr>
      <w:rPr>
        <w:rFonts w:hint="default"/>
      </w:rPr>
    </w:lvl>
  </w:abstractNum>
  <w:abstractNum w:abstractNumId="15">
    <w:nsid w:val="FAFEE46C"/>
    <w:multiLevelType w:val="singleLevel"/>
    <w:tmpl w:val="FAFEE46C"/>
    <w:lvl w:ilvl="0" w:tentative="0">
      <w:start w:val="1"/>
      <w:numFmt w:val="decimal"/>
      <w:suff w:val="space"/>
      <w:lvlText w:val="%1."/>
      <w:lvlJc w:val="left"/>
    </w:lvl>
  </w:abstractNum>
  <w:abstractNum w:abstractNumId="16">
    <w:nsid w:val="01EA3966"/>
    <w:multiLevelType w:val="singleLevel"/>
    <w:tmpl w:val="01EA3966"/>
    <w:lvl w:ilvl="0" w:tentative="0">
      <w:start w:val="1"/>
      <w:numFmt w:val="decimal"/>
      <w:suff w:val="space"/>
      <w:lvlText w:val="%1."/>
      <w:lvlJc w:val="left"/>
    </w:lvl>
  </w:abstractNum>
  <w:abstractNum w:abstractNumId="17">
    <w:nsid w:val="02EC4C77"/>
    <w:multiLevelType w:val="singleLevel"/>
    <w:tmpl w:val="02EC4C77"/>
    <w:lvl w:ilvl="0" w:tentative="0">
      <w:start w:val="1"/>
      <w:numFmt w:val="decimal"/>
      <w:suff w:val="space"/>
      <w:lvlText w:val="%1."/>
      <w:lvlJc w:val="left"/>
    </w:lvl>
  </w:abstractNum>
  <w:abstractNum w:abstractNumId="18">
    <w:nsid w:val="05A425D5"/>
    <w:multiLevelType w:val="singleLevel"/>
    <w:tmpl w:val="05A425D5"/>
    <w:lvl w:ilvl="0" w:tentative="0">
      <w:start w:val="1"/>
      <w:numFmt w:val="decimal"/>
      <w:suff w:val="nothing"/>
      <w:lvlText w:val="（%1）"/>
      <w:lvlJc w:val="left"/>
    </w:lvl>
  </w:abstractNum>
  <w:abstractNum w:abstractNumId="19">
    <w:nsid w:val="0B2FAE75"/>
    <w:multiLevelType w:val="singleLevel"/>
    <w:tmpl w:val="0B2FAE75"/>
    <w:lvl w:ilvl="0" w:tentative="0">
      <w:start w:val="1"/>
      <w:numFmt w:val="decimal"/>
      <w:suff w:val="nothing"/>
      <w:lvlText w:val="（%1）"/>
      <w:lvlJc w:val="left"/>
    </w:lvl>
  </w:abstractNum>
  <w:abstractNum w:abstractNumId="20">
    <w:nsid w:val="18036E01"/>
    <w:multiLevelType w:val="multilevel"/>
    <w:tmpl w:val="18036E01"/>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1">
    <w:nsid w:val="1BE8CC25"/>
    <w:multiLevelType w:val="multilevel"/>
    <w:tmpl w:val="1BE8CC25"/>
    <w:lvl w:ilvl="0" w:tentative="0">
      <w:start w:val="1"/>
      <w:numFmt w:val="decimal"/>
      <w:suff w:val="nothing"/>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2">
    <w:nsid w:val="1DF3A9A3"/>
    <w:multiLevelType w:val="singleLevel"/>
    <w:tmpl w:val="1DF3A9A3"/>
    <w:lvl w:ilvl="0" w:tentative="0">
      <w:start w:val="1"/>
      <w:numFmt w:val="decimal"/>
      <w:suff w:val="nothing"/>
      <w:lvlText w:val="（%1）"/>
      <w:lvlJc w:val="left"/>
    </w:lvl>
  </w:abstractNum>
  <w:abstractNum w:abstractNumId="23">
    <w:nsid w:val="1EEBD334"/>
    <w:multiLevelType w:val="singleLevel"/>
    <w:tmpl w:val="1EEBD334"/>
    <w:lvl w:ilvl="0" w:tentative="0">
      <w:start w:val="1"/>
      <w:numFmt w:val="decimal"/>
      <w:suff w:val="nothing"/>
      <w:lvlText w:val="（%1）"/>
      <w:lvlJc w:val="left"/>
    </w:lvl>
  </w:abstractNum>
  <w:abstractNum w:abstractNumId="24">
    <w:nsid w:val="20911864"/>
    <w:multiLevelType w:val="multilevel"/>
    <w:tmpl w:val="20911864"/>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360" w:hanging="420"/>
      </w:pPr>
    </w:lvl>
    <w:lvl w:ilvl="2" w:tentative="0">
      <w:start w:val="1"/>
      <w:numFmt w:val="lowerRoman"/>
      <w:lvlText w:val="%3."/>
      <w:lvlJc w:val="right"/>
      <w:pPr>
        <w:ind w:left="780" w:hanging="420"/>
      </w:pPr>
    </w:lvl>
    <w:lvl w:ilvl="3" w:tentative="0">
      <w:start w:val="1"/>
      <w:numFmt w:val="decimal"/>
      <w:lvlText w:val="%4."/>
      <w:lvlJc w:val="left"/>
      <w:pPr>
        <w:ind w:left="1200" w:hanging="420"/>
      </w:pPr>
    </w:lvl>
    <w:lvl w:ilvl="4" w:tentative="0">
      <w:start w:val="1"/>
      <w:numFmt w:val="lowerLetter"/>
      <w:lvlText w:val="%5)"/>
      <w:lvlJc w:val="left"/>
      <w:pPr>
        <w:ind w:left="1620" w:hanging="420"/>
      </w:pPr>
    </w:lvl>
    <w:lvl w:ilvl="5" w:tentative="0">
      <w:start w:val="1"/>
      <w:numFmt w:val="lowerRoman"/>
      <w:lvlText w:val="%6."/>
      <w:lvlJc w:val="right"/>
      <w:pPr>
        <w:ind w:left="2040" w:hanging="420"/>
      </w:pPr>
    </w:lvl>
    <w:lvl w:ilvl="6" w:tentative="0">
      <w:start w:val="1"/>
      <w:numFmt w:val="decimal"/>
      <w:lvlText w:val="%7."/>
      <w:lvlJc w:val="left"/>
      <w:pPr>
        <w:ind w:left="2460" w:hanging="420"/>
      </w:pPr>
    </w:lvl>
    <w:lvl w:ilvl="7" w:tentative="0">
      <w:start w:val="1"/>
      <w:numFmt w:val="lowerLetter"/>
      <w:lvlText w:val="%8)"/>
      <w:lvlJc w:val="left"/>
      <w:pPr>
        <w:ind w:left="2880" w:hanging="420"/>
      </w:pPr>
    </w:lvl>
    <w:lvl w:ilvl="8" w:tentative="0">
      <w:start w:val="1"/>
      <w:numFmt w:val="lowerRoman"/>
      <w:lvlText w:val="%9."/>
      <w:lvlJc w:val="right"/>
      <w:pPr>
        <w:ind w:left="3300" w:hanging="420"/>
      </w:pPr>
    </w:lvl>
  </w:abstractNum>
  <w:abstractNum w:abstractNumId="25">
    <w:nsid w:val="2CD9188A"/>
    <w:multiLevelType w:val="singleLevel"/>
    <w:tmpl w:val="2CD9188A"/>
    <w:lvl w:ilvl="0" w:tentative="0">
      <w:start w:val="1"/>
      <w:numFmt w:val="decimal"/>
      <w:suff w:val="nothing"/>
      <w:lvlText w:val="（%1）"/>
      <w:lvlJc w:val="left"/>
    </w:lvl>
  </w:abstractNum>
  <w:abstractNum w:abstractNumId="26">
    <w:nsid w:val="396769F6"/>
    <w:multiLevelType w:val="singleLevel"/>
    <w:tmpl w:val="396769F6"/>
    <w:lvl w:ilvl="0" w:tentative="0">
      <w:start w:val="1"/>
      <w:numFmt w:val="decimal"/>
      <w:suff w:val="space"/>
      <w:lvlText w:val="%1."/>
      <w:lvlJc w:val="left"/>
    </w:lvl>
  </w:abstractNum>
  <w:abstractNum w:abstractNumId="27">
    <w:nsid w:val="3CC2817F"/>
    <w:multiLevelType w:val="singleLevel"/>
    <w:tmpl w:val="3CC2817F"/>
    <w:lvl w:ilvl="0" w:tentative="0">
      <w:start w:val="1"/>
      <w:numFmt w:val="decimal"/>
      <w:suff w:val="space"/>
      <w:lvlText w:val="%1."/>
      <w:lvlJc w:val="left"/>
    </w:lvl>
  </w:abstractNum>
  <w:abstractNum w:abstractNumId="28">
    <w:nsid w:val="3F8BA0F0"/>
    <w:multiLevelType w:val="singleLevel"/>
    <w:tmpl w:val="3F8BA0F0"/>
    <w:lvl w:ilvl="0" w:tentative="0">
      <w:start w:val="1"/>
      <w:numFmt w:val="decimal"/>
      <w:suff w:val="space"/>
      <w:lvlText w:val="%1."/>
      <w:lvlJc w:val="left"/>
    </w:lvl>
  </w:abstractNum>
  <w:abstractNum w:abstractNumId="29">
    <w:nsid w:val="4205B724"/>
    <w:multiLevelType w:val="singleLevel"/>
    <w:tmpl w:val="4205B724"/>
    <w:lvl w:ilvl="0" w:tentative="0">
      <w:start w:val="1"/>
      <w:numFmt w:val="decimal"/>
      <w:suff w:val="nothing"/>
      <w:lvlText w:val="（%1）"/>
      <w:lvlJc w:val="left"/>
    </w:lvl>
  </w:abstractNum>
  <w:abstractNum w:abstractNumId="30">
    <w:nsid w:val="449442D7"/>
    <w:multiLevelType w:val="singleLevel"/>
    <w:tmpl w:val="449442D7"/>
    <w:lvl w:ilvl="0" w:tentative="0">
      <w:start w:val="1"/>
      <w:numFmt w:val="decimal"/>
      <w:suff w:val="nothing"/>
      <w:lvlText w:val="（%1）"/>
      <w:lvlJc w:val="left"/>
    </w:lvl>
  </w:abstractNum>
  <w:abstractNum w:abstractNumId="31">
    <w:nsid w:val="475A1519"/>
    <w:multiLevelType w:val="multilevel"/>
    <w:tmpl w:val="475A1519"/>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2">
    <w:nsid w:val="482B94FA"/>
    <w:multiLevelType w:val="singleLevel"/>
    <w:tmpl w:val="482B94FA"/>
    <w:lvl w:ilvl="0" w:tentative="0">
      <w:start w:val="1"/>
      <w:numFmt w:val="decimal"/>
      <w:suff w:val="nothing"/>
      <w:lvlText w:val="（%1）"/>
      <w:lvlJc w:val="left"/>
    </w:lvl>
  </w:abstractNum>
  <w:abstractNum w:abstractNumId="33">
    <w:nsid w:val="49FB745B"/>
    <w:multiLevelType w:val="singleLevel"/>
    <w:tmpl w:val="49FB745B"/>
    <w:lvl w:ilvl="0" w:tentative="0">
      <w:start w:val="1"/>
      <w:numFmt w:val="decimal"/>
      <w:suff w:val="space"/>
      <w:lvlText w:val="%1."/>
      <w:lvlJc w:val="left"/>
    </w:lvl>
  </w:abstractNum>
  <w:abstractNum w:abstractNumId="34">
    <w:nsid w:val="66612AB0"/>
    <w:multiLevelType w:val="singleLevel"/>
    <w:tmpl w:val="66612AB0"/>
    <w:lvl w:ilvl="0" w:tentative="0">
      <w:start w:val="1"/>
      <w:numFmt w:val="decimal"/>
      <w:suff w:val="nothing"/>
      <w:lvlText w:val="（%1）"/>
      <w:lvlJc w:val="left"/>
    </w:lvl>
  </w:abstractNum>
  <w:abstractNum w:abstractNumId="35">
    <w:nsid w:val="6A214DF0"/>
    <w:multiLevelType w:val="multilevel"/>
    <w:tmpl w:val="6A214DF0"/>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6">
    <w:nsid w:val="6A353E4B"/>
    <w:multiLevelType w:val="singleLevel"/>
    <w:tmpl w:val="6A353E4B"/>
    <w:lvl w:ilvl="0" w:tentative="0">
      <w:start w:val="1"/>
      <w:numFmt w:val="decimal"/>
      <w:suff w:val="space"/>
      <w:lvlText w:val="%1."/>
      <w:lvlJc w:val="left"/>
    </w:lvl>
  </w:abstractNum>
  <w:abstractNum w:abstractNumId="37">
    <w:nsid w:val="70398559"/>
    <w:multiLevelType w:val="singleLevel"/>
    <w:tmpl w:val="70398559"/>
    <w:lvl w:ilvl="0" w:tentative="0">
      <w:start w:val="1"/>
      <w:numFmt w:val="decimal"/>
      <w:suff w:val="space"/>
      <w:lvlText w:val="%1."/>
      <w:lvlJc w:val="left"/>
    </w:lvl>
  </w:abstractNum>
  <w:abstractNum w:abstractNumId="38">
    <w:nsid w:val="7797C637"/>
    <w:multiLevelType w:val="singleLevel"/>
    <w:tmpl w:val="7797C637"/>
    <w:lvl w:ilvl="0" w:tentative="0">
      <w:start w:val="1"/>
      <w:numFmt w:val="decimal"/>
      <w:suff w:val="space"/>
      <w:lvlText w:val="%1."/>
      <w:lvlJc w:val="left"/>
    </w:lvl>
  </w:abstractNum>
  <w:abstractNum w:abstractNumId="39">
    <w:nsid w:val="7BE20EE8"/>
    <w:multiLevelType w:val="singleLevel"/>
    <w:tmpl w:val="7BE20EE8"/>
    <w:lvl w:ilvl="0" w:tentative="0">
      <w:start w:val="1"/>
      <w:numFmt w:val="decimal"/>
      <w:suff w:val="space"/>
      <w:lvlText w:val="%1."/>
      <w:lvlJc w:val="left"/>
    </w:lvl>
  </w:abstractNum>
  <w:abstractNum w:abstractNumId="40">
    <w:nsid w:val="7E0C5F22"/>
    <w:multiLevelType w:val="multilevel"/>
    <w:tmpl w:val="7E0C5F22"/>
    <w:lvl w:ilvl="0" w:tentative="0">
      <w:start w:val="1"/>
      <w:numFmt w:val="decimal"/>
      <w:suff w:val="nothing"/>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6"/>
    <w:lvlOverride w:ilvl="0">
      <w:startOverride w:val="1"/>
    </w:lvlOverride>
  </w:num>
  <w:num w:numId="2">
    <w:abstractNumId w:val="17"/>
    <w:lvlOverride w:ilvl="0">
      <w:startOverride w:val="1"/>
    </w:lvlOverride>
  </w:num>
  <w:num w:numId="3">
    <w:abstractNumId w:val="12"/>
    <w:lvlOverride w:ilvl="0">
      <w:startOverride w:val="1"/>
    </w:lvlOverride>
  </w:num>
  <w:num w:numId="4">
    <w:abstractNumId w:val="5"/>
    <w:lvlOverride w:ilvl="0">
      <w:startOverride w:val="1"/>
    </w:lvlOverride>
  </w:num>
  <w:num w:numId="5">
    <w:abstractNumId w:val="19"/>
    <w:lvlOverride w:ilvl="0">
      <w:startOverride w:val="1"/>
    </w:lvlOverride>
  </w:num>
  <w:num w:numId="6">
    <w:abstractNumId w:val="21"/>
  </w:num>
  <w:num w:numId="7">
    <w:abstractNumId w:val="20"/>
  </w:num>
  <w:num w:numId="8">
    <w:abstractNumId w:val="31"/>
  </w:num>
  <w:num w:numId="9">
    <w:abstractNumId w:val="35"/>
  </w:num>
  <w:num w:numId="10">
    <w:abstractNumId w:val="1"/>
  </w:num>
  <w:num w:numId="11">
    <w:abstractNumId w:val="16"/>
  </w:num>
  <w:num w:numId="12">
    <w:abstractNumId w:val="13"/>
  </w:num>
  <w:num w:numId="13">
    <w:abstractNumId w:val="2"/>
  </w:num>
  <w:num w:numId="14">
    <w:abstractNumId w:val="8"/>
  </w:num>
  <w:num w:numId="15">
    <w:abstractNumId w:val="28"/>
  </w:num>
  <w:num w:numId="16">
    <w:abstractNumId w:val="3"/>
  </w:num>
  <w:num w:numId="17">
    <w:abstractNumId w:val="22"/>
  </w:num>
  <w:num w:numId="18">
    <w:abstractNumId w:val="34"/>
  </w:num>
  <w:num w:numId="19">
    <w:abstractNumId w:val="23"/>
  </w:num>
  <w:num w:numId="20">
    <w:abstractNumId w:val="38"/>
  </w:num>
  <w:num w:numId="21">
    <w:abstractNumId w:val="9"/>
  </w:num>
  <w:num w:numId="22">
    <w:abstractNumId w:val="18"/>
  </w:num>
  <w:num w:numId="23">
    <w:abstractNumId w:val="32"/>
  </w:num>
  <w:num w:numId="24">
    <w:abstractNumId w:val="36"/>
    <w:lvlOverride w:ilvl="0">
      <w:startOverride w:val="1"/>
    </w:lvlOverride>
  </w:num>
  <w:num w:numId="25">
    <w:abstractNumId w:val="33"/>
    <w:lvlOverride w:ilvl="0">
      <w:startOverride w:val="1"/>
    </w:lvlOverride>
  </w:num>
  <w:num w:numId="26">
    <w:abstractNumId w:val="0"/>
    <w:lvlOverride w:ilvl="0">
      <w:startOverride w:val="1"/>
    </w:lvlOverride>
  </w:num>
  <w:num w:numId="27">
    <w:abstractNumId w:val="39"/>
    <w:lvlOverride w:ilvl="0">
      <w:startOverride w:val="1"/>
    </w:lvlOverride>
  </w:num>
  <w:num w:numId="28">
    <w:abstractNumId w:val="29"/>
  </w:num>
  <w:num w:numId="29">
    <w:abstractNumId w:val="37"/>
    <w:lvlOverride w:ilvl="0">
      <w:startOverride w:val="1"/>
    </w:lvlOverride>
  </w:num>
  <w:num w:numId="30">
    <w:abstractNumId w:val="25"/>
    <w:lvlOverride w:ilvl="0">
      <w:startOverride w:val="1"/>
    </w:lvlOverride>
  </w:num>
  <w:num w:numId="31">
    <w:abstractNumId w:val="10"/>
    <w:lvlOverride w:ilvl="0">
      <w:startOverride w:val="1"/>
    </w:lvlOverride>
  </w:num>
  <w:num w:numId="32">
    <w:abstractNumId w:val="10"/>
  </w:num>
  <w:num w:numId="33">
    <w:abstractNumId w:val="24"/>
  </w:num>
  <w:num w:numId="34">
    <w:abstractNumId w:val="40"/>
  </w:num>
  <w:num w:numId="35">
    <w:abstractNumId w:val="27"/>
    <w:lvlOverride w:ilvl="0">
      <w:startOverride w:val="1"/>
    </w:lvlOverride>
  </w:num>
  <w:num w:numId="36">
    <w:abstractNumId w:val="7"/>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4"/>
    <w:lvlOverride w:ilvl="0">
      <w:startOverride w:val="1"/>
    </w:lvlOverride>
  </w:num>
  <w:num w:numId="39">
    <w:abstractNumId w:val="6"/>
  </w:num>
  <w:num w:numId="40">
    <w:abstractNumId w:val="11"/>
  </w:num>
  <w:num w:numId="41">
    <w:abstractNumId w:val="15"/>
    <w:lvlOverride w:ilvl="0">
      <w:startOverride w:val="1"/>
    </w:lvlOverride>
  </w:num>
  <w:num w:numId="42">
    <w:abstractNumId w:val="3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2C6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1"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3">
    <w:name w:val="heading 2"/>
    <w:basedOn w:val="1"/>
    <w:next w:val="4"/>
    <w:qFormat/>
    <w:uiPriority w:val="0"/>
    <w:pPr>
      <w:keepNext/>
      <w:keepLines/>
      <w:spacing w:before="240" w:after="240" w:line="240" w:lineRule="auto"/>
      <w:ind w:firstLine="0" w:firstLineChars="0"/>
      <w:outlineLvl w:val="1"/>
    </w:pPr>
    <w:rPr>
      <w:rFonts w:ascii="黑体" w:hAnsi="黑体" w:eastAsia="黑体"/>
      <w:bCs/>
      <w:sz w:val="36"/>
      <w:szCs w:val="32"/>
    </w:rPr>
  </w:style>
  <w:style w:type="paragraph" w:styleId="5">
    <w:name w:val="heading 3"/>
    <w:basedOn w:val="1"/>
    <w:next w:val="4"/>
    <w:qFormat/>
    <w:uiPriority w:val="9"/>
    <w:pPr>
      <w:keepNext/>
      <w:keepLines/>
      <w:spacing w:before="120" w:after="120" w:line="240" w:lineRule="auto"/>
      <w:ind w:firstLine="0" w:firstLineChars="0"/>
      <w:jc w:val="left"/>
      <w:outlineLvl w:val="2"/>
    </w:pPr>
    <w:rPr>
      <w:rFonts w:ascii="黑体" w:hAnsi="黑体" w:eastAsia="黑体"/>
      <w:bCs/>
      <w:sz w:val="32"/>
      <w:szCs w:val="32"/>
    </w:rPr>
  </w:style>
  <w:style w:type="paragraph" w:styleId="6">
    <w:name w:val="heading 4"/>
    <w:basedOn w:val="1"/>
    <w:next w:val="1"/>
    <w:qFormat/>
    <w:uiPriority w:val="0"/>
    <w:pPr>
      <w:keepNext/>
      <w:keepLines/>
      <w:spacing w:before="120" w:after="120" w:line="240" w:lineRule="auto"/>
      <w:ind w:firstLine="0" w:firstLineChars="0"/>
      <w:jc w:val="left"/>
      <w:outlineLvl w:val="3"/>
    </w:pPr>
    <w:rPr>
      <w:rFonts w:ascii="宋体" w:hAnsi="宋体"/>
      <w:b/>
      <w:bCs/>
      <w:sz w:val="28"/>
      <w:szCs w:val="28"/>
    </w:rPr>
  </w:style>
  <w:style w:type="paragraph" w:styleId="7">
    <w:name w:val="heading 5"/>
    <w:basedOn w:val="1"/>
    <w:next w:val="1"/>
    <w:qFormat/>
    <w:uiPriority w:val="0"/>
    <w:pPr>
      <w:keepNext/>
      <w:keepLines/>
      <w:spacing w:before="120" w:after="120" w:line="240" w:lineRule="auto"/>
      <w:ind w:firstLine="0" w:firstLineChars="0"/>
      <w:outlineLvl w:val="4"/>
    </w:pPr>
    <w:rPr>
      <w:bCs/>
      <w:szCs w:val="28"/>
    </w:rPr>
  </w:style>
  <w:style w:type="character" w:default="1" w:styleId="13">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2">
    <w:name w:val="Body Text"/>
    <w:basedOn w:val="1"/>
    <w:next w:val="1"/>
    <w:qFormat/>
    <w:uiPriority w:val="99"/>
    <w:pPr>
      <w:widowControl/>
      <w:spacing w:after="120"/>
    </w:pPr>
    <w:rPr>
      <w:kern w:val="0"/>
      <w:szCs w:val="20"/>
    </w:rPr>
  </w:style>
  <w:style w:type="paragraph" w:styleId="4">
    <w:name w:val="Normal Indent"/>
    <w:basedOn w:val="1"/>
    <w:next w:val="1"/>
    <w:qFormat/>
    <w:uiPriority w:val="0"/>
    <w:pPr>
      <w:ind w:firstLine="420" w:firstLineChars="200"/>
    </w:pPr>
  </w:style>
  <w:style w:type="paragraph" w:styleId="8">
    <w:name w:val="caption"/>
    <w:basedOn w:val="1"/>
    <w:next w:val="1"/>
    <w:qFormat/>
    <w:uiPriority w:val="35"/>
    <w:pPr>
      <w:spacing w:line="360" w:lineRule="auto"/>
      <w:jc w:val="center"/>
    </w:pPr>
    <w:rPr>
      <w:rFonts w:ascii="Cambria" w:hAnsi="Cambria" w:eastAsia="黑体"/>
      <w:kern w:val="0"/>
      <w:sz w:val="24"/>
      <w:szCs w:val="20"/>
    </w:rPr>
  </w:style>
  <w:style w:type="paragraph" w:styleId="9">
    <w:name w:val="Body Text Indent"/>
    <w:basedOn w:val="1"/>
    <w:qFormat/>
    <w:uiPriority w:val="0"/>
    <w:pPr>
      <w:spacing w:after="120"/>
      <w:ind w:left="420" w:leftChars="200"/>
    </w:pPr>
  </w:style>
  <w:style w:type="paragraph" w:styleId="10">
    <w:name w:val="Body Text Indent 2"/>
    <w:basedOn w:val="1"/>
    <w:qFormat/>
    <w:uiPriority w:val="0"/>
    <w:pPr>
      <w:ind w:firstLine="480" w:firstLineChars="200"/>
    </w:pPr>
    <w:rPr>
      <w:rFonts w:ascii="仿宋_GB2312" w:eastAsia="仿宋_GB2312"/>
      <w:sz w:val="24"/>
    </w:rPr>
  </w:style>
  <w:style w:type="paragraph" w:styleId="11">
    <w:name w:val="Body Text First Indent 2"/>
    <w:basedOn w:val="9"/>
    <w:next w:val="1"/>
    <w:qFormat/>
    <w:uiPriority w:val="0"/>
    <w:pPr>
      <w:ind w:firstLine="420" w:firstLineChars="200"/>
    </w:pPr>
  </w:style>
  <w:style w:type="character" w:styleId="14">
    <w:name w:val="page number"/>
    <w:qFormat/>
    <w:uiPriority w:val="1"/>
  </w:style>
  <w:style w:type="paragraph" w:customStyle="1" w:styleId="15">
    <w:name w:val="表头"/>
    <w:basedOn w:val="16"/>
    <w:qFormat/>
    <w:uiPriority w:val="0"/>
    <w:pPr>
      <w:overflowPunct w:val="0"/>
      <w:spacing w:line="360" w:lineRule="auto"/>
      <w:ind w:firstLine="0" w:firstLineChars="0"/>
      <w:jc w:val="center"/>
    </w:pPr>
    <w:rPr>
      <w:rFonts w:ascii="方正黑体简体" w:hAnsi="方正黑体简体" w:eastAsia="黑体" w:cs="仿宋"/>
      <w:bCs/>
      <w:color w:val="000000"/>
      <w:sz w:val="24"/>
      <w:szCs w:val="19"/>
    </w:rPr>
  </w:style>
  <w:style w:type="paragraph" w:customStyle="1" w:styleId="16">
    <w:name w:val="*正文"/>
    <w:basedOn w:val="1"/>
    <w:semiHidden/>
    <w:qFormat/>
    <w:uiPriority w:val="0"/>
    <w:rPr>
      <w:rFonts w:ascii="宋体" w:hAnsi="宋体"/>
      <w:sz w:val="32"/>
      <w:szCs w:val="32"/>
    </w:rPr>
  </w:style>
  <w:style w:type="paragraph" w:styleId="17">
    <w:name w:val="List Paragraph"/>
    <w:basedOn w:val="1"/>
    <w:qFormat/>
    <w:uiPriority w:val="34"/>
    <w:pPr>
      <w:ind w:firstLine="420" w:firstLineChars="200"/>
      <w:contextualSpacing/>
    </w:pPr>
    <w:rPr>
      <w:rFonts w:eastAsia="宋体"/>
      <w:sz w:val="24"/>
      <w:szCs w:val="22"/>
    </w:rPr>
  </w:style>
  <w:style w:type="paragraph" w:customStyle="1" w:styleId="18">
    <w:name w:val="表内容"/>
    <w:basedOn w:val="1"/>
    <w:qFormat/>
    <w:uiPriority w:val="0"/>
    <w:pPr>
      <w:adjustRightInd w:val="0"/>
      <w:snapToGrid w:val="0"/>
      <w:ind w:firstLine="0" w:firstLineChars="0"/>
    </w:pPr>
    <w:rPr>
      <w:rFonts w:ascii="Times New Roman" w:hAnsi="Times New Roman" w:cs="Times New Roman"/>
      <w:sz w:val="24"/>
      <w:szCs w:val="19"/>
      <w:lang w:val="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5.emf"/><Relationship Id="rId14" Type="http://schemas.openxmlformats.org/officeDocument/2006/relationships/oleObject" Target="embeddings/oleObject5.bin"/><Relationship Id="rId13" Type="http://schemas.openxmlformats.org/officeDocument/2006/relationships/image" Target="media/image4.emf"/><Relationship Id="rId12" Type="http://schemas.openxmlformats.org/officeDocument/2006/relationships/oleObject" Target="embeddings/oleObject4.bin"/><Relationship Id="rId11" Type="http://schemas.openxmlformats.org/officeDocument/2006/relationships/image" Target="media/image3.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70</Pages>
  <Words>0</Words>
  <Characters>0</Characters>
  <Lines>0</Lines>
  <Paragraphs>0</Paragraphs>
  <TotalTime>96</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2026-03-09T03:08:43Z</dcterms:created>
  <dc:creator>WuJunSheng</dc:creator>
  <cp:lastModifiedBy>武君胜</cp:lastModifiedBy>
  <dcterms:modified xsi:type="dcterms:W3CDTF">2026-03-09T04:45:34Z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eyJoZGlkIjoiNzQ2NWZjMTM4MjAwNDljZWViNDg4YzE0NDQ5MDYyODkiLCJ1c2VySWQiOiI5MjQxMzk3MTgifQ==</vt:lpwstr>
  </property>
  <property fmtid="{D5CDD505-2E9C-101B-9397-08002B2CF9AE}" pid="4" name="ICV">
    <vt:lpwstr>18C46A3112C44A6785E6291CABBC4C56_12</vt:lpwstr>
  </property>
</Properties>
</file>