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软件测试与维护（2026年春）大作业要求</w:t>
      </w:r>
    </w:p>
    <w:p>
      <w:pPr>
        <w:spacing w:before="120" w:after="120" w:line="288" w:lineRule="auto"/>
        <w:ind w:left="0"/>
        <w:jc w:val="left"/>
      </w:pPr>
      <w:r>
        <w:rPr>
          <w:rFonts w:eastAsia="等线" w:ascii="Arial" w:cs="Arial" w:hAnsi="Arial"/>
          <w:sz w:val="22"/>
        </w:rPr>
        <w:t>重要时间节点安排：</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1800" w:type="dxa"/>
            <w:tcMar>
              <w:top w:type="dxa" w:w="120"/>
              <w:left w:type="dxa" w:w="120"/>
              <w:bottom w:type="dxa" w:w="60"/>
              <w:right w:type="dxa" w:w="120"/>
            </w:tcMar>
            <w:vAlign w:val="center"/>
          </w:tcPr>
          <w:p>
            <w:r>
              <w:rPr>
                <w:b w:val="true"/>
              </w:rPr>
              <w:t>时间</w:t>
            </w:r>
          </w:p>
        </w:tc>
        <w:tc>
          <w:tcPr>
            <w:tcW w:w="3000" w:type="dxa"/>
            <w:tcMar>
              <w:top w:type="dxa" w:w="120"/>
              <w:left w:type="dxa" w:w="120"/>
              <w:bottom w:type="dxa" w:w="60"/>
              <w:right w:type="dxa" w:w="120"/>
            </w:tcMar>
            <w:vAlign w:val="center"/>
          </w:tcPr>
          <w:p>
            <w:r>
              <w:rPr>
                <w:b w:val="true"/>
              </w:rPr>
              <w:t>标题</w:t>
            </w:r>
          </w:p>
        </w:tc>
        <w:tc>
          <w:tcPr>
            <w:tcW w:w="3480" w:type="dxa"/>
            <w:tcMar>
              <w:top w:type="dxa" w:w="120"/>
              <w:left w:type="dxa" w:w="120"/>
              <w:bottom w:type="dxa" w:w="60"/>
              <w:right w:type="dxa" w:w="120"/>
            </w:tcMar>
            <w:vAlign w:val="center"/>
          </w:tcPr>
          <w:p>
            <w:r>
              <w:rPr>
                <w:b w:val="true"/>
              </w:rPr>
              <w:t>详情</w:t>
            </w:r>
          </w:p>
        </w:tc>
      </w:tr>
      <w:tr>
        <w:tc>
          <w:tcPr>
            <w:tcW w:w="1800" w:type="dxa"/>
            <w:tcMar>
              <w:top w:type="dxa" w:w="120"/>
              <w:left w:type="dxa" w:w="120"/>
              <w:bottom w:type="dxa" w:w="60"/>
              <w:right w:type="dxa" w:w="120"/>
            </w:tcMar>
            <w:vAlign w:val="center"/>
          </w:tcPr>
          <w:p>
            <w:r>
              <w:t>2026.4.27</w:t>
            </w:r>
          </w:p>
        </w:tc>
        <w:tc>
          <w:tcPr>
            <w:tcW w:w="3000" w:type="dxa"/>
            <w:tcMar>
              <w:top w:type="dxa" w:w="120"/>
              <w:left w:type="dxa" w:w="120"/>
              <w:bottom w:type="dxa" w:w="60"/>
              <w:right w:type="dxa" w:w="120"/>
            </w:tcMar>
            <w:vAlign w:val="center"/>
          </w:tcPr>
          <w:p>
            <w:r>
              <w:t>第一次实验作业：部署实验
发布大作业</w:t>
            </w:r>
          </w:p>
        </w:tc>
        <w:tc>
          <w:tcPr>
            <w:tcW w:w="3480" w:type="dxa"/>
            <w:tcMar>
              <w:top w:type="dxa" w:w="120"/>
              <w:left w:type="dxa" w:w="120"/>
              <w:bottom w:type="dxa" w:w="60"/>
              <w:right w:type="dxa" w:w="120"/>
            </w:tcMar>
            <w:vAlign w:val="center"/>
          </w:tcPr>
          <w:p>
            <w:r>
              <w:t>第9周</w:t>
            </w:r>
          </w:p>
        </w:tc>
      </w:tr>
      <w:tr>
        <w:tc>
          <w:tcPr>
            <w:tcW w:w="1800" w:type="dxa"/>
            <w:tcMar>
              <w:top w:type="dxa" w:w="120"/>
              <w:left w:type="dxa" w:w="120"/>
              <w:bottom w:type="dxa" w:w="60"/>
              <w:right w:type="dxa" w:w="120"/>
            </w:tcMar>
            <w:vAlign w:val="center"/>
          </w:tcPr>
          <w:p>
            <w:r>
              <w:t>2026.5.11</w:t>
            </w:r>
          </w:p>
        </w:tc>
        <w:tc>
          <w:tcPr>
            <w:tcW w:w="3000" w:type="dxa"/>
            <w:tcMar>
              <w:top w:type="dxa" w:w="120"/>
              <w:left w:type="dxa" w:w="120"/>
              <w:bottom w:type="dxa" w:w="60"/>
              <w:right w:type="dxa" w:w="120"/>
            </w:tcMar>
            <w:vAlign w:val="center"/>
          </w:tcPr>
          <w:p>
            <w:r>
              <w:t>第二次实验作业：运维实验</w:t>
            </w:r>
          </w:p>
        </w:tc>
        <w:tc>
          <w:tcPr>
            <w:tcW w:w="3480" w:type="dxa"/>
            <w:tcMar>
              <w:top w:type="dxa" w:w="120"/>
              <w:left w:type="dxa" w:w="120"/>
              <w:bottom w:type="dxa" w:w="60"/>
              <w:right w:type="dxa" w:w="120"/>
            </w:tcMar>
            <w:vAlign w:val="center"/>
          </w:tcPr>
          <w:p>
            <w:r>
              <w:t>第11周</w:t>
            </w:r>
          </w:p>
        </w:tc>
      </w:tr>
      <w:tr>
        <w:tc>
          <w:tcPr>
            <w:tcW w:w="1800" w:type="dxa"/>
            <w:tcMar>
              <w:top w:type="dxa" w:w="120"/>
              <w:left w:type="dxa" w:w="120"/>
              <w:bottom w:type="dxa" w:w="60"/>
              <w:right w:type="dxa" w:w="120"/>
            </w:tcMar>
            <w:vAlign w:val="center"/>
          </w:tcPr>
          <w:p>
            <w:r>
              <w:t>2026.5.25</w:t>
            </w:r>
          </w:p>
        </w:tc>
        <w:tc>
          <w:tcPr>
            <w:tcW w:w="3000" w:type="dxa"/>
            <w:tcMar>
              <w:top w:type="dxa" w:w="120"/>
              <w:left w:type="dxa" w:w="120"/>
              <w:bottom w:type="dxa" w:w="60"/>
              <w:right w:type="dxa" w:w="120"/>
            </w:tcMar>
            <w:vAlign w:val="center"/>
          </w:tcPr>
          <w:p>
            <w:r>
              <w:t>第三次实验作业：黑盒测试
第一二次实验作业Deadline</w:t>
            </w:r>
          </w:p>
        </w:tc>
        <w:tc>
          <w:tcPr>
            <w:tcW w:w="3480" w:type="dxa"/>
            <w:tcMar>
              <w:top w:type="dxa" w:w="120"/>
              <w:left w:type="dxa" w:w="120"/>
              <w:bottom w:type="dxa" w:w="60"/>
              <w:right w:type="dxa" w:w="120"/>
            </w:tcMar>
            <w:vAlign w:val="center"/>
          </w:tcPr>
          <w:p>
            <w:r>
              <w:t>第13周</w:t>
            </w:r>
          </w:p>
        </w:tc>
      </w:tr>
      <w:tr>
        <w:tc>
          <w:tcPr>
            <w:tcW w:w="1800" w:type="dxa"/>
            <w:tcMar>
              <w:top w:type="dxa" w:w="120"/>
              <w:left w:type="dxa" w:w="120"/>
              <w:bottom w:type="dxa" w:w="60"/>
              <w:right w:type="dxa" w:w="120"/>
            </w:tcMar>
            <w:vAlign w:val="center"/>
          </w:tcPr>
          <w:p>
            <w:r>
              <w:t>2026.6.1</w:t>
            </w:r>
          </w:p>
        </w:tc>
        <w:tc>
          <w:tcPr>
            <w:tcW w:w="3000" w:type="dxa"/>
            <w:tcMar>
              <w:top w:type="dxa" w:w="120"/>
              <w:left w:type="dxa" w:w="120"/>
              <w:bottom w:type="dxa" w:w="60"/>
              <w:right w:type="dxa" w:w="120"/>
            </w:tcMar>
            <w:vAlign w:val="center"/>
          </w:tcPr>
          <w:p>
            <w:r>
              <w:t>第四次实验作业：白盒测试</w:t>
            </w:r>
          </w:p>
        </w:tc>
        <w:tc>
          <w:tcPr>
            <w:tcW w:w="3480" w:type="dxa"/>
            <w:tcMar>
              <w:top w:type="dxa" w:w="120"/>
              <w:left w:type="dxa" w:w="120"/>
              <w:bottom w:type="dxa" w:w="60"/>
              <w:right w:type="dxa" w:w="120"/>
            </w:tcMar>
            <w:vAlign w:val="center"/>
          </w:tcPr>
          <w:p>
            <w:r>
              <w:t>第14周</w:t>
            </w:r>
          </w:p>
        </w:tc>
      </w:tr>
      <w:tr>
        <w:tc>
          <w:tcPr>
            <w:tcW w:w="1800" w:type="dxa"/>
            <w:tcMar>
              <w:top w:type="dxa" w:w="120"/>
              <w:left w:type="dxa" w:w="120"/>
              <w:bottom w:type="dxa" w:w="60"/>
              <w:right w:type="dxa" w:w="120"/>
            </w:tcMar>
            <w:vAlign w:val="center"/>
          </w:tcPr>
          <w:p>
            <w:r>
              <w:t>2026.6.15</w:t>
            </w:r>
          </w:p>
        </w:tc>
        <w:tc>
          <w:tcPr>
            <w:tcW w:w="3000" w:type="dxa"/>
            <w:tcMar>
              <w:top w:type="dxa" w:w="120"/>
              <w:left w:type="dxa" w:w="120"/>
              <w:bottom w:type="dxa" w:w="60"/>
              <w:right w:type="dxa" w:w="120"/>
            </w:tcMar>
            <w:vAlign w:val="center"/>
          </w:tcPr>
          <w:p>
            <w:r>
              <w:t>大作业结课答辩
第三四次实验作业Deadline</w:t>
            </w:r>
          </w:p>
        </w:tc>
        <w:tc>
          <w:tcPr>
            <w:tcW w:w="3480" w:type="dxa"/>
            <w:tcMar>
              <w:top w:type="dxa" w:w="120"/>
              <w:left w:type="dxa" w:w="120"/>
              <w:bottom w:type="dxa" w:w="60"/>
              <w:right w:type="dxa" w:w="120"/>
            </w:tcMar>
            <w:vAlign w:val="center"/>
          </w:tcPr>
          <w:p>
            <w:r>
              <w:t>第16周</w:t>
            </w:r>
          </w:p>
        </w:tc>
      </w:tr>
    </w:tbl>
    <w:p>
      <w:pPr>
        <w:pStyle w:val="1"/>
        <w:spacing w:before="380" w:after="140" w:line="288" w:lineRule="auto"/>
        <w:ind w:left="0"/>
        <w:jc w:val="left"/>
        <w:outlineLvl w:val="0"/>
      </w:pPr>
      <w:bookmarkStart w:name="heading_0" w:id="0"/>
      <w:r>
        <w:rPr>
          <w:rFonts w:eastAsia="等线" w:ascii="Arial" w:cs="Arial" w:hAnsi="Arial"/>
          <w:b w:val="true"/>
          <w:sz w:val="36"/>
        </w:rPr>
        <w:t>大作业内容</w:t>
      </w:r>
      <w:bookmarkEnd w:id="0"/>
    </w:p>
    <w:p>
      <w:pPr>
        <w:spacing w:before="120" w:after="120" w:line="288" w:lineRule="auto"/>
        <w:ind w:left="0"/>
        <w:jc w:val="left"/>
      </w:pPr>
      <w:r>
        <w:rPr>
          <w:rFonts w:eastAsia="等线" w:ascii="Arial" w:cs="Arial" w:hAnsi="Arial"/>
          <w:sz w:val="22"/>
        </w:rPr>
        <w:t>本次大作业围绕微服务系统的部署、测试和维护进行实现，大致分为四个阶段：</w:t>
      </w:r>
    </w:p>
    <w:p>
      <w:pPr>
        <w:pStyle w:val="2"/>
        <w:spacing w:before="320" w:after="120" w:line="288" w:lineRule="auto"/>
        <w:ind w:left="0"/>
        <w:jc w:val="left"/>
        <w:outlineLvl w:val="1"/>
      </w:pPr>
      <w:bookmarkStart w:name="heading_1" w:id="1"/>
      <w:r>
        <w:rPr>
          <w:rFonts w:eastAsia="等线" w:ascii="Arial" w:cs="Arial" w:hAnsi="Arial"/>
          <w:b w:val="true"/>
          <w:sz w:val="32"/>
        </w:rPr>
        <w:t>阶段一：部署微服务系统 &amp; 论文选择与阅读</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论文地址如下：</w:t>
              <w:br/>
            </w:r>
            <w:r>
              <w:rPr>
                <w:rFonts w:eastAsia="等线" w:ascii="Arial" w:cs="Arial" w:hAnsi="Arial"/>
                <w:color w:val="646a73"/>
                <w:sz w:val="22"/>
              </w:rPr>
              <w:t>KPI Anomaly Detection：</w:t>
            </w:r>
            <w:hyperlink r:id="rId4">
              <w:r>
                <w:rPr>
                  <w:rFonts w:eastAsia="等线" w:ascii="Arial" w:cs="Arial" w:hAnsi="Arial"/>
                  <w:color w:val="3370ff"/>
                  <w:sz w:val="22"/>
                </w:rPr>
                <w:t>KPI Anomaly Detection</w:t>
              </w:r>
            </w:hyperlink>
          </w:p>
          <w:p>
            <w:pPr>
              <w:spacing w:before="120" w:after="120" w:line="288" w:lineRule="auto"/>
              <w:ind w:left="0"/>
              <w:jc w:val="left"/>
            </w:pPr>
            <w:r>
              <w:rPr>
                <w:rFonts w:eastAsia="等线" w:ascii="Arial" w:cs="Arial" w:hAnsi="Arial"/>
                <w:color w:val="646a73"/>
                <w:sz w:val="22"/>
              </w:rPr>
              <w:t>Log Anomaly Detection：</w:t>
            </w:r>
            <w:hyperlink r:id="rId5">
              <w:r>
                <w:rPr>
                  <w:rFonts w:eastAsia="等线" w:ascii="Arial" w:cs="Arial" w:hAnsi="Arial"/>
                  <w:color w:val="3370ff"/>
                  <w:sz w:val="22"/>
                </w:rPr>
                <w:t>Log Anomaly Detection</w:t>
              </w:r>
            </w:hyperlink>
          </w:p>
          <w:p>
            <w:pPr>
              <w:spacing w:before="120" w:after="120" w:line="288" w:lineRule="auto"/>
              <w:ind w:left="0"/>
              <w:jc w:val="left"/>
            </w:pPr>
            <w:r>
              <w:rPr>
                <w:rFonts w:eastAsia="等线" w:ascii="Arial" w:cs="Arial" w:hAnsi="Arial"/>
                <w:color w:val="646a73"/>
                <w:sz w:val="22"/>
              </w:rPr>
              <w:t xml:space="preserve">Trace Anomaly Detection:  </w:t>
            </w:r>
            <w:hyperlink r:id="rId6">
              <w:r>
                <w:rPr>
                  <w:rFonts w:eastAsia="等线" w:ascii="Arial" w:cs="Arial" w:hAnsi="Arial"/>
                  <w:color w:val="3370ff"/>
                  <w:sz w:val="22"/>
                </w:rPr>
                <w:t>Trace Anomaly Detection</w:t>
              </w:r>
            </w:hyperlink>
          </w:p>
          <w:p>
            <w:pPr>
              <w:spacing w:before="120" w:after="120" w:line="288" w:lineRule="auto"/>
              <w:ind w:left="0"/>
              <w:jc w:val="left"/>
            </w:pPr>
            <w:r>
              <w:rPr>
                <w:rFonts w:eastAsia="等线" w:ascii="Arial" w:cs="Arial" w:hAnsi="Arial"/>
                <w:color w:val="646a73"/>
                <w:sz w:val="22"/>
              </w:rPr>
              <w:t>Failure Diagnosis：</w:t>
            </w:r>
            <w:hyperlink r:id="rId7">
              <w:r>
                <w:rPr>
                  <w:rFonts w:eastAsia="等线" w:ascii="Arial" w:cs="Arial" w:hAnsi="Arial"/>
                  <w:color w:val="3370ff"/>
                  <w:sz w:val="22"/>
                </w:rPr>
                <w:t>Failure Diagnosis</w:t>
              </w:r>
            </w:hyperlink>
          </w:p>
        </w:tc>
      </w:tr>
    </w:tbl>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br/>
      </w:r>
      <w:r>
        <w:rPr>
          <w:rFonts w:eastAsia="等线" w:ascii="Arial" w:cs="Arial" w:hAnsi="Arial"/>
          <w:sz w:val="22"/>
        </w:rPr>
        <w:t>在自己的电脑上部署一个开源微服务系统，并搭建minikube集群，学习使用Docker容器化技术。通过选择并阅读两篇关于异常检测与故障诊断的相关论文，为后续的实验做准备，并为论文复现做铺垫。</w:t>
      </w:r>
    </w:p>
    <w:p>
      <w:pPr>
        <w:spacing w:before="120" w:after="120" w:line="288" w:lineRule="auto"/>
        <w:ind w:left="0"/>
        <w:jc w:val="left"/>
      </w:pPr>
      <w:r>
        <w:rPr>
          <w:rFonts w:eastAsia="等线" w:ascii="Arial" w:cs="Arial" w:hAnsi="Arial"/>
          <w:b w:val="true"/>
          <w:sz w:val="22"/>
        </w:rPr>
        <w:t>准备工作：</w:t>
      </w:r>
    </w:p>
    <w:p>
      <w:pPr>
        <w:numPr>
          <w:numId w:val="1"/>
        </w:numPr>
        <w:spacing w:before="120" w:after="120" w:line="288" w:lineRule="auto"/>
        <w:ind w:left="0"/>
        <w:jc w:val="left"/>
      </w:pPr>
      <w:r>
        <w:rPr>
          <w:rFonts w:eastAsia="等线" w:ascii="Arial" w:cs="Arial" w:hAnsi="Arial"/>
          <w:b w:val="true"/>
          <w:sz w:val="22"/>
        </w:rPr>
        <w:t>Docker 环境准备：</w:t>
      </w:r>
      <w:r>
        <w:rPr>
          <w:rFonts w:eastAsia="等线" w:ascii="Arial" w:cs="Arial" w:hAnsi="Arial"/>
          <w:sz w:val="22"/>
        </w:rPr>
        <w:br/>
      </w:r>
      <w:r>
        <w:rPr>
          <w:rFonts w:eastAsia="等线" w:ascii="Arial" w:cs="Arial" w:hAnsi="Arial"/>
          <w:sz w:val="22"/>
        </w:rPr>
        <w:t>安装并配置 Docker，确保能够通过 Docker 拉取并运行镜像。熟悉容器的基本操作（如构建、运行、停止等）。</w:t>
      </w:r>
    </w:p>
    <w:p>
      <w:pPr>
        <w:numPr>
          <w:numId w:val="2"/>
        </w:numPr>
        <w:spacing w:before="120" w:after="120" w:line="288" w:lineRule="auto"/>
        <w:ind w:left="0"/>
        <w:jc w:val="left"/>
      </w:pPr>
      <w:r>
        <w:rPr>
          <w:rFonts w:eastAsia="等线" w:ascii="Arial" w:cs="Arial" w:hAnsi="Arial"/>
          <w:b w:val="true"/>
          <w:sz w:val="22"/>
        </w:rPr>
        <w:t>Minikube 集群搭建：</w:t>
      </w:r>
      <w:r>
        <w:rPr>
          <w:rFonts w:eastAsia="等线" w:ascii="Arial" w:cs="Arial" w:hAnsi="Arial"/>
          <w:sz w:val="22"/>
        </w:rPr>
        <w:br/>
      </w:r>
      <w:r>
        <w:rPr>
          <w:rFonts w:eastAsia="等线" w:ascii="Arial" w:cs="Arial" w:hAnsi="Arial"/>
          <w:sz w:val="22"/>
        </w:rPr>
        <w:t>在本地机器上搭建 Minikube 集群，确保可以通过 kubectl 命令管理 Kubernetes 集群。了解如何部署和管理集群中的微服务应用。</w:t>
      </w:r>
    </w:p>
    <w:p>
      <w:pPr>
        <w:numPr>
          <w:numId w:val="3"/>
        </w:numPr>
        <w:spacing w:before="120" w:after="120" w:line="288" w:lineRule="auto"/>
        <w:ind w:left="0"/>
        <w:jc w:val="left"/>
      </w:pPr>
      <w:r>
        <w:rPr>
          <w:rFonts w:eastAsia="等线" w:ascii="Arial" w:cs="Arial" w:hAnsi="Arial"/>
          <w:b w:val="true"/>
          <w:sz w:val="22"/>
        </w:rPr>
        <w:t>选择并阅读论文：</w:t>
      </w:r>
      <w:r>
        <w:rPr>
          <w:rFonts w:eastAsia="等线" w:ascii="Arial" w:cs="Arial" w:hAnsi="Arial"/>
          <w:sz w:val="22"/>
        </w:rPr>
        <w:br/>
      </w:r>
      <w:r>
        <w:rPr>
          <w:rFonts w:eastAsia="等线" w:ascii="Arial" w:cs="Arial" w:hAnsi="Arial"/>
          <w:sz w:val="22"/>
        </w:rPr>
        <w:t>围绕异常检测与故障诊断相关研究方向，选取两篇相关论文进行阅读与分析，理解其主要研究内容、算法设计与实验内容，为后续复现工作奠定基础。</w:t>
      </w:r>
    </w:p>
    <w:p>
      <w:pPr>
        <w:spacing w:before="120" w:after="120" w:line="288" w:lineRule="auto"/>
        <w:ind w:left="0"/>
        <w:jc w:val="left"/>
      </w:pPr>
      <w:r>
        <w:rPr>
          <w:rFonts w:eastAsia="等线" w:ascii="Arial" w:cs="Arial" w:hAnsi="Arial"/>
          <w:b w:val="true"/>
          <w:sz w:val="22"/>
        </w:rPr>
        <w:t>微服务系统部署：</w:t>
      </w:r>
    </w:p>
    <w:p>
      <w:pPr>
        <w:numPr>
          <w:numId w:val="4"/>
        </w:numPr>
        <w:spacing w:before="120" w:after="120" w:line="288" w:lineRule="auto"/>
        <w:ind w:left="0"/>
        <w:jc w:val="left"/>
      </w:pPr>
      <w:r>
        <w:rPr>
          <w:rFonts w:eastAsia="等线" w:ascii="Arial" w:cs="Arial" w:hAnsi="Arial"/>
          <w:b w:val="true"/>
          <w:sz w:val="22"/>
        </w:rPr>
        <w:t>选择开源微服务系统：</w:t>
      </w:r>
      <w:r>
        <w:rPr>
          <w:rFonts w:eastAsia="等线" w:ascii="Arial" w:cs="Arial" w:hAnsi="Arial"/>
          <w:sz w:val="22"/>
        </w:rPr>
        <w:br/>
      </w:r>
      <w:r>
        <w:rPr>
          <w:rFonts w:eastAsia="等线" w:ascii="Arial" w:cs="Arial" w:hAnsi="Arial"/>
          <w:sz w:val="22"/>
        </w:rPr>
        <w:t>部署 SockShop，下载并部署在本地 Minikube 集群中。确保各个微服务组件正常运行。</w:t>
      </w:r>
    </w:p>
    <w:p>
      <w:pPr>
        <w:numPr>
          <w:numId w:val="5"/>
        </w:numPr>
        <w:spacing w:before="120" w:after="120" w:line="288" w:lineRule="auto"/>
        <w:ind w:left="0"/>
        <w:jc w:val="left"/>
      </w:pPr>
      <w:r>
        <w:rPr>
          <w:rFonts w:eastAsia="等线" w:ascii="Arial" w:cs="Arial" w:hAnsi="Arial"/>
          <w:b w:val="true"/>
          <w:sz w:val="22"/>
        </w:rPr>
        <w:t>容器化部署：</w:t>
      </w:r>
      <w:r>
        <w:rPr>
          <w:rFonts w:eastAsia="等线" w:ascii="Arial" w:cs="Arial" w:hAnsi="Arial"/>
          <w:sz w:val="22"/>
        </w:rPr>
        <w:br/>
      </w:r>
      <w:r>
        <w:rPr>
          <w:rFonts w:eastAsia="等线" w:ascii="Arial" w:cs="Arial" w:hAnsi="Arial"/>
          <w:sz w:val="22"/>
        </w:rPr>
        <w:t>使用 Docker 容器化各个微服务，确保每个服务都能够在 Docker 容器内独立运行，并通过 Kubernetes 进行编排和管理。</w:t>
      </w:r>
    </w:p>
    <w:p>
      <w:pPr>
        <w:numPr>
          <w:numId w:val="6"/>
        </w:numPr>
        <w:spacing w:before="120" w:after="120" w:line="288" w:lineRule="auto"/>
        <w:ind w:left="0"/>
        <w:jc w:val="left"/>
      </w:pPr>
      <w:r>
        <w:rPr>
          <w:rFonts w:eastAsia="等线" w:ascii="Arial" w:cs="Arial" w:hAnsi="Arial"/>
          <w:b w:val="true"/>
          <w:sz w:val="22"/>
        </w:rPr>
        <w:t>验证部署：</w:t>
      </w:r>
      <w:r>
        <w:rPr>
          <w:rFonts w:eastAsia="等线" w:ascii="Arial" w:cs="Arial" w:hAnsi="Arial"/>
          <w:sz w:val="22"/>
        </w:rPr>
        <w:br/>
      </w:r>
      <w:r>
        <w:rPr>
          <w:rFonts w:eastAsia="等线" w:ascii="Arial" w:cs="Arial" w:hAnsi="Arial"/>
          <w:sz w:val="22"/>
        </w:rPr>
        <w:t>验证微服务系统是否正常运行。可以通过访问微服务的 API、查看服务日志、监控容器状态等方式确保系统正常运行。</w:t>
      </w:r>
    </w:p>
    <w:p>
      <w:pPr>
        <w:spacing w:before="120" w:after="120" w:line="288" w:lineRule="auto"/>
        <w:ind w:left="0"/>
        <w:jc w:val="left"/>
      </w:pPr>
      <w:r>
        <w:rPr>
          <w:rFonts w:eastAsia="等线" w:ascii="Arial" w:cs="Arial" w:hAnsi="Arial"/>
          <w:b w:val="true"/>
          <w:sz w:val="22"/>
        </w:rPr>
        <w:t>论文选择与阅读：</w:t>
      </w:r>
    </w:p>
    <w:p>
      <w:pPr>
        <w:numPr>
          <w:numId w:val="7"/>
        </w:numPr>
        <w:spacing w:before="120" w:after="120" w:line="288" w:lineRule="auto"/>
        <w:ind w:left="0"/>
        <w:jc w:val="left"/>
      </w:pPr>
      <w:r>
        <w:rPr>
          <w:rFonts w:eastAsia="等线" w:ascii="Arial" w:cs="Arial" w:hAnsi="Arial"/>
          <w:b w:val="true"/>
          <w:sz w:val="22"/>
        </w:rPr>
        <w:t>论文选择：</w:t>
      </w:r>
      <w:r>
        <w:rPr>
          <w:rFonts w:eastAsia="等线" w:ascii="Arial" w:cs="Arial" w:hAnsi="Arial"/>
          <w:sz w:val="22"/>
        </w:rPr>
        <w:br/>
      </w:r>
      <w:r>
        <w:rPr>
          <w:rFonts w:eastAsia="等线" w:ascii="Arial" w:cs="Arial" w:hAnsi="Arial"/>
          <w:sz w:val="22"/>
        </w:rPr>
        <w:t>从异常检测与故障诊断的相关领域中，选择两篇有一定实验基础的论文。确保论文中描述的实验方法能够在微服务系统上进行复现。</w:t>
      </w:r>
    </w:p>
    <w:p>
      <w:pPr>
        <w:numPr>
          <w:numId w:val="8"/>
        </w:numPr>
        <w:spacing w:before="120" w:after="120" w:line="288" w:lineRule="auto"/>
        <w:ind w:left="0"/>
        <w:jc w:val="left"/>
      </w:pPr>
      <w:r>
        <w:rPr>
          <w:rFonts w:eastAsia="等线" w:ascii="Arial" w:cs="Arial" w:hAnsi="Arial"/>
          <w:b w:val="true"/>
          <w:sz w:val="22"/>
        </w:rPr>
        <w:t>论文阅读：</w:t>
      </w:r>
      <w:r>
        <w:rPr>
          <w:rFonts w:eastAsia="等线" w:ascii="Arial" w:cs="Arial" w:hAnsi="Arial"/>
          <w:sz w:val="22"/>
        </w:rPr>
        <w:br/>
      </w:r>
      <w:r>
        <w:rPr>
          <w:rFonts w:eastAsia="等线" w:ascii="Arial" w:cs="Arial" w:hAnsi="Arial"/>
          <w:sz w:val="22"/>
        </w:rPr>
        <w:t>认真阅读论文，重点关注其提出的算法、实验设置、数据处理及结果分析部分。准备好在后续阶段进行复现。</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阶段二：使用 Prometheus &amp; Grafana 工具进行数据采集与维护</w:t>
      </w:r>
      <w:bookmarkEnd w:id="2"/>
    </w:p>
    <w:p>
      <w:pPr>
        <w:spacing w:before="120" w:after="120" w:line="288" w:lineRule="auto"/>
        <w:ind w:left="0"/>
        <w:jc w:val="left"/>
      </w:pPr>
      <w:r>
        <w:rPr>
          <w:rFonts w:eastAsia="等线" w:ascii="Arial" w:cs="Arial" w:hAnsi="Arial"/>
          <w:b w:val="true"/>
          <w:sz w:val="22"/>
        </w:rPr>
        <w:t>目的：</w:t>
      </w:r>
    </w:p>
    <w:p>
      <w:pPr>
        <w:spacing w:before="120" w:after="120" w:line="288" w:lineRule="auto"/>
        <w:ind w:left="0"/>
        <w:jc w:val="left"/>
      </w:pPr>
      <w:r>
        <w:rPr>
          <w:rFonts w:eastAsia="等线" w:ascii="Arial" w:cs="Arial" w:hAnsi="Arial"/>
          <w:sz w:val="22"/>
        </w:rPr>
        <w:t>在已部署的微服务系统中配置 Prometheus 监控工具，用于采集和监控系统性能数据。通过持续采集监控数据，为后续故障检测与诊断提供可靠的数据支持。随后，利用 ChaosMesh 注入故障，并结合 Prometheus 与 Grafana 进行数据采集、展示和分析，为后续论文复现做好准备。</w:t>
      </w:r>
    </w:p>
    <w:p>
      <w:pPr>
        <w:spacing w:before="120" w:after="120" w:line="288" w:lineRule="auto"/>
        <w:ind w:left="0"/>
        <w:jc w:val="left"/>
      </w:pPr>
      <w:r>
        <w:rPr>
          <w:rFonts w:eastAsia="等线" w:ascii="Arial" w:cs="Arial" w:hAnsi="Arial"/>
          <w:b w:val="true"/>
          <w:sz w:val="22"/>
        </w:rPr>
        <w:t>准备工作：</w:t>
      </w:r>
    </w:p>
    <w:p>
      <w:pPr>
        <w:numPr>
          <w:numId w:val="9"/>
        </w:numPr>
        <w:spacing w:before="120" w:after="120" w:line="288" w:lineRule="auto"/>
        <w:ind w:left="0"/>
        <w:jc w:val="left"/>
      </w:pPr>
      <w:r>
        <w:rPr>
          <w:rFonts w:eastAsia="等线" w:ascii="Arial" w:cs="Arial" w:hAnsi="Arial"/>
          <w:b w:val="true"/>
          <w:sz w:val="22"/>
        </w:rPr>
        <w:t>安装与配置 Prometheus：</w:t>
      </w:r>
      <w:r>
        <w:rPr>
          <w:rFonts w:eastAsia="等线" w:ascii="Arial" w:cs="Arial" w:hAnsi="Arial"/>
          <w:sz w:val="22"/>
        </w:rPr>
        <w:br/>
      </w:r>
      <w:r>
        <w:rPr>
          <w:rFonts w:eastAsia="等线" w:ascii="Arial" w:cs="Arial" w:hAnsi="Arial"/>
          <w:sz w:val="22"/>
        </w:rPr>
        <w:t>在 Minikube 集群中安装并配置 Prometheus 监控工具。确保 Prometheus 能够正确地抓取各微服务的性能指标，并与微服务系统正常对接。</w:t>
      </w:r>
    </w:p>
    <w:p>
      <w:pPr>
        <w:numPr>
          <w:numId w:val="10"/>
        </w:numPr>
        <w:spacing w:before="120" w:after="120" w:line="288" w:lineRule="auto"/>
        <w:ind w:left="0"/>
        <w:jc w:val="left"/>
      </w:pPr>
      <w:r>
        <w:rPr>
          <w:rFonts w:eastAsia="等线" w:ascii="Arial" w:cs="Arial" w:hAnsi="Arial"/>
          <w:b w:val="true"/>
          <w:sz w:val="22"/>
        </w:rPr>
        <w:t>配置 Prometheus 数据源：</w:t>
      </w:r>
      <w:r>
        <w:rPr>
          <w:rFonts w:eastAsia="等线" w:ascii="Arial" w:cs="Arial" w:hAnsi="Arial"/>
          <w:sz w:val="22"/>
        </w:rPr>
        <w:br/>
      </w:r>
      <w:r>
        <w:rPr>
          <w:rFonts w:eastAsia="等线" w:ascii="Arial" w:cs="Arial" w:hAnsi="Arial"/>
          <w:sz w:val="22"/>
        </w:rPr>
        <w:t>配置 Prometheus 监控系统与微服务之间的连接，设置适当的抓取间隔和目标服务。确保 Prometheus 能够实时采集微服务系统的关键性能数据（如请求数量、响应时间、错误率等）。</w:t>
      </w:r>
    </w:p>
    <w:p>
      <w:pPr>
        <w:numPr>
          <w:numId w:val="11"/>
        </w:numPr>
        <w:spacing w:before="120" w:after="120" w:line="288" w:lineRule="auto"/>
        <w:ind w:left="0"/>
        <w:jc w:val="left"/>
      </w:pPr>
      <w:r>
        <w:rPr>
          <w:rFonts w:eastAsia="等线" w:ascii="Arial" w:cs="Arial" w:hAnsi="Arial"/>
          <w:b w:val="true"/>
          <w:sz w:val="22"/>
        </w:rPr>
        <w:t>安装 Grafana：</w:t>
      </w:r>
      <w:r>
        <w:rPr>
          <w:rFonts w:eastAsia="等线" w:ascii="Arial" w:cs="Arial" w:hAnsi="Arial"/>
          <w:sz w:val="22"/>
        </w:rPr>
        <w:br/>
      </w:r>
      <w:r>
        <w:rPr>
          <w:rFonts w:eastAsia="等线" w:ascii="Arial" w:cs="Arial" w:hAnsi="Arial"/>
          <w:sz w:val="22"/>
        </w:rPr>
        <w:t>配置 Grafana 工具，确保其能够与 Prometheus 配合使用，展示微服务系统的监控数据。熟悉 Grafana 仪表盘的设计与使用，能够创建自定义视图以便查看系统状态。</w:t>
      </w:r>
    </w:p>
    <w:p>
      <w:pPr>
        <w:numPr>
          <w:numId w:val="12"/>
        </w:numPr>
        <w:spacing w:before="120" w:after="120" w:line="288" w:lineRule="auto"/>
        <w:ind w:left="0"/>
        <w:jc w:val="left"/>
      </w:pPr>
      <w:r>
        <w:rPr>
          <w:rFonts w:eastAsia="等线" w:ascii="Arial" w:cs="Arial" w:hAnsi="Arial"/>
          <w:b w:val="true"/>
          <w:sz w:val="22"/>
        </w:rPr>
        <w:t>部署与验证 ChaosMesh</w:t>
      </w:r>
    </w:p>
    <w:p>
      <w:pPr>
        <w:spacing w:before="120" w:after="120" w:line="288" w:lineRule="auto"/>
        <w:ind w:left="453"/>
        <w:jc w:val="left"/>
      </w:pPr>
      <w:r>
        <w:rPr>
          <w:rFonts w:eastAsia="等线" w:ascii="Arial" w:cs="Arial" w:hAnsi="Arial"/>
          <w:sz w:val="22"/>
        </w:rPr>
        <w:t>了解 ChaosMesh 故障注入工具，并在 Minikube 集群中完成 ChaosMesh 的部署与配置。随后进行故障注入测试，验证 ChaosMesh 是否能够成功注入故障。</w:t>
      </w:r>
    </w:p>
    <w:p>
      <w:pPr>
        <w:numPr>
          <w:numId w:val="13"/>
        </w:numPr>
        <w:spacing w:before="120" w:after="120" w:line="288" w:lineRule="auto"/>
        <w:ind w:left="0"/>
        <w:jc w:val="left"/>
      </w:pPr>
      <w:r>
        <w:rPr>
          <w:rFonts w:eastAsia="等线" w:ascii="Arial" w:cs="Arial" w:hAnsi="Arial"/>
          <w:b w:val="true"/>
          <w:sz w:val="22"/>
        </w:rPr>
        <w:t>数据采集：</w:t>
      </w:r>
      <w:r>
        <w:rPr>
          <w:rFonts w:eastAsia="等线" w:ascii="Arial" w:cs="Arial" w:hAnsi="Arial"/>
          <w:sz w:val="22"/>
        </w:rPr>
        <w:br/>
      </w:r>
      <w:r>
        <w:rPr>
          <w:rFonts w:eastAsia="等线" w:ascii="Arial" w:cs="Arial" w:hAnsi="Arial"/>
          <w:sz w:val="22"/>
        </w:rPr>
        <w:t>利用 Prometheus 采集微服务系统在正常运行状态和故障注入场景下的性能数据，并结合 Grafana 进行可视化 展示与分析，为后续论文复现提供数据支撑。</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阶段三：使用用 Selenium &amp; JMeter 工具进行测试</w:t>
      </w:r>
      <w:bookmarkEnd w:id="3"/>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：使用 JMeter 和 Selenium 进行自动化性能和功能测试，模拟真实用户行为并评估微服务系统在不同负载和交互场景下的性能和稳定性。</w:t>
      </w:r>
    </w:p>
    <w:p>
      <w:pPr>
        <w:spacing w:before="120" w:after="120" w:line="288" w:lineRule="auto"/>
        <w:ind w:left="0"/>
        <w:jc w:val="left"/>
      </w:pPr>
      <w:r>
        <w:rPr>
          <w:rFonts w:eastAsia="等线" w:ascii="Arial" w:cs="Arial" w:hAnsi="Arial"/>
          <w:b w:val="true"/>
          <w:sz w:val="22"/>
        </w:rPr>
        <w:t>准备工作</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sz w:val="22"/>
        </w:rPr>
        <w:t>安装并配置 JMeter。</w:t>
      </w:r>
    </w:p>
    <w:p>
      <w:pPr>
        <w:numPr>
          <w:numId w:val="15"/>
        </w:numPr>
        <w:spacing w:before="120" w:after="120" w:line="288" w:lineRule="auto"/>
        <w:ind w:left="0"/>
        <w:jc w:val="left"/>
      </w:pPr>
      <w:r>
        <w:rPr>
          <w:rFonts w:eastAsia="等线" w:ascii="Arial" w:cs="Arial" w:hAnsi="Arial"/>
          <w:sz w:val="22"/>
        </w:rPr>
        <w:t>安装并配置 Selenium 环境。</w:t>
      </w:r>
    </w:p>
    <w:p>
      <w:pPr>
        <w:numPr>
          <w:numId w:val="16"/>
        </w:numPr>
        <w:spacing w:before="120" w:after="120" w:line="288" w:lineRule="auto"/>
        <w:ind w:left="0"/>
        <w:jc w:val="left"/>
      </w:pPr>
      <w:r>
        <w:rPr>
          <w:rFonts w:eastAsia="等线" w:ascii="Arial" w:cs="Arial" w:hAnsi="Arial"/>
          <w:sz w:val="22"/>
        </w:rPr>
        <w:t>确认 SockShop 微服务系统已正常部署。</w:t>
      </w:r>
    </w:p>
    <w:p>
      <w:pPr>
        <w:spacing w:before="120" w:after="120" w:line="288" w:lineRule="auto"/>
        <w:ind w:left="0"/>
        <w:jc w:val="left"/>
      </w:pPr>
      <w:r>
        <w:rPr>
          <w:rFonts w:eastAsia="等线" w:ascii="Arial" w:cs="Arial" w:hAnsi="Arial"/>
          <w:b w:val="true"/>
          <w:sz w:val="22"/>
        </w:rPr>
        <w:t>Selenium 功能测试</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sz w:val="22"/>
        </w:rPr>
        <w:t>使用 Selenium 编写自动化脚本，模拟用户在前端界面上的操作，如登录、浏览商品、下单等。</w:t>
      </w:r>
    </w:p>
    <w:p>
      <w:pPr>
        <w:numPr>
          <w:numId w:val="18"/>
        </w:numPr>
        <w:spacing w:before="120" w:after="120" w:line="288" w:lineRule="auto"/>
        <w:ind w:left="0"/>
        <w:jc w:val="left"/>
      </w:pPr>
      <w:r>
        <w:rPr>
          <w:rFonts w:eastAsia="等线" w:ascii="Arial" w:cs="Arial" w:hAnsi="Arial"/>
          <w:sz w:val="22"/>
        </w:rPr>
        <w:t>配置 Selenium 脚本进行页面加载测试、按钮点击、表单提交等交互，确保前端功能正常。</w:t>
      </w:r>
    </w:p>
    <w:p>
      <w:pPr>
        <w:numPr>
          <w:numId w:val="19"/>
        </w:numPr>
        <w:spacing w:before="120" w:after="120" w:line="288" w:lineRule="auto"/>
        <w:ind w:left="0"/>
        <w:jc w:val="left"/>
      </w:pPr>
      <w:r>
        <w:rPr>
          <w:rFonts w:eastAsia="等线" w:ascii="Arial" w:cs="Arial" w:hAnsi="Arial"/>
          <w:sz w:val="22"/>
        </w:rPr>
        <w:t>在不同的浏览器中运行测试脚本，验证系统在不同环境下的兼容性。</w:t>
      </w:r>
    </w:p>
    <w:p>
      <w:pPr>
        <w:numPr>
          <w:numId w:val="20"/>
        </w:numPr>
        <w:spacing w:before="120" w:after="120" w:line="288" w:lineRule="auto"/>
        <w:ind w:left="0"/>
        <w:jc w:val="left"/>
      </w:pPr>
      <w:r>
        <w:rPr>
          <w:rFonts w:eastAsia="等线" w:ascii="Arial" w:cs="Arial" w:hAnsi="Arial"/>
          <w:sz w:val="22"/>
        </w:rPr>
        <w:t>记录页面加载时间、交互响应时间等指标，模拟实际用户操作场景。</w:t>
      </w:r>
    </w:p>
    <w:p>
      <w:pPr>
        <w:spacing w:before="120" w:after="120" w:line="288" w:lineRule="auto"/>
        <w:ind w:left="0"/>
        <w:jc w:val="left"/>
      </w:pPr>
      <w:r>
        <w:rPr>
          <w:rFonts w:eastAsia="等线" w:ascii="Arial" w:cs="Arial" w:hAnsi="Arial"/>
          <w:b w:val="true"/>
          <w:sz w:val="22"/>
        </w:rPr>
        <w:t>JMeter 性能测试</w:t>
      </w:r>
      <w:r>
        <w:rPr>
          <w:rFonts w:eastAsia="等线" w:ascii="Arial" w:cs="Arial" w:hAnsi="Arial"/>
          <w:sz w:val="22"/>
        </w:rPr>
        <w:t>：</w:t>
      </w:r>
    </w:p>
    <w:p>
      <w:pPr>
        <w:numPr>
          <w:numId w:val="21"/>
        </w:numPr>
        <w:spacing w:before="120" w:after="120" w:line="288" w:lineRule="auto"/>
        <w:ind w:left="0"/>
        <w:jc w:val="left"/>
      </w:pPr>
      <w:r>
        <w:rPr>
          <w:rFonts w:eastAsia="等线" w:ascii="Arial" w:cs="Arial" w:hAnsi="Arial"/>
          <w:sz w:val="22"/>
        </w:rPr>
        <w:t>在 JMeter 中创建测试计划，设置线程组模拟多个虚拟用户进行并发请求。</w:t>
      </w:r>
    </w:p>
    <w:p>
      <w:pPr>
        <w:numPr>
          <w:numId w:val="22"/>
        </w:numPr>
        <w:spacing w:before="120" w:after="120" w:line="288" w:lineRule="auto"/>
        <w:ind w:left="0"/>
        <w:jc w:val="left"/>
      </w:pPr>
      <w:r>
        <w:rPr>
          <w:rFonts w:eastAsia="等线" w:ascii="Arial" w:cs="Arial" w:hAnsi="Arial"/>
          <w:sz w:val="22"/>
        </w:rPr>
        <w:t>配置 HTTP 请求，针对 SockShop 中的不同微服务模块（如订单服务、用户服务等）发送请求。</w:t>
      </w:r>
    </w:p>
    <w:p>
      <w:pPr>
        <w:numPr>
          <w:numId w:val="23"/>
        </w:numPr>
        <w:spacing w:before="120" w:after="120" w:line="288" w:lineRule="auto"/>
        <w:ind w:left="0"/>
        <w:jc w:val="left"/>
      </w:pPr>
      <w:r>
        <w:rPr>
          <w:rFonts w:eastAsia="等线" w:ascii="Arial" w:cs="Arial" w:hAnsi="Arial"/>
          <w:sz w:val="22"/>
        </w:rPr>
        <w:t>设置不同的并发用户数、持续时间等，模拟不同的负载场景。</w:t>
      </w:r>
    </w:p>
    <w:p>
      <w:pPr>
        <w:numPr>
          <w:numId w:val="24"/>
        </w:numPr>
        <w:spacing w:before="120" w:after="120" w:line="288" w:lineRule="auto"/>
        <w:ind w:left="0"/>
        <w:jc w:val="left"/>
      </w:pPr>
      <w:r>
        <w:rPr>
          <w:rFonts w:eastAsia="等线" w:ascii="Arial" w:cs="Arial" w:hAnsi="Arial"/>
          <w:sz w:val="22"/>
        </w:rPr>
        <w:t>监控性能指标（如响应时间、吞吐量、错误率等），分析系统在高负载下的表现。</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阶段四：用采集的数据运行根据论文复现的算法</w:t>
      </w:r>
      <w:bookmarkEnd w:id="4"/>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：使用 ChaosMesh 故障注入工具进行故障注入，</w:t>
      </w:r>
      <w:r>
        <w:rPr>
          <w:rFonts w:eastAsia="等线" w:ascii="Arial" w:cs="Arial" w:hAnsi="Arial"/>
          <w:sz w:val="22"/>
        </w:rPr>
        <w:t>利用 Prometheus+Grafana 采集的监控数据，复现论文中的算法，分析数据并验证算法效果。</w:t>
      </w:r>
    </w:p>
    <w:p>
      <w:pPr>
        <w:spacing w:before="120" w:after="120" w:line="288" w:lineRule="auto"/>
        <w:ind w:left="0"/>
        <w:jc w:val="left"/>
      </w:pPr>
      <w:r>
        <w:rPr>
          <w:rFonts w:eastAsia="等线" w:ascii="Arial" w:cs="Arial" w:hAnsi="Arial"/>
          <w:b w:val="true"/>
          <w:sz w:val="22"/>
        </w:rPr>
        <w:t>准备工作</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sz w:val="22"/>
        </w:rPr>
        <w:t>确保 ChaosMesh 故障注入工具已经成功部署，并且可以成功注入故障。</w:t>
      </w:r>
    </w:p>
    <w:p>
      <w:pPr>
        <w:numPr>
          <w:numId w:val="26"/>
        </w:numPr>
        <w:spacing w:before="120" w:after="120" w:line="288" w:lineRule="auto"/>
        <w:ind w:left="0"/>
        <w:jc w:val="left"/>
      </w:pPr>
      <w:r>
        <w:rPr>
          <w:rFonts w:eastAsia="等线" w:ascii="Arial" w:cs="Arial" w:hAnsi="Arial"/>
          <w:sz w:val="22"/>
        </w:rPr>
        <w:t>确保 Prometheus+Grafana 监控系统已成功配置，并且数据已正常采集。</w:t>
      </w:r>
    </w:p>
    <w:p>
      <w:pPr>
        <w:numPr>
          <w:numId w:val="27"/>
        </w:numPr>
        <w:spacing w:before="120" w:after="120" w:line="288" w:lineRule="auto"/>
        <w:ind w:left="0"/>
        <w:jc w:val="left"/>
      </w:pPr>
      <w:r>
        <w:rPr>
          <w:rFonts w:eastAsia="等线" w:ascii="Arial" w:cs="Arial" w:hAnsi="Arial"/>
          <w:sz w:val="22"/>
        </w:rPr>
        <w:t>导出相关的性能指标数据（如CPU使用率、内存使用情况、请求延迟等）。</w:t>
      </w:r>
    </w:p>
    <w:p>
      <w:pPr>
        <w:spacing w:before="120" w:after="120" w:line="288" w:lineRule="auto"/>
        <w:ind w:left="0"/>
        <w:jc w:val="left"/>
      </w:pPr>
      <w:r>
        <w:rPr>
          <w:rFonts w:eastAsia="等线" w:ascii="Arial" w:cs="Arial" w:hAnsi="Arial"/>
          <w:b w:val="true"/>
          <w:sz w:val="22"/>
        </w:rPr>
        <w:t>数据预处理+算法实现</w:t>
      </w:r>
      <w:r>
        <w:rPr>
          <w:rFonts w:eastAsia="等线" w:ascii="Arial" w:cs="Arial" w:hAnsi="Arial"/>
          <w:sz w:val="22"/>
        </w:rPr>
        <w:t>：</w:t>
      </w:r>
    </w:p>
    <w:p>
      <w:pPr>
        <w:numPr>
          <w:numId w:val="28"/>
        </w:numPr>
        <w:spacing w:before="120" w:after="120" w:line="288" w:lineRule="auto"/>
        <w:ind w:left="0"/>
        <w:jc w:val="left"/>
      </w:pPr>
      <w:r>
        <w:rPr>
          <w:rFonts w:eastAsia="等线" w:ascii="Arial" w:cs="Arial" w:hAnsi="Arial"/>
          <w:sz w:val="22"/>
        </w:rPr>
        <w:t>根据算法的要求，进行必要的数据预处理。</w:t>
      </w:r>
    </w:p>
    <w:p>
      <w:pPr>
        <w:numPr>
          <w:numId w:val="29"/>
        </w:numPr>
        <w:spacing w:before="120" w:after="120" w:line="288" w:lineRule="auto"/>
        <w:ind w:left="0"/>
        <w:jc w:val="left"/>
      </w:pPr>
      <w:r>
        <w:rPr>
          <w:rFonts w:eastAsia="等线" w:ascii="Arial" w:cs="Arial" w:hAnsi="Arial"/>
          <w:sz w:val="22"/>
        </w:rPr>
        <w:t>复现算法，使用采集的数据运行算法，分析算法的输出结果</w:t>
      </w:r>
    </w:p>
    <w:p>
      <w:pPr>
        <w:spacing w:before="120" w:after="120" w:line="288" w:lineRule="auto"/>
        <w:ind w:left="0"/>
        <w:jc w:val="left"/>
      </w:pPr>
      <w:r>
        <w:rPr>
          <w:rFonts w:eastAsia="等线" w:ascii="Arial" w:cs="Arial" w:hAnsi="Arial"/>
          <w:b w:val="true"/>
          <w:sz w:val="22"/>
        </w:rPr>
        <w:t>评估与优化</w:t>
      </w:r>
      <w:r>
        <w:rPr>
          <w:rFonts w:eastAsia="等线" w:ascii="Arial" w:cs="Arial" w:hAnsi="Arial"/>
          <w:sz w:val="22"/>
        </w:rPr>
        <w:t>：</w:t>
      </w:r>
    </w:p>
    <w:p>
      <w:pPr>
        <w:numPr>
          <w:numId w:val="30"/>
        </w:numPr>
        <w:spacing w:before="120" w:after="120" w:line="288" w:lineRule="auto"/>
        <w:ind w:left="0"/>
        <w:jc w:val="left"/>
      </w:pPr>
      <w:r>
        <w:rPr>
          <w:rFonts w:eastAsia="等线" w:ascii="Arial" w:cs="Arial" w:hAnsi="Arial"/>
          <w:sz w:val="22"/>
        </w:rPr>
        <w:t>评估算法的效果，若结果不理想，可以尝试调整算法参数或选择其他算法。</w:t>
      </w:r>
    </w:p>
    <w:p>
      <w:pPr>
        <w:numPr>
          <w:numId w:val="31"/>
        </w:numPr>
        <w:spacing w:before="120" w:after="120" w:line="288" w:lineRule="auto"/>
        <w:ind w:left="0"/>
        <w:jc w:val="left"/>
      </w:pPr>
      <w:r>
        <w:rPr>
          <w:rFonts w:eastAsia="等线" w:ascii="Arial" w:cs="Arial" w:hAnsi="Arial"/>
          <w:sz w:val="22"/>
        </w:rPr>
        <w:t>根据实验结果，撰写优化建议（如算法精度、计算效率等方面的提升）。</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要求+评分标准</w:t>
      </w:r>
      <w:bookmarkEnd w:id="5"/>
    </w:p>
    <w:p>
      <w:pPr>
        <w:spacing w:before="120" w:after="120" w:line="288" w:lineRule="auto"/>
        <w:ind w:left="0"/>
        <w:jc w:val="left"/>
      </w:pPr>
      <w:r>
        <w:rPr>
          <w:rFonts w:eastAsia="等线" w:ascii="Arial" w:cs="Arial" w:hAnsi="Arial"/>
          <w:b w:val="true"/>
          <w:sz w:val="22"/>
        </w:rPr>
        <w:t>分组：</w:t>
      </w:r>
      <w:r>
        <w:rPr>
          <w:rFonts w:eastAsia="等线" w:ascii="Arial" w:cs="Arial" w:hAnsi="Arial"/>
          <w:b w:val="true"/>
          <w:color w:val="d83931"/>
          <w:sz w:val="22"/>
        </w:rPr>
        <w:t xml:space="preserve">5-6 </w:t>
      </w:r>
      <w:r>
        <w:rPr>
          <w:rFonts w:eastAsia="等线" w:ascii="Arial" w:cs="Arial" w:hAnsi="Arial"/>
          <w:b w:val="true"/>
          <w:sz w:val="22"/>
        </w:rPr>
        <w:t>人一组</w:t>
      </w:r>
    </w:p>
    <w:p>
      <w:pPr>
        <w:spacing w:before="120" w:after="120" w:line="288" w:lineRule="auto"/>
        <w:ind w:left="0"/>
        <w:jc w:val="left"/>
      </w:pPr>
      <w:r>
        <w:rPr>
          <w:rFonts w:eastAsia="等线" w:ascii="Arial" w:cs="Arial" w:hAnsi="Arial"/>
          <w:b w:val="true"/>
          <w:sz w:val="22"/>
        </w:rPr>
        <w:t>大作业评分标准（3档）：</w:t>
      </w:r>
    </w:p>
    <w:p>
      <w:pPr>
        <w:numPr>
          <w:numId w:val="32"/>
        </w:numPr>
        <w:spacing w:before="120" w:after="120" w:line="288" w:lineRule="auto"/>
        <w:ind w:left="0"/>
        <w:jc w:val="left"/>
      </w:pPr>
      <w:r>
        <w:rPr>
          <w:rFonts w:eastAsia="等线" w:ascii="Arial" w:cs="Arial" w:hAnsi="Arial"/>
          <w:sz w:val="22"/>
        </w:rPr>
        <w:t xml:space="preserve">第一档：完全只在已提供的 </w:t>
      </w:r>
      <w:r>
        <w:rPr>
          <w:rFonts w:eastAsia="等线" w:ascii="Arial" w:cs="Arial" w:hAnsi="Arial"/>
          <w:b w:val="true"/>
          <w:sz w:val="22"/>
        </w:rPr>
        <w:t>SockShop 部署指南</w:t>
      </w:r>
      <w:r>
        <w:rPr>
          <w:rFonts w:eastAsia="等线" w:ascii="Arial" w:cs="Arial" w:hAnsi="Arial"/>
          <w:sz w:val="22"/>
        </w:rPr>
        <w:t xml:space="preserve"> 的基础上完成部署、监控和维护的大作业。</w:t>
      </w:r>
    </w:p>
    <w:p>
      <w:pPr>
        <w:numPr>
          <w:numId w:val="33"/>
        </w:numPr>
        <w:spacing w:before="120" w:after="120" w:line="288" w:lineRule="auto"/>
        <w:ind w:left="0"/>
        <w:jc w:val="left"/>
      </w:pPr>
      <w:r>
        <w:rPr>
          <w:rFonts w:eastAsia="等线" w:ascii="Arial" w:cs="Arial" w:hAnsi="Arial"/>
          <w:sz w:val="22"/>
        </w:rPr>
        <w:t>第二档：自行选择其他</w:t>
      </w:r>
      <w:r>
        <w:rPr>
          <w:rFonts w:eastAsia="等线" w:ascii="Arial" w:cs="Arial" w:hAnsi="Arial"/>
          <w:b w:val="true"/>
          <w:sz w:val="22"/>
        </w:rPr>
        <w:t>更复杂的开源微服务系统</w:t>
      </w:r>
      <w:r>
        <w:rPr>
          <w:rFonts w:eastAsia="等线" w:ascii="Arial" w:cs="Arial" w:hAnsi="Arial"/>
          <w:sz w:val="22"/>
        </w:rPr>
        <w:t xml:space="preserve">( </w:t>
      </w:r>
      <w:hyperlink r:id="rId9">
        <w:r>
          <w:rPr>
            <w:rFonts w:eastAsia="等线" w:ascii="Arial" w:cs="Arial" w:hAnsi="Arial"/>
            <w:color w:val="3370ff"/>
            <w:sz w:val="22"/>
          </w:rPr>
          <w:t>TrainTicket</w:t>
        </w:r>
      </w:hyperlink>
      <w:r>
        <w:rPr>
          <w:rFonts w:eastAsia="等线" w:ascii="Arial" w:cs="Arial" w:hAnsi="Arial"/>
          <w:sz w:val="22"/>
        </w:rPr>
        <w:t>、</w:t>
      </w:r>
      <w:hyperlink r:id="rId10">
        <w:r>
          <w:rPr>
            <w:rFonts w:eastAsia="等线" w:ascii="Arial" w:cs="Arial" w:hAnsi="Arial"/>
            <w:color w:val="3370ff"/>
            <w:sz w:val="22"/>
          </w:rPr>
          <w:t>Online-Boutique</w:t>
        </w:r>
      </w:hyperlink>
      <w:r>
        <w:rPr>
          <w:rFonts w:eastAsia="等线" w:ascii="Arial" w:cs="Arial" w:hAnsi="Arial"/>
          <w:sz w:val="22"/>
        </w:rPr>
        <w:t>、</w:t>
      </w:r>
      <w:hyperlink r:id="rId11">
        <w:r>
          <w:rPr>
            <w:rFonts w:eastAsia="等线" w:ascii="Arial" w:cs="Arial" w:hAnsi="Arial"/>
            <w:color w:val="3370ff"/>
            <w:sz w:val="22"/>
          </w:rPr>
          <w:t>Hotel-Reservation</w:t>
        </w:r>
      </w:hyperlink>
      <w:r>
        <w:rPr>
          <w:rFonts w:eastAsia="等线" w:ascii="Arial" w:cs="Arial" w:hAnsi="Arial"/>
          <w:sz w:val="22"/>
        </w:rPr>
        <w:t>、</w:t>
      </w:r>
      <w:hyperlink r:id="rId12">
        <w:r>
          <w:rPr>
            <w:rFonts w:eastAsia="等线" w:ascii="Arial" w:cs="Arial" w:hAnsi="Arial"/>
            <w:color w:val="3370ff"/>
            <w:sz w:val="22"/>
          </w:rPr>
          <w:t>Social-Network</w:t>
        </w:r>
      </w:hyperlink>
      <w:r>
        <w:rPr>
          <w:rFonts w:eastAsia="等线" w:ascii="Arial" w:cs="Arial" w:hAnsi="Arial"/>
          <w:sz w:val="22"/>
        </w:rPr>
        <w:t>、</w:t>
      </w:r>
      <w:hyperlink r:id="rId13">
        <w:r>
          <w:rPr>
            <w:rFonts w:eastAsia="等线" w:ascii="Arial" w:cs="Arial" w:hAnsi="Arial"/>
            <w:color w:val="3370ff"/>
            <w:sz w:val="22"/>
          </w:rPr>
          <w:t>Media-Microservices</w:t>
        </w:r>
      </w:hyperlink>
      <w:r>
        <w:rPr>
          <w:rFonts w:eastAsia="等线" w:ascii="Arial" w:cs="Arial" w:hAnsi="Arial"/>
          <w:sz w:val="22"/>
        </w:rPr>
        <w:t xml:space="preserve"> )进行部署、监控和维护。</w:t>
      </w:r>
    </w:p>
    <w:p>
      <w:pPr>
        <w:numPr>
          <w:numId w:val="34"/>
        </w:numPr>
        <w:spacing w:before="120" w:after="120" w:line="288" w:lineRule="auto"/>
        <w:ind w:left="0"/>
        <w:jc w:val="left"/>
      </w:pPr>
      <w:r>
        <w:rPr>
          <w:rFonts w:eastAsia="等线" w:ascii="Arial" w:cs="Arial" w:hAnsi="Arial"/>
          <w:sz w:val="22"/>
        </w:rPr>
        <w:t>第三档：在第二档的基础上，能够完成该项目中一到两个的</w:t>
      </w:r>
      <w:r>
        <w:rPr>
          <w:rFonts w:eastAsia="等线" w:ascii="Arial" w:cs="Arial" w:hAnsi="Arial"/>
          <w:b w:val="true"/>
          <w:sz w:val="22"/>
        </w:rPr>
        <w:t>微服务开发</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加分项：</w:t>
      </w:r>
    </w:p>
    <w:p>
      <w:pPr>
        <w:numPr>
          <w:numId w:val="35"/>
        </w:numPr>
        <w:spacing w:before="120" w:after="120" w:line="288" w:lineRule="auto"/>
        <w:ind w:left="0"/>
        <w:jc w:val="left"/>
      </w:pPr>
      <w:r>
        <w:rPr>
          <w:rFonts w:eastAsia="等线" w:ascii="Arial" w:cs="Arial" w:hAnsi="Arial"/>
          <w:sz w:val="22"/>
        </w:rPr>
        <w:t>加分项</w:t>
      </w:r>
      <w:r>
        <w:rPr>
          <w:rFonts w:eastAsia="等线" w:ascii="Arial" w:cs="Arial" w:hAnsi="Arial"/>
          <w:sz w:val="22"/>
        </w:rPr>
        <w:t>一：</w:t>
      </w:r>
      <w:r>
        <w:rPr>
          <w:rFonts w:eastAsia="等线" w:ascii="Arial" w:cs="Arial" w:hAnsi="Arial"/>
          <w:sz w:val="22"/>
        </w:rPr>
        <w:t>在基础复现两篇异常检测与故障诊断相关论文的基础上，进一步选择</w:t>
      </w:r>
      <w:r>
        <w:rPr>
          <w:rFonts w:eastAsia="等线" w:ascii="Arial" w:cs="Arial" w:hAnsi="Arial"/>
          <w:b w:val="true"/>
          <w:sz w:val="22"/>
        </w:rPr>
        <w:t>更多论文</w:t>
      </w:r>
      <w:r>
        <w:rPr>
          <w:rFonts w:eastAsia="等线" w:ascii="Arial" w:cs="Arial" w:hAnsi="Arial"/>
          <w:sz w:val="22"/>
        </w:rPr>
        <w:t>进行复现与对比。</w:t>
      </w:r>
    </w:p>
    <w:p>
      <w:pPr>
        <w:numPr>
          <w:numId w:val="36"/>
        </w:numPr>
        <w:spacing w:before="120" w:after="120" w:line="288" w:lineRule="auto"/>
        <w:ind w:left="0"/>
        <w:jc w:val="left"/>
      </w:pPr>
      <w:r>
        <w:rPr>
          <w:rFonts w:eastAsia="等线" w:ascii="Arial" w:cs="Arial" w:hAnsi="Arial"/>
          <w:sz w:val="22"/>
        </w:rPr>
        <w:t>加分项</w:t>
      </w:r>
      <w:r>
        <w:rPr>
          <w:rFonts w:eastAsia="等线" w:ascii="Arial" w:cs="Arial" w:hAnsi="Arial"/>
          <w:sz w:val="22"/>
        </w:rPr>
        <w:t>二：</w:t>
      </w:r>
      <w:r>
        <w:rPr>
          <w:rFonts w:eastAsia="等线" w:ascii="Arial" w:cs="Arial" w:hAnsi="Arial"/>
          <w:sz w:val="22"/>
        </w:rPr>
        <w:t>封装</w:t>
      </w:r>
      <w:r>
        <w:rPr>
          <w:rFonts w:eastAsia="等线" w:ascii="Arial" w:cs="Arial" w:hAnsi="Arial"/>
          <w:b w:val="true"/>
          <w:sz w:val="22"/>
        </w:rPr>
        <w:t>智能体</w:t>
      </w:r>
      <w:r>
        <w:rPr>
          <w:rFonts w:eastAsia="等线" w:ascii="Arial" w:cs="Arial" w:hAnsi="Arial"/>
          <w:sz w:val="22"/>
        </w:rPr>
        <w:t>自动进行</w:t>
      </w:r>
      <w:r>
        <w:rPr>
          <w:rFonts w:eastAsia="等线" w:ascii="Arial" w:cs="Arial" w:hAnsi="Arial"/>
          <w:sz w:val="22"/>
        </w:rPr>
        <w:t>智能运维（可自主选择实现</w:t>
      </w:r>
      <w:r>
        <w:rPr>
          <w:rFonts w:eastAsia="等线" w:ascii="Arial" w:cs="Arial" w:hAnsi="Arial"/>
          <w:sz w:val="22"/>
        </w:rPr>
        <w:t>故障注入与验证、异常检测、根因分类、故障恢复</w:t>
      </w:r>
      <w:r>
        <w:rPr>
          <w:rFonts w:eastAsia="等线" w:ascii="Arial" w:cs="Arial" w:hAnsi="Arial"/>
          <w:sz w:val="22"/>
        </w:rPr>
        <w:t>等操作中的一项或多项）（具体流程</w:t>
      </w:r>
      <w:r>
        <w:rPr>
          <w:rFonts w:eastAsia="等线" w:ascii="Arial" w:cs="Arial" w:hAnsi="Arial"/>
          <w:sz w:val="22"/>
        </w:rPr>
        <w:t>可参考</w:t>
      </w:r>
      <w:r>
        <w:rPr>
          <w:rFonts w:eastAsia="等线" w:ascii="Arial" w:cs="Arial" w:hAnsi="Arial"/>
          <w:sz w:val="22"/>
        </w:rPr>
        <w:t>：</w:t>
      </w:r>
      <w:hyperlink r:id="rId14">
        <w:r>
          <w:rPr>
            <w:rFonts w:eastAsia="等线" w:ascii="Arial" w:cs="Arial" w:hAnsi="Arial"/>
            <w:color w:val="3370ff"/>
            <w:sz w:val="22"/>
          </w:rPr>
          <w:t>使用智能体进行智能运维</w:t>
        </w:r>
      </w:hyperlink>
      <w:r>
        <w:rPr>
          <w:rFonts w:eastAsia="等线" w:ascii="Arial" w:cs="Arial" w:hAnsi="Arial"/>
          <w:sz w:val="22"/>
        </w:rPr>
        <w:t>）</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大作业展示：</w:t>
      </w:r>
    </w:p>
    <w:p>
      <w:pPr>
        <w:numPr>
          <w:numId w:val="37"/>
        </w:numPr>
        <w:spacing w:before="120" w:after="120" w:line="288" w:lineRule="auto"/>
        <w:ind w:left="0"/>
        <w:jc w:val="left"/>
      </w:pPr>
      <w:r>
        <w:rPr>
          <w:rFonts w:eastAsia="等线" w:ascii="Arial" w:cs="Arial" w:hAnsi="Arial"/>
          <w:b w:val="true"/>
          <w:sz w:val="22"/>
        </w:rPr>
        <w:t>微服务系统介绍</w:t>
      </w:r>
      <w:r>
        <w:rPr>
          <w:rFonts w:eastAsia="等线" w:ascii="Arial" w:cs="Arial" w:hAnsi="Arial"/>
          <w:sz w:val="22"/>
        </w:rPr>
        <w:br/>
      </w:r>
      <w:r>
        <w:rPr>
          <w:rFonts w:eastAsia="等线" w:ascii="Arial" w:cs="Arial" w:hAnsi="Arial"/>
          <w:sz w:val="22"/>
        </w:rPr>
        <w:t>介绍所部署的微服务系统，例如 SockShop 或小组自行选择的其他开源微服务项目。如果进行了微服务开发，还需要展示开发部分，说明所开发的微服务功能及其与其他服务的交互。</w:t>
      </w:r>
    </w:p>
    <w:p>
      <w:pPr>
        <w:numPr>
          <w:numId w:val="38"/>
        </w:numPr>
        <w:spacing w:before="120" w:after="120" w:line="288" w:lineRule="auto"/>
        <w:ind w:left="0"/>
        <w:jc w:val="left"/>
      </w:pPr>
      <w:r>
        <w:rPr>
          <w:rFonts w:eastAsia="等线" w:ascii="Arial" w:cs="Arial" w:hAnsi="Arial"/>
          <w:b w:val="true"/>
          <w:sz w:val="22"/>
        </w:rPr>
        <w:t>项目测试展示</w:t>
      </w:r>
      <w:r>
        <w:rPr>
          <w:rFonts w:eastAsia="等线" w:ascii="Arial" w:cs="Arial" w:hAnsi="Arial"/>
          <w:sz w:val="22"/>
        </w:rPr>
        <w:br/>
      </w:r>
      <w:r>
        <w:rPr>
          <w:rFonts w:eastAsia="等线" w:ascii="Arial" w:cs="Arial" w:hAnsi="Arial"/>
          <w:sz w:val="22"/>
        </w:rPr>
        <w:t>使用 Selenium 和 JMeter 对所部署的微服务项目进行测试，展示测试结果，评估系统的性能、响应时间和稳定性。</w:t>
      </w:r>
    </w:p>
    <w:p>
      <w:pPr>
        <w:numPr>
          <w:numId w:val="39"/>
        </w:numPr>
        <w:spacing w:before="120" w:after="120" w:line="288" w:lineRule="auto"/>
        <w:ind w:left="0"/>
        <w:jc w:val="left"/>
      </w:pPr>
      <w:r>
        <w:rPr>
          <w:rFonts w:eastAsia="等线" w:ascii="Arial" w:cs="Arial" w:hAnsi="Arial"/>
          <w:b w:val="true"/>
          <w:sz w:val="22"/>
        </w:rPr>
        <w:t>故障注入与监控</w:t>
      </w:r>
      <w:r>
        <w:rPr>
          <w:rFonts w:eastAsia="等线" w:ascii="Arial" w:cs="Arial" w:hAnsi="Arial"/>
          <w:sz w:val="22"/>
        </w:rPr>
        <w:br/>
      </w:r>
      <w:r>
        <w:rPr>
          <w:rFonts w:eastAsia="等线" w:ascii="Arial" w:cs="Arial" w:hAnsi="Arial"/>
          <w:sz w:val="22"/>
        </w:rPr>
        <w:t>使用 ChaosMesh 进行故障注入，模拟系统中的故障情景，并结合 Prometheus 和 Grafana 进行实时监控与可视化展示，监控系统在故障发生时的表现。</w:t>
      </w:r>
    </w:p>
    <w:p>
      <w:pPr>
        <w:numPr>
          <w:numId w:val="40"/>
        </w:numPr>
        <w:spacing w:before="120" w:after="120" w:line="288" w:lineRule="auto"/>
        <w:ind w:left="0"/>
        <w:jc w:val="left"/>
      </w:pPr>
      <w:r>
        <w:rPr>
          <w:rFonts w:eastAsia="等线" w:ascii="Arial" w:cs="Arial" w:hAnsi="Arial"/>
          <w:b w:val="true"/>
          <w:sz w:val="22"/>
        </w:rPr>
        <w:t>异常数据采集与分析</w:t>
      </w:r>
      <w:r>
        <w:rPr>
          <w:rFonts w:eastAsia="等线" w:ascii="Arial" w:cs="Arial" w:hAnsi="Arial"/>
          <w:sz w:val="22"/>
        </w:rPr>
        <w:br/>
      </w:r>
      <w:r>
        <w:rPr>
          <w:rFonts w:eastAsia="等线" w:ascii="Arial" w:cs="Arial" w:hAnsi="Arial"/>
          <w:sz w:val="22"/>
        </w:rPr>
        <w:t>对小组选择的相关论文中的算法进行复现，使用采集的故障注入后产生的异常数据，展示算法在异常检测与故障诊断中的效果，验证算法在实际环境中的应用表现。</w:t>
      </w:r>
    </w:p>
    <w:p>
      <w:pPr>
        <w:numPr>
          <w:numId w:val="41"/>
        </w:numPr>
        <w:spacing w:before="120" w:after="120" w:line="288" w:lineRule="auto"/>
        <w:ind w:left="0"/>
        <w:jc w:val="left"/>
      </w:pPr>
      <w:r>
        <w:rPr>
          <w:rFonts w:eastAsia="等线" w:ascii="Arial" w:cs="Arial" w:hAnsi="Arial"/>
          <w:b w:val="true"/>
          <w:sz w:val="22"/>
        </w:rPr>
        <w:t>加分项展示（如有）</w:t>
      </w:r>
      <w:r>
        <w:rPr>
          <w:rFonts w:eastAsia="等线" w:ascii="Arial" w:cs="Arial" w:hAnsi="Arial"/>
          <w:sz w:val="22"/>
        </w:rPr>
        <w:br/>
      </w:r>
      <w:r>
        <w:rPr>
          <w:rFonts w:eastAsia="等线" w:ascii="Arial" w:cs="Arial" w:hAnsi="Arial"/>
          <w:sz w:val="22"/>
        </w:rPr>
        <w:t>如果完成了加分项内容，需要展示额外复现论文的对比结果，或展示智能体在运维任务中的实现流程、关键功能与运行效果。</w:t>
      </w:r>
    </w:p>
    <w:p>
      <w:pPr>
        <w:numPr>
          <w:numId w:val="42"/>
        </w:numPr>
        <w:spacing w:before="120" w:after="120" w:line="288" w:lineRule="auto"/>
        <w:ind w:left="0"/>
        <w:jc w:val="left"/>
      </w:pPr>
      <w:r>
        <w:rPr>
          <w:rFonts w:eastAsia="等线" w:ascii="Arial" w:cs="Arial" w:hAnsi="Arial"/>
          <w:b w:val="true"/>
          <w:sz w:val="22"/>
        </w:rPr>
        <w:t>各个成员的贡献</w:t>
      </w:r>
    </w:p>
    <w:p>
      <w:pPr>
        <w:spacing w:before="120" w:after="120" w:line="288" w:lineRule="auto"/>
        <w:ind w:left="0"/>
        <w:jc w:val="left"/>
      </w:pPr>
      <w:r>
        <w:rPr>
          <w:rFonts w:eastAsia="等线" w:ascii="Arial" w:cs="Arial" w:hAnsi="Arial"/>
          <w:sz w:val="22"/>
        </w:rPr>
        <w:t xml:space="preserve">      展示小组成员的分工及具体贡献，原则上每位小组成员都需要参与展示。</w:t>
      </w:r>
    </w:p>
    <w:p>
      <w:pPr>
        <w:spacing w:before="120" w:after="120" w:line="288" w:lineRule="auto"/>
        <w:ind w:left="0"/>
        <w:jc w:val="left"/>
      </w:pPr>
      <w:r>
        <w:rPr>
          <w:rFonts w:eastAsia="等线" w:ascii="Arial" w:cs="Arial" w:hAnsi="Arial"/>
          <w:b w:val="true"/>
          <w:sz w:val="22"/>
        </w:rPr>
        <w:t>成员互评：</w:t>
      </w:r>
      <w:r>
        <w:rPr>
          <w:rFonts w:eastAsia="等线" w:ascii="Arial" w:cs="Arial" w:hAnsi="Arial"/>
          <w:sz w:val="22"/>
        </w:rPr>
        <w:t>要求各个成员相互打分，加权确定每位同学的大作业得分。</w:t>
      </w:r>
    </w:p>
    <w:p>
      <w:pPr>
        <w:spacing w:before="120" w:after="120" w:line="288" w:lineRule="auto"/>
        <w:ind w:left="0"/>
        <w:jc w:val="left"/>
      </w:pPr>
      <w:r>
        <w:rPr>
          <w:rFonts w:eastAsia="等线" w:ascii="Arial" w:cs="Arial" w:hAnsi="Arial"/>
          <w:b w:val="true"/>
          <w:sz w:val="22"/>
        </w:rPr>
        <w:t>大作业提交内容：</w:t>
      </w:r>
    </w:p>
    <w:p>
      <w:pPr>
        <w:numPr>
          <w:numId w:val="43"/>
        </w:numPr>
        <w:spacing w:before="120" w:after="120" w:line="288" w:lineRule="auto"/>
        <w:ind w:left="0"/>
        <w:jc w:val="left"/>
      </w:pPr>
      <w:r>
        <w:rPr>
          <w:rFonts w:eastAsia="等线" w:ascii="Arial" w:cs="Arial" w:hAnsi="Arial"/>
          <w:sz w:val="22"/>
        </w:rPr>
        <w:t>大作业报告</w:t>
      </w:r>
    </w:p>
    <w:p>
      <w:pPr>
        <w:numPr>
          <w:numId w:val="44"/>
        </w:numPr>
        <w:spacing w:before="120" w:after="120" w:line="288" w:lineRule="auto"/>
        <w:ind w:left="453"/>
        <w:jc w:val="left"/>
      </w:pPr>
      <w:r>
        <w:rPr>
          <w:rFonts w:eastAsia="等线" w:ascii="Arial" w:cs="Arial" w:hAnsi="Arial"/>
          <w:sz w:val="22"/>
        </w:rPr>
        <w:t>提交 PDF 格式报告。</w:t>
      </w:r>
    </w:p>
    <w:p>
      <w:pPr>
        <w:numPr>
          <w:numId w:val="45"/>
        </w:numPr>
        <w:spacing w:before="120" w:after="120" w:line="288" w:lineRule="auto"/>
        <w:ind w:left="453"/>
        <w:jc w:val="left"/>
      </w:pPr>
      <w:r>
        <w:rPr>
          <w:rFonts w:eastAsia="等线" w:ascii="Arial" w:cs="Arial" w:hAnsi="Arial"/>
          <w:sz w:val="22"/>
        </w:rPr>
        <w:t>项目源码需开源至 GitHub，并在报告中注明仓库链接。</w:t>
      </w:r>
    </w:p>
    <w:p>
      <w:pPr>
        <w:numPr>
          <w:numId w:val="46"/>
        </w:numPr>
        <w:spacing w:before="120" w:after="120" w:line="288" w:lineRule="auto"/>
        <w:ind w:left="0"/>
        <w:jc w:val="left"/>
      </w:pPr>
      <w:r>
        <w:rPr>
          <w:rFonts w:eastAsia="等线" w:ascii="Arial" w:cs="Arial" w:hAnsi="Arial"/>
          <w:sz w:val="22"/>
        </w:rPr>
        <w:t>展示汇报 ppt</w:t>
      </w: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58401">
    <w:lvl>
      <w:numFmt w:val="bullet"/>
      <w:suff w:val="tab"/>
      <w:lvlText w:val="•"/>
      <w:rPr>
        <w:color w:val="3370ff"/>
      </w:rPr>
    </w:lvl>
  </w:abstractNum>
  <w:abstractNum w:abstractNumId="158402">
    <w:lvl>
      <w:numFmt w:val="bullet"/>
      <w:suff w:val="tab"/>
      <w:lvlText w:val="•"/>
      <w:rPr>
        <w:color w:val="3370ff"/>
      </w:rPr>
    </w:lvl>
  </w:abstractNum>
  <w:abstractNum w:abstractNumId="158403">
    <w:lvl>
      <w:numFmt w:val="bullet"/>
      <w:suff w:val="tab"/>
      <w:lvlText w:val="•"/>
      <w:rPr>
        <w:color w:val="3370ff"/>
      </w:rPr>
    </w:lvl>
  </w:abstractNum>
  <w:abstractNum w:abstractNumId="158404">
    <w:lvl>
      <w:numFmt w:val="bullet"/>
      <w:suff w:val="tab"/>
      <w:lvlText w:val="•"/>
      <w:rPr>
        <w:color w:val="3370ff"/>
      </w:rPr>
    </w:lvl>
  </w:abstractNum>
  <w:abstractNum w:abstractNumId="158405">
    <w:lvl>
      <w:numFmt w:val="bullet"/>
      <w:suff w:val="tab"/>
      <w:lvlText w:val="•"/>
      <w:rPr>
        <w:color w:val="3370ff"/>
      </w:rPr>
    </w:lvl>
  </w:abstractNum>
  <w:abstractNum w:abstractNumId="158406">
    <w:lvl>
      <w:numFmt w:val="bullet"/>
      <w:suff w:val="tab"/>
      <w:lvlText w:val="•"/>
      <w:rPr>
        <w:color w:val="3370ff"/>
      </w:rPr>
    </w:lvl>
  </w:abstractNum>
  <w:abstractNum w:abstractNumId="158407">
    <w:lvl>
      <w:numFmt w:val="bullet"/>
      <w:suff w:val="tab"/>
      <w:lvlText w:val="•"/>
      <w:rPr>
        <w:color w:val="3370ff"/>
      </w:rPr>
    </w:lvl>
  </w:abstractNum>
  <w:abstractNum w:abstractNumId="158408">
    <w:lvl>
      <w:numFmt w:val="bullet"/>
      <w:suff w:val="tab"/>
      <w:lvlText w:val="•"/>
      <w:rPr>
        <w:color w:val="3370ff"/>
      </w:rPr>
    </w:lvl>
  </w:abstractNum>
  <w:abstractNum w:abstractNumId="158409">
    <w:lvl>
      <w:numFmt w:val="bullet"/>
      <w:suff w:val="tab"/>
      <w:lvlText w:val="•"/>
      <w:rPr>
        <w:color w:val="3370ff"/>
      </w:rPr>
    </w:lvl>
  </w:abstractNum>
  <w:abstractNum w:abstractNumId="158410">
    <w:lvl>
      <w:numFmt w:val="bullet"/>
      <w:suff w:val="tab"/>
      <w:lvlText w:val="•"/>
      <w:rPr>
        <w:color w:val="3370ff"/>
      </w:rPr>
    </w:lvl>
  </w:abstractNum>
  <w:abstractNum w:abstractNumId="158411">
    <w:lvl>
      <w:numFmt w:val="bullet"/>
      <w:suff w:val="tab"/>
      <w:lvlText w:val="•"/>
      <w:rPr>
        <w:color w:val="3370ff"/>
      </w:rPr>
    </w:lvl>
  </w:abstractNum>
  <w:abstractNum w:abstractNumId="158412">
    <w:lvl>
      <w:numFmt w:val="bullet"/>
      <w:suff w:val="tab"/>
      <w:lvlText w:val="•"/>
      <w:rPr>
        <w:color w:val="3370ff"/>
      </w:rPr>
    </w:lvl>
  </w:abstractNum>
  <w:abstractNum w:abstractNumId="158413">
    <w:lvl>
      <w:numFmt w:val="bullet"/>
      <w:suff w:val="tab"/>
      <w:lvlText w:val="•"/>
      <w:rPr>
        <w:color w:val="3370ff"/>
      </w:rPr>
    </w:lvl>
  </w:abstractNum>
  <w:abstractNum w:abstractNumId="158414">
    <w:lvl>
      <w:numFmt w:val="bullet"/>
      <w:suff w:val="tab"/>
      <w:lvlText w:val="•"/>
      <w:rPr>
        <w:color w:val="3370ff"/>
      </w:rPr>
    </w:lvl>
  </w:abstractNum>
  <w:abstractNum w:abstractNumId="158415">
    <w:lvl>
      <w:numFmt w:val="bullet"/>
      <w:suff w:val="tab"/>
      <w:lvlText w:val="•"/>
      <w:rPr>
        <w:color w:val="3370ff"/>
      </w:rPr>
    </w:lvl>
  </w:abstractNum>
  <w:abstractNum w:abstractNumId="158416">
    <w:lvl>
      <w:numFmt w:val="bullet"/>
      <w:suff w:val="tab"/>
      <w:lvlText w:val="•"/>
      <w:rPr>
        <w:color w:val="3370ff"/>
      </w:rPr>
    </w:lvl>
  </w:abstractNum>
  <w:abstractNum w:abstractNumId="158417">
    <w:lvl>
      <w:numFmt w:val="bullet"/>
      <w:suff w:val="tab"/>
      <w:lvlText w:val="•"/>
      <w:rPr>
        <w:color w:val="3370ff"/>
      </w:rPr>
    </w:lvl>
  </w:abstractNum>
  <w:abstractNum w:abstractNumId="158418">
    <w:lvl>
      <w:numFmt w:val="bullet"/>
      <w:suff w:val="tab"/>
      <w:lvlText w:val="•"/>
      <w:rPr>
        <w:color w:val="3370ff"/>
      </w:rPr>
    </w:lvl>
  </w:abstractNum>
  <w:abstractNum w:abstractNumId="158419">
    <w:lvl>
      <w:numFmt w:val="bullet"/>
      <w:suff w:val="tab"/>
      <w:lvlText w:val="•"/>
      <w:rPr>
        <w:color w:val="3370ff"/>
      </w:rPr>
    </w:lvl>
  </w:abstractNum>
  <w:abstractNum w:abstractNumId="158420">
    <w:lvl>
      <w:numFmt w:val="bullet"/>
      <w:suff w:val="tab"/>
      <w:lvlText w:val="•"/>
      <w:rPr>
        <w:color w:val="3370ff"/>
      </w:rPr>
    </w:lvl>
  </w:abstractNum>
  <w:abstractNum w:abstractNumId="158421">
    <w:lvl>
      <w:numFmt w:val="bullet"/>
      <w:suff w:val="tab"/>
      <w:lvlText w:val="•"/>
      <w:rPr>
        <w:color w:val="3370ff"/>
      </w:rPr>
    </w:lvl>
  </w:abstractNum>
  <w:abstractNum w:abstractNumId="158422">
    <w:lvl>
      <w:numFmt w:val="bullet"/>
      <w:suff w:val="tab"/>
      <w:lvlText w:val="•"/>
      <w:rPr>
        <w:color w:val="3370ff"/>
      </w:rPr>
    </w:lvl>
  </w:abstractNum>
  <w:abstractNum w:abstractNumId="158423">
    <w:lvl>
      <w:numFmt w:val="bullet"/>
      <w:suff w:val="tab"/>
      <w:lvlText w:val="•"/>
      <w:rPr>
        <w:color w:val="3370ff"/>
      </w:rPr>
    </w:lvl>
  </w:abstractNum>
  <w:abstractNum w:abstractNumId="158424">
    <w:lvl>
      <w:numFmt w:val="bullet"/>
      <w:suff w:val="tab"/>
      <w:lvlText w:val="•"/>
      <w:rPr>
        <w:color w:val="3370ff"/>
      </w:rPr>
    </w:lvl>
  </w:abstractNum>
  <w:abstractNum w:abstractNumId="158425">
    <w:lvl>
      <w:numFmt w:val="bullet"/>
      <w:suff w:val="tab"/>
      <w:lvlText w:val="•"/>
      <w:rPr>
        <w:color w:val="3370ff"/>
      </w:rPr>
    </w:lvl>
  </w:abstractNum>
  <w:abstractNum w:abstractNumId="158426">
    <w:lvl>
      <w:numFmt w:val="bullet"/>
      <w:suff w:val="tab"/>
      <w:lvlText w:val="•"/>
      <w:rPr>
        <w:color w:val="3370ff"/>
      </w:rPr>
    </w:lvl>
  </w:abstractNum>
  <w:abstractNum w:abstractNumId="158427">
    <w:lvl>
      <w:numFmt w:val="bullet"/>
      <w:suff w:val="tab"/>
      <w:lvlText w:val="•"/>
      <w:rPr>
        <w:color w:val="3370ff"/>
      </w:rPr>
    </w:lvl>
  </w:abstractNum>
  <w:abstractNum w:abstractNumId="158428">
    <w:lvl>
      <w:numFmt w:val="bullet"/>
      <w:suff w:val="tab"/>
      <w:lvlText w:val="•"/>
      <w:rPr>
        <w:color w:val="3370ff"/>
      </w:rPr>
    </w:lvl>
  </w:abstractNum>
  <w:abstractNum w:abstractNumId="158429">
    <w:lvl>
      <w:numFmt w:val="bullet"/>
      <w:suff w:val="tab"/>
      <w:lvlText w:val="•"/>
      <w:rPr>
        <w:color w:val="3370ff"/>
      </w:rPr>
    </w:lvl>
  </w:abstractNum>
  <w:abstractNum w:abstractNumId="158430">
    <w:lvl>
      <w:numFmt w:val="bullet"/>
      <w:suff w:val="tab"/>
      <w:lvlText w:val="•"/>
      <w:rPr>
        <w:color w:val="3370ff"/>
      </w:rPr>
    </w:lvl>
  </w:abstractNum>
  <w:abstractNum w:abstractNumId="158431">
    <w:lvl>
      <w:numFmt w:val="bullet"/>
      <w:suff w:val="tab"/>
      <w:lvlText w:val="•"/>
      <w:rPr>
        <w:color w:val="3370ff"/>
      </w:rPr>
    </w:lvl>
  </w:abstractNum>
  <w:abstractNum w:abstractNumId="158432">
    <w:lvl>
      <w:start w:val="1"/>
      <w:numFmt w:val="decimal"/>
      <w:suff w:val="tab"/>
      <w:lvlText w:val="%1."/>
      <w:rPr>
        <w:color w:val="3370ff"/>
      </w:rPr>
    </w:lvl>
  </w:abstractNum>
  <w:abstractNum w:abstractNumId="158433">
    <w:lvl>
      <w:start w:val="2"/>
      <w:numFmt w:val="decimal"/>
      <w:suff w:val="tab"/>
      <w:lvlText w:val="%1."/>
      <w:rPr>
        <w:color w:val="3370ff"/>
      </w:rPr>
    </w:lvl>
  </w:abstractNum>
  <w:abstractNum w:abstractNumId="158434">
    <w:lvl>
      <w:start w:val="3"/>
      <w:numFmt w:val="decimal"/>
      <w:suff w:val="tab"/>
      <w:lvlText w:val="%1."/>
      <w:rPr>
        <w:color w:val="3370ff"/>
      </w:rPr>
    </w:lvl>
  </w:abstractNum>
  <w:abstractNum w:abstractNumId="158435">
    <w:lvl>
      <w:start w:val="1"/>
      <w:numFmt w:val="decimal"/>
      <w:suff w:val="tab"/>
      <w:lvlText w:val="%1."/>
      <w:rPr>
        <w:color w:val="3370ff"/>
      </w:rPr>
    </w:lvl>
  </w:abstractNum>
  <w:abstractNum w:abstractNumId="158436">
    <w:lvl>
      <w:start w:val="2"/>
      <w:numFmt w:val="decimal"/>
      <w:suff w:val="tab"/>
      <w:lvlText w:val="%1."/>
      <w:rPr>
        <w:color w:val="3370ff"/>
      </w:rPr>
    </w:lvl>
  </w:abstractNum>
  <w:abstractNum w:abstractNumId="158437">
    <w:lvl>
      <w:start w:val="1"/>
      <w:numFmt w:val="decimal"/>
      <w:suff w:val="tab"/>
      <w:lvlText w:val="%1."/>
      <w:rPr>
        <w:color w:val="3370ff"/>
      </w:rPr>
    </w:lvl>
  </w:abstractNum>
  <w:abstractNum w:abstractNumId="158438">
    <w:lvl>
      <w:start w:val="2"/>
      <w:numFmt w:val="decimal"/>
      <w:suff w:val="tab"/>
      <w:lvlText w:val="%1."/>
      <w:rPr>
        <w:color w:val="3370ff"/>
      </w:rPr>
    </w:lvl>
  </w:abstractNum>
  <w:abstractNum w:abstractNumId="158439">
    <w:lvl>
      <w:start w:val="3"/>
      <w:numFmt w:val="decimal"/>
      <w:suff w:val="tab"/>
      <w:lvlText w:val="%1."/>
      <w:rPr>
        <w:color w:val="3370ff"/>
      </w:rPr>
    </w:lvl>
  </w:abstractNum>
  <w:abstractNum w:abstractNumId="158440">
    <w:lvl>
      <w:start w:val="4"/>
      <w:numFmt w:val="decimal"/>
      <w:suff w:val="tab"/>
      <w:lvlText w:val="%1."/>
      <w:rPr>
        <w:color w:val="3370ff"/>
      </w:rPr>
    </w:lvl>
  </w:abstractNum>
  <w:abstractNum w:abstractNumId="158441">
    <w:lvl>
      <w:start w:val="5"/>
      <w:numFmt w:val="decimal"/>
      <w:suff w:val="tab"/>
      <w:lvlText w:val="%1."/>
      <w:rPr>
        <w:color w:val="3370ff"/>
      </w:rPr>
    </w:lvl>
  </w:abstractNum>
  <w:abstractNum w:abstractNumId="158442">
    <w:lvl>
      <w:start w:val="6"/>
      <w:numFmt w:val="decimal"/>
      <w:suff w:val="tab"/>
      <w:lvlText w:val="%1."/>
      <w:rPr>
        <w:color w:val="3370ff"/>
      </w:rPr>
    </w:lvl>
  </w:abstractNum>
  <w:abstractNum w:abstractNumId="158443">
    <w:lvl>
      <w:start w:val="1"/>
      <w:numFmt w:val="decimal"/>
      <w:suff w:val="tab"/>
      <w:lvlText w:val="%1."/>
      <w:rPr>
        <w:color w:val="3370ff"/>
      </w:rPr>
    </w:lvl>
  </w:abstractNum>
  <w:abstractNum w:abstractNumId="158444">
    <w:lvl>
      <w:numFmt w:val="bullet"/>
      <w:suff w:val="tab"/>
      <w:lvlText w:val="￮"/>
      <w:rPr>
        <w:color w:val="3370ff"/>
      </w:rPr>
    </w:lvl>
  </w:abstractNum>
  <w:abstractNum w:abstractNumId="158445">
    <w:lvl>
      <w:numFmt w:val="bullet"/>
      <w:suff w:val="tab"/>
      <w:lvlText w:val="￮"/>
      <w:rPr>
        <w:color w:val="3370ff"/>
      </w:rPr>
    </w:lvl>
  </w:abstractNum>
  <w:abstractNum w:abstractNumId="158446">
    <w:lvl>
      <w:start w:val="2"/>
      <w:numFmt w:val="decimal"/>
      <w:suff w:val="tab"/>
      <w:lvlText w:val="%1."/>
      <w:rPr>
        <w:color w:val="3370ff"/>
      </w:rPr>
    </w:lvl>
  </w:abstractNum>
  <w:num w:numId="1">
    <w:abstractNumId w:val="158401"/>
  </w:num>
  <w:num w:numId="2">
    <w:abstractNumId w:val="158402"/>
  </w:num>
  <w:num w:numId="3">
    <w:abstractNumId w:val="158403"/>
  </w:num>
  <w:num w:numId="4">
    <w:abstractNumId w:val="158404"/>
  </w:num>
  <w:num w:numId="5">
    <w:abstractNumId w:val="158405"/>
  </w:num>
  <w:num w:numId="6">
    <w:abstractNumId w:val="158406"/>
  </w:num>
  <w:num w:numId="7">
    <w:abstractNumId w:val="158407"/>
  </w:num>
  <w:num w:numId="8">
    <w:abstractNumId w:val="158408"/>
  </w:num>
  <w:num w:numId="9">
    <w:abstractNumId w:val="158409"/>
  </w:num>
  <w:num w:numId="10">
    <w:abstractNumId w:val="158410"/>
  </w:num>
  <w:num w:numId="11">
    <w:abstractNumId w:val="158411"/>
  </w:num>
  <w:num w:numId="12">
    <w:abstractNumId w:val="158412"/>
  </w:num>
  <w:num w:numId="13">
    <w:abstractNumId w:val="158413"/>
  </w:num>
  <w:num w:numId="14">
    <w:abstractNumId w:val="158414"/>
  </w:num>
  <w:num w:numId="15">
    <w:abstractNumId w:val="158415"/>
  </w:num>
  <w:num w:numId="16">
    <w:abstractNumId w:val="158416"/>
  </w:num>
  <w:num w:numId="17">
    <w:abstractNumId w:val="158417"/>
  </w:num>
  <w:num w:numId="18">
    <w:abstractNumId w:val="158418"/>
  </w:num>
  <w:num w:numId="19">
    <w:abstractNumId w:val="158419"/>
  </w:num>
  <w:num w:numId="20">
    <w:abstractNumId w:val="158420"/>
  </w:num>
  <w:num w:numId="21">
    <w:abstractNumId w:val="158421"/>
  </w:num>
  <w:num w:numId="22">
    <w:abstractNumId w:val="158422"/>
  </w:num>
  <w:num w:numId="23">
    <w:abstractNumId w:val="158423"/>
  </w:num>
  <w:num w:numId="24">
    <w:abstractNumId w:val="158424"/>
  </w:num>
  <w:num w:numId="25">
    <w:abstractNumId w:val="158425"/>
  </w:num>
  <w:num w:numId="26">
    <w:abstractNumId w:val="158426"/>
  </w:num>
  <w:num w:numId="27">
    <w:abstractNumId w:val="158427"/>
  </w:num>
  <w:num w:numId="28">
    <w:abstractNumId w:val="158428"/>
  </w:num>
  <w:num w:numId="29">
    <w:abstractNumId w:val="158429"/>
  </w:num>
  <w:num w:numId="30">
    <w:abstractNumId w:val="158430"/>
  </w:num>
  <w:num w:numId="31">
    <w:abstractNumId w:val="158431"/>
  </w:num>
  <w:num w:numId="32">
    <w:abstractNumId w:val="158432"/>
  </w:num>
  <w:num w:numId="33">
    <w:abstractNumId w:val="158433"/>
  </w:num>
  <w:num w:numId="34">
    <w:abstractNumId w:val="158434"/>
  </w:num>
  <w:num w:numId="35">
    <w:abstractNumId w:val="158435"/>
  </w:num>
  <w:num w:numId="36">
    <w:abstractNumId w:val="158436"/>
  </w:num>
  <w:num w:numId="37">
    <w:abstractNumId w:val="158437"/>
  </w:num>
  <w:num w:numId="38">
    <w:abstractNumId w:val="158438"/>
  </w:num>
  <w:num w:numId="39">
    <w:abstractNumId w:val="158439"/>
  </w:num>
  <w:num w:numId="40">
    <w:abstractNumId w:val="158440"/>
  </w:num>
  <w:num w:numId="41">
    <w:abstractNumId w:val="158441"/>
  </w:num>
  <w:num w:numId="42">
    <w:abstractNumId w:val="158442"/>
  </w:num>
  <w:num w:numId="43">
    <w:abstractNumId w:val="158443"/>
  </w:num>
  <w:num w:numId="44">
    <w:abstractNumId w:val="158444"/>
  </w:num>
  <w:num w:numId="45">
    <w:abstractNumId w:val="158445"/>
  </w:num>
  <w:num w:numId="46">
    <w:abstractNumId w:val="15844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ithub.com/JoinFyc/Online-Boutique" TargetMode="External" Type="http://schemas.openxmlformats.org/officeDocument/2006/relationships/hyperlink"/><Relationship Id="rId11" Target="https://github.com/delimitrou/DeathStarBench/tree/master/hotelReservation" TargetMode="External" Type="http://schemas.openxmlformats.org/officeDocument/2006/relationships/hyperlink"/><Relationship Id="rId12" Target="https://github.com/delimitrou/DeathStarBench/tree/master/socialNetwork" TargetMode="External" Type="http://schemas.openxmlformats.org/officeDocument/2006/relationships/hyperlink"/><Relationship Id="rId13" Target="https://github.com/delimitrou/DeathStarBench/tree/master/mediaMicroservices" TargetMode="External" Type="http://schemas.openxmlformats.org/officeDocument/2006/relationships/hyperlink"/><Relationship Id="rId14" Target="https://nankai.feishu.cn/wiki/AuPtwvDlKinPaskYVubcWoLancd?from=from_copylink"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nankai.feishu.cn/drive/folder/fldcn0y9boSvEx9z7bJHNFqidu5" TargetMode="External" Type="http://schemas.openxmlformats.org/officeDocument/2006/relationships/hyperlink"/><Relationship Id="rId5" Target="https://nankai.feishu.cn/drive/folder/fldcn7AlrwMen8ctciVklXMJ1tf" TargetMode="External" Type="http://schemas.openxmlformats.org/officeDocument/2006/relationships/hyperlink"/><Relationship Id="rId6" Target="https://nankai.feishu.cn/drive/folder/OTz4f3xSrl05P8d3sREcaKaxnVd" TargetMode="External" Type="http://schemas.openxmlformats.org/officeDocument/2006/relationships/hyperlink"/><Relationship Id="rId7" Target="https://nankai.feishu.cn/drive/folder/fldcnBhNccepN6Z0LBIFxYvn0Qg" TargetMode="External" Type="http://schemas.openxmlformats.org/officeDocument/2006/relationships/hyperlink"/><Relationship Id="rId8" Target="numbering.xml" Type="http://schemas.openxmlformats.org/officeDocument/2006/relationships/numbering"/><Relationship Id="rId9" Target="https://github.com/FudanSELab/train-ticket/"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2026-06-13T03:16:39Z</dcterms:created>
  <dc:creator>Apache POI</dc:creator>
</cp:coreProperties>
</file>