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- Identificar linhas com o protocolo UDP e TCP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-801524</wp:posOffset>
            </wp:positionH>
            <wp:positionV relativeFrom="paragraph">
              <wp:posOffset>297592</wp:posOffset>
            </wp:positionV>
            <wp:extent cx="7334250" cy="288195"/>
            <wp:effectExtent b="0" l="0" r="0" t="0"/>
            <wp:wrapNone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88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- Identificar os campos de portas para o protocolo TCP e UDP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5731200" cy="508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4638675" cy="6286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- Identificar os campos importantes dos números associados às informações das camadas de Link de Dados e de Rede.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5731200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3343275" cy="400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- Identificar as fases associadas aos protocolos TCP e UDP, de acordo com os campos de cada cabeçalho.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1º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1838325" cy="409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4781550" cy="2571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2º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2152650" cy="40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4781550" cy="23050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3º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1828800" cy="4476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4695825" cy="2286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rtl w:val="0"/>
        </w:rPr>
        <w:t xml:space="preserve">4º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2114550" cy="4095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</w:rPr>
        <w:drawing>
          <wp:inline distB="114300" distT="114300" distL="114300" distR="114300">
            <wp:extent cx="4743450" cy="23050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