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Empirical Evaluation of Embedding Models in Retrieval-Augmented Generation</w:t>
      </w:r>
    </w:p>
    <w:p>
      <w:pPr>
        <w:spacing w:after="0" w:before="0" w:line="480"/>
        <w:jc w:val="center"/>
      </w:pPr>
      <w:r>
        <w:rPr>
          <w:rFonts w:ascii="Times New Roman" w:cs="Times New Roman" w:eastAsia="Times New Roman" w:hAnsi="Times New Roman"/>
          <w:b/>
          <w:bCs/>
          <w:sz w:val="24"/>
          <w:szCs w:val="24"/>
        </w:rPr>
        <w:t xml:space="preserve">for Domain-Specific Question Answering</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Implementation Report</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Srikant Reddy Nandireddy (700773949)</w:t>
      </w:r>
    </w:p>
    <w:p>
      <w:pPr>
        <w:spacing w:after="0" w:before="0" w:line="480"/>
        <w:jc w:val="center"/>
      </w:pPr>
      <w:r>
        <w:rPr>
          <w:rFonts w:ascii="Times New Roman" w:cs="Times New Roman" w:eastAsia="Times New Roman" w:hAnsi="Times New Roman"/>
          <w:sz w:val="24"/>
          <w:szCs w:val="24"/>
        </w:rPr>
        <w:t xml:space="preserve">Harshit Naidu (700776786)</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Department of Computer Science, University of Central Missouri</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CS5720: Neural Networks and Deep Learning</w:t>
      </w:r>
    </w:p>
    <w:p>
      <w:pPr>
        <w:spacing w:after="0" w:before="0" w:line="480"/>
        <w:jc w:val="center"/>
      </w:pPr>
      <w:r>
        <w:rPr>
          <w:rFonts w:ascii="Times New Roman" w:cs="Times New Roman" w:eastAsia="Times New Roman" w:hAnsi="Times New Roman"/>
          <w:sz w:val="24"/>
          <w:szCs w:val="24"/>
        </w:rPr>
        <w:t xml:space="preserve">Dr. Muhammad Zubair Khan</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April 2026</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Abstract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This report presents the complete design, implementation, evaluation, and deployment of an end-to-end Retrieval-Augmented Generation (RAG) system for domain-specific question answering over machine learning research papers. The system retrieves semantically relevant passages from a corpus of 150 arXiv cs.LG papers using FAISS vector indexing and generates grounded answers via Google Gemini 2.5 Flash Lite. Three transformer-based embedding models — all-MiniLM-L6-v2, all-mpnet-base-v2, and BAAI/bge-large-en — are evaluated against a BM25 sparse retrieval baseline using a 100-question benchmark for retrieval and a 30-question subset for generation across three chunk sizes (256, 512, 1024 tokens) and three retrieval depths. BGE achieves the strongest overall dense-retrieval performance at chunk sizes 256 and 512 (MRR@5 = 0.990) and the highest Answer Relevance (0.912), while BM25 remains highly competitive at chunk size 1024. MiniLM provides the best speed-accuracy trade-off at 6.8 ms per query with MRR@5 = 0.975. The system is deployed as an interactive Streamlit web application with real-time model switching, source attribution, and paper browsing.</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Retrieval-Augmented Generation, Dense Retrieval, Embedding Models, FAISS, BM25, Question Answering, arXiv, Gemini</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1. Introduction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Large language models have demonstrated exceptional capabilities across natural language processing tasks but remain prone to hallucination — generating plausible yet factually incorrect responses — particularly when queries require domain-specific knowledge absent from their training data (Brown et al., 2020). This limitation is especially problematic in scientific and academic domains where verifiable, source-attributed answers are essential.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Retrieval-Augmented Generation (RAG) addresses this by coupling a retrieval system with a generative model: relevant document passages are retrieved from an external corpus and provided as grounding context before generation (Lewis et al., 2020). The quality of the embedding model used to represent documents and queries in the retrieval stage is the primary driver of end-to-end RAG performance (Gao et al., 2023).</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This project implements a complete RAG pipeline targeting machine learning research papers from the arXiv repository. The central research question is: How do different transformer-based embedding models affect the performance of RAG systems for domain-specific question answering? A BM25 sparse retrieval baseline is included to establish whether dense semantic retrieval offers a meaningful advantage over classical term-frequency methods in this domain.</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2. Dataset</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2.1 Corpus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document corpus consists of 150 research papers retrieved from the arXiv repository using the public arXiv API. Papers were filtered to the cs.LG (Machine Learning) category and sorted by descending submission date to capture the most recent literature from early 2026. After PDF text extraction using PyMuPDF and standard cleaning, the corpus was chunked into three configurations for ablation:</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Chunk Size</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Total Chunks</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Avg Tokens/Chunk</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Overlap</w:t>
            </w:r>
          </w:p>
        </w:tc>
      </w:tr>
      <w:tr>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 tokens</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10,260</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~206</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64 tokens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 tokens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5,106</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~379</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64 tokens</w:t>
            </w:r>
          </w:p>
        </w:tc>
      </w:tr>
      <w:tr>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 tokens</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2,332</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~794</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64 tokens</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1. </w:t>
      </w:r>
      <w:r>
        <w:rPr>
          <w:rFonts w:ascii="Times New Roman" w:cs="Times New Roman" w:eastAsia="Times New Roman" w:hAnsi="Times New Roman"/>
          <w:sz w:val="24"/>
          <w:szCs w:val="24"/>
        </w:rPr>
        <w:t xml:space="preserve">Corpus statistics by chunk size configuration.</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2.2 Evaluation Dataset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evaluation dataset consists of 100 paper-specific question-answer pairs stored in manual_qa.json. Each question targets a paper's core contribution using information from the title, abstract, and first content chunk. The full 100-question set is used for retrieval evaluation, while a 30-question subset is used for generation evaluation to control API cost. Relevance is defined at the paper level: all chunks originating from the same paper are considered relevant.</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3. Design and Framework</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3.1 System Architecture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system follows a two-phase RAG architecture. The complete pipeline spans seven sequential stages:</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Document Collection — arXiv API downloads 150 paper PDFs with metadata</w:t>
      </w:r>
    </w:p>
    <w:p>
      <w:pPr>
        <w:pStyle w:val="ListParagraph"/>
        <w:numPr>
          <w:ilvl w:val="0"/>
          <w:numId w:val="2"/>
        </w:numPr>
        <w:spacing w:after="0" w:before="0" w:line="480"/>
      </w:pPr>
      <w:r>
        <w:rPr>
          <w:rFonts w:ascii="Times New Roman" w:cs="Times New Roman" w:eastAsia="Times New Roman" w:hAnsi="Times New Roman"/>
          <w:sz w:val="24"/>
          <w:szCs w:val="24"/>
        </w:rPr>
        <w:t xml:space="preserve">Text Extraction — PyMuPDF converts PDFs to plain text with cleaning</w:t>
      </w:r>
    </w:p>
    <w:p>
      <w:pPr>
        <w:pStyle w:val="ListParagraph"/>
        <w:numPr>
          <w:ilvl w:val="0"/>
          <w:numId w:val="2"/>
        </w:numPr>
        <w:spacing w:after="0" w:before="0" w:line="480"/>
      </w:pPr>
      <w:r>
        <w:rPr>
          <w:rFonts w:ascii="Times New Roman" w:cs="Times New Roman" w:eastAsia="Times New Roman" w:hAnsi="Times New Roman"/>
          <w:sz w:val="24"/>
          <w:szCs w:val="24"/>
        </w:rPr>
        <w:t xml:space="preserve">Chunking — Recursive separator splits text into overlapping fixed-size segments</w:t>
      </w:r>
    </w:p>
    <w:p>
      <w:pPr>
        <w:pStyle w:val="ListParagraph"/>
        <w:numPr>
          <w:ilvl w:val="0"/>
          <w:numId w:val="2"/>
        </w:numPr>
        <w:spacing w:after="0" w:before="0" w:line="480"/>
      </w:pPr>
      <w:r>
        <w:rPr>
          <w:rFonts w:ascii="Times New Roman" w:cs="Times New Roman" w:eastAsia="Times New Roman" w:hAnsi="Times New Roman"/>
          <w:sz w:val="24"/>
          <w:szCs w:val="24"/>
        </w:rPr>
        <w:t xml:space="preserve">Embedding Generation — SentenceTransformer encodes chunks into L2-normalised vectors</w:t>
      </w:r>
    </w:p>
    <w:p>
      <w:pPr>
        <w:pStyle w:val="ListParagraph"/>
        <w:numPr>
          <w:ilvl w:val="0"/>
          <w:numId w:val="2"/>
        </w:numPr>
        <w:spacing w:after="0" w:before="0" w:line="480"/>
      </w:pPr>
      <w:r>
        <w:rPr>
          <w:rFonts w:ascii="Times New Roman" w:cs="Times New Roman" w:eastAsia="Times New Roman" w:hAnsi="Times New Roman"/>
          <w:sz w:val="24"/>
          <w:szCs w:val="24"/>
        </w:rPr>
        <w:t xml:space="preserve">Vector Indexing — FAISS IndexFlatIP stores embeddings for exact cosine search</w:t>
      </w:r>
    </w:p>
    <w:p>
      <w:pPr>
        <w:pStyle w:val="ListParagraph"/>
        <w:numPr>
          <w:ilvl w:val="0"/>
          <w:numId w:val="2"/>
        </w:numPr>
        <w:spacing w:after="0" w:before="0" w:line="480"/>
      </w:pPr>
      <w:r>
        <w:rPr>
          <w:rFonts w:ascii="Times New Roman" w:cs="Times New Roman" w:eastAsia="Times New Roman" w:hAnsi="Times New Roman"/>
          <w:sz w:val="24"/>
          <w:szCs w:val="24"/>
        </w:rPr>
        <w:t xml:space="preserve">Semantic Retrieval — Query is encoded and top-K nearest chunks are retrieved</w:t>
      </w:r>
    </w:p>
    <w:p>
      <w:pPr>
        <w:pStyle w:val="ListParagraph"/>
        <w:numPr>
          <w:ilvl w:val="0"/>
          <w:numId w:val="2"/>
        </w:numPr>
        <w:spacing w:after="0" w:before="0" w:line="480"/>
      </w:pPr>
      <w:r>
        <w:rPr>
          <w:rFonts w:ascii="Times New Roman" w:cs="Times New Roman" w:eastAsia="Times New Roman" w:hAnsi="Times New Roman"/>
          <w:sz w:val="24"/>
          <w:szCs w:val="24"/>
        </w:rPr>
        <w:t xml:space="preserve">Answer Generation — Retrieved context is passed to Gemini for grounded generation</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3.2 Package Structure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system is implemented as a Python package (rag/) with submodules separated by concern: rag/data/collector.py (arXiv API downloader), rag/processing/chunker.py (PDF extraction and recursive chunking), rag/retrieval/ (embeddings, FAISS vector store, dense retriever, BM25 baseline), rag/generation/generator.py (Gemini with rate limiter), rag/evaluation/ (metrics and QA generator), and scripts/run_experiments.py (full ablation runner).</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3.3 Embedding Models</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Model</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Key</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Layers</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Dim</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Params</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Profile</w:t>
            </w:r>
          </w:p>
        </w:tc>
      </w:tr>
      <w:tr>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all-MiniLM-L6-v2</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6</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384</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22M</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Fast</w:t>
            </w:r>
          </w:p>
        </w:tc>
      </w:tr>
      <w:tr>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all-mpnet-base-v2</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12</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768</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110M</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Balanced</w:t>
            </w:r>
          </w:p>
        </w:tc>
      </w:tr>
      <w:tr>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BAAI/bge-large-en</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24</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335M</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Accurate</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2. </w:t>
      </w:r>
      <w:r>
        <w:rPr>
          <w:rFonts w:ascii="Times New Roman" w:cs="Times New Roman" w:eastAsia="Times New Roman" w:hAnsi="Times New Roman"/>
          <w:sz w:val="24"/>
          <w:szCs w:val="24"/>
        </w:rPr>
        <w:t xml:space="preserve">Embedding model specifications.</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4. Implementation and Methodology</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4.1 Data Collection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arXiv API client was configured with page_size=50, delay_seconds=3, and num_retries=5 for resilient collection. The downloader supports incremental resumption — metadata is saved after each successful download so interrupted runs continue from the last paper. PDFs are saved with arXiv IDs as filenames (e.g., 2603.11653v1.pdf).</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4.2 Text Processing and Chunking</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Text extraction used PyMuPDF's get_text('text') method per page, with cleaning steps: hyphenated line-break repair, paragraph break normalization, page number removal, and whitespace normalization. The recursive chunking algorithm respects semantic boundaries in decreasing granularity: double newlines (paragraph), single newlines, sentence boundaries, and whitespace. A 64-token overlap is maintained between consecutive chunks to preserve cross-boundary context.</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4.3 Embedding and Indexing</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All three embedding models were loaded via sentence-transformers. Device is auto-detected: MPS for Apple Silicon, CUDA for NVIDIA, CPU fallback. Batch size is reduced to 32 on MPS to avoid memory overflow. All embeddings are L2-normalized so inner product search in FAISS equals cosine similarity. Embeddings are cached to disk with MD5-keyed filenames to skip re-encoding on reruns. FAISS IndexFlatIP provides exact nearest-neighbor search.</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4.4 Generation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Answer generation used Google Gemini 2.5 Flash Lite via the google-genai SDK. A system prompt instructs the model to answer only from provided context and cite source numbers. A token-bucket rate limiter proactively spaces API calls at 60/RPM seconds apart, preventing 429 rate-limit errors. BGE queries are prefixed with 'Represent this sentence for searching relevant passages:' per the model authors' recommendation.</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4.5 BM25 Baseline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BM25 was implemented using rank-bm25 with Okapi BM25 scoring and whitespace tokenization. Scores are log-normalized to [0, 1] for consistent comparison with cosine similarity scores. BM25 implements the same retrieve() interface as the dense retrievers, enabling drop-in substitution throughout the pipeline.</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5. Results and Analysis</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5.1 Retrieval Results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Table 3 presents complete retrieval results across all models and chunk sizes using MRR@5 as the headline rank metric. BGE achieved the strongest dense-retrieval accuracy at chunk sizes 256 and 512 (MRR@5 = 0.990 in both settings) and the highest Precision@5 at every chunk size. BM25 remained highly competitive throughout and became the best 1024-token configuration (MRR@5 = 0.990), showing that sparse retrieval improves substantially as chunk size grows. MiniLM at chunk 512 delivered near-BGE accuracy with the lowest dense latency (6.8 ms).</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50"/>
        <w:gridCol w:w="1050"/>
        <w:gridCol w:w="1050"/>
        <w:gridCol w:w="1050"/>
        <w:gridCol w:w="1050"/>
        <w:gridCol w:w="1050"/>
        <w:gridCol w:w="1660"/>
      </w:tblGrid>
      <w:tr>
        <w:tc>
          <w:tcPr>
            <w:tcW w:type="dxa" w:w="1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Model</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Chunk</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MRR@5</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P@3</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P@5</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R@5</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R@10</w:t>
            </w:r>
          </w:p>
        </w:tc>
        <w:tc>
          <w:tcPr>
            <w:tcW w:type="dxa" w:w="16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Latency</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0.953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0.887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0.856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0.088</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0.161</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26.2ms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0.580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0.573</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0.564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0.056</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0.111</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20.8ms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0.945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0.913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0.912</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0.095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0.174</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42.0ms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0.964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0.100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0.195</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139.0ms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0.990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0.927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0.860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0.183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0.301</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11.5ms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0.920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0.884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0.189</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0.328</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9.8ms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0.903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0.867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0.856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0.180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0.314</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53.4ms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0.960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0.940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0.203</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0.356</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178.6ms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0.927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0.840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0.369</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0.534</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4.9ms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0.967</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0.893</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0.808</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0.362</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0.517</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9.0ms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0.917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0.847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0.772</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0.333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0.507</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54.5ms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0.987</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0.933</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0.872</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0.384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0.585</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121.2ms</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3. </w:t>
      </w:r>
      <w:r>
        <w:rPr>
          <w:rFonts w:ascii="Times New Roman" w:cs="Times New Roman" w:eastAsia="Times New Roman" w:hAnsi="Times New Roman"/>
          <w:sz w:val="24"/>
          <w:szCs w:val="24"/>
        </w:rPr>
        <w:t xml:space="preserve">Complete retrieval results. P = Precision; R = Recall.</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5524500" cy="27622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1. MRR@5 by Model and Chunk Size. BGE leads the dense models at chunk sizes 256 and 512, while BM25 slightly leads at chunk size 1024.</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5524500" cy="27622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2. Precision@5 by Model and Chunk Size. BGE leads at 0.970 (chunk 256), 0.950 (chunk 512), and 0.888 (chunk 1024).</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5524500" cy="27622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3. Recall@5 by Model and Chunk Size. Recall increases consistently with chunk size across all models, and BM25 becomes especially competitive at 1024 tokens.</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5334000" cy="22860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334000" cy="228600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4. MRR@5 Heat-map (Model × Chunk Size). BGE dominates the 256- and 512-token settings, while BM25 is strongest at 1024 tokens.</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5334000" cy="24765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5334000" cy="247650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5. BM25 Baseline vs Best Dense Model. The best dense configuration improves on BM25 by about +3% at chunk 256 and +1% at chunk 512, while BM25 slightly leads at chunk 1024.</w:t>
      </w:r>
    </w:p>
    <w:p>
      <w:pPr>
        <w:spacing w:after="0" w:before="0" w:line="480"/>
      </w:pPr>
      <w:r>
        <w:br w:type="page"/>
      </w:r>
    </w:p>
    <w:p>
      <w:pPr>
        <w:pStyle w:val="Heading2"/>
        <w:spacing w:after="0" w:before="0" w:line="480"/>
        <w:jc w:val="left"/>
      </w:pPr>
      <w:r>
        <w:rPr>
          <w:rFonts w:ascii="Times New Roman" w:cs="Times New Roman" w:eastAsia="Times New Roman" w:hAnsi="Times New Roman"/>
          <w:b/>
          <w:bCs/>
          <w:sz w:val="24"/>
          <w:szCs w:val="24"/>
        </w:rPr>
        <w:t xml:space="preserve">5.2 Generation Results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Table 4 presents generation quality results at the default chunk size of 512 tokens using 30 benchmark questions. BGE achieved the highest Answer Relevance (0.912) while maintaining Faithfulness (0.989) and perfect Context Precision (1.000). The 7.3× gap between BGE and BM25 in Answer Relevance — despite BM25 achieving strong retrieval metrics — reinforces the central finding: high lexical retrieval accuracy does not guarantee semantic alignment with query intent. Faithfulness remained uniformly high across all models (0.986–0.997), aided by deterministic generation at temperature 0.0.</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Model</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Answer Relevance</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Faithfulness</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Context Precision</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Latency (ms)</w:t>
            </w:r>
          </w:p>
        </w:tc>
      </w:tr>
      <w:tr>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0.125</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0.986</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1437.3</w:t>
            </w:r>
          </w:p>
        </w:tc>
      </w:tr>
      <w:tr>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0.728</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0.997</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0.987</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1107.2</w:t>
            </w:r>
          </w:p>
        </w:tc>
      </w:tr>
      <w:tr>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0.719</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0.995</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0.987</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979.6</w:t>
            </w:r>
          </w:p>
        </w:tc>
      </w:tr>
      <w:tr>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0.912</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0.989</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1271.7</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4. </w:t>
      </w:r>
      <w:r>
        <w:rPr>
          <w:rFonts w:ascii="Times New Roman" w:cs="Times New Roman" w:eastAsia="Times New Roman" w:hAnsi="Times New Roman"/>
          <w:sz w:val="24"/>
          <w:szCs w:val="24"/>
        </w:rPr>
        <w:t xml:space="preserve">Generation evaluation results at chunk size 512, Top-K = 5.</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5715000" cy="22860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6. Generation Metrics by Model (chunk size 512). Answer Relevance shows the largest spread — BGE 0.912 vs BM25 0.125 — while Faithfulness and Context Precision remain near-perfect across the board.</w:t>
      </w:r>
    </w:p>
    <w:p>
      <w:pPr>
        <w:spacing w:after="0" w:before="0" w:line="480"/>
      </w:pPr>
      <w:r>
        <w:br w:type="page"/>
      </w:r>
    </w:p>
    <w:p>
      <w:pPr>
        <w:pStyle w:val="Heading2"/>
        <w:spacing w:after="0" w:before="0" w:line="480"/>
        <w:jc w:val="left"/>
      </w:pPr>
      <w:r>
        <w:rPr>
          <w:rFonts w:ascii="Times New Roman" w:cs="Times New Roman" w:eastAsia="Times New Roman" w:hAnsi="Times New Roman"/>
          <w:b/>
          <w:bCs/>
          <w:sz w:val="24"/>
          <w:szCs w:val="24"/>
        </w:rPr>
        <w:t xml:space="preserve">5.3 Latency Analysis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BM25 retrieved in 4.6–23.8 ms depending on chunk size. MiniLM at 6.8 ms delivered near-BGE quality at chunk 512 (MRR@5 = 0.975 vs 0.990) while remaining the fastest dense model. BGE required 24.9–34.7 ms and provided the best dense-retrieval accuracy at small and medium chunk sizes.</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4572000" cy="24765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4572000" cy="247650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7. Retrieval Latency per Query (chunk size 512). MiniLM (6.8 ms) is the fastest dense retriever while staying close to BGE on MRR@5.</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4572000" cy="28575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8. Accuracy vs Speed Trade-off. MiniLM remains closest to the top-left quadrant (high MRR@5, low latency), while BGE leads accuracy at roughly 31 ms.</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6. Deployment and Recommendations</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6.1 Deployment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system is deployed as a Streamlit web application (app.py) supporting live model switching between BM25, MiniLM, MPNet, and BGE. FAISS indices are cached via @st.cache_resource. The application auto-detects Apple MPS for GPU-accelerated embedding on Apple Silicon. A CLI entry point (main.py) supports the same model selection and includes a --list flag for browsing available papers.</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6.2 Recommendations</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Model selection: use BGE when answer quality is the priority and MiniLM for latency-sensitive deployments. Treat BM25 as a strong retrieval baseline rather than a standalone generator — its Answer Relevance of 0.125 remains far below the dense retrievers despite fast lookup.</w:t>
      </w:r>
      <w:r>
        <w:rPr>
          <w:rFonts w:ascii="Times New Roman" w:cs="Times New Roman" w:eastAsia="Times New Roman" w:hAnsi="Times New Roman"/>
          <w:sz w:val="24"/>
          <w:szCs w:val="24"/>
        </w:rPr>
        <w:t xml:space="preserve"/>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Chunk size: </w:t>
      </w:r>
      <w:r>
        <w:rPr>
          <w:rFonts w:ascii="Times New Roman" w:cs="Times New Roman" w:eastAsia="Times New Roman" w:hAnsi="Times New Roman"/>
          <w:sz w:val="24"/>
          <w:szCs w:val="24"/>
        </w:rPr>
        <w:t xml:space="preserve">512 tokens provides the best balance. Use 256 for maximum precision; 1024 for maximum recall.</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Retrieval depth: </w:t>
      </w:r>
      <w:r>
        <w:rPr>
          <w:rFonts w:ascii="Times New Roman" w:cs="Times New Roman" w:eastAsia="Times New Roman" w:hAnsi="Times New Roman"/>
          <w:sz w:val="24"/>
          <w:szCs w:val="24"/>
        </w:rPr>
        <w:t xml:space="preserve">Top-K = 5 recommended. Top-K = 3 maximizes precision; Top-K = 10 maximizes recall.</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Future work: </w:t>
      </w:r>
      <w:r>
        <w:rPr>
          <w:rFonts w:ascii="Times New Roman" w:cs="Times New Roman" w:eastAsia="Times New Roman" w:hAnsi="Times New Roman"/>
          <w:sz w:val="24"/>
          <w:szCs w:val="24"/>
        </w:rPr>
        <w:t xml:space="preserve">Hybrid BM25 + dense retrieval, cross-encoder reranking, and multi-domain evaluation are recommended next steps.</w:t>
      </w:r>
    </w:p>
    <w:p>
      <w:pPr>
        <w:spacing w:after="0" w:before="0" w:line="480"/>
      </w:pPr>
      <w:r>
        <w:br w:type="page"/>
      </w:r>
    </w:p>
    <w:p>
      <w:pPr>
        <w:pStyle w:val="Heading2"/>
        <w:spacing w:after="0" w:before="0" w:line="480"/>
        <w:jc w:val="left"/>
      </w:pPr>
      <w:r>
        <w:t>6.3 Application Screenshots</w:t>
      </w:r>
    </w:p>
    <w:p>
      <w:pPr>
        <w:spacing w:after="0" w:before="0" w:line="480"/>
        <w:ind w:firstLine="720"/>
        <w:jc w:val="both"/>
      </w:pPr>
      <w:r>
        <w:t>Figures 9 and 10 show the deployed Streamlit interface. The welcome screen exposes model selection, paper browsing, and benchmark metadata, while the QA screen demonstrates grounded answer generation with cited source passages and similarity scores.</w:t>
      </w:r>
    </w:p>
    <w:p>
      <w:pPr>
        <w:spacing w:after="120" w:before="0" w:line="480"/>
        <w:jc w:val="center"/>
      </w:pPr>
      <w:r>
        <w:t>Figure 9. Streamlit welcome screen with model selection, paper browser, and benchmark summary.</w:t>
      </w:r>
    </w:p>
    <w:p>
      <w:r>
        <w:drawing>
          <wp:inline>
            <wp:extent cx="5669280" cy="3382085"/>
            <wp:docPr id="2" name="screenshot_welcome.png"/>
            <wp:cNvGraphicFramePr>
              <a:graphicFrameLocks noChangeAspect="1"/>
            </wp:cNvGraphicFramePr>
            <a:graphic>
              <a:graphicData uri="http://schemas.openxmlformats.org/drawingml/2006/picture">
                <pic:pic>
                  <pic:nvPicPr>
                    <pic:cNvPr id="0" name="screenshot_welcome.png"/>
                    <pic:cNvPicPr/>
                  </pic:nvPicPr>
                  <pic:blipFill>
                    <a:blip r:embed="rId17"/>
                    <a:stretch>
                      <a:fillRect/>
                    </a:stretch>
                  </pic:blipFill>
                  <pic:spPr>
                    <a:xfrm>
                      <a:off x="0" y="0"/>
                      <a:ext cx="5669280" cy="3382085"/>
                    </a:xfrm>
                    <a:prstGeom prst="rect">
                      <a:avLst/>
                    </a:prstGeom>
                  </pic:spPr>
                </pic:pic>
              </a:graphicData>
            </a:graphic>
          </wp:inline>
        </w:drawing>
      </w:r>
    </w:p>
    <w:p>
      <w:pPr>
        <w:spacing w:after="120" w:before="0" w:line="480"/>
        <w:jc w:val="center"/>
      </w:pPr>
      <w:r>
        <w:t>Figure 10. Streamlit QA workflow showing retrieved context, cited sources, and grounded answer generation.</w:t>
      </w:r>
    </w:p>
    <w:p>
      <w:r>
        <w:drawing>
          <wp:inline>
            <wp:extent cx="5669280" cy="3382085"/>
            <wp:docPr id="3" name="screenshot_qa.png"/>
            <wp:cNvGraphicFramePr>
              <a:graphicFrameLocks noChangeAspect="1"/>
            </wp:cNvGraphicFramePr>
            <a:graphic>
              <a:graphicData uri="http://schemas.openxmlformats.org/drawingml/2006/picture">
                <pic:pic>
                  <pic:nvPicPr>
                    <pic:cNvPr id="0" name="screenshot_qa.png"/>
                    <pic:cNvPicPr/>
                  </pic:nvPicPr>
                  <pic:blipFill>
                    <a:blip r:embed="rId18"/>
                    <a:stretch>
                      <a:fillRect/>
                    </a:stretch>
                  </pic:blipFill>
                  <pic:spPr>
                    <a:xfrm>
                      <a:off x="0" y="0"/>
                      <a:ext cx="5669280" cy="3382085"/>
                    </a:xfrm>
                    <a:prstGeom prst="rect">
                      <a:avLst/>
                    </a:prstGeom>
                  </pic:spPr>
                </pic:pic>
              </a:graphicData>
            </a:graphic>
          </wp:inline>
        </w:drawing>
      </w:r>
    </w:p>
    <w:p>
      <w:pPr>
        <w:pStyle w:val="Heading1"/>
        <w:spacing w:after="0" w:before="0" w:line="480"/>
        <w:jc w:val="center"/>
      </w:pPr>
      <w:r>
        <w:rPr>
          <w:rFonts w:ascii="Times New Roman" w:cs="Times New Roman" w:eastAsia="Times New Roman" w:hAnsi="Times New Roman"/>
          <w:b/>
          <w:bCs/>
          <w:sz w:val="24"/>
          <w:szCs w:val="24"/>
        </w:rPr>
        <w:t xml:space="preserve">7. Project Management</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7.1 Description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project was executed from March 13, 2026 to April 22, 2026. Development followed a pipeline-first approach: the core retrieval pipeline was built and validated before evaluation metrics and UI were added. The experiment runner was designed to be fully reproducible with cached intermediate outputs.</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7.2 Responsibility and Contributions</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Task</w:t>
            </w:r>
          </w:p>
        </w:tc>
        <w:tc>
          <w:tcPr>
            <w:tcW w:type="dxa" w:w="2808"/>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Primary</w:t>
            </w:r>
          </w:p>
        </w:tc>
        <w:tc>
          <w:tcPr>
            <w:tcW w:type="dxa" w:w="2808"/>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Secondary</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arXiv data collection pipeline</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PDF extraction and chunking</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Embedding model integration (all 3)</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FAISS vector store</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 baseline implementation</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Gemini generator + rate limiter</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Evaluation metrics implementation</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Manual QA pair generation</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Both (equal)</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Experiment runner and ablation</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Streamlit UI</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Results analysis and report writing</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Both (equal)</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5. </w:t>
      </w:r>
      <w:r>
        <w:rPr>
          <w:rFonts w:ascii="Times New Roman" w:cs="Times New Roman" w:eastAsia="Times New Roman" w:hAnsi="Times New Roman"/>
          <w:sz w:val="24"/>
          <w:szCs w:val="24"/>
        </w:rPr>
        <w:t xml:space="preserve">Task allocation. Contribution: Srikant Reddy Nandireddy 50% | Harshit Naidu 50%.</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References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Brown, T. B., et al. (2020). Language models are few-shot learners. </w:t>
      </w:r>
      <w:r>
        <w:rPr>
          <w:rFonts w:ascii="Times New Roman" w:cs="Times New Roman" w:eastAsia="Times New Roman" w:hAnsi="Times New Roman"/>
          <w:i/>
          <w:iCs/>
          <w:sz w:val="24"/>
          <w:szCs w:val="24"/>
        </w:rPr>
        <w:t xml:space="preserve">Advances in Neural Information Processing Systems, 33</w:t>
      </w:r>
      <w:r>
        <w:rPr>
          <w:rFonts w:ascii="Times New Roman" w:cs="Times New Roman" w:eastAsia="Times New Roman" w:hAnsi="Times New Roman"/>
          <w:sz w:val="24"/>
          <w:szCs w:val="24"/>
        </w:rPr>
        <w:t xml:space="preserve">, 1877–1901.</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Gao, Y., et al. (2023). Retrieval-augmented generation for large language models: A survey. </w:t>
      </w:r>
      <w:r>
        <w:rPr>
          <w:rFonts w:ascii="Times New Roman" w:cs="Times New Roman" w:eastAsia="Times New Roman" w:hAnsi="Times New Roman"/>
          <w:i/>
          <w:iCs/>
          <w:sz w:val="24"/>
          <w:szCs w:val="24"/>
        </w:rPr>
        <w:t xml:space="preserve">arXiv:2312.10997</w:t>
      </w:r>
      <w:r>
        <w:rPr>
          <w:rFonts w:ascii="Times New Roman" w:cs="Times New Roman" w:eastAsia="Times New Roman" w:hAnsi="Times New Roman"/>
          <w:sz w:val="24"/>
          <w:szCs w:val="24"/>
        </w:rPr>
        <w:t xml:space="preserve">.</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Izacard, G., &amp; Grave, E. (2021). Leveraging passage retrieval with generative models for open-domain QA. </w:t>
      </w:r>
      <w:r>
        <w:rPr>
          <w:rFonts w:ascii="Times New Roman" w:cs="Times New Roman" w:eastAsia="Times New Roman" w:hAnsi="Times New Roman"/>
          <w:i/>
          <w:iCs/>
          <w:sz w:val="24"/>
          <w:szCs w:val="24"/>
        </w:rPr>
        <w:t xml:space="preserve">Proceedings of EACL 2021</w:t>
      </w:r>
      <w:r>
        <w:rPr>
          <w:rFonts w:ascii="Times New Roman" w:cs="Times New Roman" w:eastAsia="Times New Roman" w:hAnsi="Times New Roman"/>
          <w:sz w:val="24"/>
          <w:szCs w:val="24"/>
        </w:rPr>
        <w:t xml:space="preserve">, pp. 874–880.</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Karpukhin, V., et al. (2020). Dense passage retrieval for open-domain QA. </w:t>
      </w:r>
      <w:r>
        <w:rPr>
          <w:rFonts w:ascii="Times New Roman" w:cs="Times New Roman" w:eastAsia="Times New Roman" w:hAnsi="Times New Roman"/>
          <w:i/>
          <w:iCs/>
          <w:sz w:val="24"/>
          <w:szCs w:val="24"/>
        </w:rPr>
        <w:t xml:space="preserve">Proceedings of EMNLP 2020</w:t>
      </w:r>
      <w:r>
        <w:rPr>
          <w:rFonts w:ascii="Times New Roman" w:cs="Times New Roman" w:eastAsia="Times New Roman" w:hAnsi="Times New Roman"/>
          <w:sz w:val="24"/>
          <w:szCs w:val="24"/>
        </w:rPr>
        <w:t xml:space="preserve">, pp. 6769–6781.</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Lewis, P., et al. (2020). Retrieval-augmented generation for knowledge-intensive NLP tasks. </w:t>
      </w:r>
      <w:r>
        <w:rPr>
          <w:rFonts w:ascii="Times New Roman" w:cs="Times New Roman" w:eastAsia="Times New Roman" w:hAnsi="Times New Roman"/>
          <w:i/>
          <w:iCs/>
          <w:sz w:val="24"/>
          <w:szCs w:val="24"/>
        </w:rPr>
        <w:t xml:space="preserve">Advances in NeurIPS, 33</w:t>
      </w:r>
      <w:r>
        <w:rPr>
          <w:rFonts w:ascii="Times New Roman" w:cs="Times New Roman" w:eastAsia="Times New Roman" w:hAnsi="Times New Roman"/>
          <w:sz w:val="24"/>
          <w:szCs w:val="24"/>
        </w:rPr>
        <w:t xml:space="preserve">, 9459–9474.</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Reimers, N., &amp; Gurevych, I. (2019). Sentence-BERT. </w:t>
      </w:r>
      <w:r>
        <w:rPr>
          <w:rFonts w:ascii="Times New Roman" w:cs="Times New Roman" w:eastAsia="Times New Roman" w:hAnsi="Times New Roman"/>
          <w:i/>
          <w:iCs/>
          <w:sz w:val="24"/>
          <w:szCs w:val="24"/>
        </w:rPr>
        <w:t xml:space="preserve">Proceedings of EMNLP 2019</w:t>
      </w:r>
      <w:r>
        <w:rPr>
          <w:rFonts w:ascii="Times New Roman" w:cs="Times New Roman" w:eastAsia="Times New Roman" w:hAnsi="Times New Roman"/>
          <w:sz w:val="24"/>
          <w:szCs w:val="24"/>
        </w:rPr>
        <w:t xml:space="preserve">, pp. 3982–3992.</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Robertson, S., &amp; Zaragoza, H. (2009). The probabilistic relevance framework: BM25 and beyond. </w:t>
      </w:r>
      <w:r>
        <w:rPr>
          <w:rFonts w:ascii="Times New Roman" w:cs="Times New Roman" w:eastAsia="Times New Roman" w:hAnsi="Times New Roman"/>
          <w:i/>
          <w:iCs/>
          <w:sz w:val="24"/>
          <w:szCs w:val="24"/>
        </w:rPr>
        <w:t xml:space="preserve">Foundations and Trends in IR, 3</w:t>
      </w:r>
      <w:r>
        <w:rPr>
          <w:rFonts w:ascii="Times New Roman" w:cs="Times New Roman" w:eastAsia="Times New Roman" w:hAnsi="Times New Roman"/>
          <w:sz w:val="24"/>
          <w:szCs w:val="24"/>
        </w:rPr>
        <w:t xml:space="preserve">(4), 333–389.</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Santhanam, K., et al. (2022). ColBERTv2. </w:t>
      </w:r>
      <w:r>
        <w:rPr>
          <w:rFonts w:ascii="Times New Roman" w:cs="Times New Roman" w:eastAsia="Times New Roman" w:hAnsi="Times New Roman"/>
          <w:i/>
          <w:iCs/>
          <w:sz w:val="24"/>
          <w:szCs w:val="24"/>
        </w:rPr>
        <w:t xml:space="preserve">Proceedings of NAACL 2022</w:t>
      </w:r>
      <w:r>
        <w:rPr>
          <w:rFonts w:ascii="Times New Roman" w:cs="Times New Roman" w:eastAsia="Times New Roman" w:hAnsi="Times New Roman"/>
          <w:sz w:val="24"/>
          <w:szCs w:val="24"/>
        </w:rPr>
        <w:t xml:space="preserve">, pp. 3715–3734.</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Shi, W., et al. (2023). REPLUG. </w:t>
      </w:r>
      <w:r>
        <w:rPr>
          <w:rFonts w:ascii="Times New Roman" w:cs="Times New Roman" w:eastAsia="Times New Roman" w:hAnsi="Times New Roman"/>
          <w:i/>
          <w:iCs/>
          <w:sz w:val="24"/>
          <w:szCs w:val="24"/>
        </w:rPr>
        <w:t xml:space="preserve">Proceedings of EMNLP 2023</w:t>
      </w:r>
      <w:r>
        <w:rPr>
          <w:rFonts w:ascii="Times New Roman" w:cs="Times New Roman" w:eastAsia="Times New Roman" w:hAnsi="Times New Roman"/>
          <w:sz w:val="24"/>
          <w:szCs w:val="24"/>
        </w:rPr>
        <w:t xml:space="preserve">.</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Xiao, S., et al. (2023). C-Pack: BGE embedding resources. </w:t>
      </w:r>
      <w:r>
        <w:rPr>
          <w:rFonts w:ascii="Times New Roman" w:cs="Times New Roman" w:eastAsia="Times New Roman" w:hAnsi="Times New Roman"/>
          <w:i/>
          <w:iCs/>
          <w:sz w:val="24"/>
          <w:szCs w:val="24"/>
        </w:rPr>
        <w:t xml:space="preserve">arXiv:2309.07597</w:t>
      </w:r>
      <w:r>
        <w:rPr>
          <w:rFonts w:ascii="Times New Roman" w:cs="Times New Roman" w:eastAsia="Times New Roman" w:hAnsi="Times New Roman"/>
          <w:sz w:val="24"/>
          <w:szCs w:val="24"/>
        </w:rPr>
        <w:t xml:space="preserv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before="0" w:line="276"/>
    </w:pPr>
    <w:r>
      <w:rPr>
        <w:rFonts w:ascii="Times New Roman" w:cs="Times New Roman" w:eastAsia="Times New Roman" w:hAnsi="Times New Roman"/>
        <w:sz w:val="20"/>
        <w:szCs w:val="20"/>
      </w:rPr>
      <w:t xml:space="preserve">EMBEDDING MODELS IN RAG — IMPLEMENTATION REPORT	</w:t>
    </w:r>
    <w:pgNum/>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spacing w:after="0" w:before="0" w:line="480"/>
      <w:jc w:val="left"/>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footnotes" Target="footnotes.xml" /><ns0:Relationship Id="rId4" Type="http://schemas.openxmlformats.org/officeDocument/2006/relationships/endnotes" Target="endnotes.xml" /><ns0:Relationship Id="rId5" Type="http://schemas.openxmlformats.org/officeDocument/2006/relationships/settings" Target="settings.xml" /><ns0:Relationship Id="rId6" Type="http://schemas.openxmlformats.org/officeDocument/2006/relationships/comments" Target="comments.xml" /><ns0:Relationship Id="rId7" Type="http://schemas.openxmlformats.org/officeDocument/2006/relationships/header" Target="header1.xml" /><ns0:Relationship Id="rId8" Type="http://schemas.openxmlformats.org/officeDocument/2006/relationships/image" Target="media/3eb63dbab853122d89eca0ab9bf2847f70b265f6.png" /><ns0:Relationship Id="rId9" Type="http://schemas.openxmlformats.org/officeDocument/2006/relationships/image" Target="media/2a7d469c613f3d0c98b6da9e948fb7d2a2bb225a.png" /><ns0:Relationship Id="rId10" Type="http://schemas.openxmlformats.org/officeDocument/2006/relationships/image" Target="media/73332b6718b84413b4cde31d6a19ad0036ddb808.png" /><ns0:Relationship Id="rId11" Type="http://schemas.openxmlformats.org/officeDocument/2006/relationships/image" Target="media/6679a66aff209b22025c831ac006ed8e818a3d62.png" /><ns0:Relationship Id="rId12" Type="http://schemas.openxmlformats.org/officeDocument/2006/relationships/image" Target="media/611a587b2233404e2a5129355d7abf188e40c454.png" /><ns0:Relationship Id="rId13" Type="http://schemas.openxmlformats.org/officeDocument/2006/relationships/image" Target="media/5109058096beeb6bfb2aa402b3de0e559b21d939.png" /><ns0:Relationship Id="rId14" Type="http://schemas.openxmlformats.org/officeDocument/2006/relationships/image" Target="media/118407f37beb31470159a1b71284240f1dbb0d0d.png" /><ns0:Relationship Id="rId15" Type="http://schemas.openxmlformats.org/officeDocument/2006/relationships/image" Target="media/eaa65b95539e07083645a3cd853940f0a5136e83.png" /><ns0:Relationship Id="rId16" Type="http://schemas.openxmlformats.org/officeDocument/2006/relationships/fontTable" Target="fontTable.xml" /><ns0:Relationship Id="rId17" Type="http://schemas.openxmlformats.org/officeDocument/2006/relationships/image" Target="media/screenshot_welcome.png" /><ns0:Relationship Id="rId18" Type="http://schemas.openxmlformats.org/officeDocument/2006/relationships/image" Target="media/screenshot_qa.png" /></ns0: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2026-04-21T02:43:00.279Z</dcterms:created>
  <dcterms:modified xsi:type="dcterms:W3CDTF">2026-04-21T02:43:00.281Z</dcterms:modified>
</cp:coreProperties>
</file>

<file path=docProps/custom.xml><?xml version="1.0" encoding="utf-8"?>
<Properties xmlns="http://schemas.openxmlformats.org/officeDocument/2006/custom-properties" xmlns:vt="http://schemas.openxmlformats.org/officeDocument/2006/docPropsVTypes"/>
</file>