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72"/>
          <w:szCs w:val="72"/>
        </w:rPr>
        <w:t xml:space="preserve">TGDesk</w:t>
      </w:r>
    </w:p>
    <w:p>
      <w:pPr>
        <w:spacing w:after="100" w:before="200"/>
        <w:jc w:val="center"/>
      </w:pPr>
      <w:r>
        <w:rPr>
          <w:rFonts w:ascii="Calibri" w:cs="Calibri" w:eastAsia="Calibri" w:hAnsi="Calibri"/>
          <w:color w:val="595959"/>
          <w:sz w:val="30"/>
          <w:szCs w:val="30"/>
        </w:rPr>
        <w:t xml:space="preserve">Plano de Arquitetura e Roadmap de Desenvolvimento</w:t>
      </w:r>
    </w:p>
    <w:p>
      <w:pPr>
        <w:spacing w:before="100"/>
        <w:jc w:val="center"/>
      </w:pPr>
      <w:r>
        <w:rPr>
          <w:rFonts w:ascii="Calibri" w:cs="Calibri" w:eastAsia="Calibri" w:hAnsi="Calibri"/>
          <w:i/>
          <w:iCs/>
          <w:color w:val="595959"/>
          <w:sz w:val="22"/>
          <w:szCs w:val="22"/>
        </w:rPr>
        <w:t xml:space="preserve">Plataforma de Suporte Remoto, VPN Mesh, USB/IP e Telemetria para Windows</w:t>
      </w:r>
    </w:p>
    <w:p>
      <w:pPr>
        <w:spacing w:before="800"/>
        <w:jc w:val="center"/>
      </w:pPr>
      <w:r>
        <w:rPr>
          <w:rFonts w:ascii="Calibri" w:cs="Calibri" w:eastAsia="Calibri" w:hAnsi="Calibri"/>
          <w:color w:val="595959"/>
          <w:sz w:val="20"/>
          <w:szCs w:val="20"/>
        </w:rPr>
        <w:t xml:space="preserve">Versão 0.1 — Documento de Planejamento</w:t>
      </w:r>
    </w:p>
    <w:p>
      <w:pPr>
        <w:spacing w:before="60"/>
        <w:jc w:val="center"/>
      </w:pPr>
      <w:r>
        <w:rPr>
          <w:rFonts w:ascii="Calibri" w:cs="Calibri" w:eastAsia="Calibri" w:hAnsi="Calibri"/>
          <w:color w:val="595959"/>
          <w:sz w:val="20"/>
          <w:szCs w:val="20"/>
        </w:rPr>
        <w:t xml:space="preserve">21 de julho de 2026</w:t>
      </w:r>
    </w:p>
    <w:p>
      <w:r>
        <w:br w:type="page"/>
      </w:r>
    </w:p>
    <w:p>
      <w:pPr>
        <w:pStyle w:val="Heading1"/>
        <w:spacing w:after="200" w:before="400"/>
      </w:pPr>
      <w:r>
        <w:t xml:space="preserve">1. Visão Geral e Objetivos</w:t>
      </w:r>
    </w:p>
    <w:p>
      <w:pPr>
        <w:spacing w:after="160" w:line="276"/>
      </w:pPr>
      <w:r>
        <w:rPr>
          <w:rFonts w:ascii="Calibri" w:cs="Calibri" w:eastAsia="Calibri" w:hAnsi="Calibri"/>
          <w:sz w:val="22"/>
          <w:szCs w:val="22"/>
        </w:rPr>
        <w:t xml:space="preserve">O TGDesk é uma plataforma de suporte remoto e gestão de infraestrutura para Windows, construída para atender técnicos que dão suporte a múltiplas lojas/redes de clientes. O sistema combina quatro capacidades que hoje exigem ferramentas separadas — VPN mesh, acesso remoto, redirecionamento USB e telemetria de hardware — em um único agente instalável, orquestrado por um servidor central dockerizado.</w:t>
      </w:r>
    </w:p>
    <w:p>
      <w:pPr>
        <w:spacing w:after="160" w:line="276"/>
      </w:pPr>
      <w:r>
        <w:rPr>
          <w:rFonts w:ascii="Calibri" w:cs="Calibri" w:eastAsia="Calibri" w:hAnsi="Calibri"/>
          <w:sz w:val="22"/>
          <w:szCs w:val="22"/>
        </w:rPr>
        <w:t xml:space="preserve">A proposta de valor central é a experiência: instalação tão simples quanto o AnyDesk para o cliente final (Host), e um painel único e avançado para o técnico, com todas as funções desbloqueadas mediante autenticação de conta técnica provisionada pelo administrador do servidor.</w:t>
      </w:r>
    </w:p>
    <w:p>
      <w:pPr>
        <w:spacing w:after="160" w:line="276"/>
      </w:pPr>
      <w:r>
        <w:rPr>
          <w:rFonts w:ascii="Calibri" w:cs="Calibri" w:eastAsia="Calibri" w:hAnsi="Calibri"/>
          <w:b w:val="false"/>
          <w:bCs w:val="false"/>
          <w:i w:val="false"/>
          <w:iCs w:val="false"/>
          <w:sz w:val="22"/>
          <w:szCs w:val="22"/>
        </w:rPr>
        <w:t xml:space="preserve">Este documento define: </w:t>
      </w:r>
      <w:r>
        <w:rPr>
          <w:rFonts w:ascii="Calibri" w:cs="Calibri" w:eastAsia="Calibri" w:hAnsi="Calibri"/>
          <w:b/>
          <w:bCs/>
          <w:i w:val="false"/>
          <w:iCs w:val="false"/>
          <w:sz w:val="22"/>
          <w:szCs w:val="22"/>
        </w:rPr>
        <w:t xml:space="preserve">(1) </w:t>
      </w:r>
      <w:r>
        <w:rPr>
          <w:rFonts w:ascii="Calibri" w:cs="Calibri" w:eastAsia="Calibri" w:hAnsi="Calibri"/>
          <w:b w:val="false"/>
          <w:bCs w:val="false"/>
          <w:i w:val="false"/>
          <w:iCs w:val="false"/>
          <w:sz w:val="22"/>
          <w:szCs w:val="22"/>
        </w:rPr>
        <w:t xml:space="preserve">as bases de código open source que servirão de referência técnica para cada módulo; </w:t>
      </w:r>
      <w:r>
        <w:rPr>
          <w:rFonts w:ascii="Calibri" w:cs="Calibri" w:eastAsia="Calibri" w:hAnsi="Calibri"/>
          <w:b/>
          <w:bCs/>
          <w:i w:val="false"/>
          <w:iCs w:val="false"/>
          <w:sz w:val="22"/>
          <w:szCs w:val="22"/>
        </w:rPr>
        <w:t xml:space="preserve">(2) </w:t>
      </w:r>
      <w:r>
        <w:rPr>
          <w:rFonts w:ascii="Calibri" w:cs="Calibri" w:eastAsia="Calibri" w:hAnsi="Calibri"/>
          <w:b w:val="false"/>
          <w:bCs w:val="false"/>
          <w:i w:val="false"/>
          <w:iCs w:val="false"/>
          <w:sz w:val="22"/>
          <w:szCs w:val="22"/>
        </w:rPr>
        <w:t xml:space="preserve">a arquitetura de componentes e sua distribuição entre servidor e clientes; </w:t>
      </w:r>
      <w:r>
        <w:rPr>
          <w:rFonts w:ascii="Calibri" w:cs="Calibri" w:eastAsia="Calibri" w:hAnsi="Calibri"/>
          <w:b/>
          <w:bCs/>
          <w:i w:val="false"/>
          <w:iCs w:val="false"/>
          <w:sz w:val="22"/>
          <w:szCs w:val="22"/>
        </w:rPr>
        <w:t xml:space="preserve">(3) </w:t>
      </w:r>
      <w:r>
        <w:rPr>
          <w:rFonts w:ascii="Calibri" w:cs="Calibri" w:eastAsia="Calibri" w:hAnsi="Calibri"/>
          <w:b w:val="false"/>
          <w:bCs w:val="false"/>
          <w:i w:val="false"/>
          <w:iCs w:val="false"/>
          <w:sz w:val="22"/>
          <w:szCs w:val="22"/>
        </w:rPr>
        <w:t xml:space="preserve">o modelo de provisionamento de contas técnicas via variáveis de ambiente; </w:t>
      </w:r>
      <w:r>
        <w:rPr>
          <w:rFonts w:ascii="Calibri" w:cs="Calibri" w:eastAsia="Calibri" w:hAnsi="Calibri"/>
          <w:b/>
          <w:bCs/>
          <w:i w:val="false"/>
          <w:iCs w:val="false"/>
          <w:sz w:val="22"/>
          <w:szCs w:val="22"/>
        </w:rPr>
        <w:t xml:space="preserve">(4) </w:t>
      </w:r>
      <w:r>
        <w:rPr>
          <w:rFonts w:ascii="Calibri" w:cs="Calibri" w:eastAsia="Calibri" w:hAnsi="Calibri"/>
          <w:b w:val="false"/>
          <w:bCs w:val="false"/>
          <w:i w:val="false"/>
          <w:iCs w:val="false"/>
          <w:sz w:val="22"/>
          <w:szCs w:val="22"/>
        </w:rPr>
        <w:t xml:space="preserve">um roadmap de desenvolvimento faseado; e </w:t>
      </w:r>
      <w:r>
        <w:rPr>
          <w:rFonts w:ascii="Calibri" w:cs="Calibri" w:eastAsia="Calibri" w:hAnsi="Calibri"/>
          <w:b/>
          <w:bCs/>
          <w:i w:val="false"/>
          <w:iCs w:val="false"/>
          <w:sz w:val="22"/>
          <w:szCs w:val="22"/>
        </w:rPr>
        <w:t xml:space="preserve">(5) </w:t>
      </w:r>
      <w:r>
        <w:rPr>
          <w:rFonts w:ascii="Calibri" w:cs="Calibri" w:eastAsia="Calibri" w:hAnsi="Calibri"/>
          <w:b w:val="false"/>
          <w:bCs w:val="false"/>
          <w:i w:val="false"/>
          <w:iCs w:val="false"/>
          <w:sz w:val="22"/>
          <w:szCs w:val="22"/>
        </w:rPr>
        <w:t xml:space="preserve">os riscos de licenciamento que precisam de decisão antes da fase de implementação.</w:t>
      </w:r>
    </w:p>
    <w:p>
      <w:pPr>
        <w:pStyle w:val="Heading1"/>
        <w:spacing w:after="200" w:before="400"/>
      </w:pPr>
      <w:r>
        <w:t xml:space="preserve">2. Bases Tecnológicas de Referência e Licenciamento</w:t>
      </w:r>
    </w:p>
    <w:p>
      <w:pPr>
        <w:spacing w:after="160" w:line="276"/>
      </w:pPr>
      <w:r>
        <w:rPr>
          <w:rFonts w:ascii="Calibri" w:cs="Calibri" w:eastAsia="Calibri" w:hAnsi="Calibri"/>
          <w:sz w:val="22"/>
          <w:szCs w:val="22"/>
        </w:rPr>
        <w:t xml:space="preserve">Cada módulo do TGDesk usa um projeto open source consolidado como referência de arquitetura e, em alguns casos, como base de código a ser adaptada. A tabela abaixo resume o papel de cada um, a linguagem predominante e — ponto crítico para decisão de negócio — a licença, já que duas das quatro bases são copyleft forte (AGPL/GPL) e afetam como o TGDesk pode ser distribuído comercialmente.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400"/>
        <w:gridCol w:w="2400"/>
      </w:tblGrid>
      <w:tr>
        <w:trPr>
          <w:tblHeader/>
        </w:trPr>
        <w:tc>
          <w:tcPr>
            <w:tcW w:type="dxa" w:w="2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Projeto Base</w:t>
            </w:r>
          </w:p>
        </w:tc>
        <w:tc>
          <w:tcPr>
            <w:tcW w:type="dxa" w:w="308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Papel no TGDesk</w:t>
            </w:r>
          </w:p>
        </w:tc>
        <w:tc>
          <w:tcPr>
            <w:tcW w:type="dxa" w:w="2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Linguagem</w:t>
            </w:r>
          </w:p>
        </w:tc>
        <w:tc>
          <w:tcPr>
            <w:tcW w:type="dxa" w:w="2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Licença</w:t>
            </w:r>
          </w:p>
        </w:tc>
      </w:tr>
      <w:tr>
        <w:tc>
          <w:tcPr>
            <w:tcW w:type="dxa" w:w="2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WireGuard (wireguard-go) + Wintun</w:t>
            </w:r>
          </w:p>
        </w:tc>
        <w:tc>
          <w:tcPr>
            <w:tcW w:type="dxa" w:w="308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Motor de VPN mesh (túnel L3) entre servidor e clientes</w:t>
            </w:r>
          </w:p>
        </w:tc>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Go (userspace) + C (driver Wintun)</w:t>
            </w:r>
          </w:p>
        </w:tc>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GPLv2 (driver kernel) / licença permissiva (wintun.dll)</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RustDesk (hbbs/hbbr + cliente)</w:t>
            </w:r>
          </w:p>
        </w:tc>
        <w:tc>
          <w:tcPr>
            <w:tcW w:type="dxa" w:w="308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Base do módulo de acesso remoto (captura de tela, input, NAT traversal)</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Rust</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AGPL-3.0-or-later (núcleo); Pro sob licença comercial própria</w:t>
            </w:r>
          </w:p>
        </w:tc>
      </w:tr>
      <w:tr>
        <w:tc>
          <w:tcPr>
            <w:tcW w:type="dxa" w:w="2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usbip-win / usbipd-win</w:t>
            </w:r>
          </w:p>
        </w:tc>
        <w:tc>
          <w:tcPr>
            <w:tcW w:type="dxa" w:w="308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Base do módulo USB over IP bidirecional</w:t>
            </w:r>
          </w:p>
        </w:tc>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 / C# (driver KMDF + serviço)</w:t>
            </w:r>
          </w:p>
        </w:tc>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GPL-3.0-only</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System Informer (ex-Process Hacker)</w:t>
            </w:r>
          </w:p>
        </w:tc>
        <w:tc>
          <w:tcPr>
            <w:tcW w:type="dxa" w:w="308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Base do módulo de telemetria e diagnóstico (CPU, memória, disco, processos)</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 (phlib) + driver KSystemInformer.sys</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MIT</w:t>
            </w:r>
          </w:p>
        </w:tc>
      </w:tr>
    </w:tbl>
    <w:p>
      <w:pPr>
        <w:spacing w:after="100" w:before="200"/>
      </w:pPr>
    </w:p>
    <w:p>
      <w:pPr>
        <w:pStyle w:val="Heading2"/>
        <w:spacing w:after="150" w:before="300"/>
      </w:pPr>
      <w:r>
        <w:t xml:space="preserve">2.1 Implicação prática das licenças e decisão de modelo de negócio</w:t>
      </w:r>
    </w:p>
    <w:p>
      <w:pPr>
        <w:spacing w:after="160" w:line="276"/>
      </w:pPr>
      <w:r>
        <w:rPr>
          <w:rFonts w:ascii="Calibri" w:cs="Calibri" w:eastAsia="Calibri" w:hAnsi="Calibri"/>
          <w:sz w:val="22"/>
          <w:szCs w:val="22"/>
        </w:rPr>
        <w:t xml:space="preserve">Decisão adotada: o TGDesk será construído inteiramente sobre bases open source, incluindo RustDesk (AGPL-3.0) e usbip-win/usbipd-win (GPL-3.0), sem a preocupação de manter o código fechado. Isso é possível porque o modelo de monetização do TGDesk não depende de segredo de código-fonte — depende do controle operacional centralizado: contas de técnico provisionadas pelo administrador, ativação/desativação de monitoramento e VPN por rede ou dispositivo, e um super admin capaz de revogar acesso de qualquer técnico, loja ou dispositivo a qualquer momento (detalhado na Seção 3). O valor comercial está no serviço hospedado e na camada de controle de acesso, não na obscuridade do código.</w:t>
      </w:r>
    </w:p>
    <w:p>
      <w:pPr>
        <w:spacing w:after="160" w:line="276"/>
      </w:pPr>
      <w:r>
        <w:rPr>
          <w:rFonts w:ascii="Calibri" w:cs="Calibri" w:eastAsia="Calibri" w:hAnsi="Calibri"/>
          <w:sz w:val="22"/>
          <w:szCs w:val="22"/>
        </w:rPr>
        <w:t xml:space="preserve">Isso simplifica a arquitetura: não há mais necessidade de segregar RustDesk e usbip-win como serviços isolados por motivo de licenciamento comercial — o TGDesk pode publicar seu próprio código (incluindo o servidor central) sob AGPL/GPL sem prejuízo ao modelo de receita, já que o diferencial pago é o acesso ao servidor central operado pela empresa, com contas, grupos e políticas de desligamento remoto. Ainda assim, cabe uma revisão jurídica leve antes do lançamento para confirmar que a obrigação de disponibilização de código-fonte (cláusula de uso em rede da AGPL) está sendo cumprida corretamente para os componentes derivados de RustDesk e usbip-win.</w:t>
      </w:r>
    </w:p>
    <w:p>
      <w:pPr>
        <w:spacing w:after="160" w:line="276"/>
      </w:pPr>
      <w:r>
        <w:rPr>
          <w:rFonts w:ascii="Calibri" w:cs="Calibri" w:eastAsia="Calibri" w:hAnsi="Calibri"/>
          <w:sz w:val="22"/>
          <w:szCs w:val="22"/>
        </w:rPr>
        <w:t xml:space="preserve">O que precisa permanecer estritamente privado, independentemente da licença do código, são os segredos operacionais: chaves privadas WireGuard por dispositivo, credenciais de técnico, tokens de sessão e o banco de dados de clientes — nenhum desses itens é afetado pela licença do software, pois licenças de código aberto não obrigam a publicação de dados de produção nem de segredos de implantação.</w:t>
      </w:r>
    </w:p>
    <w:p>
      <w:r>
        <w:br w:type="page"/>
      </w:r>
    </w:p>
    <w:p>
      <w:pPr>
        <w:pStyle w:val="Heading1"/>
        <w:spacing w:after="200" w:before="400"/>
      </w:pPr>
      <w:r>
        <w:t xml:space="preserve">3. Modelo de Negócio, Controle de Acesso e Hierarquia de Redes</w:t>
      </w:r>
    </w:p>
    <w:p>
      <w:pPr>
        <w:spacing w:after="160" w:line="276"/>
      </w:pPr>
      <w:r>
        <w:rPr>
          <w:rFonts w:ascii="Calibri" w:cs="Calibri" w:eastAsia="Calibri" w:hAnsi="Calibri"/>
          <w:sz w:val="22"/>
          <w:szCs w:val="22"/>
        </w:rPr>
        <w:t xml:space="preserve">Esta seção formaliza um refinamento importante do escopo original: o TGDesk não é apenas uma ferramenta técnica, é uma plataforma operada pela empresa como serviço para seus próprios técnicos e para as redes/lojas que eles atendem. Isso introduz três exigências novas em relação ao desenho inicial: papéis com escopo de acesso limitado, um estado de "convidado" (guest) para todo dispositivo recém-instalado, e uma hierarquia de agrupamento de redes por franquia/cliente.</w:t>
      </w:r>
    </w:p>
    <w:p>
      <w:pPr>
        <w:pStyle w:val="Heading2"/>
        <w:spacing w:after="150" w:before="300"/>
      </w:pPr>
      <w:r>
        <w:t xml:space="preserve">3.1 Papéis e escopo de acesso</w:t>
      </w:r>
    </w:p>
    <w:p>
      <w:pPr>
        <w:spacing w:after="160" w:line="276"/>
      </w:pPr>
      <w:r>
        <w:rPr>
          <w:rFonts w:ascii="Calibri" w:cs="Calibri" w:eastAsia="Calibri" w:hAnsi="Calibri"/>
          <w:sz w:val="22"/>
          <w:szCs w:val="22"/>
        </w:rPr>
        <w:t xml:space="preserve">Dois papéis operacionais substituem o modelo anterior de conta técnica única e uniforme:</w:t>
      </w:r>
    </w:p>
    <w:p>
      <w:pPr>
        <w:pStyle w:val="ListParagraph"/>
        <w:numPr>
          <w:ilvl w:val="0"/>
          <w:numId w:val="2"/>
        </w:numPr>
        <w:spacing w:after="90"/>
      </w:pPr>
      <w:r>
        <w:rPr>
          <w:rFonts w:ascii="Calibri" w:cs="Calibri" w:eastAsia="Calibri" w:hAnsi="Calibri"/>
          <w:sz w:val="22"/>
          <w:szCs w:val="22"/>
        </w:rPr>
        <w:t xml:space="preserve">Super Admin: papel único da empresa operadora do TGDesk. Enxerga e administra todas as organizações (franquias/clientes), todas as redes/lojas e todos os técnicos cadastrados. É o único papel com poder de desligamento manual (kill-switch) a qualquer nível: um técnico específico, uma rede/loja inteira, um dispositivo isolado, ou uma organização completa. Também é quem cria e associa contas de técnico às organizações/redes que cada um pode atender.</w:t>
      </w:r>
    </w:p>
    <w:p>
      <w:pPr>
        <w:pStyle w:val="ListParagraph"/>
        <w:numPr>
          <w:ilvl w:val="0"/>
          <w:numId w:val="2"/>
        </w:numPr>
        <w:spacing w:after="90"/>
      </w:pPr>
      <w:r>
        <w:rPr>
          <w:rFonts w:ascii="Calibri" w:cs="Calibri" w:eastAsia="Calibri" w:hAnsi="Calibri"/>
          <w:sz w:val="22"/>
          <w:szCs w:val="22"/>
        </w:rPr>
        <w:t xml:space="preserve">Técnico: acesso restrito às organizações e/ou redes explicitamente atribuídas a ele pelo Super Admin. Um técnico atribuído apenas à "Franquia A" não vê nenhum dispositivo, grupo ou telemetria da "Franquia B". Dentro do escopo atribuído, o técnico tem as capacidades já descritas nas Seções 7 e 8 (tela remota, USB/IP, telemetria, WoL).</w:t>
      </w:r>
    </w:p>
    <w:p>
      <w:pPr>
        <w:spacing w:after="160" w:line="276"/>
      </w:pPr>
      <w:r>
        <w:rPr>
          <w:rFonts w:ascii="Calibri" w:cs="Calibri" w:eastAsia="Calibri" w:hAnsi="Calibri"/>
          <w:sz w:val="22"/>
          <w:szCs w:val="22"/>
        </w:rPr>
        <w:t xml:space="preserve">Tecnicamente, isso é implementado como uma tabela de atribuições (technician_assignments) que relaciona technician_id a organization_id e/ou network_id, com cardinalidade muitos-para-muitos — um técnico pode ser atribuído a várias organizações, e uma organização pode ter vários técnicos. Toda consulta da API central para o cliente Técnico é filtrada por essa tabela antes de retornar qualquer dado.</w:t>
      </w:r>
    </w:p>
    <w:p>
      <w:pPr>
        <w:pStyle w:val="Heading2"/>
        <w:spacing w:after="150" w:before="300"/>
      </w:pPr>
      <w:r>
        <w:t xml:space="preserve">3.2 Hierarquia de organizações e redes</w:t>
      </w:r>
    </w:p>
    <w:p>
      <w:pPr>
        <w:spacing w:after="160" w:line="276"/>
      </w:pPr>
      <w:r>
        <w:rPr>
          <w:rFonts w:ascii="Calibri" w:cs="Calibri" w:eastAsia="Calibri" w:hAnsi="Calibri"/>
          <w:sz w:val="22"/>
          <w:szCs w:val="22"/>
        </w:rPr>
        <w:t xml:space="preserve">O modelo anterior tratava cada loja como um grupo independente e plano. O modelo revisado introduz um nível intermediário: Organização (a franquia ou empresa cliente) agrupa uma ou mais Redes (cada loja física, ou uma rede de suporte interno). Isso permite que todas as lojas de uma mesma franquia sejam administradas e visualizadas em conjunto, enquanto permanecem isoladas — em nível de rede virtual WireGuard — das redes de outra franquia.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Nível</w:t>
            </w:r>
          </w:p>
        </w:tc>
        <w:tc>
          <w:tcPr>
            <w:tcW w:type="dxa" w:w="3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Exemplo</w:t>
            </w:r>
          </w:p>
        </w:tc>
        <w:tc>
          <w:tcPr>
            <w:tcW w:type="dxa" w:w="348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Isolamento</w:t>
            </w:r>
          </w:p>
        </w:tc>
      </w:tr>
      <w:tr>
        <w:tc>
          <w:tcPr>
            <w:tcW w:type="dxa" w:w="3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Organização (Franquia/Cliente)</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"Rede de Farmácias XYZ"</w:t>
            </w:r>
          </w:p>
        </w:tc>
        <w:tc>
          <w:tcPr>
            <w:tcW w:type="dxa" w:w="348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Fronteira administrativa: agrupa todas as redes/lojas do mesmo cliente para fins de RBAC e faturamento</w:t>
            </w:r>
          </w:p>
        </w:tc>
      </w:tr>
      <w:tr>
        <w:tc>
          <w:tcPr>
            <w:tcW w:type="dxa" w:w="3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Rede/Loja</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"XYZ — Loja Centro", "XYZ — Loja Norte"</w:t>
            </w:r>
          </w:p>
        </w:tc>
        <w:tc>
          <w:tcPr>
            <w:tcW w:type="dxa" w:w="348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Fronteira de rede real: cada Rede é sua própria sub-rede virtual WireGuard (allowed-ips isolado), como já definido na Seção 8 (Módulo A)</w:t>
            </w:r>
          </w:p>
        </w:tc>
      </w:tr>
      <w:tr>
        <w:tc>
          <w:tcPr>
            <w:tcW w:type="dxa" w:w="3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Dispositivo</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PC-CAIXA-01, PC-ESTOQUE-02</w:t>
            </w:r>
          </w:p>
        </w:tc>
        <w:tc>
          <w:tcPr>
            <w:tcW w:type="dxa" w:w="348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Pertence a exatamente uma Rede; nunca compartilha túnel com dispositivos de outra Rede</w:t>
            </w:r>
          </w:p>
        </w:tc>
      </w:tr>
    </w:tbl>
    <w:p>
      <w:pPr>
        <w:spacing w:after="160" w:line="276"/>
      </w:pPr>
      <w:r>
        <w:rPr>
          <w:rFonts w:ascii="Calibri" w:cs="Calibri" w:eastAsia="Calibri" w:hAnsi="Calibri"/>
          <w:sz w:val="22"/>
          <w:szCs w:val="22"/>
        </w:rPr>
        <w:t xml:space="preserve">Um técnico pode ser atribuído no nível de Organização (acesso a todas as redes/lojas daquela franquia, presentes e futuras) ou no nível de Rede individual (acesso a apenas uma loja específica dentro da franquia) — flexibilidade útil para técnicos generalistas versus técnicos dedicados a um cliente.</w:t>
      </w:r>
    </w:p>
    <w:p>
      <w:pPr>
        <w:pStyle w:val="Heading2"/>
        <w:spacing w:after="150" w:before="300"/>
      </w:pPr>
      <w:r>
        <w:t xml:space="preserve">3.3 Estado "Guest" e fluxo de primeiro acesso</w:t>
      </w:r>
    </w:p>
    <w:p>
      <w:pPr>
        <w:spacing w:after="160" w:line="276"/>
      </w:pPr>
      <w:r>
        <w:rPr>
          <w:rFonts w:ascii="Calibri" w:cs="Calibri" w:eastAsia="Calibri" w:hAnsi="Calibri"/>
          <w:sz w:val="22"/>
          <w:szCs w:val="22"/>
        </w:rPr>
        <w:t xml:space="preserve">Instalar o cliente TGDesk em uma máquina não ativa, por si só, nenhuma funcionalidade sensível. Ao concluir a instalação, o agente Host se registra na API central e entra em estado guest: mantém apenas um canal de controle mínimo (heartbeat/identificação) — sem túnel WireGuard estabelecido, sem agente de tela remota ativo, sem coleta de telemetria e sem exposição USB/IP. Nesse estado, o dispositivo aparece no painel do Super Admin (e de nenhum técnico ainda) como "Aguardando vinculação", junto de um código de pareamento curto exibido na tela do Host.</w:t>
      </w:r>
    </w:p>
    <w:p>
      <w:pPr>
        <w:spacing w:after="160" w:line="276"/>
      </w:pPr>
      <w:r>
        <w:rPr>
          <w:rFonts w:ascii="Calibri" w:cs="Calibri" w:eastAsia="Calibri" w:hAnsi="Calibri"/>
          <w:sz w:val="22"/>
          <w:szCs w:val="22"/>
        </w:rPr>
        <w:t xml:space="preserve">A ativação completa só ocorre quando um técnico com permissão realiza o primeiro acesso: insere o código de pareamento no Hub, escolhe a Organização e a Rede/Loja de destino, e confirma a vinculação. Somente a partir desse momento o servidor emite a configuração WireGuard para aquele dispositivo, o módulo de acesso remoto passa a aceitar conexões autorizadas, o coletor de telemetria é iniciado e o dispositivo passa a contar para o estado de presença (Online/Desligada/Offline) da Seção 10. Reinstalar o agente ou trocar de máquina exige um novo código de pareamento e uma nova vinculação manual — não há herança automática de identidade.</w:t>
      </w:r>
    </w:p>
    <w:p>
      <w:pPr>
        <w:pStyle w:val="Heading2"/>
        <w:spacing w:after="150" w:before="300"/>
      </w:pPr>
      <w:r>
        <w:t xml:space="preserve">3.4 Kill-switch e desligamento manual</w:t>
      </w:r>
    </w:p>
    <w:p>
      <w:pPr>
        <w:spacing w:after="160" w:line="276"/>
      </w:pPr>
      <w:r>
        <w:rPr>
          <w:rFonts w:ascii="Calibri" w:cs="Calibri" w:eastAsia="Calibri" w:hAnsi="Calibri"/>
          <w:sz w:val="22"/>
          <w:szCs w:val="22"/>
        </w:rPr>
        <w:t xml:space="preserve">O Super Admin pode revogar acesso em quatro granularidades independentes, com efeito quase imediato via o canal de pub-sub (Redis) que já propaga presença em tempo real:</w:t>
      </w:r>
    </w:p>
    <w:p>
      <w:pPr>
        <w:pStyle w:val="ListParagraph"/>
        <w:numPr>
          <w:ilvl w:val="0"/>
          <w:numId w:val="2"/>
        </w:numPr>
        <w:spacing w:after="90"/>
      </w:pPr>
      <w:r>
        <w:rPr>
          <w:rFonts w:ascii="Calibri" w:cs="Calibri" w:eastAsia="Calibri" w:hAnsi="Calibri"/>
          <w:sz w:val="22"/>
          <w:szCs w:val="22"/>
        </w:rPr>
        <w:t xml:space="preserve">Técnico: a conta é suspensa, todas as sessões ativas daquele técnico (tela remota, montagens USB) são encerradas à força, e o login passa a ser recusado até reativação.</w:t>
      </w:r>
    </w:p>
    <w:p>
      <w:pPr>
        <w:pStyle w:val="ListParagraph"/>
        <w:numPr>
          <w:ilvl w:val="0"/>
          <w:numId w:val="2"/>
        </w:numPr>
        <w:spacing w:after="90"/>
      </w:pPr>
      <w:r>
        <w:rPr>
          <w:rFonts w:ascii="Calibri" w:cs="Calibri" w:eastAsia="Calibri" w:hAnsi="Calibri"/>
          <w:sz w:val="22"/>
          <w:szCs w:val="22"/>
        </w:rPr>
        <w:t xml:space="preserve">Dispositivo: o dispositivo é movido de volta a um estado equivalente ao guest — o túnel WireGuard é derrubado e nenhum módulo aceita novas sessões, mesmo que o processo continue rodando na máquina.</w:t>
      </w:r>
    </w:p>
    <w:p>
      <w:pPr>
        <w:pStyle w:val="ListParagraph"/>
        <w:numPr>
          <w:ilvl w:val="0"/>
          <w:numId w:val="2"/>
        </w:numPr>
        <w:spacing w:after="90"/>
      </w:pPr>
      <w:r>
        <w:rPr>
          <w:rFonts w:ascii="Calibri" w:cs="Calibri" w:eastAsia="Calibri" w:hAnsi="Calibri"/>
          <w:sz w:val="22"/>
          <w:szCs w:val="22"/>
        </w:rPr>
        <w:t xml:space="preserve">Rede/Loja: todos os dispositivos daquela rede são suspensos simultaneamente — útil para encerrar contrato com uma loja específica sem afetar as demais da mesma franquia.</w:t>
      </w:r>
    </w:p>
    <w:p>
      <w:pPr>
        <w:pStyle w:val="ListParagraph"/>
        <w:numPr>
          <w:ilvl w:val="0"/>
          <w:numId w:val="2"/>
        </w:numPr>
        <w:spacing w:after="90"/>
      </w:pPr>
      <w:r>
        <w:rPr>
          <w:rFonts w:ascii="Calibri" w:cs="Calibri" w:eastAsia="Calibri" w:hAnsi="Calibri"/>
          <w:sz w:val="22"/>
          <w:szCs w:val="22"/>
        </w:rPr>
        <w:t xml:space="preserve">Organização: suspende em cascata todas as redes e dispositivos daquela franquia — usado em encerramento de contrato ou inadimplência do cliente como um todo.</w:t>
      </w:r>
    </w:p>
    <w:p>
      <w:pPr>
        <w:spacing w:after="160" w:line="276"/>
      </w:pPr>
      <w:r>
        <w:rPr>
          <w:rFonts w:ascii="Calibri" w:cs="Calibri" w:eastAsia="Calibri" w:hAnsi="Calibri"/>
          <w:sz w:val="22"/>
          <w:szCs w:val="22"/>
        </w:rPr>
        <w:t xml:space="preserve">Toda ação de desligamento é registrada em log de auditoria (quem desligou, o quê, quando) — a mesma tabela de sessões/auditoria descrita na Seção 11, estendida para cobrir eventos administrativos, não apenas sessões técnicas.</w:t>
      </w:r>
    </w:p>
    <w:p>
      <w:pPr>
        <w:pStyle w:val="Heading1"/>
        <w:spacing w:after="200" w:before="400"/>
      </w:pPr>
      <w:r>
        <w:t xml:space="preserve">4. Arquitetura Geral do Sistema</w:t>
      </w:r>
    </w:p>
    <w:p>
      <w:pPr>
        <w:spacing w:after="160" w:line="276"/>
      </w:pPr>
      <w:r>
        <w:rPr>
          <w:rFonts w:ascii="Calibri" w:cs="Calibri" w:eastAsia="Calibri" w:hAnsi="Calibri"/>
          <w:sz w:val="22"/>
          <w:szCs w:val="22"/>
        </w:rPr>
        <w:t xml:space="preserve">O sistema é composto por três atores — já definidos no escopo — que se comunicam por dois planos de rede distintos: um plano de controle (API HTTPS/WebSocket para autenticação, presença, comandos e telemetria) e um plano de dados (túnel WireGuard, para tela remota, USB/IP e tráfego de LAN virtual).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500"/>
      </w:tblGrid>
      <w:tr>
        <w:trPr>
          <w:tblHeader/>
        </w:trPr>
        <w:tc>
          <w:tcPr>
            <w:tcW w:type="dxa" w:w="2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Camada</w:t>
            </w:r>
          </w:p>
        </w:tc>
        <w:tc>
          <w:tcPr>
            <w:tcW w:type="dxa" w:w="33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Componente</w:t>
            </w:r>
          </w:p>
        </w:tc>
        <w:tc>
          <w:tcPr>
            <w:tcW w:type="dxa" w:w="35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Função</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Controle</w:t>
            </w:r>
          </w:p>
        </w:tc>
        <w:tc>
          <w:tcPr>
            <w:tcW w:type="dxa" w:w="33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 Central (REST + WebSocket)</w:t>
            </w:r>
          </w:p>
        </w:tc>
        <w:tc>
          <w:tcPr>
            <w:tcW w:type="dxa" w:w="35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Autenticação, CRUD de grupos/dispositivos, presença em tempo real, disparo de comandos (WoL, autorizações)</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Controle</w:t>
            </w:r>
          </w:p>
        </w:tc>
        <w:tc>
          <w:tcPr>
            <w:tcW w:type="dxa" w:w="33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Banco de Dados (PostgreSQL)</w:t>
            </w:r>
          </w:p>
        </w:tc>
        <w:tc>
          <w:tcPr>
            <w:tcW w:type="dxa" w:w="3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Persistência de usuários técnicos, dispositivos, grupos, sessões, histórico de telemetria e alertas</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Controle</w:t>
            </w:r>
          </w:p>
        </w:tc>
        <w:tc>
          <w:tcPr>
            <w:tcW w:type="dxa" w:w="33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Cache/Pub-Sub (Redis)</w:t>
            </w:r>
          </w:p>
        </w:tc>
        <w:tc>
          <w:tcPr>
            <w:tcW w:type="dxa" w:w="35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Estado de presença online/offline em tempo real, filas de eventos entre serviços</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Dados</w:t>
            </w:r>
          </w:p>
        </w:tc>
        <w:tc>
          <w:tcPr>
            <w:tcW w:type="dxa" w:w="33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Rendezvous/Sinalização (baseado em hbbs)</w:t>
            </w:r>
          </w:p>
        </w:tc>
        <w:tc>
          <w:tcPr>
            <w:tcW w:type="dxa" w:w="3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Handshake inicial, NAT traversal, troca de chaves públicas WireGuard</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Dados</w:t>
            </w:r>
          </w:p>
        </w:tc>
        <w:tc>
          <w:tcPr>
            <w:tcW w:type="dxa" w:w="33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Relay/TURN (baseado em hbbr)</w:t>
            </w:r>
          </w:p>
        </w:tc>
        <w:tc>
          <w:tcPr>
            <w:tcW w:type="dxa" w:w="35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Retransmissão de tráfego quando P2P direto falha (NAT simétrico, firewalls restritivos)</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Plano de Dados</w:t>
            </w:r>
          </w:p>
        </w:tc>
        <w:tc>
          <w:tcPr>
            <w:tcW w:type="dxa" w:w="33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Túnel WireGuard (mesh)</w:t>
            </w:r>
          </w:p>
        </w:tc>
        <w:tc>
          <w:tcPr>
            <w:tcW w:type="dxa" w:w="35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LAN virtual por grupo/loja, todo tráfego de tela remota, USB/IP e telemetria trafega dentro dele</w:t>
            </w:r>
          </w:p>
        </w:tc>
      </w:tr>
    </w:tbl>
    <w:p>
      <w:pPr>
        <w:spacing w:after="160" w:line="276"/>
      </w:pPr>
      <w:r>
        <w:rPr>
          <w:rFonts w:ascii="Calibri" w:cs="Calibri" w:eastAsia="Calibri" w:hAnsi="Calibri"/>
          <w:sz w:val="22"/>
          <w:szCs w:val="22"/>
        </w:rPr>
        <w:t xml:space="preserve">Do ponto de vista de implantação, todo o plano de controle e sinalização roda em contêineres Docker no servidor central (docker-compose orquestrando API, banco, cache, sinalização e relay). Os clientes (Host e Técnico) são executáveis nativos Windows que embarcam os quatro agentes (VPN, remoto, USB/IP, telemetria) como serviços do Windows, controlados por uma UI em primeiro plano.</w:t>
      </w:r>
    </w:p>
    <w:p>
      <w:r>
        <w:br w:type="page"/>
      </w:r>
    </w:p>
    <w:p>
      <w:pPr>
        <w:pStyle w:val="Heading1"/>
        <w:spacing w:after="200" w:before="400"/>
      </w:pPr>
      <w:r>
        <w:t xml:space="preserve">5. Servidor Central (Docker)</w:t>
      </w:r>
    </w:p>
    <w:p>
      <w:pPr>
        <w:spacing w:after="160" w:line="276"/>
      </w:pPr>
      <w:r>
        <w:rPr>
          <w:rFonts w:ascii="Calibri" w:cs="Calibri" w:eastAsia="Calibri" w:hAnsi="Calibri"/>
          <w:sz w:val="22"/>
          <w:szCs w:val="22"/>
        </w:rPr>
        <w:t xml:space="preserve">O servidor é distribuído como um conjunto de imagens Docker orquestradas via docker-compose, permitindo deploy em qualquer VPS Linux com um único comando. Os serviços propostos:</w:t>
      </w:r>
    </w:p>
    <w:p>
      <w:pPr>
        <w:pStyle w:val="ListParagraph"/>
        <w:numPr>
          <w:ilvl w:val="0"/>
          <w:numId w:val="2"/>
        </w:numPr>
        <w:spacing w:after="90"/>
      </w:pPr>
      <w:r>
        <w:rPr>
          <w:rFonts w:ascii="Calibri" w:cs="Calibri" w:eastAsia="Calibri" w:hAnsi="Calibri"/>
          <w:sz w:val="22"/>
          <w:szCs w:val="22"/>
        </w:rPr>
        <w:t xml:space="preserve">api-core: serviço Go (ou Node/TS) que expõe a API REST/WebSocket, gerencia autenticação JWT, RBAC de técnicos, CRUD de grupos e dispositivos, e orquestra o estado de presença (Online/WoL Disponível/Offline).</w:t>
      </w:r>
    </w:p>
    <w:p>
      <w:pPr>
        <w:pStyle w:val="ListParagraph"/>
        <w:numPr>
          <w:ilvl w:val="0"/>
          <w:numId w:val="2"/>
        </w:numPr>
        <w:spacing w:after="90"/>
      </w:pPr>
      <w:r>
        <w:rPr>
          <w:rFonts w:ascii="Calibri" w:cs="Calibri" w:eastAsia="Calibri" w:hAnsi="Calibri"/>
          <w:sz w:val="22"/>
          <w:szCs w:val="22"/>
        </w:rPr>
        <w:t xml:space="preserve">wg-orchestrator: serviço responsável por gerar/atribuir IPs virtuais por grupo (lógica inspirada no Hamachi: cada grupo é uma sub-rede virtual isolada), registrar chaves públicas WireGuard enviadas pelos clientes e distribuir a configuração de peers dinamicamente.</w:t>
      </w:r>
    </w:p>
    <w:p>
      <w:pPr>
        <w:pStyle w:val="ListParagraph"/>
        <w:numPr>
          <w:ilvl w:val="0"/>
          <w:numId w:val="2"/>
        </w:numPr>
        <w:spacing w:after="90"/>
      </w:pPr>
      <w:r>
        <w:rPr>
          <w:rFonts w:ascii="Calibri" w:cs="Calibri" w:eastAsia="Calibri" w:hAnsi="Calibri"/>
          <w:sz w:val="22"/>
          <w:szCs w:val="22"/>
        </w:rPr>
        <w:t xml:space="preserve">rendezvous (hbbs adaptado): sinalização e handshake para as sessões de acesso remoto, usando o mesmo túnel WireGuard como transporte sempre que possível.</w:t>
      </w:r>
    </w:p>
    <w:p>
      <w:pPr>
        <w:pStyle w:val="ListParagraph"/>
        <w:numPr>
          <w:ilvl w:val="0"/>
          <w:numId w:val="2"/>
        </w:numPr>
        <w:spacing w:after="90"/>
      </w:pPr>
      <w:r>
        <w:rPr>
          <w:rFonts w:ascii="Calibri" w:cs="Calibri" w:eastAsia="Calibri" w:hAnsi="Calibri"/>
          <w:sz w:val="22"/>
          <w:szCs w:val="22"/>
        </w:rPr>
        <w:t xml:space="preserve">relay (hbbr adaptado): fallback de retransmissão de tela/dados quando o túnel direto não é viável.</w:t>
      </w:r>
    </w:p>
    <w:p>
      <w:pPr>
        <w:pStyle w:val="ListParagraph"/>
        <w:numPr>
          <w:ilvl w:val="0"/>
          <w:numId w:val="2"/>
        </w:numPr>
        <w:spacing w:after="90"/>
      </w:pPr>
      <w:r>
        <w:rPr>
          <w:rFonts w:ascii="Calibri" w:cs="Calibri" w:eastAsia="Calibri" w:hAnsi="Calibri"/>
          <w:sz w:val="22"/>
          <w:szCs w:val="22"/>
        </w:rPr>
        <w:t xml:space="preserve">postgres: banco relacional principal.</w:t>
      </w:r>
    </w:p>
    <w:p>
      <w:pPr>
        <w:pStyle w:val="ListParagraph"/>
        <w:numPr>
          <w:ilvl w:val="0"/>
          <w:numId w:val="2"/>
        </w:numPr>
        <w:spacing w:after="90"/>
      </w:pPr>
      <w:r>
        <w:rPr>
          <w:rFonts w:ascii="Calibri" w:cs="Calibri" w:eastAsia="Calibri" w:hAnsi="Calibri"/>
          <w:sz w:val="22"/>
          <w:szCs w:val="22"/>
        </w:rPr>
        <w:t xml:space="preserve">redis: presença em tempo real e pub/sub de eventos entre serviços.</w:t>
      </w:r>
    </w:p>
    <w:p>
      <w:pPr>
        <w:pStyle w:val="ListParagraph"/>
        <w:numPr>
          <w:ilvl w:val="0"/>
          <w:numId w:val="2"/>
        </w:numPr>
        <w:spacing w:after="90"/>
      </w:pPr>
      <w:r>
        <w:rPr>
          <w:rFonts w:ascii="Calibri" w:cs="Calibri" w:eastAsia="Calibri" w:hAnsi="Calibri"/>
          <w:sz w:val="22"/>
          <w:szCs w:val="22"/>
        </w:rPr>
        <w:t xml:space="preserve">(opcional) minio: armazenamento de gravações de sessão e logs de longo prazo.</w:t>
      </w:r>
    </w:p>
    <w:p>
      <w:pPr>
        <w:spacing w:after="160" w:line="276"/>
      </w:pPr>
      <w:r>
        <w:rPr>
          <w:rFonts w:ascii="Calibri" w:cs="Calibri" w:eastAsia="Calibri" w:hAnsi="Calibri"/>
          <w:sz w:val="22"/>
          <w:szCs w:val="22"/>
        </w:rPr>
        <w:t xml:space="preserve">A imagem api-core lê variáveis de ambiente no boot (arquivo .env do docker-compose) para autoconfigurar o sistema, incluindo o bootstrap de contas técnicas — detalhado na seção 8.</w:t>
      </w:r>
    </w:p>
    <w:p>
      <w:pPr>
        <w:pStyle w:val="Heading1"/>
        <w:spacing w:after="200" w:before="400"/>
      </w:pPr>
      <w:r>
        <w:t xml:space="preserve">6. Cliente Host (Máquina do Cliente Final)</w:t>
      </w:r>
    </w:p>
    <w:p>
      <w:pPr>
        <w:spacing w:after="160" w:line="276"/>
      </w:pPr>
      <w:r>
        <w:rPr>
          <w:rFonts w:ascii="Calibri" w:cs="Calibri" w:eastAsia="Calibri" w:hAnsi="Calibri"/>
          <w:sz w:val="22"/>
          <w:szCs w:val="22"/>
        </w:rPr>
        <w:t xml:space="preserve">Instalador único (.exe, baseado em Inno Setup ou NSIS) que replica a simplicidade do AnyDesk: o usuário final baixa e executa. A instalação por si só não ativa nenhuma função sensível — o dispositivo entra em estado guest e aguarda vinculação manual por um técnico autorizado (Seção 3.3). A tabela abaixo descreve o comportamento de cada módulo depois que o dispositivo já foi vinculado a uma Rede; a interface visível ao usuário Host permanece deliberadamente mínima em qualquer estado.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Módulo instalado</w:t>
            </w:r>
          </w:p>
        </w:tc>
        <w:tc>
          <w:tcPr>
            <w:tcW w:type="dxa" w:w="4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O que roda em segundo plano</w:t>
            </w:r>
          </w:p>
        </w:tc>
        <w:tc>
          <w:tcPr>
            <w:tcW w:type="dxa" w:w="3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O que o usuário Host vê</w:t>
            </w:r>
          </w:p>
        </w:tc>
      </w:tr>
      <w:tr>
        <w:tc>
          <w:tcPr>
            <w:tcW w:type="dxa" w:w="2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Rede/VPN</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Serviço Windows com wireguard-go + driver Wintun, conecta automaticamente ao grupo atribuído pelo servidor</w:t>
            </w:r>
          </w:p>
        </w:tc>
        <w:tc>
          <w:tcPr>
            <w:tcW w:type="dxa" w:w="3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Nada — conexão é transparente</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Acesso Remoto</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Agente baseado em RustDesk em modo servidor, aguardando conexão autorizada do técnico</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Notificação/overlay visual sempre que a tela está sendo acessada; botão para revogar a sessão</w:t>
            </w:r>
          </w:p>
        </w:tc>
      </w:tr>
      <w:tr>
        <w:tc>
          <w:tcPr>
            <w:tcW w:type="dxa" w:w="2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USB/IP</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Serviço com driver usbip em modo host (exporta dispositivos) e modo cliente (recebe montagens do técnico)</w:t>
            </w:r>
          </w:p>
        </w:tc>
        <w:tc>
          <w:tcPr>
            <w:tcW w:type="dxa" w:w="3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Lista simples de quais portas/dispositivos estão atualmente mapeados</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Telemetria</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Coletor baseado em System Informer (modo usuário; driver kernel opcional só se telemetria avançada for autorizada)</w:t>
            </w:r>
          </w:p>
        </w:tc>
        <w:tc>
          <w:tcPr>
            <w:tcW w:type="dxa" w:w="3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Indicador básico de saúde da máquina (CPU/disco/memória) e status de conexão</w:t>
            </w:r>
          </w:p>
        </w:tc>
      </w:tr>
      <w:tr>
        <w:tc>
          <w:tcPr>
            <w:tcW w:type="dxa" w:w="2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WoL/Presença</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Listener de Magic Packet e agente de broadcast local para atuar como Peer Proxy de vizinhos desligados</w:t>
            </w:r>
          </w:p>
        </w:tc>
        <w:tc>
          <w:tcPr>
            <w:tcW w:type="dxa" w:w="3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Nenhuma interface — funciona em segundo plano</w:t>
            </w:r>
          </w:p>
        </w:tc>
      </w:tr>
    </w:tbl>
    <w:p>
      <w:pPr>
        <w:spacing w:after="160" w:line="276"/>
      </w:pPr>
      <w:r>
        <w:rPr>
          <w:rFonts w:ascii="Calibri" w:cs="Calibri" w:eastAsia="Calibri" w:hAnsi="Calibri"/>
          <w:sz w:val="22"/>
          <w:szCs w:val="22"/>
        </w:rPr>
        <w:t xml:space="preserve">Princípio de segurança: qualquer sessão de tela, redirecionamento de USB ou coleta de telemetria avançada pode ser revogada pelo próprio usuário Host a qualquer momento, e toda tomada de controle gera notificação visível — não há acesso silencioso.</w:t>
      </w:r>
    </w:p>
    <w:p>
      <w:pPr>
        <w:pStyle w:val="Heading1"/>
        <w:spacing w:after="200" w:before="400"/>
      </w:pPr>
      <w:r>
        <w:t xml:space="preserve">7. Cliente Técnico (Painel do Operador)</w:t>
      </w:r>
    </w:p>
    <w:p>
      <w:pPr>
        <w:spacing w:after="160" w:line="276"/>
      </w:pPr>
      <w:r>
        <w:rPr>
          <w:rFonts w:ascii="Calibri" w:cs="Calibri" w:eastAsia="Calibri" w:hAnsi="Calibri"/>
          <w:sz w:val="22"/>
          <w:szCs w:val="22"/>
        </w:rPr>
        <w:t xml:space="preserve">Mesmo instalador base do Host, mas o primeiro login exige autenticação contra a API central com uma conta técnica previamente provisionada pelo administrador do servidor (seção 8). Após o login, a aplicação desbloqueia o Hub Unificado com:</w:t>
      </w:r>
    </w:p>
    <w:p>
      <w:pPr>
        <w:pStyle w:val="ListParagraph"/>
        <w:numPr>
          <w:ilvl w:val="0"/>
          <w:numId w:val="2"/>
        </w:numPr>
        <w:spacing w:after="90"/>
      </w:pPr>
      <w:r>
        <w:rPr>
          <w:rFonts w:ascii="Calibri" w:cs="Calibri" w:eastAsia="Calibri" w:hAnsi="Calibri"/>
          <w:sz w:val="22"/>
          <w:szCs w:val="22"/>
        </w:rPr>
        <w:t xml:space="preserve">Árvore de dispositivos agrupados por loja/sub-rede, com os três estados de presença (Online / Desligada-WoL / Offline) atualizados em tempo real via WebSocket/Redis pub-sub.</w:t>
      </w:r>
    </w:p>
    <w:p>
      <w:pPr>
        <w:pStyle w:val="ListParagraph"/>
        <w:numPr>
          <w:ilvl w:val="0"/>
          <w:numId w:val="2"/>
        </w:numPr>
        <w:spacing w:after="90"/>
      </w:pPr>
      <w:r>
        <w:rPr>
          <w:rFonts w:ascii="Calibri" w:cs="Calibri" w:eastAsia="Calibri" w:hAnsi="Calibri"/>
          <w:sz w:val="22"/>
          <w:szCs w:val="22"/>
        </w:rPr>
        <w:t xml:space="preserve">Visualizador de sessão remota (cliente RustDesk adaptado), com controle de tela/mouse/teclado de baixa latência.</w:t>
      </w:r>
    </w:p>
    <w:p>
      <w:pPr>
        <w:pStyle w:val="ListParagraph"/>
        <w:numPr>
          <w:ilvl w:val="0"/>
          <w:numId w:val="2"/>
        </w:numPr>
        <w:spacing w:after="90"/>
      </w:pPr>
      <w:r>
        <w:rPr>
          <w:rFonts w:ascii="Calibri" w:cs="Calibri" w:eastAsia="Calibri" w:hAnsi="Calibri"/>
          <w:sz w:val="22"/>
          <w:szCs w:val="22"/>
        </w:rPr>
        <w:t xml:space="preserve">Gerenciador USB/IP bidirecional: montar dispositivos do Host localmente (usbip attach) e expor dispositivos locais do técnico para o Host sob demanda.</w:t>
      </w:r>
    </w:p>
    <w:p>
      <w:pPr>
        <w:pStyle w:val="ListParagraph"/>
        <w:numPr>
          <w:ilvl w:val="0"/>
          <w:numId w:val="2"/>
        </w:numPr>
        <w:spacing w:after="90"/>
      </w:pPr>
      <w:r>
        <w:rPr>
          <w:rFonts w:ascii="Calibri" w:cs="Calibri" w:eastAsia="Calibri" w:hAnsi="Calibri"/>
          <w:sz w:val="22"/>
          <w:szCs w:val="22"/>
        </w:rPr>
        <w:t xml:space="preserve">Painel de telemetria avançada (CPU, memória, SMART do disco, temperatura, processos) com histórico e alertas preventivos.</w:t>
      </w:r>
    </w:p>
    <w:p>
      <w:pPr>
        <w:pStyle w:val="ListParagraph"/>
        <w:numPr>
          <w:ilvl w:val="0"/>
          <w:numId w:val="2"/>
        </w:numPr>
        <w:spacing w:after="90"/>
      </w:pPr>
      <w:r>
        <w:rPr>
          <w:rFonts w:ascii="Calibri" w:cs="Calibri" w:eastAsia="Calibri" w:hAnsi="Calibri"/>
          <w:sz w:val="22"/>
          <w:szCs w:val="22"/>
        </w:rPr>
        <w:t xml:space="preserve">Botão de ação "Ligar" para máquinas em estado Desligada (WoL Disponível), disparando o comando de WoL delegado a um peer proxy.</w:t>
      </w:r>
    </w:p>
    <w:p>
      <w:pPr>
        <w:spacing w:after="160" w:line="276"/>
      </w:pPr>
      <w:r>
        <w:rPr>
          <w:rFonts w:ascii="Calibri" w:cs="Calibri" w:eastAsia="Calibri" w:hAnsi="Calibri"/>
          <w:sz w:val="22"/>
          <w:szCs w:val="22"/>
        </w:rPr>
        <w:t xml:space="preserve">O acesso é sempre por conta nomeada (não há login genérico), permitindo auditoria de qual técnico acessou qual máquina e quando — requisito importante para responsabilização e trilha de auditoria.</w:t>
      </w:r>
    </w:p>
    <w:p>
      <w:r>
        <w:br w:type="page"/>
      </w:r>
    </w:p>
    <w:p>
      <w:pPr>
        <w:pStyle w:val="Heading1"/>
        <w:spacing w:after="200" w:before="400"/>
      </w:pPr>
      <w:r>
        <w:t xml:space="preserve">8. Os 5 Módulos — Lógica e Mapeamento às Bases de Código</w:t>
      </w:r>
    </w:p>
    <w:p>
      <w:pPr>
        <w:pStyle w:val="Heading2"/>
        <w:spacing w:after="150" w:before="300"/>
      </w:pPr>
      <w:r>
        <w:t xml:space="preserve">A) Módulo de Rede Mesh &amp; Grupos</w:t>
      </w:r>
    </w:p>
    <w:p>
      <w:pPr>
        <w:spacing w:after="160" w:line="276"/>
      </w:pPr>
      <w:r>
        <w:rPr>
          <w:rFonts w:ascii="Calibri" w:cs="Calibri" w:eastAsia="Calibri" w:hAnsi="Calibri"/>
          <w:sz w:val="22"/>
          <w:szCs w:val="22"/>
        </w:rPr>
        <w:t xml:space="preserve">Inspiração de produto: Hamachi. Cada grupo lógico (loja, filial, suporte interno) é uma sub-rede virtual isolada. O wg-orchestrator no servidor atua como o "cloud controller" do Hamachi: quando um dispositivo entra em um grupo, o servidor gera/recebe a chave pública WireGuard, atribui um IP virtual dentro do intervalo do grupo e distribui a lista de peers (allowed-ips) para todos os membros. A implementação usa wireguard-go em modo userspace com o driver Wintun para a interface de rede em Windows — essa é exatamente a combinação usada pelo wireguard-windows oficial.</w:t>
      </w:r>
    </w:p>
    <w:p>
      <w:pPr>
        <w:pStyle w:val="Heading2"/>
        <w:spacing w:after="150" w:before="300"/>
      </w:pPr>
      <w:r>
        <w:t xml:space="preserve">B) Módulo de Acesso e Controle Remoto</w:t>
      </w:r>
    </w:p>
    <w:p>
      <w:pPr>
        <w:spacing w:after="160" w:line="276"/>
      </w:pPr>
      <w:r>
        <w:rPr>
          <w:rFonts w:ascii="Calibri" w:cs="Calibri" w:eastAsia="Calibri" w:hAnsi="Calibri"/>
          <w:sz w:val="22"/>
          <w:szCs w:val="22"/>
        </w:rPr>
        <w:t xml:space="preserve">Base: núcleo do RustDesk (captura de tela, codecs de vídeo de baixa latência, input injection, e o par hbbs/hbbr para sinalização e relay). O agente Host roda o lado "servidor" da sessão; o cliente Técnico roda o lado "visualizador". Diferente do produto original, a sinalização deixa de depender dos servidores públicos do RustDesk e passa a usar o rendezvous do TGDesk, autenticado pela mesma sessão da API central.</w:t>
      </w:r>
    </w:p>
    <w:p>
      <w:pPr>
        <w:pStyle w:val="Heading2"/>
        <w:spacing w:after="150" w:before="300"/>
      </w:pPr>
      <w:r>
        <w:t xml:space="preserve">C) Módulo USB over IP (Bidirecional)</w:t>
      </w:r>
    </w:p>
    <w:p>
      <w:pPr>
        <w:spacing w:after="160" w:line="276"/>
      </w:pPr>
      <w:r>
        <w:rPr>
          <w:rFonts w:ascii="Calibri" w:cs="Calibri" w:eastAsia="Calibri" w:hAnsi="Calibri"/>
          <w:sz w:val="22"/>
          <w:szCs w:val="22"/>
        </w:rPr>
        <w:t xml:space="preserve">Base: usbip-win/usbipd-win, que implementa o protocolo USB/IP sobre um driver KMDF em Windows. Gestão exclusiva do técnico: no sentido Host → Técnico, o agente Host expõe seus dispositivos USB locais via usbipd, e o cliente Técnico executa o attach remoto. No sentido Técnico → Host, o papel se inverte — o técnico compartilha um dispositivo local e o Host o monta virtualmente. O Host nunca inicia uma montagem sozinho; ele apenas visualiza e pode revogar o que está ativo.</w:t>
      </w:r>
    </w:p>
    <w:p>
      <w:pPr>
        <w:pStyle w:val="Heading2"/>
        <w:spacing w:after="150" w:before="300"/>
      </w:pPr>
      <w:r>
        <w:t xml:space="preserve">D) Módulo de Diagnóstico, Alertas e Telemetria</w:t>
      </w:r>
    </w:p>
    <w:p>
      <w:pPr>
        <w:spacing w:after="160" w:line="276"/>
      </w:pPr>
      <w:r>
        <w:rPr>
          <w:rFonts w:ascii="Calibri" w:cs="Calibri" w:eastAsia="Calibri" w:hAnsi="Calibri"/>
          <w:sz w:val="22"/>
          <w:szCs w:val="22"/>
        </w:rPr>
        <w:t xml:space="preserve">Base: System Informer (lógica de coleta de phlib e, quando necessário, o driver KSystemInformer.sys para métricas de kernel como I/O por processo e SMART). Como o projeto é MIT, esta é a base com menor risco de licenciamento e pode ser adaptada livremente. O coletor roda como serviço leve no Host, envia métricas periódicas por WebSocket para a API central, que persiste histórico no PostgreSQL e dispara alertas (disco cheio, temperatura alta, processo travado) para o painel do técnico.</w:t>
      </w:r>
    </w:p>
    <w:p>
      <w:pPr>
        <w:pStyle w:val="Heading2"/>
        <w:spacing w:after="150" w:before="300"/>
      </w:pPr>
      <w:r>
        <w:t xml:space="preserve">E) Módulo de Diagnóstico de Presença &amp; Wake-on-LAN</w:t>
      </w:r>
    </w:p>
    <w:p>
      <w:pPr>
        <w:spacing w:after="160" w:line="276"/>
      </w:pPr>
      <w:r>
        <w:rPr>
          <w:rFonts w:ascii="Calibri" w:cs="Calibri" w:eastAsia="Calibri" w:hAnsi="Calibri"/>
          <w:sz w:val="22"/>
          <w:szCs w:val="22"/>
        </w:rPr>
        <w:t xml:space="preserve">Lógica própria do TGDesk, construída sobre os dados dos outros módulos: o agente Host, mesmo com a máquina prestes a desligar, mantém visibilidade de outros peers na mesma sub-rede local (via broadcast ARP/mDNS). Ao desligar, o último estado conhecido informa ao servidor quais vizinhos permanecem aptos a atuar como Peer Proxy. Quando o técnico solicita "Ligar", o servidor delega o envio do Magic Packet a um desses vizinhos (ou a um gateway com suporte a Directed Broadcast/vPro, se disponível). Sem nenhum peer disponível, o painel classifica a máquina como Offline e sinaliza falha de infraestrutura local.</w:t>
      </w:r>
    </w:p>
    <w:p>
      <w:r>
        <w:br w:type="page"/>
      </w:r>
    </w:p>
    <w:p>
      <w:pPr>
        <w:pStyle w:val="Heading1"/>
        <w:spacing w:after="200" w:before="400"/>
      </w:pPr>
      <w:r>
        <w:t xml:space="preserve">9. Instalação e Provisionamento de Contas Técnicas</w:t>
      </w:r>
    </w:p>
    <w:p>
      <w:pPr>
        <w:pStyle w:val="Heading2"/>
        <w:spacing w:after="150" w:before="300"/>
      </w:pPr>
      <w:r>
        <w:t xml:space="preserve">9.1 Cliente Host</w:t>
      </w:r>
    </w:p>
    <w:p>
      <w:pPr>
        <w:spacing w:after="160" w:line="276"/>
      </w:pPr>
      <w:r>
        <w:rPr>
          <w:rFonts w:ascii="Calibri" w:cs="Calibri" w:eastAsia="Calibri" w:hAnsi="Calibri"/>
          <w:sz w:val="22"/>
          <w:szCs w:val="22"/>
        </w:rPr>
        <w:t xml:space="preserve">Fluxo de instalação sem intervenção técnica: baixar o instalador, executar (UAC/elevação para instalar os serviços) e pronto — o agente entra em estado guest (Seção 3.3) e exibe um código de pareamento na tela. Nenhuma funcionalidade sensível é ativada nesse momento. A ativação completa (vínculo a uma Organização e Rede específicas) só acontece quando um técnico autorizado realiza o primeiro acesso a partir do Hub, conforme descrito na Seção 3.3.</w:t>
      </w:r>
    </w:p>
    <w:p>
      <w:pPr>
        <w:pStyle w:val="Heading2"/>
        <w:spacing w:after="150" w:before="300"/>
      </w:pPr>
      <w:r>
        <w:t xml:space="preserve">9.2 Cliente Técnico</w:t>
      </w:r>
    </w:p>
    <w:p>
      <w:pPr>
        <w:spacing w:after="160" w:line="276"/>
      </w:pPr>
      <w:r>
        <w:rPr>
          <w:rFonts w:ascii="Calibri" w:cs="Calibri" w:eastAsia="Calibri" w:hAnsi="Calibri"/>
          <w:sz w:val="22"/>
          <w:szCs w:val="22"/>
        </w:rPr>
        <w:t xml:space="preserve">O mesmo instalador é usado, mas a aplicação só libera o Hub após autenticação bem-sucedida contra a API central. Não existe cadastro de conta técnica pela própria aplicação — isso é deliberado, para manter o controle de quem pode operar como técnico inteiramente do lado do Super Admin. Após o login, o técnico só enxerga as Organizações/Redes atribuídas a ele (Seção 3.1).</w:t>
      </w:r>
    </w:p>
    <w:p>
      <w:pPr>
        <w:pStyle w:val="Heading2"/>
        <w:spacing w:after="150" w:before="300"/>
      </w:pPr>
      <w:r>
        <w:t xml:space="preserve">9.3 Bootstrap de contas via .env no container</w:t>
      </w:r>
    </w:p>
    <w:p>
      <w:pPr>
        <w:spacing w:after="160" w:line="276"/>
      </w:pPr>
      <w:r>
        <w:rPr>
          <w:rFonts w:ascii="Calibri" w:cs="Calibri" w:eastAsia="Calibri" w:hAnsi="Calibri"/>
          <w:sz w:val="22"/>
          <w:szCs w:val="22"/>
        </w:rPr>
        <w:t xml:space="preserve">Ao subir o docker-compose pela primeira vez (ou reiniciar com novas variáveis), o serviço api-core lê uma lista de contas técnicas definida no .env e realiza o seed no banco, criando ou atualizando os usuários com senha hasheada (bcrypt/argon2). Isso evita a necessidade de uma tela de admin separada na fase inicial do produto.</w:t>
      </w:r>
    </w:p>
    <w:p>
      <w:pPr>
        <w:spacing w:after="160"/>
      </w:pPr>
      <w:r>
        <w:rPr>
          <w:rFonts w:ascii="Consolas" w:cs="Consolas" w:eastAsia="Consolas" w:hAnsi="Consolas"/>
          <w:sz w:val="20"/>
          <w:szCs w:val="20"/>
        </w:rPr>
        <w:t xml:space="preserve">TECH_USERS=joao:senhaForte123:admin,maria:outraSenha456:tecnico,suporte01:senha789:tecnico</w:t>
      </w:r>
    </w:p>
    <w:p>
      <w:pPr>
        <w:spacing w:after="160" w:line="276"/>
      </w:pPr>
      <w:r>
        <w:rPr>
          <w:rFonts w:ascii="Calibri" w:cs="Calibri" w:eastAsia="Calibri" w:hAnsi="Calibri"/>
          <w:sz w:val="22"/>
          <w:szCs w:val="22"/>
        </w:rPr>
        <w:t xml:space="preserve">Formato sugerido: usuário:senha:papel, separados por vírgula, onde papel é super_admin ou tecnico. Contas super_admin nascem com acesso irrestrito a todas as Organizações/Redes; contas tecnico nascem sem nenhuma atribuição e precisam ser vinculadas a Organizações/Redes específicas pelo Super Admin, seja via nova entrada no .env (TECH_ASSIGN=tecnico01:OrgXYZ, tecnico01:OrgXYZ-LojaCentro) seja posteriormente pela tela de gestão do Hub. O script de seed roda de forma idempotente — não duplica nem sobrescreve senha já alterada pelo próprio técnico via troca posterior, a menos que uma flag FORCE_RESEED=true seja usada. Esse mecanismo é adequado para o MVP; a evolução natural é uma tela de gestão de usuários e atribuições dentro do próprio Hub, para não depender de reiniciar o contêiner a cada novo técnico contratado ou a cada nova loja aberta.</w:t>
      </w:r>
    </w:p>
    <w:p>
      <w:pPr>
        <w:pStyle w:val="Heading1"/>
        <w:spacing w:after="200" w:before="400"/>
      </w:pPr>
      <w:r>
        <w:t xml:space="preserve">10. Modelo de Dados (Visão de Alto Nível)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Entidade</w:t>
            </w:r>
          </w:p>
        </w:tc>
        <w:tc>
          <w:tcPr>
            <w:tcW w:type="dxa" w:w="4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Campos-chave</w:t>
            </w:r>
          </w:p>
        </w:tc>
        <w:tc>
          <w:tcPr>
            <w:tcW w:type="dxa" w:w="3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Observação</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organizations</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nome, status (ativa/suspensa), criado_em</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Franquia/cliente — fronteira administrativa que agrupa redes</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networks</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organization_id, nome, cidr_virtual, status (ativa/suspensa)</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Cada loja é uma Rede com seu próprio intervalo de IP virtual WireGuard, isolada das demais mesmo dentro da mesma organização</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devices</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network_id (nulo até vinculação), hostname, mac, wg_pubkey, papel (host/tecnico), estado (guest/ativo/suspenso), pairing_code</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Nasce em estado guest sem network_id; só recebe túnel/telemetria após vínculo manual pelo técnico</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technicians</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usuario, senha_hash, papel (super_admin/tecnico), criado_via_env (bool), status (ativo/suspenso)</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technician_assignments</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technician_id, organization_id (nulo se escopo é só a rede), network_id (nulo se escopo é a organização inteira)</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Relação muitos-para-muitos que define o que cada técnico enxerga; ausente para super_admin, que não precisa de escopo</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sessions</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device_id, technician_id, tipo (tela/usb), inicio, fim</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Trilha de auditoria de todo acesso remoto e montagem USB</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admin_actions</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actor_id, tipo (kill_switch_tecnico/rede/dispositivo/organizacao, vinculação), alvo_id, timestamp</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Auditoria de ações administrativas do Super Admin, incluindo todo desligamento manual</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telemetry_snapshots</w:t>
            </w:r>
          </w:p>
        </w:tc>
        <w:tc>
          <w:tcPr>
            <w:tcW w:type="dxa" w:w="4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device_id, cpu, mem, disco, temp, coletado_em</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Séries temporais; particionar por device_id + data para performance</w:t>
            </w:r>
          </w:p>
        </w:tc>
      </w:tr>
      <w:tr>
        <w:tc>
          <w:tcPr>
            <w:tcW w:type="dxa" w:w="2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alerts</w:t>
            </w:r>
          </w:p>
        </w:tc>
        <w:tc>
          <w:tcPr>
            <w:tcW w:type="dxa" w:w="42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 device_id, tipo, severidade, mensagem, resolvido</w:t>
            </w:r>
          </w:p>
        </w:tc>
        <w:tc>
          <w:tcPr>
            <w:tcW w:type="dxa" w:w="3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Disparados por regras sobre telemetry_snapshots (ex.: disco &gt; 90%)</w:t>
            </w:r>
          </w:p>
        </w:tc>
      </w:tr>
    </w:tbl>
    <w:p>
      <w:r>
        <w:br w:type="page"/>
      </w:r>
    </w:p>
    <w:p>
      <w:pPr>
        <w:pStyle w:val="Heading1"/>
        <w:spacing w:after="200" w:before="400"/>
      </w:pPr>
      <w:r>
        <w:t xml:space="preserve">11. Ciclo de Vida Operacional</w:t>
      </w:r>
    </w:p>
    <w:p>
      <w:pPr>
        <w:spacing w:after="160" w:line="276"/>
      </w:pPr>
      <w:r>
        <w:rPr>
          <w:rFonts w:ascii="Calibri" w:cs="Calibri" w:eastAsia="Calibri" w:hAnsi="Calibri"/>
          <w:sz w:val="22"/>
          <w:szCs w:val="22"/>
        </w:rPr>
        <w:t xml:space="preserve">O fluxo já definido no escopo permanece válido, com o estado guest e a vinculação manual da Seção 3.3 inseridos no início; abaixo, o mesmo fluxo com os componentes técnicos explícitos entre parênteses.</w:t>
      </w:r>
    </w:p>
    <w:p>
      <w:pPr>
        <w:pStyle w:val="ListParagraph"/>
        <w:numPr>
          <w:ilvl w:val="0"/>
          <w:numId w:val="2"/>
        </w:numPr>
        <w:spacing w:after="90"/>
      </w:pPr>
      <w:r>
        <w:rPr>
          <w:rFonts w:ascii="Calibri" w:cs="Calibri" w:eastAsia="Calibri" w:hAnsi="Calibri"/>
          <w:sz w:val="22"/>
          <w:szCs w:val="22"/>
        </w:rPr>
        <w:t xml:space="preserve">Instalação do Host: o agente entra em estado guest, exibe código de pareamento, sem túnel nem monitoramento ativos.</w:t>
      </w:r>
    </w:p>
    <w:p>
      <w:pPr>
        <w:pStyle w:val="ListParagraph"/>
        <w:numPr>
          <w:ilvl w:val="0"/>
          <w:numId w:val="2"/>
        </w:numPr>
        <w:spacing w:after="90"/>
      </w:pPr>
      <w:r>
        <w:rPr>
          <w:rFonts w:ascii="Calibri" w:cs="Calibri" w:eastAsia="Calibri" w:hAnsi="Calibri"/>
          <w:sz w:val="22"/>
          <w:szCs w:val="22"/>
        </w:rPr>
        <w:t xml:space="preserve">Primeiro acesso: um técnico com permissão sobre a Organização/Rede alvo insere o código no Hub e vincula o dispositivo — só então o servidor emite configuração WireGuard e libera os demais módulos.</w:t>
      </w:r>
    </w:p>
    <w:p>
      <w:pPr>
        <w:pStyle w:val="ListParagraph"/>
        <w:numPr>
          <w:ilvl w:val="0"/>
          <w:numId w:val="2"/>
        </w:numPr>
        <w:spacing w:after="90"/>
      </w:pPr>
      <w:r>
        <w:rPr>
          <w:rFonts w:ascii="Calibri" w:cs="Calibri" w:eastAsia="Calibri" w:hAnsi="Calibri"/>
          <w:sz w:val="22"/>
          <w:szCs w:val="22"/>
        </w:rPr>
        <w:t xml:space="preserve">Boot do Host (após vinculado): o agente TGDesk inicia com o Windows (serviço), registra MAC/IP local na API central (api-core) e estabelece o túnel WireGuard (wg-orchestrator + wireguard-go/Wintun).</w:t>
      </w:r>
    </w:p>
    <w:p>
      <w:pPr>
        <w:pStyle w:val="ListParagraph"/>
        <w:numPr>
          <w:ilvl w:val="0"/>
          <w:numId w:val="2"/>
        </w:numPr>
        <w:spacing w:after="90"/>
      </w:pPr>
      <w:r>
        <w:rPr>
          <w:rFonts w:ascii="Calibri" w:cs="Calibri" w:eastAsia="Calibri" w:hAnsi="Calibri"/>
          <w:sz w:val="22"/>
          <w:szCs w:val="22"/>
        </w:rPr>
        <w:t xml:space="preserve">Painel do Técnico: login contra a API, recebe via WebSocket o estado em tempo real apenas das Organizações/Redes atribuídas a ele (Redis pub-sub, filtrado por technician_assignments).</w:t>
      </w:r>
    </w:p>
    <w:p>
      <w:pPr>
        <w:pStyle w:val="ListParagraph"/>
        <w:numPr>
          <w:ilvl w:val="0"/>
          <w:numId w:val="2"/>
        </w:numPr>
        <w:spacing w:after="90"/>
      </w:pPr>
      <w:r>
        <w:rPr>
          <w:rFonts w:ascii="Calibri" w:cs="Calibri" w:eastAsia="Calibri" w:hAnsi="Calibri"/>
          <w:sz w:val="22"/>
          <w:szCs w:val="22"/>
        </w:rPr>
        <w:t xml:space="preserve">Atendimento — estado Online: sessão de tela (rendezvous/hbbs + agente RustDesk), redirecionamento USB (usbipd) e leitura de telemetria (coletor System Informer) ficam disponíveis diretamente no Hub.</w:t>
      </w:r>
    </w:p>
    <w:p>
      <w:pPr>
        <w:pStyle w:val="ListParagraph"/>
        <w:numPr>
          <w:ilvl w:val="0"/>
          <w:numId w:val="2"/>
        </w:numPr>
        <w:spacing w:after="90"/>
      </w:pPr>
      <w:r>
        <w:rPr>
          <w:rFonts w:ascii="Calibri" w:cs="Calibri" w:eastAsia="Calibri" w:hAnsi="Calibri"/>
          <w:sz w:val="22"/>
          <w:szCs w:val="22"/>
        </w:rPr>
        <w:t xml:space="preserve">Atendimento — estado Desligada (WoL Disponível): o técnico aciona "Ligar"; a API delega a um peer proxy do mesmo grupo o envio do Magic Packet.</w:t>
      </w:r>
    </w:p>
    <w:p>
      <w:pPr>
        <w:pStyle w:val="ListParagraph"/>
        <w:numPr>
          <w:ilvl w:val="0"/>
          <w:numId w:val="2"/>
        </w:numPr>
        <w:spacing w:after="90"/>
      </w:pPr>
      <w:r>
        <w:rPr>
          <w:rFonts w:ascii="Calibri" w:cs="Calibri" w:eastAsia="Calibri" w:hAnsi="Calibri"/>
          <w:sz w:val="22"/>
          <w:szCs w:val="22"/>
        </w:rPr>
        <w:t xml:space="preserve">Atendimento — estado Offline: painel sinaliza ausência de peer disponível — indicativo de falta de energia, cabo desconectado ou hardware sem suporte a WoL.</w:t>
      </w:r>
    </w:p>
    <w:p>
      <w:pPr>
        <w:pStyle w:val="Heading1"/>
        <w:spacing w:after="200" w:before="400"/>
      </w:pPr>
      <w:r>
        <w:t xml:space="preserve">12. Roadmap de Desenvolvimento</w:t>
      </w:r>
    </w:p>
    <w:p>
      <w:pPr>
        <w:spacing w:after="160" w:line="276"/>
      </w:pPr>
      <w:r>
        <w:rPr>
          <w:rFonts w:ascii="Calibri" w:cs="Calibri" w:eastAsia="Calibri" w:hAnsi="Calibri"/>
          <w:sz w:val="22"/>
          <w:szCs w:val="22"/>
        </w:rPr>
        <w:t xml:space="preserve">Proposta de faseamento incremental. O RBAC, a hierarquia Organização/Rede e o estado guest passam a fazer parte da Fase 0, pois são centrais ao modelo de negócio e não podem ser adicionados depois sem retrabalho — todo o resto do sistema depende dessas fronteiras de acesso.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00"/>
      </w:tblGrid>
      <w:tr>
        <w:trPr>
          <w:tblHeader/>
        </w:trPr>
        <w:tc>
          <w:tcPr>
            <w:tcW w:type="dxa" w:w="1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Fase</w:t>
            </w:r>
          </w:p>
        </w:tc>
        <w:tc>
          <w:tcPr>
            <w:tcW w:type="dxa" w:w="50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Entregável</w:t>
            </w:r>
          </w:p>
        </w:tc>
        <w:tc>
          <w:tcPr>
            <w:tcW w:type="dxa" w:w="2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Módulos envolvidos</w:t>
            </w:r>
          </w:p>
        </w:tc>
      </w:tr>
      <w:tr>
        <w:tc>
          <w:tcPr>
            <w:tcW w:type="dxa" w:w="1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 — Fundação</w:t>
            </w:r>
          </w:p>
        </w:tc>
        <w:tc>
          <w:tcPr>
            <w:tcW w:type="dxa" w:w="50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docker-compose com api-core, postgres, redis; esquema de banco com organizations/networks/technician_assignments; autenticação JWT; seed de super_admin e técnicos via .env; estado guest e fluxo de pareamento/vinculação</w:t>
            </w:r>
          </w:p>
        </w:tc>
        <w:tc>
          <w:tcPr>
            <w:tcW w:type="dxa" w:w="2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Servidor central + RBAC</w:t>
            </w:r>
          </w:p>
        </w:tc>
      </w:tr>
      <w:tr>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 — Rede</w:t>
            </w:r>
          </w:p>
        </w:tc>
        <w:tc>
          <w:tcPr>
            <w:tcW w:type="dxa" w:w="5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wg-orchestrator funcional (só emite config após vinculação); cliente Windows mínimo que conecta ao túnel e aparece Online no painel, restrito ao escopo do técnico logado</w:t>
            </w:r>
          </w:p>
        </w:tc>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Módulo A</w:t>
            </w:r>
          </w:p>
        </w:tc>
      </w:tr>
      <w:tr>
        <w:tc>
          <w:tcPr>
            <w:tcW w:type="dxa" w:w="1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 — Acesso Remoto</w:t>
            </w:r>
          </w:p>
        </w:tc>
        <w:tc>
          <w:tcPr>
            <w:tcW w:type="dxa" w:w="50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Integração do núcleo RustDesk (AGPL, publicado abertamente); sessão de tela Host↔Técnico dentro do túnel; notificação visual obrigatória no Host</w:t>
            </w:r>
          </w:p>
        </w:tc>
        <w:tc>
          <w:tcPr>
            <w:tcW w:type="dxa" w:w="2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Módulo B</w:t>
            </w:r>
          </w:p>
        </w:tc>
      </w:tr>
      <w:tr>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 — Presença &amp; WoL</w:t>
            </w:r>
          </w:p>
        </w:tc>
        <w:tc>
          <w:tcPr>
            <w:tcW w:type="dxa" w:w="5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Cálculo dos três estados (Online / Desligada-WoL / Offline); lógica de peer proxy; disparo de Magic Packet</w:t>
            </w:r>
          </w:p>
        </w:tc>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Módulo E</w:t>
            </w:r>
          </w:p>
        </w:tc>
      </w:tr>
      <w:tr>
        <w:tc>
          <w:tcPr>
            <w:tcW w:type="dxa" w:w="1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 — Telemetria</w:t>
            </w:r>
          </w:p>
        </w:tc>
        <w:tc>
          <w:tcPr>
            <w:tcW w:type="dxa" w:w="50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Coletor baseado em System Informer (modo usuário); dashboards e alertas no Hub</w:t>
            </w:r>
          </w:p>
        </w:tc>
        <w:tc>
          <w:tcPr>
            <w:tcW w:type="dxa" w:w="2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Módulo D</w:t>
            </w:r>
          </w:p>
        </w:tc>
      </w:tr>
      <w:tr>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 — USB/IP</w:t>
            </w:r>
          </w:p>
        </w:tc>
        <w:tc>
          <w:tcPr>
            <w:tcW w:type="dxa" w:w="5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Integração do driver usbip (GPL, publicado abertamente); fluxo bidirecional Host↔Técnico com aprovação explícita</w:t>
            </w:r>
          </w:p>
        </w:tc>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Módulo C</w:t>
            </w:r>
          </w:p>
        </w:tc>
      </w:tr>
      <w:tr>
        <w:tc>
          <w:tcPr>
            <w:tcW w:type="dxa" w:w="1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 — Kill-Switch &amp; Auditoria</w:t>
            </w:r>
          </w:p>
        </w:tc>
        <w:tc>
          <w:tcPr>
            <w:tcW w:type="dxa" w:w="50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Desligamento manual em 4 níveis (técnico/rede/dispositivo/organização) com efeito quase imediato via Redis; tela de auditoria (admin_actions) para o Super Admin</w:t>
            </w:r>
          </w:p>
        </w:tc>
        <w:tc>
          <w:tcPr>
            <w:tcW w:type="dxa" w:w="2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RBAC / Todos</w:t>
            </w:r>
          </w:p>
        </w:tc>
      </w:tr>
      <w:tr>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 — Hardening</w:t>
            </w:r>
          </w:p>
        </w:tc>
        <w:tc>
          <w:tcPr>
            <w:tcW w:type="dxa" w:w="5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Driver kernel assinado (telemetria avançada), revisão jurídica de licenciamento AGPL/GPL, testes de carga do túnel</w:t>
            </w:r>
          </w:p>
        </w:tc>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Todos</w:t>
            </w:r>
          </w:p>
        </w:tc>
      </w:tr>
      <w:tr>
        <w:tc>
          <w:tcPr>
            <w:tcW w:type="dxa" w:w="14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 — Beta Fechado</w:t>
            </w:r>
          </w:p>
        </w:tc>
        <w:tc>
          <w:tcPr>
            <w:tcW w:type="dxa" w:w="50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Piloto com 1–2 organizações/franquias reais (múltiplas lojas cada), validação end-to-end de RBAC e kill-switch</w:t>
            </w:r>
          </w:p>
        </w:tc>
        <w:tc>
          <w:tcPr>
            <w:tcW w:type="dxa" w:w="2600"/>
            <w:shd w:fill="FFFFFF"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Todos</w:t>
            </w:r>
          </w:p>
        </w:tc>
      </w:tr>
    </w:tbl>
    <w:p>
      <w:r>
        <w:br w:type="page"/>
      </w:r>
    </w:p>
    <w:p>
      <w:pPr>
        <w:pStyle w:val="Heading1"/>
        <w:spacing w:after="200" w:before="400"/>
      </w:pPr>
      <w:r>
        <w:t xml:space="preserve">13. Riscos e Decisões Pendentes</w:t>
      </w:r>
    </w:p>
    <w:p>
      <w:pPr>
        <w:pStyle w:val="ListParagraph"/>
        <w:numPr>
          <w:ilvl w:val="0"/>
          <w:numId w:val="2"/>
        </w:numPr>
        <w:spacing w:after="90"/>
      </w:pPr>
      <w:r>
        <w:rPr>
          <w:rFonts w:ascii="Calibri" w:cs="Calibri" w:eastAsia="Calibri" w:hAnsi="Calibri"/>
          <w:sz w:val="22"/>
          <w:szCs w:val="22"/>
        </w:rPr>
        <w:t xml:space="preserve">Licenciamento AGPL/GPL (Seção 2.1): validar juridicamente que a publicação do código sob AGPL/GPL está corretamente cumprida (cláusula de uso em rede), já que a decisão de negócio é operar 100% em open source.</w:t>
      </w:r>
    </w:p>
    <w:p>
      <w:pPr>
        <w:pStyle w:val="ListParagraph"/>
        <w:numPr>
          <w:ilvl w:val="0"/>
          <w:numId w:val="2"/>
        </w:numPr>
        <w:spacing w:after="90"/>
      </w:pPr>
      <w:r>
        <w:rPr>
          <w:rFonts w:ascii="Calibri" w:cs="Calibri" w:eastAsia="Calibri" w:hAnsi="Calibri"/>
          <w:sz w:val="22"/>
          <w:szCs w:val="22"/>
        </w:rPr>
        <w:t xml:space="preserve">Propagação do kill-switch: o desligamento precisa derrubar sessões ativas em segundos, não apenas bloquear novos logins — validar que o pub-sub via Redis chega a tempo até o agente Host mesmo em redes de loja com latência alta.</w:t>
      </w:r>
    </w:p>
    <w:p>
      <w:pPr>
        <w:pStyle w:val="ListParagraph"/>
        <w:numPr>
          <w:ilvl w:val="0"/>
          <w:numId w:val="2"/>
        </w:numPr>
        <w:spacing w:after="90"/>
      </w:pPr>
      <w:r>
        <w:rPr>
          <w:rFonts w:ascii="Calibri" w:cs="Calibri" w:eastAsia="Calibri" w:hAnsi="Calibri"/>
          <w:sz w:val="22"/>
          <w:szCs w:val="22"/>
        </w:rPr>
        <w:t xml:space="preserve">Consistência do estado guest após reinstalação: definir política clara para quando um técnico reinstala o agente em uma máquina já vinculada — deve reconectar automaticamente à mesma Rede, sem exigir novo pareamento manual, mas isso exige um identificador estável de hardware, não apenas o MAC.</w:t>
      </w:r>
    </w:p>
    <w:p>
      <w:pPr>
        <w:pStyle w:val="ListParagraph"/>
        <w:numPr>
          <w:ilvl w:val="0"/>
          <w:numId w:val="2"/>
        </w:numPr>
        <w:spacing w:after="90"/>
      </w:pPr>
      <w:r>
        <w:rPr>
          <w:rFonts w:ascii="Calibri" w:cs="Calibri" w:eastAsia="Calibri" w:hAnsi="Calibri"/>
          <w:sz w:val="22"/>
          <w:szCs w:val="22"/>
        </w:rPr>
        <w:t xml:space="preserve">Driver kernel assinado: telemetria avançada e o driver USB/IP em Windows moderno exigem assinatura EV/attestation da Microsoft — processo com custo e prazo próprios, deve entrar no roadmap da Fase 6.</w:t>
      </w:r>
    </w:p>
    <w:p>
      <w:pPr>
        <w:pStyle w:val="ListParagraph"/>
        <w:numPr>
          <w:ilvl w:val="0"/>
          <w:numId w:val="2"/>
        </w:numPr>
        <w:spacing w:after="90"/>
      </w:pPr>
      <w:r>
        <w:rPr>
          <w:rFonts w:ascii="Calibri" w:cs="Calibri" w:eastAsia="Calibri" w:hAnsi="Calibri"/>
          <w:sz w:val="22"/>
          <w:szCs w:val="22"/>
        </w:rPr>
        <w:t xml:space="preserve">Desempenho do WireGuard em userspace no Windows: a implementação userspace (wireguard-go + Wintun) tem overhead conhecido em redes Wi-Fi de alta latência — validar com testes de carga reais antes de comprometer SLA de latência para controle remoto.</w:t>
      </w:r>
    </w:p>
    <w:p>
      <w:pPr>
        <w:pStyle w:val="ListParagraph"/>
        <w:numPr>
          <w:ilvl w:val="0"/>
          <w:numId w:val="2"/>
        </w:numPr>
        <w:spacing w:after="90"/>
      </w:pPr>
      <w:r>
        <w:rPr>
          <w:rFonts w:ascii="Calibri" w:cs="Calibri" w:eastAsia="Calibri" w:hAnsi="Calibri"/>
          <w:sz w:val="22"/>
          <w:szCs w:val="22"/>
        </w:rPr>
        <w:t xml:space="preserve">Escala do relay (hbbr): em cenários onde muitas sessões não conseguem link direto (NAT simétrico comum em redes de varejo), o relay central se torna gargalo de banda — dimensionar capacidade da VPS proporcionalmente ao número de lojas simultâneas.</w:t>
      </w:r>
    </w:p>
    <w:p>
      <w:pPr>
        <w:pStyle w:val="ListParagraph"/>
        <w:numPr>
          <w:ilvl w:val="0"/>
          <w:numId w:val="2"/>
        </w:numPr>
        <w:spacing w:after="90"/>
      </w:pPr>
      <w:r>
        <w:rPr>
          <w:rFonts w:ascii="Calibri" w:cs="Calibri" w:eastAsia="Calibri" w:hAnsi="Calibri"/>
          <w:sz w:val="22"/>
          <w:szCs w:val="22"/>
        </w:rPr>
        <w:t xml:space="preserve">Gestão de técnicos via .env: adequada para MVP, mas não escala para operações com alta rotatividade de técnicos; priorizar tela de gestão de usuários logo após a Fase 0 do roadmap, mesmo que fora da ordem estrita.</w:t>
      </w:r>
    </w:p>
    <w:p>
      <w:pPr>
        <w:pStyle w:val="ListParagraph"/>
        <w:numPr>
          <w:ilvl w:val="0"/>
          <w:numId w:val="2"/>
        </w:numPr>
        <w:spacing w:after="90"/>
      </w:pPr>
      <w:r>
        <w:rPr>
          <w:rFonts w:ascii="Calibri" w:cs="Calibri" w:eastAsia="Calibri" w:hAnsi="Calibri"/>
          <w:sz w:val="22"/>
          <w:szCs w:val="22"/>
        </w:rPr>
        <w:t xml:space="preserve">Segurança do USB/IP: tráfego USB/IP deve trafegar exclusivamente dentro do túnel WireGuard, nunca exposto diretamente à rede — reforçar isso como requisito não-negociável de implementação.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2026-07-21T23:32:47.857Z</dcterms:created>
  <dcterms:modified xsi:type="dcterms:W3CDTF">2026-07-21T23:32:47.857Z</dcterms:modified>
</cp:coreProperties>
</file>

<file path=docProps/custom.xml><?xml version="1.0" encoding="utf-8"?>
<Properties xmlns="http://schemas.openxmlformats.org/officeDocument/2006/custom-properties" xmlns:vt="http://schemas.openxmlformats.org/officeDocument/2006/docPropsVTypes"/>
</file>