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jc w:val="center"/>
      </w:pPr>
      <w:r>
        <w:rPr>
          <w:rFonts w:ascii="Aptos Display" w:hAnsi="Aptos Display"/>
          <w:b/>
          <w:color w:val="102536"/>
          <w:sz w:val="64"/>
        </w:rPr>
        <w:t>UPI SENTINEL</w:t>
      </w:r>
    </w:p>
    <w:p>
      <w:pPr>
        <w:jc w:val="center"/>
      </w:pPr>
      <w:r>
        <w:rPr>
          <w:color w:val="087F8C"/>
          <w:sz w:val="32"/>
        </w:rPr>
        <w:t>An Explainable Multi-Agent System for Investigating</w:t>
        <w:br/>
        <w:t>Suspicious UPI Transaction Networks and Potential Mule Accounts</w:t>
      </w:r>
    </w:p>
    <w:p>
      <w:pPr>
        <w:spacing w:before="500"/>
        <w:jc w:val="center"/>
      </w:pPr>
      <w:r>
        <w:rPr>
          <w:b/>
          <w:sz w:val="26"/>
        </w:rPr>
        <w:t>CA-3 • Foundations of Agentic AI</w:t>
      </w:r>
    </w:p>
    <w:p>
      <w:pPr>
        <w:jc w:val="center"/>
      </w:pPr>
      <w:r>
        <w:rPr>
          <w:sz w:val="22"/>
        </w:rPr>
        <w:t>Project report</w:t>
        <w:br/>
        <w:t>October 2026</w:t>
      </w:r>
    </w:p>
    <w:p/>
    <w:tbl>
      <w:tblPr>
        <w:tblW w:type="auto" w:w="0"/>
        <w:jc w:val="center"/>
        <w:tblLook w:firstColumn="1" w:firstRow="1" w:lastColumn="0" w:lastRow="0" w:noHBand="0" w:noVBand="1" w:val="04A0"/>
      </w:tblPr>
      <w:tblGrid>
        <w:gridCol w:w="9994"/>
      </w:tblGrid>
      <w:tr>
        <w:tc>
          <w:tcPr>
            <w:tcW w:type="dxa" w:w="9994"/>
            <w:shd w:fill="EAF4F5"/>
            <w:vAlign w:val="center"/>
          </w:tcPr>
          <w:p>
            <w:pPr>
              <w:spacing w:after="20"/>
            </w:pPr>
            <w:r/>
            <w:r>
              <w:rPr>
                <w:rFonts w:ascii="Aptos" w:hAnsi="Aptos"/>
                <w:b/>
                <w:color w:val="102536"/>
                <w:sz w:val="20"/>
              </w:rPr>
              <w:t>Purpose: demonstrate a reproducible, evidence-backed workflow that surfaces transaction patterns for investigation. A pattern is a lead for human review, not proof of fraud or mule-account activity.</w:t>
            </w:r>
          </w:p>
        </w:tc>
      </w:tr>
    </w:tbl>
    <w:p>
      <w:r>
        <w:br w:type="page"/>
      </w:r>
    </w:p>
    <w:p>
      <w:pPr>
        <w:pStyle w:val="Heading1"/>
      </w:pPr>
      <w:r>
        <w:t>1. Project overview</w:t>
      </w:r>
    </w:p>
    <w:p>
      <w:r>
        <w:rPr>
          <w:i w:val="0"/>
        </w:rPr>
        <w:t>UPI Sentinel is a local academic proof of concept for reviewing suspicious-looking transaction-network patterns. It accepts a CSV or a bundled synthetic fixture, validates records, builds a directed account graph from accepted rows, applies deterministic rules, and presents findings with transaction-level evidence. The Streamlit dashboard supports investigation and inspection; an optional user-triggered local Ollama component can rephrase one selected finding's evidence for readability.</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Attribute</w:t>
            </w:r>
          </w:p>
        </w:tc>
        <w:tc>
          <w:tcPr>
            <w:tcW w:type="dxa" w:w="4997"/>
            <w:vAlign w:val="center"/>
            <w:shd w:fill="102536"/>
          </w:tcPr>
          <w:p>
            <w:pPr>
              <w:spacing w:after="20"/>
            </w:pPr>
            <w:r/>
            <w:r>
              <w:rPr>
                <w:rFonts w:ascii="Aptos" w:hAnsi="Aptos"/>
                <w:b/>
                <w:color w:val="FFFFFF"/>
                <w:sz w:val="17"/>
              </w:rPr>
              <w:t>Project definition</w:t>
            </w:r>
          </w:p>
        </w:tc>
      </w:tr>
      <w:tr>
        <w:trPr>
          <w:cantSplit/>
        </w:trPr>
        <w:tc>
          <w:tcPr>
            <w:tcW w:type="dxa" w:w="4997"/>
            <w:vAlign w:val="center"/>
            <w:shd w:fill="F2F7F8"/>
          </w:tcPr>
          <w:p>
            <w:pPr>
              <w:spacing w:after="20"/>
            </w:pPr>
            <w:r/>
            <w:r>
              <w:rPr>
                <w:rFonts w:ascii="Aptos" w:hAnsi="Aptos"/>
                <w:b w:val="0"/>
                <w:color w:val="263746"/>
                <w:sz w:val="16"/>
              </w:rPr>
              <w:t>Domain</w:t>
            </w:r>
          </w:p>
        </w:tc>
        <w:tc>
          <w:tcPr>
            <w:tcW w:type="dxa" w:w="4997"/>
            <w:vAlign w:val="center"/>
            <w:shd w:fill="F2F7F8"/>
          </w:tcPr>
          <w:p>
            <w:pPr>
              <w:spacing w:after="20"/>
            </w:pPr>
            <w:r/>
            <w:r>
              <w:rPr>
                <w:rFonts w:ascii="Aptos" w:hAnsi="Aptos"/>
                <w:b w:val="0"/>
                <w:color w:val="263746"/>
                <w:sz w:val="16"/>
              </w:rPr>
              <w:t>FinTech transaction monitoring and investigation triage, focused on UPI-like transfers.</w:t>
            </w:r>
          </w:p>
        </w:tc>
      </w:tr>
      <w:tr>
        <w:trPr>
          <w:cantSplit/>
        </w:trPr>
        <w:tc>
          <w:tcPr>
            <w:tcW w:type="dxa" w:w="4997"/>
            <w:vAlign w:val="center"/>
          </w:tcPr>
          <w:p>
            <w:pPr>
              <w:spacing w:after="20"/>
            </w:pPr>
            <w:r/>
            <w:r>
              <w:rPr>
                <w:rFonts w:ascii="Aptos" w:hAnsi="Aptos"/>
                <w:b w:val="0"/>
                <w:color w:val="263746"/>
                <w:sz w:val="16"/>
              </w:rPr>
              <w:t>Primary output</w:t>
            </w:r>
          </w:p>
        </w:tc>
        <w:tc>
          <w:tcPr>
            <w:tcW w:type="dxa" w:w="4997"/>
            <w:vAlign w:val="center"/>
          </w:tcPr>
          <w:p>
            <w:pPr>
              <w:spacing w:after="20"/>
            </w:pPr>
            <w:r/>
            <w:r>
              <w:rPr>
                <w:rFonts w:ascii="Aptos" w:hAnsi="Aptos"/>
                <w:b w:val="0"/>
                <w:color w:val="263746"/>
                <w:sz w:val="16"/>
              </w:rPr>
              <w:t>Explainable pattern findings and validation details for a human reviewer.</w:t>
            </w:r>
          </w:p>
        </w:tc>
      </w:tr>
      <w:tr>
        <w:trPr>
          <w:cantSplit/>
        </w:trPr>
        <w:tc>
          <w:tcPr>
            <w:tcW w:type="dxa" w:w="4997"/>
            <w:vAlign w:val="center"/>
            <w:shd w:fill="F2F7F8"/>
          </w:tcPr>
          <w:p>
            <w:pPr>
              <w:spacing w:after="20"/>
            </w:pPr>
            <w:r/>
            <w:r>
              <w:rPr>
                <w:rFonts w:ascii="Aptos" w:hAnsi="Aptos"/>
                <w:b w:val="0"/>
                <w:color w:val="263746"/>
                <w:sz w:val="16"/>
              </w:rPr>
              <w:t>Data</w:t>
            </w:r>
          </w:p>
        </w:tc>
        <w:tc>
          <w:tcPr>
            <w:tcW w:type="dxa" w:w="4997"/>
            <w:vAlign w:val="center"/>
            <w:shd w:fill="F2F7F8"/>
          </w:tcPr>
          <w:p>
            <w:pPr>
              <w:spacing w:after="20"/>
            </w:pPr>
            <w:r/>
            <w:r>
              <w:rPr>
                <w:rFonts w:ascii="Aptos" w:hAnsi="Aptos"/>
                <w:b w:val="0"/>
                <w:color w:val="263746"/>
                <w:sz w:val="16"/>
              </w:rPr>
              <w:t>Small synthetic fixture; no real customer or bank data.</w:t>
            </w:r>
          </w:p>
        </w:tc>
      </w:tr>
      <w:tr>
        <w:trPr>
          <w:cantSplit/>
        </w:trPr>
        <w:tc>
          <w:tcPr>
            <w:tcW w:type="dxa" w:w="4997"/>
            <w:vAlign w:val="center"/>
          </w:tcPr>
          <w:p>
            <w:pPr>
              <w:spacing w:after="20"/>
            </w:pPr>
            <w:r/>
            <w:r>
              <w:rPr>
                <w:rFonts w:ascii="Aptos" w:hAnsi="Aptos"/>
                <w:b w:val="0"/>
                <w:color w:val="263746"/>
                <w:sz w:val="16"/>
              </w:rPr>
              <w:t>Detection</w:t>
            </w:r>
          </w:p>
        </w:tc>
        <w:tc>
          <w:tcPr>
            <w:tcW w:type="dxa" w:w="4997"/>
            <w:vAlign w:val="center"/>
          </w:tcPr>
          <w:p>
            <w:pPr>
              <w:spacing w:after="20"/>
            </w:pPr>
            <w:r/>
            <w:r>
              <w:rPr>
                <w:rFonts w:ascii="Aptos" w:hAnsi="Aptos"/>
                <w:b w:val="0"/>
                <w:color w:val="263746"/>
                <w:sz w:val="16"/>
              </w:rPr>
              <w:t>Deterministic validation, graph construction, and configurable rules.</w:t>
            </w:r>
          </w:p>
        </w:tc>
      </w:tr>
      <w:tr>
        <w:trPr>
          <w:cantSplit/>
        </w:trPr>
        <w:tc>
          <w:tcPr>
            <w:tcW w:type="dxa" w:w="4997"/>
            <w:vAlign w:val="center"/>
            <w:shd w:fill="F2F7F8"/>
          </w:tcPr>
          <w:p>
            <w:pPr>
              <w:spacing w:after="20"/>
            </w:pPr>
            <w:r/>
            <w:r>
              <w:rPr>
                <w:rFonts w:ascii="Aptos" w:hAnsi="Aptos"/>
                <w:b w:val="0"/>
                <w:color w:val="263746"/>
                <w:sz w:val="16"/>
              </w:rPr>
              <w:t>LLM role</w:t>
            </w:r>
          </w:p>
        </w:tc>
        <w:tc>
          <w:tcPr>
            <w:tcW w:type="dxa" w:w="4997"/>
            <w:vAlign w:val="center"/>
            <w:shd w:fill="F2F7F8"/>
          </w:tcPr>
          <w:p>
            <w:pPr>
              <w:spacing w:after="20"/>
            </w:pPr>
            <w:r/>
            <w:r>
              <w:rPr>
                <w:rFonts w:ascii="Aptos" w:hAnsi="Aptos"/>
                <w:b w:val="0"/>
                <w:color w:val="263746"/>
                <w:sz w:val="16"/>
              </w:rPr>
              <w:t>Optional local explanation of selected existing evidence only; never detection.</w:t>
            </w:r>
          </w:p>
        </w:tc>
      </w:tr>
    </w:tbl>
    <w:p>
      <w:pPr>
        <w:spacing w:after="0"/>
      </w:pPr>
    </w:p>
    <w:p>
      <w:pPr>
        <w:pStyle w:val="Heading1"/>
      </w:pPr>
      <w:r>
        <w:t>2. Problem statement and domain justification</w:t>
      </w:r>
    </w:p>
    <w:p>
      <w:pPr>
        <w:pStyle w:val="Heading2"/>
      </w:pPr>
      <w:r>
        <w:t>Problem statement</w:t>
      </w:r>
    </w:p>
    <w:p>
      <w:r>
        <w:rPr>
          <w:i w:val="0"/>
        </w:rPr>
        <w:t>Transaction investigators may need to connect many records by sender, receiver, amount, and time. Row-by-row review can obscure rapid pass-through behavior or multiple senders converging on an intermediary and forwarding funds. The project asks: can a small, transparent workflow organize records, identify configured network patterns, and show the exact evidence behind each match so that a reviewer can decide what to inspect next?</w:t>
      </w:r>
    </w:p>
    <w:p>
      <w:pPr>
        <w:pStyle w:val="Heading2"/>
      </w:pPr>
      <w:r>
        <w:t>FinTech domain justification</w:t>
      </w:r>
    </w:p>
    <w:p>
      <w:r>
        <w:rPr>
          <w:i w:val="0"/>
        </w:rPr>
        <w:t>Digital payments produce linked events across accounts. A graph can represent direction and preserve parallel transfers, while validation prevents malformed or duplicated records from silently entering analysis. This makes transaction-network review a suitable educational example of combining data quality, graph analysis, explainable rules, and human oversight. The project does not model a bank's production controls or make determinations about account intent.</w:t>
      </w:r>
    </w:p>
    <w:p>
      <w:pPr>
        <w:pStyle w:val="Heading1"/>
      </w:pPr>
      <w:r>
        <w:t>3. Investigation challenge and proposed solution</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Investigation challenge</w:t>
            </w:r>
          </w:p>
        </w:tc>
        <w:tc>
          <w:tcPr>
            <w:tcW w:type="dxa" w:w="4997"/>
            <w:vAlign w:val="center"/>
            <w:shd w:fill="102536"/>
          </w:tcPr>
          <w:p>
            <w:pPr>
              <w:spacing w:after="20"/>
            </w:pPr>
            <w:r/>
            <w:r>
              <w:rPr>
                <w:rFonts w:ascii="Aptos" w:hAnsi="Aptos"/>
                <w:b/>
                <w:color w:val="FFFFFF"/>
                <w:sz w:val="17"/>
              </w:rPr>
              <w:t>UPI Sentinel response</w:t>
            </w:r>
          </w:p>
        </w:tc>
      </w:tr>
      <w:tr>
        <w:trPr>
          <w:cantSplit/>
        </w:trPr>
        <w:tc>
          <w:tcPr>
            <w:tcW w:type="dxa" w:w="4997"/>
            <w:vAlign w:val="center"/>
            <w:shd w:fill="F2F7F8"/>
          </w:tcPr>
          <w:p>
            <w:pPr>
              <w:spacing w:after="20"/>
            </w:pPr>
            <w:r/>
            <w:r>
              <w:rPr>
                <w:rFonts w:ascii="Aptos" w:hAnsi="Aptos"/>
                <w:b w:val="0"/>
                <w:color w:val="263746"/>
                <w:sz w:val="16"/>
              </w:rPr>
              <w:t>Inconsistent or malformed records</w:t>
            </w:r>
          </w:p>
        </w:tc>
        <w:tc>
          <w:tcPr>
            <w:tcW w:type="dxa" w:w="4997"/>
            <w:vAlign w:val="center"/>
            <w:shd w:fill="F2F7F8"/>
          </w:tcPr>
          <w:p>
            <w:pPr>
              <w:spacing w:after="20"/>
            </w:pPr>
            <w:r/>
            <w:r>
              <w:rPr>
                <w:rFonts w:ascii="Aptos" w:hAnsi="Aptos"/>
                <w:b w:val="0"/>
                <w:color w:val="263746"/>
                <w:sz w:val="16"/>
              </w:rPr>
              <w:t>Canonical schema validation; accepted and rejected rows remain visible with source-row traceability and reasons.</w:t>
            </w:r>
          </w:p>
        </w:tc>
      </w:tr>
      <w:tr>
        <w:trPr>
          <w:cantSplit/>
        </w:trPr>
        <w:tc>
          <w:tcPr>
            <w:tcW w:type="dxa" w:w="4997"/>
            <w:vAlign w:val="center"/>
          </w:tcPr>
          <w:p>
            <w:pPr>
              <w:spacing w:after="20"/>
            </w:pPr>
            <w:r/>
            <w:r>
              <w:rPr>
                <w:rFonts w:ascii="Aptos" w:hAnsi="Aptos"/>
                <w:b w:val="0"/>
                <w:color w:val="263746"/>
                <w:sz w:val="16"/>
              </w:rPr>
              <w:t>Separate transfers hide relationships</w:t>
            </w:r>
          </w:p>
        </w:tc>
        <w:tc>
          <w:tcPr>
            <w:tcW w:type="dxa" w:w="4997"/>
            <w:vAlign w:val="center"/>
          </w:tcPr>
          <w:p>
            <w:pPr>
              <w:spacing w:after="20"/>
            </w:pPr>
            <w:r/>
            <w:r>
              <w:rPr>
                <w:rFonts w:ascii="Aptos" w:hAnsi="Aptos"/>
                <w:b w:val="0"/>
                <w:color w:val="263746"/>
                <w:sz w:val="16"/>
              </w:rPr>
              <w:t>Accepted transfers become directed multiedges between account nodes; each transaction remains distinct.</w:t>
            </w:r>
          </w:p>
        </w:tc>
      </w:tr>
      <w:tr>
        <w:trPr>
          <w:cantSplit/>
        </w:trPr>
        <w:tc>
          <w:tcPr>
            <w:tcW w:type="dxa" w:w="4997"/>
            <w:vAlign w:val="center"/>
            <w:shd w:fill="F2F7F8"/>
          </w:tcPr>
          <w:p>
            <w:pPr>
              <w:spacing w:after="20"/>
            </w:pPr>
            <w:r/>
            <w:r>
              <w:rPr>
                <w:rFonts w:ascii="Aptos" w:hAnsi="Aptos"/>
                <w:b w:val="0"/>
                <w:color w:val="263746"/>
                <w:sz w:val="16"/>
              </w:rPr>
              <w:t>Pattern decisions are hard to explain</w:t>
            </w:r>
          </w:p>
        </w:tc>
        <w:tc>
          <w:tcPr>
            <w:tcW w:type="dxa" w:w="4997"/>
            <w:vAlign w:val="center"/>
            <w:shd w:fill="F2F7F8"/>
          </w:tcPr>
          <w:p>
            <w:pPr>
              <w:spacing w:after="20"/>
            </w:pPr>
            <w:r/>
            <w:r>
              <w:rPr>
                <w:rFonts w:ascii="Aptos" w:hAnsi="Aptos"/>
                <w:b w:val="0"/>
                <w:color w:val="263746"/>
                <w:sz w:val="16"/>
              </w:rPr>
              <w:t>Rules return involved accounts, supporting transaction IDs, times, thresholds, measurements, and plain-language rationale.</w:t>
            </w:r>
          </w:p>
        </w:tc>
      </w:tr>
      <w:tr>
        <w:trPr>
          <w:cantSplit/>
        </w:trPr>
        <w:tc>
          <w:tcPr>
            <w:tcW w:type="dxa" w:w="4997"/>
            <w:vAlign w:val="center"/>
          </w:tcPr>
          <w:p>
            <w:pPr>
              <w:spacing w:after="20"/>
            </w:pPr>
            <w:r/>
            <w:r>
              <w:rPr>
                <w:rFonts w:ascii="Aptos" w:hAnsi="Aptos"/>
                <w:b w:val="0"/>
                <w:color w:val="263746"/>
                <w:sz w:val="16"/>
              </w:rPr>
              <w:t>Automation can overstate conclusions</w:t>
            </w:r>
          </w:p>
        </w:tc>
        <w:tc>
          <w:tcPr>
            <w:tcW w:type="dxa" w:w="4997"/>
            <w:vAlign w:val="center"/>
          </w:tcPr>
          <w:p>
            <w:pPr>
              <w:spacing w:after="20"/>
            </w:pPr>
            <w:r/>
            <w:r>
              <w:rPr>
                <w:rFonts w:ascii="Aptos" w:hAnsi="Aptos"/>
                <w:b w:val="0"/>
                <w:color w:val="263746"/>
                <w:sz w:val="16"/>
              </w:rPr>
              <w:t>Findings are labeled investigation leads; reviewers can inspect source rows and evidence.</w:t>
            </w:r>
          </w:p>
        </w:tc>
      </w:tr>
      <w:tr>
        <w:trPr>
          <w:cantSplit/>
        </w:trPr>
        <w:tc>
          <w:tcPr>
            <w:tcW w:type="dxa" w:w="4997"/>
            <w:vAlign w:val="center"/>
            <w:shd w:fill="F2F7F8"/>
          </w:tcPr>
          <w:p>
            <w:pPr>
              <w:spacing w:after="20"/>
            </w:pPr>
            <w:r/>
            <w:r>
              <w:rPr>
                <w:rFonts w:ascii="Aptos" w:hAnsi="Aptos"/>
                <w:b w:val="0"/>
                <w:color w:val="263746"/>
                <w:sz w:val="16"/>
              </w:rPr>
              <w:t>LLM wording can drift beyond evidence</w:t>
            </w:r>
          </w:p>
        </w:tc>
        <w:tc>
          <w:tcPr>
            <w:tcW w:type="dxa" w:w="4997"/>
            <w:vAlign w:val="center"/>
            <w:shd w:fill="F2F7F8"/>
          </w:tcPr>
          <w:p>
            <w:pPr>
              <w:spacing w:after="20"/>
            </w:pPr>
            <w:r/>
            <w:r>
              <w:rPr>
                <w:rFonts w:ascii="Aptos" w:hAnsi="Aptos"/>
                <w:b w:val="0"/>
                <w:color w:val="263746"/>
                <w:sz w:val="16"/>
              </w:rPr>
              <w:t>Optional local helper sees a whitelist for one selected finding, is response-checked, and falls back deterministically.</w:t>
            </w:r>
          </w:p>
        </w:tc>
      </w:tr>
    </w:tbl>
    <w:p>
      <w:pPr>
        <w:spacing w:after="0"/>
      </w:pPr>
    </w:p>
    <w:p>
      <w:pPr>
        <w:pStyle w:val="Heading1"/>
      </w:pPr>
      <w:r>
        <w:t>4. Objectives and scope</w:t>
      </w:r>
    </w:p>
    <w:p>
      <w:pPr>
        <w:pStyle w:val="ListBullet"/>
        <w:spacing w:after="40"/>
      </w:pPr>
      <w:r>
        <w:t>Provide one public analysis workflow for dashboard and tests.</w:t>
      </w:r>
    </w:p>
    <w:p>
      <w:pPr>
        <w:pStyle w:val="ListBullet"/>
        <w:spacing w:after="40"/>
      </w:pPr>
      <w:r>
        <w:t>Validate required transaction fields and preserve rejected records rather than silently dropping them.</w:t>
      </w:r>
    </w:p>
    <w:p>
      <w:pPr>
        <w:pStyle w:val="ListBullet"/>
        <w:spacing w:after="40"/>
      </w:pPr>
      <w:r>
        <w:t>Build an accepted-only directed account network with transaction-level traceability.</w:t>
      </w:r>
    </w:p>
    <w:p>
      <w:pPr>
        <w:pStyle w:val="ListBullet"/>
        <w:spacing w:after="40"/>
      </w:pPr>
      <w:r>
        <w:t>Apply deterministic, configurable patterns and expose supporting evidence.</w:t>
      </w:r>
    </w:p>
    <w:p>
      <w:pPr>
        <w:pStyle w:val="ListBullet"/>
        <w:spacing w:after="40"/>
      </w:pPr>
      <w:r>
        <w:t>Keep evaluation labels downstream of detection and report unavailable when unsuitable.</w:t>
      </w:r>
    </w:p>
    <w:p>
      <w:pPr>
        <w:pStyle w:val="ListBullet"/>
        <w:spacing w:after="40"/>
      </w:pPr>
      <w:r>
        <w:t>Offer an optional local natural-language explanation without making it a detector.</w:t>
      </w:r>
    </w:p>
    <w:p>
      <w:pPr>
        <w:pStyle w:val="ListBullet"/>
        <w:spacing w:after="40"/>
      </w:pPr>
      <w:r>
        <w:t>Demonstrate workflow behavior with controlled synthetic scenarios, not real-world performance claims.</w:t>
      </w:r>
    </w:p>
    <w:p>
      <w:r>
        <w:rPr>
          <w:i w:val="0"/>
        </w:rPr>
        <w:t>Out of scope: live bank connectivity, real-person identity resolution, model training, calibrated production risk scores, public-dataset integration, case management, and automated blocking or reporting.</w:t>
      </w:r>
    </w:p>
    <w:p>
      <w:pPr>
        <w:pStyle w:val="Heading1"/>
      </w:pPr>
      <w:r>
        <w:t>5. Multi-agent architecture and responsibilities</w:t>
      </w:r>
    </w:p>
    <w:p>
      <w:r>
        <w:rPr>
          <w:i w:val="0"/>
        </w:rPr>
        <w:t>The analysis pipeline uses a fixed LangGraph StateGraph to coordinate ordinary Python components. These are deterministic software agents with bounded inputs and outputs, not autonomous LLM agents. LangGraph provides stage orchestration; the core checks and rules remain explicit Python code.</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Agent</w:t>
            </w:r>
          </w:p>
        </w:tc>
        <w:tc>
          <w:tcPr>
            <w:tcW w:type="dxa" w:w="4997"/>
            <w:vAlign w:val="center"/>
            <w:shd w:fill="102536"/>
          </w:tcPr>
          <w:p>
            <w:pPr>
              <w:spacing w:after="20"/>
            </w:pPr>
            <w:r/>
            <w:r>
              <w:rPr>
                <w:rFonts w:ascii="Aptos" w:hAnsi="Aptos"/>
                <w:b/>
                <w:color w:val="FFFFFF"/>
                <w:sz w:val="17"/>
              </w:rPr>
              <w:t>Responsibility and output</w:t>
            </w:r>
          </w:p>
        </w:tc>
      </w:tr>
      <w:tr>
        <w:trPr>
          <w:cantSplit/>
        </w:trPr>
        <w:tc>
          <w:tcPr>
            <w:tcW w:type="dxa" w:w="4997"/>
            <w:vAlign w:val="center"/>
            <w:shd w:fill="F2F7F8"/>
          </w:tcPr>
          <w:p>
            <w:pPr>
              <w:spacing w:after="20"/>
            </w:pPr>
            <w:r/>
            <w:r>
              <w:rPr>
                <w:rFonts w:ascii="Aptos" w:hAnsi="Aptos"/>
                <w:b w:val="0"/>
                <w:color w:val="263746"/>
                <w:sz w:val="16"/>
              </w:rPr>
              <w:t>Coordinator Agent</w:t>
            </w:r>
          </w:p>
        </w:tc>
        <w:tc>
          <w:tcPr>
            <w:tcW w:type="dxa" w:w="4997"/>
            <w:vAlign w:val="center"/>
            <w:shd w:fill="F2F7F8"/>
          </w:tcPr>
          <w:p>
            <w:pPr>
              <w:spacing w:after="20"/>
            </w:pPr>
            <w:r/>
            <w:r>
              <w:rPr>
                <w:rFonts w:ascii="Aptos" w:hAnsi="Aptos"/>
                <w:b w:val="0"/>
                <w:color w:val="263746"/>
                <w:sz w:val="16"/>
              </w:rPr>
              <w:t>Runs stages in order, passes structured results, records a stage trace, and returns one WorkflowResult.</w:t>
            </w:r>
          </w:p>
        </w:tc>
      </w:tr>
      <w:tr>
        <w:trPr>
          <w:cantSplit/>
        </w:trPr>
        <w:tc>
          <w:tcPr>
            <w:tcW w:type="dxa" w:w="4997"/>
            <w:vAlign w:val="center"/>
          </w:tcPr>
          <w:p>
            <w:pPr>
              <w:spacing w:after="20"/>
            </w:pPr>
            <w:r/>
            <w:r>
              <w:rPr>
                <w:rFonts w:ascii="Aptos" w:hAnsi="Aptos"/>
                <w:b w:val="0"/>
                <w:color w:val="263746"/>
                <w:sz w:val="16"/>
              </w:rPr>
              <w:t>Data Validation Agent</w:t>
            </w:r>
          </w:p>
        </w:tc>
        <w:tc>
          <w:tcPr>
            <w:tcW w:type="dxa" w:w="4997"/>
            <w:vAlign w:val="center"/>
          </w:tcPr>
          <w:p>
            <w:pPr>
              <w:spacing w:after="20"/>
            </w:pPr>
            <w:r/>
            <w:r>
              <w:rPr>
                <w:rFonts w:ascii="Aptos" w:hAnsi="Aptos"/>
                <w:b w:val="0"/>
                <w:color w:val="263746"/>
                <w:sz w:val="16"/>
              </w:rPr>
              <w:t>Calls the canonical validator; returns accepted rows, rejected rows, source-row provenance, rejection reasons, and schema issues.</w:t>
            </w:r>
          </w:p>
        </w:tc>
      </w:tr>
      <w:tr>
        <w:trPr>
          <w:cantSplit/>
        </w:trPr>
        <w:tc>
          <w:tcPr>
            <w:tcW w:type="dxa" w:w="4997"/>
            <w:vAlign w:val="center"/>
            <w:shd w:fill="F2F7F8"/>
          </w:tcPr>
          <w:p>
            <w:pPr>
              <w:spacing w:after="20"/>
            </w:pPr>
            <w:r/>
            <w:r>
              <w:rPr>
                <w:rFonts w:ascii="Aptos" w:hAnsi="Aptos"/>
                <w:b w:val="0"/>
                <w:color w:val="263746"/>
                <w:sz w:val="16"/>
              </w:rPr>
              <w:t>Network Analysis Agent</w:t>
            </w:r>
          </w:p>
        </w:tc>
        <w:tc>
          <w:tcPr>
            <w:tcW w:type="dxa" w:w="4997"/>
            <w:vAlign w:val="center"/>
            <w:shd w:fill="F2F7F8"/>
          </w:tcPr>
          <w:p>
            <w:pPr>
              <w:spacing w:after="20"/>
            </w:pPr>
            <w:r/>
            <w:r>
              <w:rPr>
                <w:rFonts w:ascii="Aptos" w:hAnsi="Aptos"/>
                <w:b w:val="0"/>
                <w:color w:val="263746"/>
                <w:sz w:val="16"/>
              </w:rPr>
              <w:t>Builds an accepted-only NetworkX MultiDiGraph and summarizes account and transaction activity.</w:t>
            </w:r>
          </w:p>
        </w:tc>
      </w:tr>
      <w:tr>
        <w:trPr>
          <w:cantSplit/>
        </w:trPr>
        <w:tc>
          <w:tcPr>
            <w:tcW w:type="dxa" w:w="4997"/>
            <w:vAlign w:val="center"/>
          </w:tcPr>
          <w:p>
            <w:pPr>
              <w:spacing w:after="20"/>
            </w:pPr>
            <w:r/>
            <w:r>
              <w:rPr>
                <w:rFonts w:ascii="Aptos" w:hAnsi="Aptos"/>
                <w:b w:val="0"/>
                <w:color w:val="263746"/>
                <w:sz w:val="16"/>
              </w:rPr>
              <w:t>Pattern Analysis Agent</w:t>
            </w:r>
          </w:p>
        </w:tc>
        <w:tc>
          <w:tcPr>
            <w:tcW w:type="dxa" w:w="4997"/>
            <w:vAlign w:val="center"/>
          </w:tcPr>
          <w:p>
            <w:pPr>
              <w:spacing w:after="20"/>
            </w:pPr>
            <w:r/>
            <w:r>
              <w:rPr>
                <w:rFonts w:ascii="Aptos" w:hAnsi="Aptos"/>
                <w:b w:val="0"/>
                <w:color w:val="263746"/>
                <w:sz w:val="16"/>
              </w:rPr>
              <w:t>Runs deterministic rules against the graph; emits evidence-backed findings without reading labels.</w:t>
            </w:r>
          </w:p>
        </w:tc>
      </w:tr>
      <w:tr>
        <w:trPr>
          <w:cantSplit/>
        </w:trPr>
        <w:tc>
          <w:tcPr>
            <w:tcW w:type="dxa" w:w="4997"/>
            <w:vAlign w:val="center"/>
            <w:shd w:fill="F2F7F8"/>
          </w:tcPr>
          <w:p>
            <w:pPr>
              <w:spacing w:after="20"/>
            </w:pPr>
            <w:r/>
            <w:r>
              <w:rPr>
                <w:rFonts w:ascii="Aptos" w:hAnsi="Aptos"/>
                <w:b w:val="0"/>
                <w:color w:val="263746"/>
                <w:sz w:val="16"/>
              </w:rPr>
              <w:t>Explanation Agent</w:t>
            </w:r>
          </w:p>
        </w:tc>
        <w:tc>
          <w:tcPr>
            <w:tcW w:type="dxa" w:w="4997"/>
            <w:vAlign w:val="center"/>
            <w:shd w:fill="F2F7F8"/>
          </w:tcPr>
          <w:p>
            <w:pPr>
              <w:spacing w:after="20"/>
            </w:pPr>
            <w:r/>
            <w:r>
              <w:rPr>
                <w:rFonts w:ascii="Aptos" w:hAnsi="Aptos"/>
                <w:b w:val="0"/>
                <w:color w:val="263746"/>
                <w:sz w:val="16"/>
              </w:rPr>
              <w:t>Summarizes actual counts, graph summary, and findings; adds no independent fraud classification.</w:t>
            </w:r>
          </w:p>
        </w:tc>
      </w:tr>
      <w:tr>
        <w:trPr>
          <w:cantSplit/>
        </w:trPr>
        <w:tc>
          <w:tcPr>
            <w:tcW w:type="dxa" w:w="4997"/>
            <w:vAlign w:val="center"/>
          </w:tcPr>
          <w:p>
            <w:pPr>
              <w:spacing w:after="20"/>
            </w:pPr>
            <w:r/>
            <w:r>
              <w:rPr>
                <w:rFonts w:ascii="Aptos" w:hAnsi="Aptos"/>
                <w:b w:val="0"/>
                <w:color w:val="263746"/>
                <w:sz w:val="16"/>
              </w:rPr>
              <w:t>Evaluation Agent</w:t>
            </w:r>
          </w:p>
        </w:tc>
        <w:tc>
          <w:tcPr>
            <w:tcW w:type="dxa" w:w="4997"/>
            <w:vAlign w:val="center"/>
          </w:tcPr>
          <w:p>
            <w:pPr>
              <w:spacing w:after="20"/>
            </w:pPr>
            <w:r/>
            <w:r>
              <w:rPr>
                <w:rFonts w:ascii="Aptos" w:hAnsi="Aptos"/>
                <w:b w:val="0"/>
                <w:color w:val="263746"/>
                <w:sz w:val="16"/>
              </w:rPr>
              <w:t>Runs after findings; compares transaction labels to the defined transaction-evidence indicator or reports evaluation unavailable.</w:t>
            </w:r>
          </w:p>
        </w:tc>
      </w:tr>
    </w:tbl>
    <w:p>
      <w:pPr>
        <w:spacing w:after="0"/>
      </w:pPr>
    </w:p>
    <w:p>
      <w:pPr>
        <w:pStyle w:val="Heading2"/>
      </w:pPr>
      <w:r>
        <w:t>Architecture flow</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Stage</w:t>
            </w:r>
          </w:p>
        </w:tc>
        <w:tc>
          <w:tcPr>
            <w:tcW w:type="dxa" w:w="4997"/>
            <w:vAlign w:val="center"/>
            <w:shd w:fill="102536"/>
          </w:tcPr>
          <w:p>
            <w:pPr>
              <w:spacing w:after="20"/>
            </w:pPr>
            <w:r/>
            <w:r>
              <w:rPr>
                <w:rFonts w:ascii="Aptos" w:hAnsi="Aptos"/>
                <w:b/>
                <w:color w:val="FFFFFF"/>
                <w:sz w:val="17"/>
              </w:rPr>
              <w:t>Input → output</w:t>
            </w:r>
          </w:p>
        </w:tc>
      </w:tr>
      <w:tr>
        <w:trPr>
          <w:cantSplit/>
        </w:trPr>
        <w:tc>
          <w:tcPr>
            <w:tcW w:type="dxa" w:w="4997"/>
            <w:vAlign w:val="center"/>
            <w:shd w:fill="F2F7F8"/>
          </w:tcPr>
          <w:p>
            <w:pPr>
              <w:spacing w:after="20"/>
            </w:pPr>
            <w:r/>
            <w:r>
              <w:rPr>
                <w:rFonts w:ascii="Aptos" w:hAnsi="Aptos"/>
                <w:b w:val="0"/>
                <w:color w:val="263746"/>
                <w:sz w:val="16"/>
              </w:rPr>
              <w:t>Input</w:t>
            </w:r>
          </w:p>
        </w:tc>
        <w:tc>
          <w:tcPr>
            <w:tcW w:type="dxa" w:w="4997"/>
            <w:vAlign w:val="center"/>
            <w:shd w:fill="F2F7F8"/>
          </w:tcPr>
          <w:p>
            <w:pPr>
              <w:spacing w:after="20"/>
            </w:pPr>
            <w:r/>
            <w:r>
              <w:rPr>
                <w:rFonts w:ascii="Aptos" w:hAnsi="Aptos"/>
                <w:b w:val="0"/>
                <w:color w:val="263746"/>
                <w:sz w:val="16"/>
              </w:rPr>
              <w:t>CSV or fixture DataFrame → raw records</w:t>
            </w:r>
          </w:p>
        </w:tc>
      </w:tr>
      <w:tr>
        <w:trPr>
          <w:cantSplit/>
        </w:trPr>
        <w:tc>
          <w:tcPr>
            <w:tcW w:type="dxa" w:w="4997"/>
            <w:vAlign w:val="center"/>
          </w:tcPr>
          <w:p>
            <w:pPr>
              <w:spacing w:after="20"/>
            </w:pPr>
            <w:r/>
            <w:r>
              <w:rPr>
                <w:rFonts w:ascii="Aptos" w:hAnsi="Aptos"/>
                <w:b w:val="0"/>
                <w:color w:val="263746"/>
                <w:sz w:val="16"/>
              </w:rPr>
              <w:t>Validation</w:t>
            </w:r>
          </w:p>
        </w:tc>
        <w:tc>
          <w:tcPr>
            <w:tcW w:type="dxa" w:w="4997"/>
            <w:vAlign w:val="center"/>
          </w:tcPr>
          <w:p>
            <w:pPr>
              <w:spacing w:after="20"/>
            </w:pPr>
            <w:r/>
            <w:r>
              <w:rPr>
                <w:rFonts w:ascii="Aptos" w:hAnsi="Aptos"/>
                <w:b w:val="0"/>
                <w:color w:val="263746"/>
                <w:sz w:val="16"/>
              </w:rPr>
              <w:t>Raw records → accepted rows + retained rejected rows/reasons</w:t>
            </w:r>
          </w:p>
        </w:tc>
      </w:tr>
      <w:tr>
        <w:trPr>
          <w:cantSplit/>
        </w:trPr>
        <w:tc>
          <w:tcPr>
            <w:tcW w:type="dxa" w:w="4997"/>
            <w:vAlign w:val="center"/>
            <w:shd w:fill="F2F7F8"/>
          </w:tcPr>
          <w:p>
            <w:pPr>
              <w:spacing w:after="20"/>
            </w:pPr>
            <w:r/>
            <w:r>
              <w:rPr>
                <w:rFonts w:ascii="Aptos" w:hAnsi="Aptos"/>
                <w:b w:val="0"/>
                <w:color w:val="263746"/>
                <w:sz w:val="16"/>
              </w:rPr>
              <w:t>Network</w:t>
            </w:r>
          </w:p>
        </w:tc>
        <w:tc>
          <w:tcPr>
            <w:tcW w:type="dxa" w:w="4997"/>
            <w:vAlign w:val="center"/>
            <w:shd w:fill="F2F7F8"/>
          </w:tcPr>
          <w:p>
            <w:pPr>
              <w:spacing w:after="20"/>
            </w:pPr>
            <w:r/>
            <w:r>
              <w:rPr>
                <w:rFonts w:ascii="Aptos" w:hAnsi="Aptos"/>
                <w:b w:val="0"/>
                <w:color w:val="263746"/>
                <w:sz w:val="16"/>
              </w:rPr>
              <w:t>Accepted rows → directed MultiDiGraph + summary</w:t>
            </w:r>
          </w:p>
        </w:tc>
      </w:tr>
      <w:tr>
        <w:trPr>
          <w:cantSplit/>
        </w:trPr>
        <w:tc>
          <w:tcPr>
            <w:tcW w:type="dxa" w:w="4997"/>
            <w:vAlign w:val="center"/>
          </w:tcPr>
          <w:p>
            <w:pPr>
              <w:spacing w:after="20"/>
            </w:pPr>
            <w:r/>
            <w:r>
              <w:rPr>
                <w:rFonts w:ascii="Aptos" w:hAnsi="Aptos"/>
                <w:b w:val="0"/>
                <w:color w:val="263746"/>
                <w:sz w:val="16"/>
              </w:rPr>
              <w:t>Detection</w:t>
            </w:r>
          </w:p>
        </w:tc>
        <w:tc>
          <w:tcPr>
            <w:tcW w:type="dxa" w:w="4997"/>
            <w:vAlign w:val="center"/>
          </w:tcPr>
          <w:p>
            <w:pPr>
              <w:spacing w:after="20"/>
            </w:pPr>
            <w:r/>
            <w:r>
              <w:rPr>
                <w:rFonts w:ascii="Aptos" w:hAnsi="Aptos"/>
                <w:b w:val="0"/>
                <w:color w:val="263746"/>
                <w:sz w:val="16"/>
              </w:rPr>
              <w:t>Graph + rule configuration → findings + evidence</w:t>
            </w:r>
          </w:p>
        </w:tc>
      </w:tr>
      <w:tr>
        <w:trPr>
          <w:cantSplit/>
        </w:trPr>
        <w:tc>
          <w:tcPr>
            <w:tcW w:type="dxa" w:w="4997"/>
            <w:vAlign w:val="center"/>
            <w:shd w:fill="F2F7F8"/>
          </w:tcPr>
          <w:p>
            <w:pPr>
              <w:spacing w:after="20"/>
            </w:pPr>
            <w:r/>
            <w:r>
              <w:rPr>
                <w:rFonts w:ascii="Aptos" w:hAnsi="Aptos"/>
                <w:b w:val="0"/>
                <w:color w:val="263746"/>
                <w:sz w:val="16"/>
              </w:rPr>
              <w:t>Explanation</w:t>
            </w:r>
          </w:p>
        </w:tc>
        <w:tc>
          <w:tcPr>
            <w:tcW w:type="dxa" w:w="4997"/>
            <w:vAlign w:val="center"/>
            <w:shd w:fill="F2F7F8"/>
          </w:tcPr>
          <w:p>
            <w:pPr>
              <w:spacing w:after="20"/>
            </w:pPr>
            <w:r/>
            <w:r>
              <w:rPr>
                <w:rFonts w:ascii="Aptos" w:hAnsi="Aptos"/>
                <w:b w:val="0"/>
                <w:color w:val="263746"/>
                <w:sz w:val="16"/>
              </w:rPr>
              <w:t>Validation counts + graph summary + findings → factual summary</w:t>
            </w:r>
          </w:p>
        </w:tc>
      </w:tr>
      <w:tr>
        <w:trPr>
          <w:cantSplit/>
        </w:trPr>
        <w:tc>
          <w:tcPr>
            <w:tcW w:type="dxa" w:w="4997"/>
            <w:vAlign w:val="center"/>
          </w:tcPr>
          <w:p>
            <w:pPr>
              <w:spacing w:after="20"/>
            </w:pPr>
            <w:r/>
            <w:r>
              <w:rPr>
                <w:rFonts w:ascii="Aptos" w:hAnsi="Aptos"/>
                <w:b w:val="0"/>
                <w:color w:val="263746"/>
                <w:sz w:val="16"/>
              </w:rPr>
              <w:t>Evaluation</w:t>
            </w:r>
          </w:p>
        </w:tc>
        <w:tc>
          <w:tcPr>
            <w:tcW w:type="dxa" w:w="4997"/>
            <w:vAlign w:val="center"/>
          </w:tcPr>
          <w:p>
            <w:pPr>
              <w:spacing w:after="20"/>
            </w:pPr>
            <w:r/>
            <w:r>
              <w:rPr>
                <w:rFonts w:ascii="Aptos" w:hAnsi="Aptos"/>
                <w:b w:val="0"/>
                <w:color w:val="263746"/>
                <w:sz w:val="16"/>
              </w:rPr>
              <w:t>Accepted transaction labels + completed findings → optional demo metrics/status</w:t>
            </w:r>
          </w:p>
        </w:tc>
      </w:tr>
      <w:tr>
        <w:trPr>
          <w:cantSplit/>
        </w:trPr>
        <w:tc>
          <w:tcPr>
            <w:tcW w:type="dxa" w:w="4997"/>
            <w:vAlign w:val="center"/>
            <w:shd w:fill="F2F7F8"/>
          </w:tcPr>
          <w:p>
            <w:pPr>
              <w:spacing w:after="20"/>
            </w:pPr>
            <w:r/>
            <w:r>
              <w:rPr>
                <w:rFonts w:ascii="Aptos" w:hAnsi="Aptos"/>
                <w:b w:val="0"/>
                <w:color w:val="263746"/>
                <w:sz w:val="16"/>
              </w:rPr>
              <w:t>Dashboard</w:t>
            </w:r>
          </w:p>
        </w:tc>
        <w:tc>
          <w:tcPr>
            <w:tcW w:type="dxa" w:w="4997"/>
            <w:vAlign w:val="center"/>
            <w:shd w:fill="F2F7F8"/>
          </w:tcPr>
          <w:p>
            <w:pPr>
              <w:spacing w:after="20"/>
            </w:pPr>
            <w:r/>
            <w:r>
              <w:rPr>
                <w:rFonts w:ascii="Aptos" w:hAnsi="Aptos"/>
                <w:b w:val="0"/>
                <w:color w:val="263746"/>
                <w:sz w:val="16"/>
              </w:rPr>
              <w:t>WorkflowResult → pages, tables, graph view, finding evidence</w:t>
            </w:r>
          </w:p>
        </w:tc>
      </w:tr>
      <w:tr>
        <w:trPr>
          <w:cantSplit/>
        </w:trPr>
        <w:tc>
          <w:tcPr>
            <w:tcW w:type="dxa" w:w="4997"/>
            <w:vAlign w:val="center"/>
          </w:tcPr>
          <w:p>
            <w:pPr>
              <w:spacing w:after="20"/>
            </w:pPr>
            <w:r/>
            <w:r>
              <w:rPr>
                <w:rFonts w:ascii="Aptos" w:hAnsi="Aptos"/>
                <w:b w:val="0"/>
                <w:color w:val="263746"/>
                <w:sz w:val="16"/>
              </w:rPr>
              <w:t>Optional local helper</w:t>
            </w:r>
          </w:p>
        </w:tc>
        <w:tc>
          <w:tcPr>
            <w:tcW w:type="dxa" w:w="4997"/>
            <w:vAlign w:val="center"/>
          </w:tcPr>
          <w:p>
            <w:pPr>
              <w:spacing w:after="20"/>
            </w:pPr>
            <w:r/>
            <w:r>
              <w:rPr>
                <w:rFonts w:ascii="Aptos" w:hAnsi="Aptos"/>
                <w:b w:val="0"/>
                <w:color w:val="263746"/>
                <w:sz w:val="16"/>
              </w:rPr>
              <w:t>User-selected finding whitelist → checked explanation or deterministic fallback</w:t>
            </w:r>
          </w:p>
        </w:tc>
      </w:tr>
    </w:tbl>
    <w:p>
      <w:pPr>
        <w:spacing w:after="0"/>
      </w:pPr>
    </w:p>
    <w:p>
      <w:r>
        <w:rPr>
          <w:i w:val="0"/>
        </w:rPr>
        <w:t>The evaluation route is downstream of pattern analysis and cannot change graph construction or detection. The optional Ollama helper is outside the analysis StateGraph and is called only after a user selects a finding and requests an explanation.</w:t>
      </w:r>
    </w:p>
    <w:p>
      <w:pPr>
        <w:pStyle w:val="Heading1"/>
      </w:pPr>
      <w:r>
        <w:t>6. Workflow, technologies, and detection rules</w:t>
      </w:r>
    </w:p>
    <w:p>
      <w:pPr>
        <w:pStyle w:val="Heading2"/>
      </w:pPr>
      <w:r>
        <w:t>Canonical schema and validation</w:t>
      </w:r>
    </w:p>
    <w:p>
      <w:r>
        <w:rPr>
          <w:i w:val="0"/>
        </w:rPr>
        <w:t>Required fields are transaction_id, time, sender_id, receiver_id, amount, and transaction_type. label is optional and reserved for evaluation. Synthetic fixture metadata source_row and scenario_id supports traceability and scenario review. Validation checks required columns, missing or blank identifiers, time validity, nonnumeric/non-finite/negative amounts, and duplicate IDs. If a nonblank transaction ID is duplicated, every row with that ID is rejected. Rejected records do not enter the graph.</w:t>
      </w:r>
    </w:p>
    <w:p>
      <w:pPr>
        <w:pStyle w:val="Heading2"/>
      </w:pPr>
      <w:r>
        <w:t>Graph representation</w:t>
      </w:r>
    </w:p>
    <w:p>
      <w:r>
        <w:rPr>
          <w:i w:val="0"/>
        </w:rPr>
        <w:t>A sender or receiver is an account node. Every accepted transaction is a directed multiedge from sender to receiver, keyed by transaction ID. Edge attributes retain amount, transaction type, time, and available source-row data. A MultiDiGraph preserves separate transfers between the same pair. The dashboard's display is capped at 60 accounts and 100 transactions; that cap affects the visualization only, not the underlying analysis.</w:t>
      </w:r>
    </w:p>
    <w:p>
      <w:pPr>
        <w:pStyle w:val="Heading2"/>
      </w:pPr>
      <w:r>
        <w:t>Rule definitions and defaults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102536"/>
          </w:tcPr>
          <w:p>
            <w:pPr>
              <w:spacing w:after="20"/>
            </w:pPr>
            <w:r/>
            <w:r>
              <w:rPr>
                <w:rFonts w:ascii="Aptos" w:hAnsi="Aptos"/>
                <w:b/>
                <w:color w:val="FFFFFF"/>
                <w:sz w:val="17"/>
              </w:rPr>
              <w:t>Rule</w:t>
            </w:r>
          </w:p>
        </w:tc>
        <w:tc>
          <w:tcPr>
            <w:tcW w:type="dxa" w:w="3331"/>
            <w:vAlign w:val="center"/>
            <w:shd w:fill="102536"/>
          </w:tcPr>
          <w:p>
            <w:pPr>
              <w:spacing w:after="20"/>
            </w:pPr>
            <w:r/>
            <w:r>
              <w:rPr>
                <w:rFonts w:ascii="Aptos" w:hAnsi="Aptos"/>
                <w:b/>
                <w:color w:val="FFFFFF"/>
                <w:sz w:val="17"/>
              </w:rPr>
              <w:t>Default condition</w:t>
            </w:r>
          </w:p>
        </w:tc>
        <w:tc>
          <w:tcPr>
            <w:tcW w:type="dxa" w:w="3331"/>
            <w:vAlign w:val="center"/>
            <w:shd w:fill="102536"/>
          </w:tcPr>
          <w:p>
            <w:pPr>
              <w:spacing w:after="20"/>
            </w:pPr>
            <w:r/>
            <w:r>
              <w:rPr>
                <w:rFonts w:ascii="Aptos" w:hAnsi="Aptos"/>
                <w:b/>
                <w:color w:val="FFFFFF"/>
                <w:sz w:val="17"/>
              </w:rPr>
              <w:t>Interpretation limit</w:t>
            </w:r>
          </w:p>
        </w:tc>
      </w:tr>
      <w:tr>
        <w:trPr>
          <w:cantSplit/>
        </w:trPr>
        <w:tc>
          <w:tcPr>
            <w:tcW w:type="dxa" w:w="3331"/>
            <w:vAlign w:val="center"/>
            <w:shd w:fill="F2F7F8"/>
          </w:tcPr>
          <w:p>
            <w:pPr>
              <w:spacing w:after="20"/>
            </w:pPr>
            <w:r/>
            <w:r>
              <w:rPr>
                <w:rFonts w:ascii="Aptos" w:hAnsi="Aptos"/>
                <w:b w:val="0"/>
                <w:color w:val="263746"/>
                <w:sz w:val="16"/>
              </w:rPr>
              <w:t>Rapid transfer chain</w:t>
            </w:r>
          </w:p>
        </w:tc>
        <w:tc>
          <w:tcPr>
            <w:tcW w:type="dxa" w:w="3331"/>
            <w:vAlign w:val="center"/>
            <w:shd w:fill="F2F7F8"/>
          </w:tcPr>
          <w:p>
            <w:pPr>
              <w:spacing w:after="20"/>
            </w:pPr>
            <w:r/>
            <w:r>
              <w:rPr>
                <w:rFonts w:ascii="Aptos" w:hAnsi="Aptos"/>
                <w:b w:val="0"/>
                <w:color w:val="263746"/>
                <w:sz w:val="16"/>
              </w:rPr>
              <w:t>A→B then B→C, distinct transaction IDs, strictly increasing times, elapsed time ≤ 2 units (or hours for datetime evidence).</w:t>
            </w:r>
          </w:p>
        </w:tc>
        <w:tc>
          <w:tcPr>
            <w:tcW w:type="dxa" w:w="3331"/>
            <w:vAlign w:val="center"/>
            <w:shd w:fill="F2F7F8"/>
          </w:tcPr>
          <w:p>
            <w:pPr>
              <w:spacing w:after="20"/>
            </w:pPr>
            <w:r/>
            <w:r>
              <w:rPr>
                <w:rFonts w:ascii="Aptos" w:hAnsi="Aptos"/>
                <w:b w:val="0"/>
                <w:color w:val="263746"/>
                <w:sz w:val="16"/>
              </w:rPr>
              <w:t>A sequence can be ordinary; it does not prove intent or fund tracing.</w:t>
            </w:r>
          </w:p>
        </w:tc>
      </w:tr>
      <w:tr>
        <w:trPr>
          <w:cantSplit/>
        </w:trPr>
        <w:tc>
          <w:tcPr>
            <w:tcW w:type="dxa" w:w="3331"/>
            <w:vAlign w:val="center"/>
          </w:tcPr>
          <w:p>
            <w:pPr>
              <w:spacing w:after="20"/>
            </w:pPr>
            <w:r/>
            <w:r>
              <w:rPr>
                <w:rFonts w:ascii="Aptos" w:hAnsi="Aptos"/>
                <w:b w:val="0"/>
                <w:color w:val="263746"/>
                <w:sz w:val="16"/>
              </w:rPr>
              <w:t>Shared intermediary</w:t>
            </w:r>
          </w:p>
        </w:tc>
        <w:tc>
          <w:tcPr>
            <w:tcW w:type="dxa" w:w="3331"/>
            <w:vAlign w:val="center"/>
          </w:tcPr>
          <w:p>
            <w:pPr>
              <w:spacing w:after="20"/>
            </w:pPr>
            <w:r/>
            <w:r>
              <w:rPr>
                <w:rFonts w:ascii="Aptos" w:hAnsi="Aptos"/>
                <w:b w:val="0"/>
                <w:color w:val="263746"/>
                <w:sz w:val="16"/>
              </w:rPr>
              <w:t>At least 2 distinct senders transfer to a common account; one or more onward transfers occur within 3 time units, with evidence for both sides.</w:t>
            </w:r>
          </w:p>
        </w:tc>
        <w:tc>
          <w:tcPr>
            <w:tcW w:type="dxa" w:w="3331"/>
            <w:vAlign w:val="center"/>
          </w:tcPr>
          <w:p>
            <w:pPr>
              <w:spacing w:after="20"/>
            </w:pPr>
            <w:r/>
            <w:r>
              <w:rPr>
                <w:rFonts w:ascii="Aptos" w:hAnsi="Aptos"/>
                <w:b w:val="0"/>
                <w:color w:val="263746"/>
                <w:sz w:val="16"/>
              </w:rPr>
              <w:t>High incoming count alone is insufficient; qualifying contributors depend on the window.</w:t>
            </w:r>
          </w:p>
        </w:tc>
      </w:tr>
      <w:tr>
        <w:trPr>
          <w:cantSplit/>
        </w:trPr>
        <w:tc>
          <w:tcPr>
            <w:tcW w:type="dxa" w:w="3331"/>
            <w:vAlign w:val="center"/>
            <w:shd w:fill="F2F7F8"/>
          </w:tcPr>
          <w:p>
            <w:pPr>
              <w:spacing w:after="20"/>
            </w:pPr>
            <w:r/>
            <w:r>
              <w:rPr>
                <w:rFonts w:ascii="Aptos" w:hAnsi="Aptos"/>
                <w:b w:val="0"/>
                <w:color w:val="263746"/>
                <w:sz w:val="16"/>
              </w:rPr>
              <w:t>Substantial onward transfer</w:t>
            </w:r>
          </w:p>
        </w:tc>
        <w:tc>
          <w:tcPr>
            <w:tcW w:type="dxa" w:w="3331"/>
            <w:vAlign w:val="center"/>
            <w:shd w:fill="F2F7F8"/>
          </w:tcPr>
          <w:p>
            <w:pPr>
              <w:spacing w:after="20"/>
            </w:pPr>
            <w:r/>
            <w:r>
              <w:rPr>
                <w:rFonts w:ascii="Aptos" w:hAnsi="Aptos"/>
                <w:b w:val="0"/>
                <w:color w:val="263746"/>
                <w:sz w:val="16"/>
              </w:rPr>
              <w:t>Outgoing transfer within 3 units is at least 80% of aggregate recent incoming amount for the account.</w:t>
            </w:r>
          </w:p>
        </w:tc>
        <w:tc>
          <w:tcPr>
            <w:tcW w:type="dxa" w:w="3331"/>
            <w:vAlign w:val="center"/>
            <w:shd w:fill="F2F7F8"/>
          </w:tcPr>
          <w:p>
            <w:pPr>
              <w:spacing w:after="20"/>
            </w:pPr>
            <w:r/>
            <w:r>
              <w:rPr>
                <w:rFonts w:ascii="Aptos" w:hAnsi="Aptos"/>
                <w:b w:val="0"/>
                <w:color w:val="263746"/>
                <w:sz w:val="16"/>
              </w:rPr>
              <w:t>Aggregate amount comparison is a heuristic; it cannot link particular money to a specific source.</w:t>
            </w:r>
          </w:p>
        </w:tc>
      </w:tr>
    </w:tbl>
    <w:p>
      <w:pPr>
        <w:spacing w:after="0"/>
      </w:pPr>
    </w:p>
    <w:p>
      <w:r>
        <w:rPr>
          <w:i w:val="0"/>
        </w:rPr>
        <w:t>Temporal comparisons require valid, strictly increasing order; same-time, reversed, or incompatible time pairs do not match. Numeric indexes are time units, not hours. Findings may overlap because separate rules can use the same evidence.</w:t>
      </w:r>
    </w:p>
    <w:p>
      <w:pPr>
        <w:pStyle w:val="Heading2"/>
      </w:pPr>
      <w:r>
        <w:t>Technology stack</w:t>
      </w:r>
    </w:p>
    <w:p>
      <w:r>
        <w:rPr>
          <w:i w:val="0"/>
        </w:rPr>
        <w:t>Python 3.12.10; Streamlit 1.51.0; pandas 2.2.3; NetworkX 3.6.1; Plotly 6.6.0; LangGraph 1.2.15 for fixed workflow orchestration; pytest 9.1.1 for tests. The optional Ollama HTTP client uses Python's standard library. Exact pins are listed in requirements.txt.</w:t>
      </w:r>
    </w:p>
    <w:p>
      <w:pPr>
        <w:pStyle w:val="Heading1"/>
      </w:pPr>
      <w:r>
        <w:t>7. Optional local Ollama/Qwen explanation</w:t>
      </w:r>
    </w:p>
    <w:p>
      <w:r>
        <w:rPr>
          <w:i w:val="0"/>
        </w:rPr>
        <w:t>The optional explanation component uses Ollama's local HTTP endpoint at http://localhost:11434/api/chat with model qwen2.5:3b. The Streamlit user must explicitly request an explanation for a selected finding. The normal workflow does not require Ollama; if it is unavailable, analysis remains usable.</w:t>
      </w:r>
    </w:p>
    <w:p>
      <w:pPr>
        <w:pStyle w:val="Heading2"/>
      </w:pPr>
      <w:r>
        <w:t>Isolation and safeguards</w:t>
      </w:r>
    </w:p>
    <w:p>
      <w:pPr>
        <w:pStyle w:val="ListBullet"/>
        <w:spacing w:after="40"/>
      </w:pPr>
      <w:r>
        <w:t>The model receives only whitelisted evidence for the selected finding: finding/rule identifiers, involved account IDs, supporting transaction IDs, evidence fields, relevant times, thresholds, and measurements.</w:t>
      </w:r>
    </w:p>
    <w:p>
      <w:pPr>
        <w:pStyle w:val="ListBullet"/>
        <w:spacing w:after="40"/>
      </w:pPr>
      <w:r>
        <w:t>It does not receive the uploaded CSV, all transaction history, evaluation labels, unrelated records, or source-row identifiers.</w:t>
      </w:r>
    </w:p>
    <w:p>
      <w:pPr>
        <w:pStyle w:val="ListBullet"/>
        <w:spacing w:after="40"/>
      </w:pPr>
      <w:r>
        <w:t>The helper returns explanatory text only; it cannot create, remove, reclassify, or change severity of findings.</w:t>
      </w:r>
    </w:p>
    <w:p>
      <w:pPr>
        <w:pStyle w:val="ListBullet"/>
        <w:spacing w:after="40"/>
      </w:pPr>
      <w:r>
        <w:t>The response is checked for empty, malformed, excessive, and prohibited explicit fraud/mule claims. A timeout or other failure yields a deterministic evidence-based fallback.</w:t>
      </w:r>
    </w:p>
    <w:p>
      <w:pPr>
        <w:pStyle w:val="ListBullet"/>
        <w:spacing w:after="40"/>
      </w:pPr>
      <w:r>
        <w:t>Timeout defaults to 60 seconds and can be configured with UPI_SENTINEL_OLLAMA_TIMEOUT_SECONDS.</w:t>
      </w:r>
    </w:p>
    <w:p>
      <w:pPr>
        <w:pStyle w:val="ListBullet"/>
        <w:spacing w:after="40"/>
      </w:pPr>
      <w:r>
        <w:t>These safeguards reduce unsupported output risk but do not guarantee that a language model is accurate or hallucination-free; review its text against evidence.</w:t>
      </w:r>
    </w:p>
    <w:p>
      <w:r>
        <w:rPr>
          <w:i w:val="0"/>
        </w:rPr>
        <w:t>Privacy boundary: requests are made to the local Ollama service on the same machine. This design does not intentionally transmit the complete uploaded dataset. Users should still understand their local Ollama configuration and avoid sending sensitive live data in this academic prototype.</w:t>
      </w:r>
    </w:p>
    <w:p>
      <w:pPr>
        <w:pStyle w:val="Heading1"/>
      </w:pPr>
      <w:r>
        <w:t>8. Streamlit dashboard</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Page</w:t>
            </w:r>
          </w:p>
        </w:tc>
        <w:tc>
          <w:tcPr>
            <w:tcW w:type="dxa" w:w="4997"/>
            <w:vAlign w:val="center"/>
            <w:shd w:fill="102536"/>
          </w:tcPr>
          <w:p>
            <w:pPr>
              <w:spacing w:after="20"/>
            </w:pPr>
            <w:r/>
            <w:r>
              <w:rPr>
                <w:rFonts w:ascii="Aptos" w:hAnsi="Aptos"/>
                <w:b/>
                <w:color w:val="FFFFFF"/>
                <w:sz w:val="17"/>
              </w:rPr>
              <w:t>Purpose</w:t>
            </w:r>
          </w:p>
        </w:tc>
      </w:tr>
      <w:tr>
        <w:trPr>
          <w:cantSplit/>
        </w:trPr>
        <w:tc>
          <w:tcPr>
            <w:tcW w:type="dxa" w:w="4997"/>
            <w:vAlign w:val="center"/>
            <w:shd w:fill="F2F7F8"/>
          </w:tcPr>
          <w:p>
            <w:pPr>
              <w:spacing w:after="20"/>
            </w:pPr>
            <w:r/>
            <w:r>
              <w:rPr>
                <w:rFonts w:ascii="Aptos" w:hAnsi="Aptos"/>
                <w:b w:val="0"/>
                <w:color w:val="263746"/>
                <w:sz w:val="16"/>
              </w:rPr>
              <w:t>Overview</w:t>
            </w:r>
          </w:p>
        </w:tc>
        <w:tc>
          <w:tcPr>
            <w:tcW w:type="dxa" w:w="4997"/>
            <w:vAlign w:val="center"/>
            <w:shd w:fill="F2F7F8"/>
          </w:tcPr>
          <w:p>
            <w:pPr>
              <w:spacing w:after="20"/>
            </w:pPr>
            <w:r/>
            <w:r>
              <w:rPr>
                <w:rFonts w:ascii="Aptos" w:hAnsi="Aptos"/>
                <w:b w:val="0"/>
                <w:color w:val="263746"/>
                <w:sz w:val="16"/>
              </w:rPr>
              <w:t>Actual workflow status, input/accepted/rejected counts, network totals, findings, and summary.</w:t>
            </w:r>
          </w:p>
        </w:tc>
      </w:tr>
      <w:tr>
        <w:trPr>
          <w:cantSplit/>
        </w:trPr>
        <w:tc>
          <w:tcPr>
            <w:tcW w:type="dxa" w:w="4997"/>
            <w:vAlign w:val="center"/>
          </w:tcPr>
          <w:p>
            <w:pPr>
              <w:spacing w:after="20"/>
            </w:pPr>
            <w:r/>
            <w:r>
              <w:rPr>
                <w:rFonts w:ascii="Aptos" w:hAnsi="Aptos"/>
                <w:b w:val="0"/>
                <w:color w:val="263746"/>
                <w:sz w:val="16"/>
              </w:rPr>
              <w:t>Investigations</w:t>
            </w:r>
          </w:p>
        </w:tc>
        <w:tc>
          <w:tcPr>
            <w:tcW w:type="dxa" w:w="4997"/>
            <w:vAlign w:val="center"/>
          </w:tcPr>
          <w:p>
            <w:pPr>
              <w:spacing w:after="20"/>
            </w:pPr>
            <w:r/>
            <w:r>
              <w:rPr>
                <w:rFonts w:ascii="Aptos" w:hAnsi="Aptos"/>
                <w:b w:val="0"/>
                <w:color w:val="263746"/>
                <w:sz w:val="16"/>
              </w:rPr>
              <w:t>Search/filter findings, inspect selected evidence and thresholds, and optionally request a local explanation.</w:t>
            </w:r>
          </w:p>
        </w:tc>
      </w:tr>
      <w:tr>
        <w:trPr>
          <w:cantSplit/>
        </w:trPr>
        <w:tc>
          <w:tcPr>
            <w:tcW w:type="dxa" w:w="4997"/>
            <w:vAlign w:val="center"/>
            <w:shd w:fill="F2F7F8"/>
          </w:tcPr>
          <w:p>
            <w:pPr>
              <w:spacing w:after="20"/>
            </w:pPr>
            <w:r/>
            <w:r>
              <w:rPr>
                <w:rFonts w:ascii="Aptos" w:hAnsi="Aptos"/>
                <w:b w:val="0"/>
                <w:color w:val="263746"/>
                <w:sz w:val="16"/>
              </w:rPr>
              <w:t>Network Explorer</w:t>
            </w:r>
          </w:p>
        </w:tc>
        <w:tc>
          <w:tcPr>
            <w:tcW w:type="dxa" w:w="4997"/>
            <w:vAlign w:val="center"/>
            <w:shd w:fill="F2F7F8"/>
          </w:tcPr>
          <w:p>
            <w:pPr>
              <w:spacing w:after="20"/>
            </w:pPr>
            <w:r/>
            <w:r>
              <w:rPr>
                <w:rFonts w:ascii="Aptos" w:hAnsi="Aptos"/>
                <w:b w:val="0"/>
                <w:color w:val="263746"/>
                <w:sz w:val="16"/>
              </w:rPr>
              <w:t>Explore a bounded interactive transaction network with account/edge details.</w:t>
            </w:r>
          </w:p>
        </w:tc>
      </w:tr>
      <w:tr>
        <w:trPr>
          <w:cantSplit/>
        </w:trPr>
        <w:tc>
          <w:tcPr>
            <w:tcW w:type="dxa" w:w="4997"/>
            <w:vAlign w:val="center"/>
          </w:tcPr>
          <w:p>
            <w:pPr>
              <w:spacing w:after="20"/>
            </w:pPr>
            <w:r/>
            <w:r>
              <w:rPr>
                <w:rFonts w:ascii="Aptos" w:hAnsi="Aptos"/>
                <w:b w:val="0"/>
                <w:color w:val="263746"/>
                <w:sz w:val="16"/>
              </w:rPr>
              <w:t>Transactions</w:t>
            </w:r>
          </w:p>
        </w:tc>
        <w:tc>
          <w:tcPr>
            <w:tcW w:type="dxa" w:w="4997"/>
            <w:vAlign w:val="center"/>
          </w:tcPr>
          <w:p>
            <w:pPr>
              <w:spacing w:after="20"/>
            </w:pPr>
            <w:r/>
            <w:r>
              <w:rPr>
                <w:rFonts w:ascii="Aptos" w:hAnsi="Aptos"/>
                <w:b w:val="0"/>
                <w:color w:val="263746"/>
                <w:sz w:val="16"/>
              </w:rPr>
              <w:t>Search accepted and rejected rows, review validation reasons, and trace source rows.</w:t>
            </w:r>
          </w:p>
        </w:tc>
      </w:tr>
      <w:tr>
        <w:trPr>
          <w:cantSplit/>
        </w:trPr>
        <w:tc>
          <w:tcPr>
            <w:tcW w:type="dxa" w:w="4997"/>
            <w:vAlign w:val="center"/>
            <w:shd w:fill="F2F7F8"/>
          </w:tcPr>
          <w:p>
            <w:pPr>
              <w:spacing w:after="20"/>
            </w:pPr>
            <w:r/>
            <w:r>
              <w:rPr>
                <w:rFonts w:ascii="Aptos" w:hAnsi="Aptos"/>
                <w:b w:val="0"/>
                <w:color w:val="263746"/>
                <w:sz w:val="16"/>
              </w:rPr>
              <w:t>Methodology</w:t>
            </w:r>
          </w:p>
        </w:tc>
        <w:tc>
          <w:tcPr>
            <w:tcW w:type="dxa" w:w="4997"/>
            <w:vAlign w:val="center"/>
            <w:shd w:fill="F2F7F8"/>
          </w:tcPr>
          <w:p>
            <w:pPr>
              <w:spacing w:after="20"/>
            </w:pPr>
            <w:r/>
            <w:r>
              <w:rPr>
                <w:rFonts w:ascii="Aptos" w:hAnsi="Aptos"/>
                <w:b w:val="0"/>
                <w:color w:val="263746"/>
                <w:sz w:val="16"/>
              </w:rPr>
              <w:t>Review deterministic workflow, rules, LLM role, privacy boundaries, and limitations.</w:t>
            </w:r>
          </w:p>
        </w:tc>
      </w:tr>
    </w:tbl>
    <w:p>
      <w:pPr>
        <w:spacing w:after="0"/>
      </w:pPr>
    </w:p>
    <w:p>
      <w:pPr>
        <w:jc w:val="center"/>
      </w:pPr>
      <w:r>
        <w:drawing>
          <wp:inline xmlns:a="http://schemas.openxmlformats.org/drawingml/2006/main" xmlns:pic="http://schemas.openxmlformats.org/drawingml/2006/picture">
            <wp:extent cx="5669280" cy="2964022"/>
            <wp:docPr id="1" name="Picture 1"/>
            <wp:cNvGraphicFramePr>
              <a:graphicFrameLocks noChangeAspect="1"/>
            </wp:cNvGraphicFramePr>
            <a:graphic>
              <a:graphicData uri="http://schemas.openxmlformats.org/drawingml/2006/picture">
                <pic:pic>
                  <pic:nvPicPr>
                    <pic:cNvPr id="0" name="overview_crop.png"/>
                    <pic:cNvPicPr/>
                  </pic:nvPicPr>
                  <pic:blipFill>
                    <a:blip r:embed="rId11"/>
                    <a:stretch>
                      <a:fillRect/>
                    </a:stretch>
                  </pic:blipFill>
                  <pic:spPr>
                    <a:xfrm>
                      <a:off x="0" y="0"/>
                      <a:ext cx="5669280" cy="2964022"/>
                    </a:xfrm>
                    <a:prstGeom prst="rect"/>
                  </pic:spPr>
                </pic:pic>
              </a:graphicData>
            </a:graphic>
          </wp:inline>
        </w:drawing>
      </w:r>
    </w:p>
    <w:p>
      <w:pPr>
        <w:jc w:val="center"/>
      </w:pPr>
      <w:r>
        <w:rPr>
          <w:i/>
          <w:color w:val="526976"/>
          <w:sz w:val="16"/>
        </w:rPr>
        <w:t>Figure 1. Actual Streamlit Overview capture from the project demo.</w:t>
      </w:r>
    </w:p>
    <w:p>
      <w:pPr>
        <w:jc w:val="center"/>
      </w:pPr>
      <w:r>
        <w:drawing>
          <wp:inline xmlns:a="http://schemas.openxmlformats.org/drawingml/2006/main" xmlns:pic="http://schemas.openxmlformats.org/drawingml/2006/picture">
            <wp:extent cx="5669280" cy="2286768"/>
            <wp:docPr id="2" name="Picture 2"/>
            <wp:cNvGraphicFramePr>
              <a:graphicFrameLocks noChangeAspect="1"/>
            </wp:cNvGraphicFramePr>
            <a:graphic>
              <a:graphicData uri="http://schemas.openxmlformats.org/drawingml/2006/picture">
                <pic:pic>
                  <pic:nvPicPr>
                    <pic:cNvPr id="0" name="ollama_evidence_crop.png"/>
                    <pic:cNvPicPr/>
                  </pic:nvPicPr>
                  <pic:blipFill>
                    <a:blip r:embed="rId12"/>
                    <a:stretch>
                      <a:fillRect/>
                    </a:stretch>
                  </pic:blipFill>
                  <pic:spPr>
                    <a:xfrm>
                      <a:off x="0" y="0"/>
                      <a:ext cx="5669280" cy="2286768"/>
                    </a:xfrm>
                    <a:prstGeom prst="rect"/>
                  </pic:spPr>
                </pic:pic>
              </a:graphicData>
            </a:graphic>
          </wp:inline>
        </w:drawing>
      </w:r>
    </w:p>
    <w:p>
      <w:pPr>
        <w:jc w:val="center"/>
      </w:pPr>
      <w:r>
        <w:rPr>
          <w:i/>
          <w:color w:val="526976"/>
          <w:sz w:val="16"/>
        </w:rPr>
        <w:t>Figure 2. Actual selected-finding evidence and local explanation capture.</w:t>
      </w:r>
    </w:p>
    <w:p>
      <w:r>
        <w:rPr>
          <w:i w:val="0"/>
        </w:rPr>
        <w:t>The captures above are project screenshots retained with the presentation work materials; they illustrate the dashboard and the optional explanation flow. The live browser workflow was not independently re-tested as part of this GitHub packaging task.</w:t>
      </w:r>
    </w:p>
    <w:p>
      <w:r>
        <w:br w:type="page"/>
      </w:r>
    </w:p>
    <w:p>
      <w:pPr>
        <w:pStyle w:val="Heading1"/>
      </w:pPr>
      <w:r>
        <w:t>9. Synthetic scenarios and verified fixture results</w:t>
      </w:r>
    </w:p>
    <w:p>
      <w:r>
        <w:rPr>
          <w:i w:val="0"/>
        </w:rPr>
        <w:t>The bundled data contains 40 synthetic input rows. A fresh run through the public run_analysis() workflow yielded 31 accepted rows, 9 rejected rows, 37 graph accounts, 31 graph transactions, and 5 findings. These are reproducible fixture outputs, not real-world observations.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102536"/>
          </w:tcPr>
          <w:p>
            <w:pPr>
              <w:spacing w:after="20"/>
            </w:pPr>
            <w:r/>
            <w:r>
              <w:rPr>
                <w:rFonts w:ascii="Aptos" w:hAnsi="Aptos"/>
                <w:b/>
                <w:color w:val="FFFFFF"/>
                <w:sz w:val="17"/>
              </w:rPr>
              <w:t>Scenario</w:t>
            </w:r>
          </w:p>
        </w:tc>
        <w:tc>
          <w:tcPr>
            <w:tcW w:type="dxa" w:w="3331"/>
            <w:vAlign w:val="center"/>
            <w:shd w:fill="102536"/>
          </w:tcPr>
          <w:p>
            <w:pPr>
              <w:spacing w:after="20"/>
            </w:pPr>
            <w:r/>
            <w:r>
              <w:rPr>
                <w:rFonts w:ascii="Aptos" w:hAnsi="Aptos"/>
                <w:b/>
                <w:color w:val="FFFFFF"/>
                <w:sz w:val="17"/>
              </w:rPr>
              <w:t>Fixture evidence and observed behavior</w:t>
            </w:r>
          </w:p>
        </w:tc>
        <w:tc>
          <w:tcPr>
            <w:tcW w:type="dxa" w:w="3331"/>
            <w:vAlign w:val="center"/>
            <w:shd w:fill="102536"/>
          </w:tcPr>
          <w:p>
            <w:pPr>
              <w:spacing w:after="20"/>
            </w:pPr>
            <w:r/>
            <w:r>
              <w:rPr>
                <w:rFonts w:ascii="Aptos" w:hAnsi="Aptos"/>
                <w:b/>
                <w:color w:val="FFFFFF"/>
                <w:sz w:val="17"/>
              </w:rPr>
              <w:t>Status</w:t>
            </w:r>
          </w:p>
        </w:tc>
      </w:tr>
      <w:tr>
        <w:trPr>
          <w:cantSplit/>
        </w:trPr>
        <w:tc>
          <w:tcPr>
            <w:tcW w:type="dxa" w:w="3331"/>
            <w:vAlign w:val="center"/>
            <w:shd w:fill="F2F7F8"/>
          </w:tcPr>
          <w:p>
            <w:pPr>
              <w:spacing w:after="20"/>
            </w:pPr>
            <w:r/>
            <w:r>
              <w:rPr>
                <w:rFonts w:ascii="Aptos" w:hAnsi="Aptos"/>
                <w:b w:val="0"/>
                <w:color w:val="263746"/>
                <w:sz w:val="16"/>
              </w:rPr>
              <w:t>S1 • ordinary P2P</w:t>
            </w:r>
          </w:p>
        </w:tc>
        <w:tc>
          <w:tcPr>
            <w:tcW w:type="dxa" w:w="3331"/>
            <w:vAlign w:val="center"/>
            <w:shd w:fill="F2F7F8"/>
          </w:tcPr>
          <w:p>
            <w:pPr>
              <w:spacing w:after="20"/>
            </w:pPr>
            <w:r/>
            <w:r>
              <w:rPr>
                <w:rFonts w:ascii="Aptos" w:hAnsi="Aptos"/>
                <w:b w:val="0"/>
                <w:color w:val="263746"/>
                <w:sz w:val="16"/>
              </w:rPr>
              <w:t>S1-T1–S1-T4; four valid independent transfers; no rule finding.</w:t>
            </w:r>
          </w:p>
        </w:tc>
        <w:tc>
          <w:tcPr>
            <w:tcW w:type="dxa" w:w="3331"/>
            <w:vAlign w:val="center"/>
            <w:shd w:fill="F2F7F8"/>
          </w:tcPr>
          <w:p>
            <w:pPr>
              <w:spacing w:after="20"/>
            </w:pPr>
            <w:r/>
            <w:r>
              <w:rPr>
                <w:rFonts w:ascii="Aptos" w:hAnsi="Aptos"/>
                <w:b w:val="0"/>
                <w:color w:val="263746"/>
                <w:sz w:val="16"/>
              </w:rPr>
              <w:t>Pass</w:t>
            </w:r>
          </w:p>
        </w:tc>
      </w:tr>
      <w:tr>
        <w:trPr>
          <w:cantSplit/>
        </w:trPr>
        <w:tc>
          <w:tcPr>
            <w:tcW w:type="dxa" w:w="3331"/>
            <w:vAlign w:val="center"/>
          </w:tcPr>
          <w:p>
            <w:pPr>
              <w:spacing w:after="20"/>
            </w:pPr>
            <w:r/>
            <w:r>
              <w:rPr>
                <w:rFonts w:ascii="Aptos" w:hAnsi="Aptos"/>
                <w:b w:val="0"/>
                <w:color w:val="263746"/>
                <w:sz w:val="16"/>
              </w:rPr>
              <w:t>S2 • rapid chain</w:t>
            </w:r>
          </w:p>
        </w:tc>
        <w:tc>
          <w:tcPr>
            <w:tcW w:type="dxa" w:w="3331"/>
            <w:vAlign w:val="center"/>
          </w:tcPr>
          <w:p>
            <w:pPr>
              <w:spacing w:after="20"/>
            </w:pPr>
            <w:r/>
            <w:r>
              <w:rPr>
                <w:rFonts w:ascii="Aptos" w:hAnsi="Aptos"/>
                <w:b w:val="0"/>
                <w:color w:val="263746"/>
                <w:sz w:val="16"/>
              </w:rPr>
              <w:t>S2-T1 A→B 500 at 100; S2-T2 B→C 480 at 101. Rapid-chain and onward findings overlap on these two records.</w:t>
            </w:r>
          </w:p>
        </w:tc>
        <w:tc>
          <w:tcPr>
            <w:tcW w:type="dxa" w:w="3331"/>
            <w:vAlign w:val="center"/>
          </w:tcPr>
          <w:p>
            <w:pPr>
              <w:spacing w:after="20"/>
            </w:pPr>
            <w:r/>
            <w:r>
              <w:rPr>
                <w:rFonts w:ascii="Aptos" w:hAnsi="Aptos"/>
                <w:b w:val="0"/>
                <w:color w:val="263746"/>
                <w:sz w:val="16"/>
              </w:rPr>
              <w:t>Pass</w:t>
            </w:r>
          </w:p>
        </w:tc>
      </w:tr>
      <w:tr>
        <w:trPr>
          <w:cantSplit/>
        </w:trPr>
        <w:tc>
          <w:tcPr>
            <w:tcW w:type="dxa" w:w="3331"/>
            <w:vAlign w:val="center"/>
            <w:shd w:fill="F2F7F8"/>
          </w:tcPr>
          <w:p>
            <w:pPr>
              <w:spacing w:after="20"/>
            </w:pPr>
            <w:r/>
            <w:r>
              <w:rPr>
                <w:rFonts w:ascii="Aptos" w:hAnsi="Aptos"/>
                <w:b w:val="0"/>
                <w:color w:val="263746"/>
                <w:sz w:val="16"/>
              </w:rPr>
              <w:t>S3 • shared intermediary</w:t>
            </w:r>
          </w:p>
        </w:tc>
        <w:tc>
          <w:tcPr>
            <w:tcW w:type="dxa" w:w="3331"/>
            <w:vAlign w:val="center"/>
            <w:shd w:fill="F2F7F8"/>
          </w:tcPr>
          <w:p>
            <w:pPr>
              <w:spacing w:after="20"/>
            </w:pPr>
            <w:r/>
            <w:r>
              <w:rPr>
                <w:rFonts w:ascii="Aptos" w:hAnsi="Aptos"/>
                <w:b w:val="0"/>
                <w:color w:val="263746"/>
                <w:sz w:val="16"/>
              </w:rPr>
              <w:t>Three incoming records to S3-HUB at 200/201/202; onward at 204. First incoming is 4 units earlier than onward and outside 3-unit window; two recent senders qualify.</w:t>
            </w:r>
          </w:p>
        </w:tc>
        <w:tc>
          <w:tcPr>
            <w:tcW w:type="dxa" w:w="3331"/>
            <w:vAlign w:val="center"/>
            <w:shd w:fill="F2F7F8"/>
          </w:tcPr>
          <w:p>
            <w:pPr>
              <w:spacing w:after="20"/>
            </w:pPr>
            <w:r/>
            <w:r>
              <w:rPr>
                <w:rFonts w:ascii="Aptos" w:hAnsi="Aptos"/>
                <w:b w:val="0"/>
                <w:color w:val="263746"/>
                <w:sz w:val="16"/>
              </w:rPr>
              <w:t>Partial</w:t>
            </w:r>
          </w:p>
        </w:tc>
      </w:tr>
      <w:tr>
        <w:trPr>
          <w:cantSplit/>
        </w:trPr>
        <w:tc>
          <w:tcPr>
            <w:tcW w:type="dxa" w:w="3331"/>
            <w:vAlign w:val="center"/>
          </w:tcPr>
          <w:p>
            <w:pPr>
              <w:spacing w:after="20"/>
            </w:pPr>
            <w:r/>
            <w:r>
              <w:rPr>
                <w:rFonts w:ascii="Aptos" w:hAnsi="Aptos"/>
                <w:b w:val="0"/>
                <w:color w:val="263746"/>
                <w:sz w:val="16"/>
              </w:rPr>
              <w:t>S4 • invalid rows</w:t>
            </w:r>
          </w:p>
        </w:tc>
        <w:tc>
          <w:tcPr>
            <w:tcW w:type="dxa" w:w="3331"/>
            <w:vAlign w:val="center"/>
          </w:tcPr>
          <w:p>
            <w:pPr>
              <w:spacing w:after="20"/>
            </w:pPr>
            <w:r/>
            <w:r>
              <w:rPr>
                <w:rFonts w:ascii="Aptos" w:hAnsi="Aptos"/>
                <w:b w:val="0"/>
                <w:color w:val="263746"/>
                <w:sz w:val="16"/>
              </w:rPr>
              <w:t>Nine rows rejected with reasons, including missing/blank data, invalid amount/time, negative amount, and two duplicate-ID rows.</w:t>
            </w:r>
          </w:p>
        </w:tc>
        <w:tc>
          <w:tcPr>
            <w:tcW w:type="dxa" w:w="3331"/>
            <w:vAlign w:val="center"/>
          </w:tcPr>
          <w:p>
            <w:pPr>
              <w:spacing w:after="20"/>
            </w:pPr>
            <w:r/>
            <w:r>
              <w:rPr>
                <w:rFonts w:ascii="Aptos" w:hAnsi="Aptos"/>
                <w:b w:val="0"/>
                <w:color w:val="263746"/>
                <w:sz w:val="16"/>
              </w:rPr>
              <w:t>Pass</w:t>
            </w:r>
          </w:p>
        </w:tc>
      </w:tr>
      <w:tr>
        <w:trPr>
          <w:cantSplit/>
        </w:trPr>
        <w:tc>
          <w:tcPr>
            <w:tcW w:type="dxa" w:w="3331"/>
            <w:vAlign w:val="center"/>
            <w:shd w:fill="F2F7F8"/>
          </w:tcPr>
          <w:p>
            <w:pPr>
              <w:spacing w:after="20"/>
            </w:pPr>
            <w:r/>
            <w:r>
              <w:rPr>
                <w:rFonts w:ascii="Aptos" w:hAnsi="Aptos"/>
                <w:b w:val="0"/>
                <w:color w:val="263746"/>
                <w:sz w:val="16"/>
              </w:rPr>
              <w:t>S5 • merchant control</w:t>
            </w:r>
          </w:p>
        </w:tc>
        <w:tc>
          <w:tcPr>
            <w:tcW w:type="dxa" w:w="3331"/>
            <w:vAlign w:val="center"/>
            <w:shd w:fill="F2F7F8"/>
          </w:tcPr>
          <w:p>
            <w:pPr>
              <w:spacing w:after="20"/>
            </w:pPr>
            <w:r/>
            <w:r>
              <w:rPr>
                <w:rFonts w:ascii="Aptos" w:hAnsi="Aptos"/>
                <w:b w:val="0"/>
                <w:color w:val="263746"/>
                <w:sz w:val="16"/>
              </w:rPr>
              <w:t>18 accepted payments to S5-MERCHANT; incoming count alone creates no finding.</w:t>
            </w:r>
          </w:p>
        </w:tc>
        <w:tc>
          <w:tcPr>
            <w:tcW w:type="dxa" w:w="3331"/>
            <w:vAlign w:val="center"/>
            <w:shd w:fill="F2F7F8"/>
          </w:tcPr>
          <w:p>
            <w:pPr>
              <w:spacing w:after="20"/>
            </w:pPr>
            <w:r/>
            <w:r>
              <w:rPr>
                <w:rFonts w:ascii="Aptos" w:hAnsi="Aptos"/>
                <w:b w:val="0"/>
                <w:color w:val="263746"/>
                <w:sz w:val="16"/>
              </w:rPr>
              <w:t>Pass</w:t>
            </w:r>
          </w:p>
        </w:tc>
      </w:tr>
      <w:tr>
        <w:trPr>
          <w:cantSplit/>
        </w:trPr>
        <w:tc>
          <w:tcPr>
            <w:tcW w:type="dxa" w:w="3331"/>
            <w:vAlign w:val="center"/>
          </w:tcPr>
          <w:p>
            <w:pPr>
              <w:spacing w:after="20"/>
            </w:pPr>
            <w:r/>
            <w:r>
              <w:rPr>
                <w:rFonts w:ascii="Aptos" w:hAnsi="Aptos"/>
                <w:b w:val="0"/>
                <w:color w:val="263746"/>
                <w:sz w:val="16"/>
              </w:rPr>
              <w:t>S6 • split/refund</w:t>
            </w:r>
          </w:p>
        </w:tc>
        <w:tc>
          <w:tcPr>
            <w:tcW w:type="dxa" w:w="3331"/>
            <w:vAlign w:val="center"/>
          </w:tcPr>
          <w:p>
            <w:pPr>
              <w:spacing w:after="20"/>
            </w:pPr>
            <w:r/>
            <w:r>
              <w:rPr>
                <w:rFonts w:ascii="Aptos" w:hAnsi="Aptos"/>
                <w:b w:val="0"/>
                <w:color w:val="263746"/>
                <w:sz w:val="16"/>
              </w:rPr>
              <w:t>Two split payments and one refund; all accepted and no configured rule matches the fixture timing.</w:t>
            </w:r>
          </w:p>
        </w:tc>
        <w:tc>
          <w:tcPr>
            <w:tcW w:type="dxa" w:w="3331"/>
            <w:vAlign w:val="center"/>
          </w:tcPr>
          <w:p>
            <w:pPr>
              <w:spacing w:after="20"/>
            </w:pPr>
            <w:r/>
            <w:r>
              <w:rPr>
                <w:rFonts w:ascii="Aptos" w:hAnsi="Aptos"/>
                <w:b w:val="0"/>
                <w:color w:val="263746"/>
                <w:sz w:val="16"/>
              </w:rPr>
              <w:t>Pass</w:t>
            </w:r>
          </w:p>
        </w:tc>
      </w:tr>
    </w:tbl>
    <w:p>
      <w:pPr>
        <w:spacing w:after="0"/>
      </w:pPr>
    </w:p>
    <w:p>
      <w:r>
        <w:rPr>
          <w:i w:val="0"/>
        </w:rPr>
        <w:t>The current toy transaction-label comparison is available on this fixture: TP=5, FP=0, TN=25, FN=1. Predicted positive means the transaction ID appears in at least one finding's evidence. Labels are synthetic transaction-level reference values, not account-level mule labels. These counts are not a generalization estimate, calibrated accuracy claim, or evidence of operational suitability.</w:t>
      </w:r>
    </w:p>
    <w:p>
      <w:pPr>
        <w:pStyle w:val="Heading1"/>
      </w:pPr>
      <w:r>
        <w:t>10. Testing approach and actual results</w:t>
      </w:r>
    </w:p>
    <w:p>
      <w:r>
        <w:rPr>
          <w:i w:val="0"/>
        </w:rPr>
        <w:t>The pytest suite covers schema validation, rejection details and duplicate policy, deterministic fixture generation, graph and rule behavior, temporal boundaries, finding evidence, label independence, workflow stages and failure behavior, dashboard helpers, and mocked Ollama success/failure/timeout/fallback formatting. Ollama is not needed for unit tests.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Verification</w:t>
            </w:r>
          </w:p>
        </w:tc>
        <w:tc>
          <w:tcPr>
            <w:tcW w:type="dxa" w:w="4997"/>
            <w:vAlign w:val="center"/>
            <w:shd w:fill="102536"/>
          </w:tcPr>
          <w:p>
            <w:pPr>
              <w:spacing w:after="20"/>
            </w:pPr>
            <w:r/>
            <w:r>
              <w:rPr>
                <w:rFonts w:ascii="Aptos" w:hAnsi="Aptos"/>
                <w:b/>
                <w:color w:val="FFFFFF"/>
                <w:sz w:val="17"/>
              </w:rPr>
              <w:t>Result on 2026-10-19</w:t>
            </w:r>
          </w:p>
        </w:tc>
      </w:tr>
      <w:tr>
        <w:trPr>
          <w:cantSplit/>
        </w:trPr>
        <w:tc>
          <w:tcPr>
            <w:tcW w:type="dxa" w:w="4997"/>
            <w:vAlign w:val="center"/>
            <w:shd w:fill="F2F7F8"/>
          </w:tcPr>
          <w:p>
            <w:pPr>
              <w:spacing w:after="20"/>
            </w:pPr>
            <w:r/>
            <w:r>
              <w:rPr>
                <w:rFonts w:ascii="Aptos" w:hAnsi="Aptos"/>
                <w:b w:val="0"/>
                <w:color w:val="263746"/>
                <w:sz w:val="16"/>
              </w:rPr>
              <w:t>Command</w:t>
            </w:r>
          </w:p>
        </w:tc>
        <w:tc>
          <w:tcPr>
            <w:tcW w:type="dxa" w:w="4997"/>
            <w:vAlign w:val="center"/>
            <w:shd w:fill="F2F7F8"/>
          </w:tcPr>
          <w:p>
            <w:pPr>
              <w:spacing w:after="20"/>
            </w:pPr>
            <w:r/>
            <w:r>
              <w:rPr>
                <w:rFonts w:ascii="Aptos" w:hAnsi="Aptos"/>
                <w:b w:val="0"/>
                <w:color w:val="263746"/>
                <w:sz w:val="16"/>
              </w:rPr>
              <w:t>python -m pytest -q</w:t>
            </w:r>
          </w:p>
        </w:tc>
      </w:tr>
      <w:tr>
        <w:trPr>
          <w:cantSplit/>
        </w:trPr>
        <w:tc>
          <w:tcPr>
            <w:tcW w:type="dxa" w:w="4997"/>
            <w:vAlign w:val="center"/>
          </w:tcPr>
          <w:p>
            <w:pPr>
              <w:spacing w:after="20"/>
            </w:pPr>
            <w:r/>
            <w:r>
              <w:rPr>
                <w:rFonts w:ascii="Aptos" w:hAnsi="Aptos"/>
                <w:b w:val="0"/>
                <w:color w:val="263746"/>
                <w:sz w:val="16"/>
              </w:rPr>
              <w:t>Test result</w:t>
            </w:r>
          </w:p>
        </w:tc>
        <w:tc>
          <w:tcPr>
            <w:tcW w:type="dxa" w:w="4997"/>
            <w:vAlign w:val="center"/>
          </w:tcPr>
          <w:p>
            <w:pPr>
              <w:spacing w:after="20"/>
            </w:pPr>
            <w:r/>
            <w:r>
              <w:rPr>
                <w:rFonts w:ascii="Aptos" w:hAnsi="Aptos"/>
                <w:b w:val="0"/>
                <w:color w:val="263746"/>
                <w:sz w:val="16"/>
              </w:rPr>
              <w:t>64 passed in 11.47 seconds</w:t>
            </w:r>
          </w:p>
        </w:tc>
      </w:tr>
      <w:tr>
        <w:trPr>
          <w:cantSplit/>
        </w:trPr>
        <w:tc>
          <w:tcPr>
            <w:tcW w:type="dxa" w:w="4997"/>
            <w:vAlign w:val="center"/>
            <w:shd w:fill="F2F7F8"/>
          </w:tcPr>
          <w:p>
            <w:pPr>
              <w:spacing w:after="20"/>
            </w:pPr>
            <w:r/>
            <w:r>
              <w:rPr>
                <w:rFonts w:ascii="Aptos" w:hAnsi="Aptos"/>
                <w:b w:val="0"/>
                <w:color w:val="263746"/>
                <w:sz w:val="16"/>
              </w:rPr>
              <w:t>Fixture through public workflow</w:t>
            </w:r>
          </w:p>
        </w:tc>
        <w:tc>
          <w:tcPr>
            <w:tcW w:type="dxa" w:w="4997"/>
            <w:vAlign w:val="center"/>
            <w:shd w:fill="F2F7F8"/>
          </w:tcPr>
          <w:p>
            <w:pPr>
              <w:spacing w:after="20"/>
            </w:pPr>
            <w:r/>
            <w:r>
              <w:rPr>
                <w:rFonts w:ascii="Aptos" w:hAnsi="Aptos"/>
                <w:b w:val="0"/>
                <w:color w:val="263746"/>
                <w:sz w:val="16"/>
              </w:rPr>
              <w:t>40 input; 31 accepted; 9 rejected; 37 accounts; 31 graph transactions; 5 findings</w:t>
            </w:r>
          </w:p>
        </w:tc>
      </w:tr>
      <w:tr>
        <w:trPr>
          <w:cantSplit/>
        </w:trPr>
        <w:tc>
          <w:tcPr>
            <w:tcW w:type="dxa" w:w="4997"/>
            <w:vAlign w:val="center"/>
          </w:tcPr>
          <w:p>
            <w:pPr>
              <w:spacing w:after="20"/>
            </w:pPr>
            <w:r/>
            <w:r>
              <w:rPr>
                <w:rFonts w:ascii="Aptos" w:hAnsi="Aptos"/>
                <w:b w:val="0"/>
                <w:color w:val="263746"/>
                <w:sz w:val="16"/>
              </w:rPr>
              <w:t>PPTX package inspection</w:t>
            </w:r>
          </w:p>
        </w:tc>
        <w:tc>
          <w:tcPr>
            <w:tcW w:type="dxa" w:w="4997"/>
            <w:vAlign w:val="center"/>
          </w:tcPr>
          <w:p>
            <w:pPr>
              <w:spacing w:after="20"/>
            </w:pPr>
            <w:r/>
            <w:r>
              <w:rPr>
                <w:rFonts w:ascii="Aptos" w:hAnsi="Aptos"/>
                <w:b w:val="0"/>
                <w:color w:val="263746"/>
                <w:sz w:val="16"/>
              </w:rPr>
              <w:t>10 slides; opened with python-pptx; all 10 slides contain speaker notes</w:t>
            </w:r>
          </w:p>
        </w:tc>
      </w:tr>
      <w:tr>
        <w:trPr>
          <w:cantSplit/>
        </w:trPr>
        <w:tc>
          <w:tcPr>
            <w:tcW w:type="dxa" w:w="4997"/>
            <w:vAlign w:val="center"/>
            <w:shd w:fill="F2F7F8"/>
          </w:tcPr>
          <w:p>
            <w:pPr>
              <w:spacing w:after="20"/>
            </w:pPr>
            <w:r/>
            <w:r>
              <w:rPr>
                <w:rFonts w:ascii="Aptos" w:hAnsi="Aptos"/>
                <w:b w:val="0"/>
                <w:color w:val="263746"/>
                <w:sz w:val="16"/>
              </w:rPr>
              <w:t>Git status at initial audit</w:t>
            </w:r>
          </w:p>
        </w:tc>
        <w:tc>
          <w:tcPr>
            <w:tcW w:type="dxa" w:w="4997"/>
            <w:vAlign w:val="center"/>
            <w:shd w:fill="F2F7F8"/>
          </w:tcPr>
          <w:p>
            <w:pPr>
              <w:spacing w:after="20"/>
            </w:pPr>
            <w:r/>
            <w:r>
              <w:rPr>
                <w:rFonts w:ascii="Aptos" w:hAnsi="Aptos"/>
                <w:b w:val="0"/>
                <w:color w:val="263746"/>
                <w:sz w:val="16"/>
              </w:rPr>
              <w:t>Folder was not a Git repository; no remote was configured</w:t>
            </w:r>
          </w:p>
        </w:tc>
      </w:tr>
    </w:tbl>
    <w:p>
      <w:pPr>
        <w:spacing w:after="0"/>
      </w:pPr>
    </w:p>
    <w:p>
      <w:r>
        <w:rPr>
          <w:i w:val="0"/>
        </w:rPr>
        <w:t>A passing test suite verifies the tested behavior in this local environment; it does not establish model accuracy, fraud-detection performance, browser compatibility on every machine, or production readiness.</w:t>
      </w:r>
    </w:p>
    <w:p>
      <w:pPr>
        <w:pStyle w:val="Heading1"/>
      </w:pPr>
      <w:r>
        <w:t>11. Limitations, ethics, and future scope</w:t>
      </w:r>
    </w:p>
    <w:p>
      <w:pPr>
        <w:pStyle w:val="Heading2"/>
      </w:pPr>
      <w:r>
        <w:t>Limitations and safeguards</w:t>
      </w:r>
    </w:p>
    <w:p>
      <w:pPr>
        <w:pStyle w:val="ListBullet"/>
        <w:spacing w:after="40"/>
      </w:pPr>
      <w:r>
        <w:t>All records and labels are synthetic and hand-designed; coverage is intentionally small.</w:t>
      </w:r>
    </w:p>
    <w:p>
      <w:pPr>
        <w:pStyle w:val="ListBullet"/>
        <w:spacing w:after="40"/>
      </w:pPr>
      <w:r>
        <w:t>Thresholds are illustrative, not calibrated. Legitimate transfers can match patterns; suspicious activity can fall outside them.</w:t>
      </w:r>
    </w:p>
    <w:p>
      <w:pPr>
        <w:pStyle w:val="ListBullet"/>
        <w:spacing w:after="40"/>
      </w:pPr>
      <w:r>
        <w:t>The aggregate onward ratio does not establish that specific funds were passed through; ratios can exceed 100%.</w:t>
      </w:r>
    </w:p>
    <w:p>
      <w:pPr>
        <w:pStyle w:val="ListBullet"/>
        <w:spacing w:after="40"/>
      </w:pPr>
      <w:r>
        <w:t>The S3 scenario is partial because S3-IN-1 is outside the three-unit window.</w:t>
      </w:r>
    </w:p>
    <w:p>
      <w:pPr>
        <w:pStyle w:val="ListBullet"/>
        <w:spacing w:after="40"/>
      </w:pPr>
      <w:r>
        <w:t>Toy metrics are transaction-level only and cannot identify a mule account or predict real-world accuracy.</w:t>
      </w:r>
    </w:p>
    <w:p>
      <w:pPr>
        <w:pStyle w:val="ListBullet"/>
        <w:spacing w:after="40"/>
      </w:pPr>
      <w:r>
        <w:t>The graph view truncates display for readability; the underlying analysis remains over accepted transactions.</w:t>
      </w:r>
    </w:p>
    <w:p>
      <w:pPr>
        <w:pStyle w:val="ListBullet"/>
        <w:spacing w:after="40"/>
      </w:pPr>
      <w:r>
        <w:t>Optional LLM output may still be wrong despite prompt and response checks; deterministic fallback is available.</w:t>
      </w:r>
    </w:p>
    <w:p>
      <w:pPr>
        <w:pStyle w:val="ListBullet"/>
        <w:spacing w:after="40"/>
      </w:pPr>
      <w:r>
        <w:t>No live financial data, calibrated risk score, fairness study, security review, or operational case process is included.</w:t>
      </w:r>
    </w:p>
    <w:p>
      <w:r>
        <w:rPr>
          <w:i w:val="0"/>
        </w:rPr>
        <w:t>Ethical use requires treating findings as prompts for review, checking source evidence, considering legitimate explanations, limiting access to sensitive records, and avoiding adverse action based solely on a pattern or generated text.</w:t>
      </w:r>
    </w:p>
    <w:p>
      <w:pPr>
        <w:pStyle w:val="Heading2"/>
      </w:pPr>
      <w:r>
        <w:t>Future scope</w:t>
      </w:r>
    </w:p>
    <w:p>
      <w:r>
        <w:rPr>
          <w:i w:val="0"/>
        </w:rPr>
        <w:t>Potential follow-up work includes larger controlled synthetic cases, performance and usability testing with reviewers, documented threshold sensitivity analysis, improved provenance and audit logging, role-based access and secure data handling, and evaluation against appropriately licensed and documented account/network labels. Any real-data or operational deployment would require separate legal, privacy, security, and domain validation. No such integration is implemented here.</w:t>
      </w:r>
    </w:p>
    <w:p>
      <w:pPr>
        <w:pStyle w:val="Heading1"/>
      </w:pPr>
      <w:r>
        <w:t>12. Setup and execution</w:t>
      </w:r>
    </w:p>
    <w:p>
      <w:r>
        <w:rPr>
          <w:i w:val="0"/>
        </w:rPr>
        <w:t>Prerequisite: Python 3.12.10 is the verified environment. From the project root in PowerShell:</w:t>
      </w:r>
    </w:p>
    <w:p>
      <w:pPr>
        <w:spacing w:after="40"/>
        <w:ind w:left="360"/>
      </w:pPr>
      <w:r>
        <w:rPr>
          <w:rFonts w:ascii="Consolas" w:hAnsi="Consolas"/>
          <w:color w:val="102536"/>
          <w:sz w:val="18"/>
        </w:rPr>
        <w:t>py -3.12 -m venv .venv</w:t>
      </w:r>
    </w:p>
    <w:p>
      <w:pPr>
        <w:spacing w:after="40"/>
        <w:ind w:left="360"/>
      </w:pPr>
      <w:r>
        <w:rPr>
          <w:rFonts w:ascii="Consolas" w:hAnsi="Consolas"/>
          <w:color w:val="102536"/>
          <w:sz w:val="18"/>
        </w:rPr>
        <w:t>.\.venv\Scripts\Activate.ps1</w:t>
      </w:r>
    </w:p>
    <w:p>
      <w:pPr>
        <w:spacing w:after="40"/>
        <w:ind w:left="360"/>
      </w:pPr>
      <w:r>
        <w:rPr>
          <w:rFonts w:ascii="Consolas" w:hAnsi="Consolas"/>
          <w:color w:val="102536"/>
          <w:sz w:val="18"/>
        </w:rPr>
        <w:t>python -m pip install -r requirements.txt</w:t>
      </w:r>
    </w:p>
    <w:p>
      <w:pPr>
        <w:spacing w:after="40"/>
        <w:ind w:left="360"/>
      </w:pPr>
      <w:r>
        <w:rPr>
          <w:rFonts w:ascii="Consolas" w:hAnsi="Consolas"/>
          <w:color w:val="102536"/>
          <w:sz w:val="18"/>
        </w:rPr>
        <w:t>python -m streamlit run app.py</w:t>
      </w:r>
    </w:p>
    <w:p>
      <w:r>
        <w:rPr>
          <w:i w:val="0"/>
        </w:rPr>
        <w:t>In the dashboard choose Load synthetic fixture, or upload a CSV with the required schema, then press Run analysis. To regenerate the bundled synthetic CSV, use python -m src.generate_synthetic; this writes to the generator's default fixture path, so keep a copy first if preserving local fixture edits matters. Run tests with python -m pytest -q.</w:t>
      </w:r>
    </w:p>
    <w:p>
      <w:r>
        <w:rPr>
          <w:i w:val="0"/>
        </w:rPr>
        <w:t>Optional local explanation: install and start Ollama separately, ensure qwen2.5:3b is available locally (for example, ollama pull qwen2.5:3b), then start the Ollama service. The dashboard displays the local service requirement and invokes it only when the user requests a selected-finding explanation. Ollama is optional for analysis and testing.</w:t>
      </w:r>
    </w:p>
    <w:p>
      <w:pPr>
        <w:pStyle w:val="Heading1"/>
      </w:pPr>
      <w:r>
        <w:t>13. Conclusion</w:t>
      </w:r>
    </w:p>
    <w:p>
      <w:r>
        <w:rPr>
          <w:i w:val="0"/>
        </w:rPr>
        <w:t>UPI Sentinel demonstrates how a deterministic multi-agent workflow can validate transaction data, assemble a directed account network, apply transparent rules, and present evidence in an analyst-oriented dashboard. A local language model can optionally improve the wording of one selected finding while remaining outside detection. The project is a synthetic educational proof of concept: its contribution is traceability and reproducibility, and its outputs remain investigation leads for human review.</w:t>
      </w:r>
    </w:p>
    <w:p>
      <w:pPr>
        <w:pStyle w:val="Heading1"/>
      </w:pPr>
      <w:r>
        <w:t>14. Project references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102536"/>
          </w:tcPr>
          <w:p>
            <w:pPr>
              <w:spacing w:after="20"/>
            </w:pPr>
            <w:r/>
            <w:r>
              <w:rPr>
                <w:rFonts w:ascii="Aptos" w:hAnsi="Aptos"/>
                <w:b/>
                <w:color w:val="FFFFFF"/>
                <w:sz w:val="17"/>
              </w:rPr>
              <w:t>Project file</w:t>
            </w:r>
          </w:p>
        </w:tc>
        <w:tc>
          <w:tcPr>
            <w:tcW w:type="dxa" w:w="4997"/>
            <w:vAlign w:val="center"/>
            <w:shd w:fill="102536"/>
          </w:tcPr>
          <w:p>
            <w:pPr>
              <w:spacing w:after="20"/>
            </w:pPr>
            <w:r/>
            <w:r>
              <w:rPr>
                <w:rFonts w:ascii="Aptos" w:hAnsi="Aptos"/>
                <w:b/>
                <w:color w:val="FFFFFF"/>
                <w:sz w:val="17"/>
              </w:rPr>
              <w:t>What it documents or implements</w:t>
            </w:r>
          </w:p>
        </w:tc>
      </w:tr>
      <w:tr>
        <w:trPr>
          <w:cantSplit/>
        </w:trPr>
        <w:tc>
          <w:tcPr>
            <w:tcW w:type="dxa" w:w="4997"/>
            <w:vAlign w:val="center"/>
            <w:shd w:fill="F2F7F8"/>
          </w:tcPr>
          <w:p>
            <w:pPr>
              <w:spacing w:after="20"/>
            </w:pPr>
            <w:r/>
            <w:r>
              <w:rPr>
                <w:rFonts w:ascii="Aptos" w:hAnsi="Aptos"/>
                <w:b w:val="0"/>
                <w:color w:val="263746"/>
                <w:sz w:val="16"/>
              </w:rPr>
              <w:t>README.md</w:t>
            </w:r>
          </w:p>
        </w:tc>
        <w:tc>
          <w:tcPr>
            <w:tcW w:type="dxa" w:w="4997"/>
            <w:vAlign w:val="center"/>
            <w:shd w:fill="F2F7F8"/>
          </w:tcPr>
          <w:p>
            <w:pPr>
              <w:spacing w:after="20"/>
            </w:pPr>
            <w:r/>
            <w:r>
              <w:rPr>
                <w:rFonts w:ascii="Aptos" w:hAnsi="Aptos"/>
                <w:b w:val="0"/>
                <w:color w:val="263746"/>
                <w:sz w:val="16"/>
              </w:rPr>
              <w:t>Setup, schema, workflow, rules, privacy, fixture output, and limitations.</w:t>
            </w:r>
          </w:p>
        </w:tc>
      </w:tr>
      <w:tr>
        <w:trPr>
          <w:cantSplit/>
        </w:trPr>
        <w:tc>
          <w:tcPr>
            <w:tcW w:type="dxa" w:w="4997"/>
            <w:vAlign w:val="center"/>
          </w:tcPr>
          <w:p>
            <w:pPr>
              <w:spacing w:after="20"/>
            </w:pPr>
            <w:r/>
            <w:r>
              <w:rPr>
                <w:rFonts w:ascii="Aptos" w:hAnsi="Aptos"/>
                <w:b w:val="0"/>
                <w:color w:val="263746"/>
                <w:sz w:val="16"/>
              </w:rPr>
              <w:t>app.py</w:t>
            </w:r>
          </w:p>
        </w:tc>
        <w:tc>
          <w:tcPr>
            <w:tcW w:type="dxa" w:w="4997"/>
            <w:vAlign w:val="center"/>
          </w:tcPr>
          <w:p>
            <w:pPr>
              <w:spacing w:after="20"/>
            </w:pPr>
            <w:r/>
            <w:r>
              <w:rPr>
                <w:rFonts w:ascii="Aptos" w:hAnsi="Aptos"/>
                <w:b w:val="0"/>
                <w:color w:val="263746"/>
                <w:sz w:val="16"/>
              </w:rPr>
              <w:t>Five-page Streamlit user interface and explicit Ollama action.</w:t>
            </w:r>
          </w:p>
        </w:tc>
      </w:tr>
      <w:tr>
        <w:trPr>
          <w:cantSplit/>
        </w:trPr>
        <w:tc>
          <w:tcPr>
            <w:tcW w:type="dxa" w:w="4997"/>
            <w:vAlign w:val="center"/>
            <w:shd w:fill="F2F7F8"/>
          </w:tcPr>
          <w:p>
            <w:pPr>
              <w:spacing w:after="20"/>
            </w:pPr>
            <w:r/>
            <w:r>
              <w:rPr>
                <w:rFonts w:ascii="Aptos" w:hAnsi="Aptos"/>
                <w:b w:val="0"/>
                <w:color w:val="263746"/>
                <w:sz w:val="16"/>
              </w:rPr>
              <w:t>src/schema.py; src/validation.py</w:t>
            </w:r>
          </w:p>
        </w:tc>
        <w:tc>
          <w:tcPr>
            <w:tcW w:type="dxa" w:w="4997"/>
            <w:vAlign w:val="center"/>
            <w:shd w:fill="F2F7F8"/>
          </w:tcPr>
          <w:p>
            <w:pPr>
              <w:spacing w:after="20"/>
            </w:pPr>
            <w:r/>
            <w:r>
              <w:rPr>
                <w:rFonts w:ascii="Aptos" w:hAnsi="Aptos"/>
                <w:b w:val="0"/>
                <w:color w:val="263746"/>
                <w:sz w:val="16"/>
              </w:rPr>
              <w:t>Canonical fields and input validation.</w:t>
            </w:r>
          </w:p>
        </w:tc>
      </w:tr>
      <w:tr>
        <w:trPr>
          <w:cantSplit/>
        </w:trPr>
        <w:tc>
          <w:tcPr>
            <w:tcW w:type="dxa" w:w="4997"/>
            <w:vAlign w:val="center"/>
          </w:tcPr>
          <w:p>
            <w:pPr>
              <w:spacing w:after="20"/>
            </w:pPr>
            <w:r/>
            <w:r>
              <w:rPr>
                <w:rFonts w:ascii="Aptos" w:hAnsi="Aptos"/>
                <w:b w:val="0"/>
                <w:color w:val="263746"/>
                <w:sz w:val="16"/>
              </w:rPr>
              <w:t>src/graph_analysis.py; src/rules.py</w:t>
            </w:r>
          </w:p>
        </w:tc>
        <w:tc>
          <w:tcPr>
            <w:tcW w:type="dxa" w:w="4997"/>
            <w:vAlign w:val="center"/>
          </w:tcPr>
          <w:p>
            <w:pPr>
              <w:spacing w:after="20"/>
            </w:pPr>
            <w:r/>
            <w:r>
              <w:rPr>
                <w:rFonts w:ascii="Aptos" w:hAnsi="Aptos"/>
                <w:b w:val="0"/>
                <w:color w:val="263746"/>
                <w:sz w:val="16"/>
              </w:rPr>
              <w:t>Accepted-only graph, graph summaries, and deterministic rules.</w:t>
            </w:r>
          </w:p>
        </w:tc>
      </w:tr>
      <w:tr>
        <w:trPr>
          <w:cantSplit/>
        </w:trPr>
        <w:tc>
          <w:tcPr>
            <w:tcW w:type="dxa" w:w="4997"/>
            <w:vAlign w:val="center"/>
            <w:shd w:fill="F2F7F8"/>
          </w:tcPr>
          <w:p>
            <w:pPr>
              <w:spacing w:after="20"/>
            </w:pPr>
            <w:r/>
            <w:r>
              <w:rPr>
                <w:rFonts w:ascii="Aptos" w:hAnsi="Aptos"/>
                <w:b w:val="0"/>
                <w:color w:val="263746"/>
                <w:sz w:val="16"/>
              </w:rPr>
              <w:t>src/agents.py</w:t>
            </w:r>
          </w:p>
        </w:tc>
        <w:tc>
          <w:tcPr>
            <w:tcW w:type="dxa" w:w="4997"/>
            <w:vAlign w:val="center"/>
            <w:shd w:fill="F2F7F8"/>
          </w:tcPr>
          <w:p>
            <w:pPr>
              <w:spacing w:after="20"/>
            </w:pPr>
            <w:r/>
            <w:r>
              <w:rPr>
                <w:rFonts w:ascii="Aptos" w:hAnsi="Aptos"/>
                <w:b w:val="0"/>
                <w:color w:val="263746"/>
                <w:sz w:val="16"/>
              </w:rPr>
              <w:t>Six-agent structured workflow and post-detection evaluation.</w:t>
            </w:r>
          </w:p>
        </w:tc>
      </w:tr>
      <w:tr>
        <w:trPr>
          <w:cantSplit/>
        </w:trPr>
        <w:tc>
          <w:tcPr>
            <w:tcW w:type="dxa" w:w="4997"/>
            <w:vAlign w:val="center"/>
          </w:tcPr>
          <w:p>
            <w:pPr>
              <w:spacing w:after="20"/>
            </w:pPr>
            <w:r/>
            <w:r>
              <w:rPr>
                <w:rFonts w:ascii="Aptos" w:hAnsi="Aptos"/>
                <w:b w:val="0"/>
                <w:color w:val="263746"/>
                <w:sz w:val="16"/>
              </w:rPr>
              <w:t>src/llm_explanation.py</w:t>
            </w:r>
          </w:p>
        </w:tc>
        <w:tc>
          <w:tcPr>
            <w:tcW w:type="dxa" w:w="4997"/>
            <w:vAlign w:val="center"/>
          </w:tcPr>
          <w:p>
            <w:pPr>
              <w:spacing w:after="20"/>
            </w:pPr>
            <w:r/>
            <w:r>
              <w:rPr>
                <w:rFonts w:ascii="Aptos" w:hAnsi="Aptos"/>
                <w:b w:val="0"/>
                <w:color w:val="263746"/>
                <w:sz w:val="16"/>
              </w:rPr>
              <w:t>Whitelist payload, local request, response checks, and deterministic fallback.</w:t>
            </w:r>
          </w:p>
        </w:tc>
      </w:tr>
      <w:tr>
        <w:trPr>
          <w:cantSplit/>
        </w:trPr>
        <w:tc>
          <w:tcPr>
            <w:tcW w:type="dxa" w:w="4997"/>
            <w:vAlign w:val="center"/>
            <w:shd w:fill="F2F7F8"/>
          </w:tcPr>
          <w:p>
            <w:pPr>
              <w:spacing w:after="20"/>
            </w:pPr>
            <w:r/>
            <w:r>
              <w:rPr>
                <w:rFonts w:ascii="Aptos" w:hAnsi="Aptos"/>
                <w:b w:val="0"/>
                <w:color w:val="263746"/>
                <w:sz w:val="16"/>
              </w:rPr>
              <w:t>src/generate_synthetic.py; data/samples/synthetic_transactions.csv</w:t>
            </w:r>
          </w:p>
        </w:tc>
        <w:tc>
          <w:tcPr>
            <w:tcW w:type="dxa" w:w="4997"/>
            <w:vAlign w:val="center"/>
            <w:shd w:fill="F2F7F8"/>
          </w:tcPr>
          <w:p>
            <w:pPr>
              <w:spacing w:after="20"/>
            </w:pPr>
            <w:r/>
            <w:r>
              <w:rPr>
                <w:rFonts w:ascii="Aptos" w:hAnsi="Aptos"/>
                <w:b w:val="0"/>
                <w:color w:val="263746"/>
                <w:sz w:val="16"/>
              </w:rPr>
              <w:t>Reproducible synthetic scenarios and bundled fixture.</w:t>
            </w:r>
          </w:p>
        </w:tc>
      </w:tr>
      <w:tr>
        <w:trPr>
          <w:cantSplit/>
        </w:trPr>
        <w:tc>
          <w:tcPr>
            <w:tcW w:type="dxa" w:w="4997"/>
            <w:vAlign w:val="center"/>
          </w:tcPr>
          <w:p>
            <w:pPr>
              <w:spacing w:after="20"/>
            </w:pPr>
            <w:r/>
            <w:r>
              <w:rPr>
                <w:rFonts w:ascii="Aptos" w:hAnsi="Aptos"/>
                <w:b w:val="0"/>
                <w:color w:val="263746"/>
                <w:sz w:val="16"/>
              </w:rPr>
              <w:t>src/visualization.py; tests/</w:t>
            </w:r>
          </w:p>
        </w:tc>
        <w:tc>
          <w:tcPr>
            <w:tcW w:type="dxa" w:w="4997"/>
            <w:vAlign w:val="center"/>
          </w:tcPr>
          <w:p>
            <w:pPr>
              <w:spacing w:after="20"/>
            </w:pPr>
            <w:r/>
            <w:r>
              <w:rPr>
                <w:rFonts w:ascii="Aptos" w:hAnsi="Aptos"/>
                <w:b w:val="0"/>
                <w:color w:val="263746"/>
                <w:sz w:val="16"/>
              </w:rPr>
              <w:t>Bounded graph display and automated regression coverage.</w:t>
            </w:r>
          </w:p>
        </w:tc>
      </w:tr>
      <w:tr>
        <w:trPr>
          <w:cantSplit/>
        </w:trPr>
        <w:tc>
          <w:tcPr>
            <w:tcW w:type="dxa" w:w="4997"/>
            <w:vAlign w:val="center"/>
            <w:shd w:fill="F2F7F8"/>
          </w:tcPr>
          <w:p>
            <w:pPr>
              <w:spacing w:after="20"/>
            </w:pPr>
            <w:r/>
            <w:r>
              <w:rPr>
                <w:rFonts w:ascii="Aptos" w:hAnsi="Aptos"/>
                <w:b w:val="0"/>
                <w:color w:val="263746"/>
                <w:sz w:val="16"/>
              </w:rPr>
              <w:t>docs/acceptance_report.md</w:t>
            </w:r>
          </w:p>
        </w:tc>
        <w:tc>
          <w:tcPr>
            <w:tcW w:type="dxa" w:w="4997"/>
            <w:vAlign w:val="center"/>
            <w:shd w:fill="F2F7F8"/>
          </w:tcPr>
          <w:p>
            <w:pPr>
              <w:spacing w:after="20"/>
            </w:pPr>
            <w:r/>
            <w:r>
              <w:rPr>
                <w:rFonts w:ascii="Aptos" w:hAnsi="Aptos"/>
                <w:b w:val="0"/>
                <w:color w:val="263746"/>
                <w:sz w:val="16"/>
              </w:rPr>
              <w:t>Earlier fixture audit, scenario evidence, and known limitations.</w:t>
            </w:r>
          </w:p>
        </w:tc>
      </w:tr>
      <w:tr>
        <w:trPr>
          <w:cantSplit/>
        </w:trPr>
        <w:tc>
          <w:tcPr>
            <w:tcW w:type="dxa" w:w="4997"/>
            <w:vAlign w:val="center"/>
          </w:tcPr>
          <w:p>
            <w:pPr>
              <w:spacing w:after="20"/>
            </w:pPr>
            <w:r/>
            <w:r>
              <w:rPr>
                <w:rFonts w:ascii="Aptos" w:hAnsi="Aptos"/>
                <w:b w:val="0"/>
                <w:color w:val="263746"/>
                <w:sz w:val="16"/>
              </w:rPr>
              <w:t>presentation/UPI_Sentinel_CA3_PPT.pptx; presentation/PRESENTER_NOTES_REFINED.md</w:t>
            </w:r>
          </w:p>
        </w:tc>
        <w:tc>
          <w:tcPr>
            <w:tcW w:type="dxa" w:w="4997"/>
            <w:vAlign w:val="center"/>
          </w:tcPr>
          <w:p>
            <w:pPr>
              <w:spacing w:after="20"/>
            </w:pPr>
            <w:r/>
            <w:r>
              <w:rPr>
                <w:rFonts w:ascii="Aptos" w:hAnsi="Aptos"/>
                <w:b w:val="0"/>
                <w:color w:val="263746"/>
                <w:sz w:val="16"/>
              </w:rPr>
              <w:t>Final 10-slide deck and refined presenter/viva notes.</w:t>
            </w:r>
          </w:p>
        </w:tc>
      </w:tr>
      <w:tr>
        <w:trPr>
          <w:cantSplit/>
        </w:trPr>
        <w:tc>
          <w:tcPr>
            <w:tcW w:type="dxa" w:w="4997"/>
            <w:vAlign w:val="center"/>
            <w:shd w:fill="F2F7F8"/>
          </w:tcPr>
          <w:p>
            <w:pPr>
              <w:spacing w:after="20"/>
            </w:pPr>
            <w:r/>
            <w:r>
              <w:rPr>
                <w:rFonts w:ascii="Aptos" w:hAnsi="Aptos"/>
                <w:b w:val="0"/>
                <w:color w:val="263746"/>
                <w:sz w:val="16"/>
              </w:rPr>
              <w:t>requirements.txt; .streamlit/config.toml</w:t>
            </w:r>
          </w:p>
        </w:tc>
        <w:tc>
          <w:tcPr>
            <w:tcW w:type="dxa" w:w="4997"/>
            <w:vAlign w:val="center"/>
            <w:shd w:fill="F2F7F8"/>
          </w:tcPr>
          <w:p>
            <w:pPr>
              <w:spacing w:after="20"/>
            </w:pPr>
            <w:r/>
            <w:r>
              <w:rPr>
                <w:rFonts w:ascii="Aptos" w:hAnsi="Aptos"/>
                <w:b w:val="0"/>
                <w:color w:val="263746"/>
                <w:sz w:val="16"/>
              </w:rPr>
              <w:t>Pinned dependencies and dashboard theme.</w:t>
            </w:r>
          </w:p>
        </w:tc>
      </w:tr>
    </w:tbl>
    <w:p>
      <w:pPr>
        <w:spacing w:after="0"/>
      </w:pP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717B"/>
        <w:sz w:val="16"/>
      </w:rPr>
      <w:t xml:space="preserve">Synthetic academic proof of concept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87F8C"/>
        <w:sz w:val="16"/>
      </w:rPr>
      <w:t>UPI SENTINEL  |  CA-3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74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02536"/>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87F8C"/>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0253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Aptos Display" w:hAnsi="Aptos Display"/>
      <w:b/>
      <w:color w:val="10253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UPI Sentinel CA-3 Project Report</dc:title>
  <dc:subject>Foundations of Agentic AI project documentation</dc:subject>
  <dc:creator>UPI Sentinel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