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A1628"/>
          <w:sz w:val="56"/>
        </w:rPr>
        <w:t>Tasked Protocol</w:t>
      </w:r>
    </w:p>
    <w:p>
      <w:pPr>
        <w:jc w:val="center"/>
      </w:pPr>
      <w:r>
        <w:rPr>
          <w:b/>
          <w:color w:val="2563EB"/>
          <w:sz w:val="32"/>
        </w:rPr>
        <w:t>Smart Contract Security Audit Report</w:t>
      </w:r>
    </w:p>
    <w:p>
      <w:pPr>
        <w:spacing w:before="400"/>
        <w:jc w:val="center"/>
      </w:pPr>
      <w:r>
        <w:rPr>
          <w:color w:val="64748B"/>
          <w:sz w:val="20"/>
        </w:rPr>
        <w:t>Contract: contracts/tasked.clar  ·  Chain: Stacks (Clarity)  ·  Date: 14 June 2026</w:t>
      </w:r>
    </w:p>
    <w:p>
      <w:r>
        <w:br w:type="page"/>
      </w:r>
    </w:p>
    <w:p>
      <w:pPr>
        <w:spacing w:before="320" w:after="80"/>
      </w:pPr>
      <w:r>
        <w:rPr>
          <w:b/>
          <w:color w:val="1E3A5F"/>
          <w:sz w:val="26"/>
        </w:rPr>
        <w:t>1. EXECUTIVE SUMMARY</w:t>
      </w:r>
    </w:p>
    <w:p>
      <w:pPr>
        <w:spacing w:before="80" w:after="80"/>
        <w:pBdr>
          <w:bottom w:val="single" w:sz="6" w:space="1" w:color="CCCCCC"/>
        </w:pBdr>
      </w:pPr>
    </w:p>
    <w:p>
      <w:pPr>
        <w:spacing w:after="80"/>
      </w:pPr>
      <w:r>
        <w:rPr>
          <w:sz w:val="20"/>
        </w:rPr>
        <w:t>This document presents the results of a security audit conducted on the Tasked protocol's Clarity smart contract (tasked.clar) deployed on the Stacks blockchain. The audit covered all public entry points, token escrow flows, grant voting mechanics, experience-gating logic, wave reward accounting, and ownership controls.</w:t>
      </w:r>
    </w:p>
    <w:p>
      <w:pPr>
        <w:spacing w:after="80"/>
      </w:pPr>
      <w:r>
        <w:rPr>
          <w:sz w:val="20"/>
        </w:rPr>
        <w:t>The audit identified several areas where the contract was confirmed safe-by-construction, a number of logic ambiguities that were refined for correctness and clarity, one piece of dead code removed, and multiple design decisions that were deliberately hardened compared to equivalent EVM implementations. No critical vulnerabilities that would allow fund drainage or unauthorized control were found.</w:t>
      </w:r>
    </w:p>
    <w:tbl>
      <w:tblPr>
        <w:tblStyle w:val="TableGrid"/>
        <w:tblW w:type="auto" w:w="0"/>
        <w:tblLook w:firstColumn="1" w:firstRow="1" w:lastColumn="0" w:lastRow="0" w:noHBand="0" w:noVBand="1" w:val="04A0"/>
      </w:tblPr>
      <w:tblGrid>
        <w:gridCol w:w="3022"/>
        <w:gridCol w:w="3022"/>
        <w:gridCol w:w="3022"/>
      </w:tblGrid>
      <w:tr>
        <w:tc>
          <w:tcPr>
            <w:tcW w:type="dxa" w:w="3022"/>
          </w:tcPr>
          <w:p>
            <w:r>
              <w:rPr>
                <w:sz w:val="18"/>
              </w:rPr>
              <w:t>Category</w:t>
            </w:r>
          </w:p>
        </w:tc>
        <w:tc>
          <w:tcPr>
            <w:tcW w:type="dxa" w:w="3022"/>
          </w:tcPr>
          <w:p>
            <w:r>
              <w:rPr>
                <w:sz w:val="18"/>
              </w:rPr>
              <w:t>Count</w:t>
            </w:r>
          </w:p>
        </w:tc>
        <w:tc>
          <w:tcPr>
            <w:tcW w:type="dxa" w:w="3022"/>
          </w:tcPr>
          <w:p>
            <w:r>
              <w:rPr>
                <w:sz w:val="18"/>
              </w:rPr>
              <w:t>Outcome</w:t>
            </w:r>
          </w:p>
        </w:tc>
      </w:tr>
      <w:tr>
        <w:tc>
          <w:tcPr>
            <w:tcW w:type="dxa" w:w="3022"/>
          </w:tcPr>
          <w:p>
            <w:r>
              <w:rPr>
                <w:sz w:val="18"/>
              </w:rPr>
              <w:t>Critical / High Severity</w:t>
            </w:r>
          </w:p>
        </w:tc>
        <w:tc>
          <w:tcPr>
            <w:tcW w:type="dxa" w:w="3022"/>
          </w:tcPr>
          <w:p>
            <w:r>
              <w:rPr>
                <w:sz w:val="18"/>
              </w:rPr>
              <w:t>0</w:t>
            </w:r>
          </w:p>
        </w:tc>
        <w:tc>
          <w:tcPr>
            <w:tcW w:type="dxa" w:w="3022"/>
          </w:tcPr>
          <w:p>
            <w:r>
              <w:rPr>
                <w:sz w:val="18"/>
              </w:rPr>
              <w:t>None found</w:t>
            </w:r>
          </w:p>
        </w:tc>
      </w:tr>
      <w:tr>
        <w:tc>
          <w:tcPr>
            <w:tcW w:type="dxa" w:w="3022"/>
          </w:tcPr>
          <w:p>
            <w:r>
              <w:rPr>
                <w:sz w:val="18"/>
              </w:rPr>
              <w:t>Logic Ambiguities Refined</w:t>
            </w:r>
          </w:p>
        </w:tc>
        <w:tc>
          <w:tcPr>
            <w:tcW w:type="dxa" w:w="3022"/>
          </w:tcPr>
          <w:p>
            <w:r>
              <w:rPr>
                <w:sz w:val="18"/>
              </w:rPr>
              <w:t>3</w:t>
            </w:r>
          </w:p>
        </w:tc>
        <w:tc>
          <w:tcPr>
            <w:tcW w:type="dxa" w:w="3022"/>
          </w:tcPr>
          <w:p>
            <w:r>
              <w:rPr>
                <w:sz w:val="18"/>
              </w:rPr>
              <w:t>Corrected / clarified</w:t>
            </w:r>
          </w:p>
        </w:tc>
      </w:tr>
      <w:tr>
        <w:tc>
          <w:tcPr>
            <w:tcW w:type="dxa" w:w="3022"/>
          </w:tcPr>
          <w:p>
            <w:r>
              <w:rPr>
                <w:sz w:val="18"/>
              </w:rPr>
              <w:t>Dead Code Removed</w:t>
            </w:r>
          </w:p>
        </w:tc>
        <w:tc>
          <w:tcPr>
            <w:tcW w:type="dxa" w:w="3022"/>
          </w:tcPr>
          <w:p>
            <w:r>
              <w:rPr>
                <w:sz w:val="18"/>
              </w:rPr>
              <w:t>1</w:t>
            </w:r>
          </w:p>
        </w:tc>
        <w:tc>
          <w:tcPr>
            <w:tcW w:type="dxa" w:w="3022"/>
          </w:tcPr>
          <w:p>
            <w:r>
              <w:rPr>
                <w:sz w:val="18"/>
              </w:rPr>
              <w:t>Removed</w:t>
            </w:r>
          </w:p>
        </w:tc>
      </w:tr>
      <w:tr>
        <w:tc>
          <w:tcPr>
            <w:tcW w:type="dxa" w:w="3022"/>
          </w:tcPr>
          <w:p>
            <w:r>
              <w:rPr>
                <w:sz w:val="18"/>
              </w:rPr>
              <w:t>Design Confirmations</w:t>
            </w:r>
          </w:p>
        </w:tc>
        <w:tc>
          <w:tcPr>
            <w:tcW w:type="dxa" w:w="3022"/>
          </w:tcPr>
          <w:p>
            <w:r>
              <w:rPr>
                <w:sz w:val="18"/>
              </w:rPr>
              <w:t>7</w:t>
            </w:r>
          </w:p>
        </w:tc>
        <w:tc>
          <w:tcPr>
            <w:tcW w:type="dxa" w:w="3022"/>
          </w:tcPr>
          <w:p>
            <w:r>
              <w:rPr>
                <w:sz w:val="18"/>
              </w:rPr>
              <w:t>Verified safe-by-construction</w:t>
            </w:r>
          </w:p>
        </w:tc>
      </w:tr>
      <w:tr>
        <w:tc>
          <w:tcPr>
            <w:tcW w:type="dxa" w:w="3022"/>
          </w:tcPr>
          <w:p>
            <w:r>
              <w:rPr>
                <w:sz w:val="18"/>
              </w:rPr>
              <w:t>Off-chain Trust Assumptions</w:t>
            </w:r>
          </w:p>
        </w:tc>
        <w:tc>
          <w:tcPr>
            <w:tcW w:type="dxa" w:w="3022"/>
          </w:tcPr>
          <w:p>
            <w:r>
              <w:rPr>
                <w:sz w:val="18"/>
              </w:rPr>
              <w:t>2</w:t>
            </w:r>
          </w:p>
        </w:tc>
        <w:tc>
          <w:tcPr>
            <w:tcW w:type="dxa" w:w="3022"/>
          </w:tcPr>
          <w:p>
            <w:r>
              <w:rPr>
                <w:sz w:val="18"/>
              </w:rPr>
              <w:t>Documented; mitigated by design</w:t>
            </w:r>
          </w:p>
        </w:tc>
      </w:tr>
    </w:tbl>
    <w:p/>
    <w:p>
      <w:pPr>
        <w:spacing w:before="320" w:after="80"/>
      </w:pPr>
      <w:r>
        <w:rPr>
          <w:b/>
          <w:color w:val="1E3A5F"/>
          <w:sz w:val="26"/>
        </w:rPr>
        <w:t>2. AUDIT SCOPE</w:t>
      </w:r>
    </w:p>
    <w:p>
      <w:pPr>
        <w:spacing w:before="80" w:after="80"/>
        <w:pBdr>
          <w:bottom w:val="single" w:sz="6" w:space="1" w:color="CCCCCC"/>
        </w:pBdr>
      </w:pPr>
    </w:p>
    <w:p>
      <w:pPr>
        <w:spacing w:after="80"/>
      </w:pPr>
      <w:r>
        <w:rPr>
          <w:sz w:val="20"/>
        </w:rPr>
        <w:t>File audited: contracts/contracts/tasked.clar</w:t>
      </w:r>
    </w:p>
    <w:p>
      <w:pPr>
        <w:spacing w:after="80"/>
      </w:pPr>
      <w:r>
        <w:rPr>
          <w:sz w:val="20"/>
        </w:rPr>
        <w:t>Language: Clarity (Stacks blockchain — Bitcoin-secured L1.5)</w:t>
      </w:r>
    </w:p>
    <w:p>
      <w:pPr>
        <w:spacing w:after="80"/>
      </w:pPr>
      <w:r>
        <w:rPr>
          <w:sz w:val="20"/>
        </w:rPr>
        <w:t>Modules reviewed:</w:t>
      </w:r>
    </w:p>
    <w:p>
      <w:pPr>
        <w:pStyle w:val="ListBullet"/>
        <w:spacing w:after="60"/>
      </w:pPr>
      <w:r>
        <w:rPr>
          <w:sz w:val="20"/>
        </w:rPr>
        <w:t>User Registration &amp; Experience Gating</w:t>
      </w:r>
    </w:p>
    <w:p>
      <w:pPr>
        <w:pStyle w:val="ListBullet"/>
        <w:spacing w:after="60"/>
      </w:pPr>
      <w:r>
        <w:rPr>
          <w:sz w:val="20"/>
        </w:rPr>
        <w:t>Task Escrow (create-task, approve-and-release, cancel-task, mark-expired)</w:t>
      </w:r>
    </w:p>
    <w:p>
      <w:pPr>
        <w:pStyle w:val="ListBullet"/>
        <w:spacing w:after="60"/>
      </w:pPr>
      <w:r>
        <w:rPr>
          <w:sz w:val="20"/>
        </w:rPr>
        <w:t>Grant Pool &amp; STX Staking (deposit-to-pool, stake-stx, unstake-stx)</w:t>
      </w:r>
    </w:p>
    <w:p>
      <w:pPr>
        <w:pStyle w:val="ListBullet"/>
        <w:spacing w:after="60"/>
      </w:pPr>
      <w:r>
        <w:rPr>
          <w:sz w:val="20"/>
        </w:rPr>
        <w:t>Grant Proposal &amp; Voting (apply-for-grant, vote-on-grant, execute-grant)</w:t>
      </w:r>
    </w:p>
    <w:p>
      <w:pPr>
        <w:pStyle w:val="ListBullet"/>
        <w:spacing w:after="60"/>
      </w:pPr>
      <w:r>
        <w:rPr>
          <w:sz w:val="20"/>
        </w:rPr>
        <w:t>Wave Reward Accounting (advance-wave, claim-wave-reward)</w:t>
      </w:r>
    </w:p>
    <w:p>
      <w:pPr>
        <w:pStyle w:val="ListBullet"/>
        <w:spacing w:after="60"/>
      </w:pPr>
      <w:r>
        <w:rPr>
          <w:sz w:val="20"/>
        </w:rPr>
        <w:t>Owner Administration (set-treasury-address, CONTRACT-OWNER pattern)</w:t>
      </w:r>
    </w:p>
    <w:p>
      <w:pPr>
        <w:pStyle w:val="ListBullet"/>
        <w:spacing w:after="60"/>
      </w:pPr>
      <w:r>
        <w:rPr>
          <w:sz w:val="20"/>
        </w:rPr>
        <w:t>Patron Tier Calculation (calculate-tier)</w:t>
      </w:r>
    </w:p>
    <w:p>
      <w:pPr>
        <w:spacing w:before="320" w:after="80"/>
      </w:pPr>
      <w:r>
        <w:rPr>
          <w:b/>
          <w:color w:val="1E3A5F"/>
          <w:sz w:val="26"/>
        </w:rPr>
        <w:t>3. STRUCTURAL SAFETY — CLARITY LANGUAGE PROPERTIES</w:t>
      </w:r>
    </w:p>
    <w:p>
      <w:pPr>
        <w:spacing w:before="80" w:after="80"/>
        <w:pBdr>
          <w:bottom w:val="single" w:sz="6" w:space="1" w:color="CCCCCC"/>
        </w:pBdr>
      </w:pPr>
    </w:p>
    <w:p>
      <w:pPr>
        <w:spacing w:after="80"/>
      </w:pPr>
      <w:r>
        <w:rPr>
          <w:sz w:val="20"/>
        </w:rPr>
        <w:t>Several vulnerability classes that require explicit mitigation in Solidity are eliminated structurally by the Clarity language itself. These were audited and confirmed.</w:t>
      </w:r>
    </w:p>
    <w:p>
      <w:pPr>
        <w:spacing w:before="200" w:after="40"/>
      </w:pPr>
      <w:r>
        <w:rPr>
          <w:b/>
          <w:color w:val="1E3A5F"/>
          <w:sz w:val="22"/>
        </w:rPr>
        <w:t>3.1  No Reentrancy</w:t>
      </w:r>
    </w:p>
    <w:p>
      <w:pPr>
        <w:spacing w:after="80"/>
      </w:pPr>
      <w:r>
        <w:rPr>
          <w:sz w:val="20"/>
        </w:rPr>
        <w:t>Clarity does not have a call stack that allows external contracts to call back into the same contract during execution. The entire post-condition and transfer system executes atomically. No reentrancy guards are required; the language provides this by construction. All token transfers in tasked.clar (approve-and-release, cancel-task, claim-wave-reward, unstake-stx) are structurally safe.</w:t>
      </w:r>
    </w:p>
    <w:p>
      <w:pPr>
        <w:spacing w:before="200" w:after="40"/>
      </w:pPr>
      <w:r>
        <w:rPr>
          <w:b/>
          <w:color w:val="1E3A5F"/>
          <w:sz w:val="22"/>
        </w:rPr>
        <w:t>3.2  Post-Condition Token Safety</w:t>
      </w:r>
    </w:p>
    <w:p>
      <w:pPr>
        <w:spacing w:after="80"/>
      </w:pPr>
      <w:r>
        <w:rPr>
          <w:sz w:val="20"/>
        </w:rPr>
        <w:t>The SIP-010 trait-based token transfer pattern, combined with Stacks wallet post-conditions, means token movement is constrained at the signing layer. Callers and wallets can assert the exact token amount leaving any account before signing. This prevents a class of drain attacks that require explicit approval griefing guards in ERC-20 contracts.</w:t>
      </w:r>
    </w:p>
    <w:p>
      <w:pPr>
        <w:spacing w:after="80"/>
      </w:pPr>
      <w:r>
        <w:rPr>
          <w:sz w:val="20"/>
        </w:rPr>
        <w:t>Each token call in the contract uses the pattern:</w:t>
      </w:r>
    </w:p>
    <w:p>
      <w:pPr>
        <w:spacing w:before="80" w:after="80"/>
        <w:ind w:left="432"/>
      </w:pPr>
      <w:r>
        <w:rPr>
          <w:rFonts w:ascii="Courier New" w:hAnsi="Courier New"/>
          <w:color w:val="1E3A5F"/>
          <w:sz w:val="18"/>
          <w:shd w:val="clear" w:color="auto" w:fill="F1F5F9"/>
        </w:rPr>
        <w:t>(try! (contract-call? token-trait transfer amount tx-sender recipient none))</w:t>
      </w:r>
    </w:p>
    <w:p>
      <w:pPr>
        <w:spacing w:after="80"/>
      </w:pPr>
      <w:r>
        <w:rPr>
          <w:sz w:val="20"/>
        </w:rPr>
        <w:t>Combined with post-conditions at the wallet layer, this ensures no more tokens can leave a principal than what is explicitly declared.</w:t>
      </w:r>
    </w:p>
    <w:p>
      <w:pPr>
        <w:spacing w:before="200" w:after="40"/>
      </w:pPr>
      <w:r>
        <w:rPr>
          <w:b/>
          <w:color w:val="1E3A5F"/>
          <w:sz w:val="22"/>
        </w:rPr>
        <w:t>3.3  Decidable Execution</w:t>
      </w:r>
    </w:p>
    <w:p>
      <w:pPr>
        <w:spacing w:after="80"/>
      </w:pPr>
      <w:r>
        <w:rPr>
          <w:sz w:val="20"/>
        </w:rPr>
        <w:t>Clarity is a decidable language — the complete set of state changes for any function call can be statically determined before execution. There are no unbounded loops, no dynamic dispatch vulnerabilities, and no compiler upgrade surface. This was validated across all public functions.</w:t>
      </w:r>
    </w:p>
    <w:p>
      <w:pPr>
        <w:spacing w:before="320" w:after="80"/>
      </w:pPr>
      <w:r>
        <w:rPr>
          <w:b/>
          <w:color w:val="1E3A5F"/>
          <w:sz w:val="26"/>
        </w:rPr>
        <w:t>4. DETAILED FINDINGS</w:t>
      </w:r>
    </w:p>
    <w:p>
      <w:pPr>
        <w:spacing w:before="80" w:after="80"/>
        <w:pBdr>
          <w:bottom w:val="single" w:sz="6" w:space="1" w:color="CCCCCC"/>
        </w:pBdr>
      </w:pPr>
    </w:p>
    <w:p>
      <w:pPr>
        <w:spacing w:before="200" w:after="40"/>
      </w:pPr>
      <w:r>
        <w:rPr>
          <w:b/>
          <w:color w:val="0A1628"/>
          <w:sz w:val="22"/>
        </w:rPr>
        <w:t xml:space="preserve">Finding F-01: Patron Tier Calculation — Logic Ambiguity   </w:t>
      </w:r>
      <w:r>
        <w:rPr>
          <w:b/>
          <w:color w:val="2563EB"/>
          <w:sz w:val="18"/>
        </w:rPr>
        <w:t>[LOW]  [REFINED]</w:t>
      </w:r>
    </w:p>
    <w:p>
      <w:pPr>
        <w:spacing w:after="20"/>
      </w:pPr>
      <w:r>
        <w:rPr>
          <w:b/>
          <w:color w:val="374151"/>
          <w:sz w:val="20"/>
        </w:rPr>
        <w:t>Location:</w:t>
      </w:r>
    </w:p>
    <w:p>
      <w:pPr>
        <w:spacing w:after="80"/>
        <w:ind w:left="432"/>
      </w:pPr>
      <w:r>
        <w:rPr>
          <w:sz w:val="20"/>
        </w:rPr>
        <w:t>calculate-tier (lines 152–169)</w:t>
      </w:r>
    </w:p>
    <w:p>
      <w:pPr>
        <w:spacing w:after="20"/>
      </w:pPr>
      <w:r>
        <w:rPr>
          <w:b/>
          <w:color w:val="374151"/>
          <w:sz w:val="20"/>
        </w:rPr>
        <w:t>Description:</w:t>
      </w:r>
    </w:p>
    <w:p>
      <w:pPr>
        <w:spacing w:after="80"/>
        <w:ind w:left="432"/>
      </w:pPr>
      <w:r>
        <w:rPr>
          <w:sz w:val="20"/>
        </w:rPr>
        <w:t>The calculate-tier helper used a nested conditional structure where an outer guard checked (&gt;= amount u50000000) before branching into the Silver and Bronze checks. The outer value (u50000000) is not a named constant, making it opaque. A reader could mistake u50000000 (50 USDX) for the Bronze threshold (u100000000 / 100 USDX), creating the impression of a logic error.</w:t>
      </w:r>
    </w:p>
    <w:p>
      <w:pPr>
        <w:spacing w:after="20"/>
      </w:pPr>
      <w:r>
        <w:rPr>
          <w:b/>
          <w:color w:val="374151"/>
          <w:sz w:val="20"/>
        </w:rPr>
        <w:t>Original code (simplified):</w:t>
      </w:r>
    </w:p>
    <w:p>
      <w:pPr>
        <w:spacing w:before="80" w:after="80"/>
        <w:ind w:left="432"/>
      </w:pPr>
      <w:r>
        <w:rPr>
          <w:rFonts w:ascii="Courier New" w:hAnsi="Courier New"/>
          <w:color w:val="1E3A5F"/>
          <w:sz w:val="18"/>
          <w:shd w:val="clear" w:color="auto" w:fill="F1F5F9"/>
        </w:rPr>
        <w:t>(if (&gt;= amount u5000000000) u3</w:t>
        <w:br/>
        <w:t xml:space="preserve">  (if (&gt;= amount u1000000000) u2</w:t>
        <w:br/>
        <w:t xml:space="preserve">    (if (&gt;= amount u50000000)  ;; ambiguous guard</w:t>
        <w:br/>
        <w:t xml:space="preserve">      (if (&gt;= amount u500000000) u1</w:t>
        <w:br/>
        <w:t xml:space="preserve">        (if (&gt;= amount u100000000) u0 u99))</w:t>
        <w:br/>
        <w:t xml:space="preserve">      u99)))</w:t>
      </w:r>
    </w:p>
    <w:p>
      <w:pPr>
        <w:spacing w:after="20"/>
      </w:pPr>
      <w:r>
        <w:rPr>
          <w:b/>
          <w:color w:val="374151"/>
          <w:sz w:val="20"/>
        </w:rPr>
        <w:t>Refinement:</w:t>
      </w:r>
    </w:p>
    <w:p>
      <w:pPr>
        <w:spacing w:after="80"/>
        <w:ind w:left="432"/>
      </w:pPr>
      <w:r>
        <w:rPr>
          <w:sz w:val="20"/>
        </w:rPr>
        <w:t>Audited and confirmed the logic is arithmetically correct (amounts below 100 USDX correctly resolve to u99 regardless of the outer guard). Added inline documentation and flagged for refactoring to use named constants for each tier boundary, eliminating the ambiguous shortcut guard.</w:t>
      </w:r>
    </w:p>
    <w:p>
      <w:pPr>
        <w:spacing w:before="200" w:after="40"/>
      </w:pPr>
      <w:r>
        <w:rPr>
          <w:b/>
          <w:color w:val="0A1628"/>
          <w:sz w:val="22"/>
        </w:rPr>
        <w:t xml:space="preserve">Finding F-02: Unused Variable in vote-on-grant — Dead Code   </w:t>
      </w:r>
      <w:r>
        <w:rPr>
          <w:b/>
          <w:color w:val="16A34A"/>
          <w:sz w:val="18"/>
        </w:rPr>
        <w:t>[INFORMATIONAL]  [FIXED]</w:t>
      </w:r>
    </w:p>
    <w:p>
      <w:pPr>
        <w:spacing w:after="20"/>
      </w:pPr>
      <w:r>
        <w:rPr>
          <w:b/>
          <w:color w:val="374151"/>
          <w:sz w:val="20"/>
        </w:rPr>
        <w:t>Location:</w:t>
      </w:r>
    </w:p>
    <w:p>
      <w:pPr>
        <w:spacing w:after="80"/>
        <w:ind w:left="432"/>
      </w:pPr>
      <w:r>
        <w:rPr>
          <w:sz w:val="20"/>
        </w:rPr>
        <w:t>vote-on-grant, line 483</w:t>
      </w:r>
    </w:p>
    <w:p>
      <w:pPr>
        <w:spacing w:after="20"/>
      </w:pPr>
      <w:r>
        <w:rPr>
          <w:b/>
          <w:color w:val="374151"/>
          <w:sz w:val="20"/>
        </w:rPr>
        <w:t>Description:</w:t>
      </w:r>
    </w:p>
    <w:p>
      <w:pPr>
        <w:spacing w:after="80"/>
        <w:ind w:left="432"/>
      </w:pPr>
      <w:r>
        <w:rPr>
          <w:sz w:val="20"/>
        </w:rPr>
        <w:t>The function bound a local variable `weight` that computed the patron's raw deposit + staked amount without the STX multiplier. The subsequent line defined `voting-weight` with the correct multiplied calculation. The `weight` variable was never referenced and constituted dead code.</w:t>
      </w:r>
    </w:p>
    <w:p>
      <w:pPr>
        <w:spacing w:before="80" w:after="80"/>
        <w:ind w:left="432"/>
      </w:pPr>
      <w:r>
        <w:rPr>
          <w:rFonts w:ascii="Courier New" w:hAnsi="Courier New"/>
          <w:color w:val="1E3A5F"/>
          <w:sz w:val="18"/>
          <w:shd w:val="clear" w:color="auto" w:fill="F1F5F9"/>
        </w:rPr>
        <w:t>;; Before fix — dead variable</w:t>
        <w:br/>
        <w:t>(weight (+ (get total-deposited patron) (get stx-staked patron)))</w:t>
        <w:br/>
        <w:t>(voting-weight (+ (get total-deposited patron) (* (get stx-staked patron) STX-VOTE-MULTIPLIER)))</w:t>
      </w:r>
    </w:p>
    <w:p>
      <w:pPr>
        <w:spacing w:after="20"/>
      </w:pPr>
      <w:r>
        <w:rPr>
          <w:b/>
          <w:color w:val="374151"/>
          <w:sz w:val="20"/>
        </w:rPr>
        <w:t>Fix Applied:</w:t>
      </w:r>
    </w:p>
    <w:p>
      <w:pPr>
        <w:spacing w:after="80"/>
        <w:ind w:left="432"/>
      </w:pPr>
      <w:r>
        <w:rPr>
          <w:sz w:val="20"/>
        </w:rPr>
        <w:t>The `weight` binding was removed. Only `voting-weight` (the multiplied value) is used in all downstream vote tallying. This eliminates reader confusion about which value is authoritative and removes the risk of a future maintainer accidentally referencing the wrong variable.</w:t>
      </w:r>
    </w:p>
    <w:p>
      <w:pPr>
        <w:spacing w:before="80" w:after="80"/>
        <w:ind w:left="432"/>
      </w:pPr>
      <w:r>
        <w:rPr>
          <w:rFonts w:ascii="Courier New" w:hAnsi="Courier New"/>
          <w:color w:val="1E3A5F"/>
          <w:sz w:val="18"/>
          <w:shd w:val="clear" w:color="auto" w:fill="F1F5F9"/>
        </w:rPr>
        <w:t>;; After fix — single authoritative variable</w:t>
        <w:br/>
        <w:t>(voting-weight (+ (get total-deposited patron)</w:t>
        <w:br/>
        <w:t xml:space="preserve">                  (* (get stx-staked patron) STX-VOTE-MULTIPLIER)))</w:t>
      </w:r>
    </w:p>
    <w:p>
      <w:pPr>
        <w:spacing w:before="200" w:after="40"/>
      </w:pPr>
      <w:r>
        <w:rPr>
          <w:b/>
          <w:color w:val="0A1628"/>
          <w:sz w:val="22"/>
        </w:rPr>
        <w:t xml:space="preserve">Finding F-03: Fee Double-Accounting Audit — Escrow Math Verification   </w:t>
      </w:r>
      <w:r>
        <w:rPr>
          <w:b/>
          <w:color w:val="7C3AED"/>
          <w:sz w:val="18"/>
        </w:rPr>
        <w:t>[MEDIUM]  [CONFIRMED SAFE]</w:t>
      </w:r>
    </w:p>
    <w:p>
      <w:pPr>
        <w:spacing w:after="20"/>
      </w:pPr>
      <w:r>
        <w:rPr>
          <w:b/>
          <w:color w:val="374151"/>
          <w:sz w:val="20"/>
        </w:rPr>
        <w:t>Location:</w:t>
      </w:r>
    </w:p>
    <w:p>
      <w:pPr>
        <w:spacing w:after="80"/>
        <w:ind w:left="432"/>
      </w:pPr>
      <w:r>
        <w:rPr>
          <w:sz w:val="20"/>
        </w:rPr>
        <w:t>create-task (lines 299–356), approve-and-release (lines 653–687)</w:t>
      </w:r>
    </w:p>
    <w:p>
      <w:pPr>
        <w:spacing w:after="20"/>
      </w:pPr>
      <w:r>
        <w:rPr>
          <w:b/>
          <w:color w:val="374151"/>
          <w:sz w:val="20"/>
        </w:rPr>
        <w:t>Description:</w:t>
      </w:r>
    </w:p>
    <w:p>
      <w:pPr>
        <w:spacing w:after="80"/>
        <w:ind w:left="432"/>
      </w:pPr>
      <w:r>
        <w:rPr>
          <w:sz w:val="20"/>
        </w:rPr>
        <w:t>Both create-task and approve-and-release compute a fee from the gross task amount. This raised the question of whether fees were being deducted twice. A full escrow flow trace was performed.</w:t>
      </w:r>
    </w:p>
    <w:p>
      <w:pPr>
        <w:spacing w:after="20"/>
      </w:pPr>
      <w:r>
        <w:rPr>
          <w:b/>
          <w:color w:val="374151"/>
          <w:sz w:val="20"/>
        </w:rPr>
        <w:t>Verified flow for a 1,000 USDX self-funded task (3% fee):</w:t>
      </w:r>
    </w:p>
    <w:p>
      <w:pPr>
        <w:pStyle w:val="ListBullet"/>
        <w:spacing w:after="60"/>
      </w:pPr>
      <w:r>
        <w:rPr>
          <w:sz w:val="20"/>
        </w:rPr>
        <w:t>Creator calls create-task with amount = 1,000 USDX (u1000000000).</w:t>
      </w:r>
    </w:p>
    <w:p>
      <w:pPr>
        <w:pStyle w:val="ListBullet"/>
        <w:spacing w:after="60"/>
      </w:pPr>
      <w:r>
        <w:rPr>
          <w:sz w:val="20"/>
        </w:rPr>
        <w:t>fee = 30 USDX.  treasury_fee = 18 USDX sent to treasury.  wave_pool_fee = 12 USDX tracked in wave-pool-amount.</w:t>
      </w:r>
    </w:p>
    <w:p>
      <w:pPr>
        <w:pStyle w:val="ListBullet"/>
        <w:spacing w:after="60"/>
      </w:pPr>
      <w:r>
        <w:rPr>
          <w:sz w:val="20"/>
        </w:rPr>
        <w:t>Contract physical balance after creation: 1,000 − 18 = 982 USDX (12 earmarked for wave pool, 970 for assignee).</w:t>
      </w:r>
    </w:p>
    <w:p>
      <w:pPr>
        <w:pStyle w:val="ListBullet"/>
        <w:spacing w:after="60"/>
      </w:pPr>
      <w:r>
        <w:rPr>
          <w:sz w:val="20"/>
        </w:rPr>
        <w:t>Task map stores amount = 1,000 (gross).</w:t>
      </w:r>
    </w:p>
    <w:p>
      <w:pPr>
        <w:pStyle w:val="ListBullet"/>
        <w:spacing w:after="60"/>
      </w:pPr>
      <w:r>
        <w:rPr>
          <w:sz w:val="20"/>
        </w:rPr>
        <w:t>approve-and-release computes net_amount = 1,000 − 30 = 970 USDX and transfers to assignee.</w:t>
      </w:r>
    </w:p>
    <w:p>
      <w:pPr>
        <w:pStyle w:val="ListBullet"/>
        <w:spacing w:after="60"/>
      </w:pPr>
      <w:r>
        <w:rPr>
          <w:sz w:val="20"/>
        </w:rPr>
        <w:t>Contract retains: 982 − 970 = 12 USDX, which matches wave_pool_fee. Accounting is correct.</w:t>
      </w:r>
    </w:p>
    <w:p>
      <w:pPr>
        <w:spacing w:after="20"/>
      </w:pPr>
      <w:r>
        <w:rPr>
          <w:b/>
          <w:color w:val="374151"/>
          <w:sz w:val="20"/>
        </w:rPr>
        <w:t>Conclusion:</w:t>
      </w:r>
    </w:p>
    <w:p>
      <w:pPr>
        <w:spacing w:after="80"/>
        <w:ind w:left="432"/>
      </w:pPr>
      <w:r>
        <w:rPr>
          <w:sz w:val="20"/>
        </w:rPr>
        <w:t>No double-deduction occurs. The fee is physically extracted once (at creation). The second fee calculation at release time determines how much of the escrowed gross amount goes to the assignee versus stays in the wave pool. The math is sound.</w:t>
      </w:r>
    </w:p>
    <w:p>
      <w:pPr>
        <w:spacing w:before="200" w:after="40"/>
      </w:pPr>
      <w:r>
        <w:rPr>
          <w:b/>
          <w:color w:val="0A1628"/>
          <w:sz w:val="22"/>
        </w:rPr>
        <w:t xml:space="preserve">Finding F-04: Grant-Funded Task Expiry — Pool Balance Accounting   </w:t>
      </w:r>
      <w:r>
        <w:rPr>
          <w:b/>
          <w:color w:val="2563EB"/>
          <w:sz w:val="18"/>
        </w:rPr>
        <w:t>[LOW]  [REFINED]</w:t>
      </w:r>
    </w:p>
    <w:p>
      <w:pPr>
        <w:spacing w:after="20"/>
      </w:pPr>
      <w:r>
        <w:rPr>
          <w:b/>
          <w:color w:val="374151"/>
          <w:sz w:val="20"/>
        </w:rPr>
        <w:t>Location:</w:t>
      </w:r>
    </w:p>
    <w:p>
      <w:pPr>
        <w:spacing w:after="80"/>
        <w:ind w:left="432"/>
      </w:pPr>
      <w:r>
        <w:rPr>
          <w:sz w:val="20"/>
        </w:rPr>
        <w:t>mark-expired (lines 713–746), execute-grant (lines 508–573)</w:t>
      </w:r>
    </w:p>
    <w:p>
      <w:pPr>
        <w:spacing w:after="20"/>
      </w:pPr>
      <w:r>
        <w:rPr>
          <w:b/>
          <w:color w:val="374151"/>
          <w:sz w:val="20"/>
        </w:rPr>
        <w:t>Description:</w:t>
      </w:r>
    </w:p>
    <w:p>
      <w:pPr>
        <w:spacing w:after="80"/>
        <w:ind w:left="432"/>
      </w:pPr>
      <w:r>
        <w:rPr>
          <w:sz w:val="20"/>
        </w:rPr>
        <w:t>When a grant-funded task expires after being funded, mark-expired adds net_amount (amount − grant_fee) back to grant-pool-balance. However, execute-grant had already deducted the full gross amount from grant-pool-balance and transferred the treasury portion out. The reconciliation was implicit and not commented.</w:t>
      </w:r>
    </w:p>
    <w:p>
      <w:pPr>
        <w:spacing w:after="20"/>
      </w:pPr>
      <w:r>
        <w:rPr>
          <w:b/>
          <w:color w:val="374151"/>
          <w:sz w:val="20"/>
        </w:rPr>
        <w:t>Verified flow for a 1,000 USDX grant task (5% fee):</w:t>
      </w:r>
    </w:p>
    <w:p>
      <w:pPr>
        <w:pStyle w:val="ListBullet"/>
        <w:spacing w:after="60"/>
      </w:pPr>
      <w:r>
        <w:rPr>
          <w:sz w:val="20"/>
        </w:rPr>
        <w:t>execute-grant: grant-pool-balance -= 1,000.  treasury gets 30.  wave pool gets 20.  Contract holds 950 for task escrow.</w:t>
      </w:r>
    </w:p>
    <w:p>
      <w:pPr>
        <w:pStyle w:val="ListBullet"/>
        <w:spacing w:after="60"/>
      </w:pPr>
      <w:r>
        <w:rPr>
          <w:sz w:val="20"/>
        </w:rPr>
        <w:t>mark-expired: net_amount = 1,000 − 50 = 950.  grant-pool-balance += 950.</w:t>
      </w:r>
    </w:p>
    <w:p>
      <w:pPr>
        <w:pStyle w:val="ListBullet"/>
        <w:spacing w:after="60"/>
      </w:pPr>
      <w:r>
        <w:rPr>
          <w:sz w:val="20"/>
        </w:rPr>
        <w:t>Result: pool balance correctly reflects 950 USDX returned. The 20 USDX wave fee is retained as earned.</w:t>
      </w:r>
    </w:p>
    <w:p>
      <w:pPr>
        <w:spacing w:after="20"/>
      </w:pPr>
      <w:r>
        <w:rPr>
          <w:b/>
          <w:color w:val="374151"/>
          <w:sz w:val="20"/>
        </w:rPr>
        <w:t>Refinement:</w:t>
      </w:r>
    </w:p>
    <w:p>
      <w:pPr>
        <w:spacing w:after="80"/>
        <w:ind w:left="432"/>
      </w:pPr>
      <w:r>
        <w:rPr>
          <w:sz w:val="20"/>
        </w:rPr>
        <w:t>Confirmed the arithmetic is correct. Added commentary to both functions making the fee deduction chain explicit so future maintainers can trace the accounting without re-deriving it.</w:t>
      </w:r>
    </w:p>
    <w:p>
      <w:pPr>
        <w:spacing w:before="200" w:after="40"/>
      </w:pPr>
      <w:r>
        <w:rPr>
          <w:b/>
          <w:color w:val="0A1628"/>
          <w:sz w:val="22"/>
        </w:rPr>
        <w:t xml:space="preserve">Finding F-05: github-verified Parameter — Off-Chain Trust Assumption   </w:t>
      </w:r>
      <w:r>
        <w:rPr>
          <w:b/>
          <w:color w:val="7C3AED"/>
          <w:sz w:val="18"/>
        </w:rPr>
        <w:t>[LOW]  [CONFIRMED SAFE]</w:t>
      </w:r>
    </w:p>
    <w:p>
      <w:pPr>
        <w:spacing w:after="20"/>
      </w:pPr>
      <w:r>
        <w:rPr>
          <w:b/>
          <w:color w:val="374151"/>
          <w:sz w:val="20"/>
        </w:rPr>
        <w:t>Location:</w:t>
      </w:r>
    </w:p>
    <w:p>
      <w:pPr>
        <w:spacing w:after="80"/>
        <w:ind w:left="432"/>
      </w:pPr>
      <w:r>
        <w:rPr>
          <w:sz w:val="20"/>
        </w:rPr>
        <w:t>register-user (line 232)</w:t>
      </w:r>
    </w:p>
    <w:p>
      <w:pPr>
        <w:spacing w:after="20"/>
      </w:pPr>
      <w:r>
        <w:rPr>
          <w:b/>
          <w:color w:val="374151"/>
          <w:sz w:val="20"/>
        </w:rPr>
        <w:t>Description:</w:t>
      </w:r>
    </w:p>
    <w:p>
      <w:pPr>
        <w:spacing w:after="80"/>
        <w:ind w:left="432"/>
      </w:pPr>
      <w:r>
        <w:rPr>
          <w:sz w:val="20"/>
        </w:rPr>
        <w:t>register-user accepts github-verified as a boolean passed by the caller. On-chain, the contract trusts the caller's assertion. This could allow a user to self-declare GitHub verification without completing the OAuth flow.</w:t>
      </w:r>
    </w:p>
    <w:p>
      <w:pPr>
        <w:spacing w:after="20"/>
      </w:pPr>
      <w:r>
        <w:rPr>
          <w:b/>
          <w:color w:val="374151"/>
          <w:sz w:val="20"/>
        </w:rPr>
        <w:t>Mitigation confirmed:</w:t>
      </w:r>
    </w:p>
    <w:p>
      <w:pPr>
        <w:spacing w:after="80"/>
        <w:ind w:left="432"/>
      </w:pPr>
      <w:r>
        <w:rPr>
          <w:sz w:val="20"/>
        </w:rPr>
        <w:t>The GitHub OAuth callback is handled server-side (Next.js API route at /api/auth/github/callback). The frontend only constructs and submits the register-user transaction after the server has verified the OAuth code and issued a JWT. The on-chain parameter reflects a gateway check performed off-chain, which is a documented and intentional trust boundary. The risk is limited: a technically capable user bypassing the frontend UI could self-declare verification, but GitHub identity is not used as a financial gate in the contract — it is a reputation signal only.</w:t>
      </w:r>
    </w:p>
    <w:p>
      <w:pPr>
        <w:spacing w:before="200" w:after="40"/>
      </w:pPr>
      <w:r>
        <w:rPr>
          <w:b/>
          <w:color w:val="0A1628"/>
          <w:sz w:val="22"/>
        </w:rPr>
        <w:t xml:space="preserve">Finding F-06: Experience-Level Validation for Non-Contributor Roles   </w:t>
      </w:r>
      <w:r>
        <w:rPr>
          <w:b/>
          <w:color w:val="2563EB"/>
          <w:sz w:val="18"/>
        </w:rPr>
        <w:t>[INFORMATIONAL]  [REFINED]</w:t>
      </w:r>
    </w:p>
    <w:p>
      <w:pPr>
        <w:spacing w:after="20"/>
      </w:pPr>
      <w:r>
        <w:rPr>
          <w:b/>
          <w:color w:val="374151"/>
          <w:sz w:val="20"/>
        </w:rPr>
        <w:t>Location:</w:t>
      </w:r>
    </w:p>
    <w:p>
      <w:pPr>
        <w:spacing w:after="80"/>
        <w:ind w:left="432"/>
      </w:pPr>
      <w:r>
        <w:rPr>
          <w:sz w:val="20"/>
        </w:rPr>
        <w:t>register-user (lines 239–248)</w:t>
      </w:r>
    </w:p>
    <w:p>
      <w:pPr>
        <w:spacing w:after="20"/>
      </w:pPr>
      <w:r>
        <w:rPr>
          <w:b/>
          <w:color w:val="374151"/>
          <w:sz w:val="20"/>
        </w:rPr>
        <w:t>Description:</w:t>
      </w:r>
    </w:p>
    <w:p>
      <w:pPr>
        <w:spacing w:after="80"/>
        <w:ind w:left="432"/>
      </w:pPr>
      <w:r>
        <w:rPr>
          <w:sz w:val="20"/>
        </w:rPr>
        <w:t>The register-user function validates (&lt;= experience-level TIER-EXPERT) for all roles, even though experience-level is stored as u0 for creators and investors regardless of the passed value. The validation is harmless but misleads callers into thinking the parameter is meaningful for non-contributor roles.</w:t>
      </w:r>
    </w:p>
    <w:p>
      <w:pPr>
        <w:spacing w:after="20"/>
      </w:pPr>
      <w:r>
        <w:rPr>
          <w:b/>
          <w:color w:val="374151"/>
          <w:sz w:val="20"/>
        </w:rPr>
        <w:t>Refinement:</w:t>
      </w:r>
    </w:p>
    <w:p>
      <w:pPr>
        <w:spacing w:after="80"/>
        <w:ind w:left="432"/>
      </w:pPr>
      <w:r>
        <w:rPr>
          <w:sz w:val="20"/>
        </w:rPr>
        <w:t>Added a conditional guard so experience validation only fires for the contributor role. For creator and investor registrations the experience-level parameter is now documented as ignored and validated to be u0 to prevent confusion.</w:t>
      </w:r>
    </w:p>
    <w:p>
      <w:pPr>
        <w:spacing w:before="200" w:after="40"/>
      </w:pPr>
      <w:r>
        <w:rPr>
          <w:b/>
          <w:color w:val="0A1628"/>
          <w:sz w:val="22"/>
        </w:rPr>
        <w:t xml:space="preserve">Finding F-07: CONTRACT-OWNER Immutability — No Ownership Transfer   </w:t>
      </w:r>
      <w:r>
        <w:rPr>
          <w:b/>
          <w:color w:val="2563EB"/>
          <w:sz w:val="18"/>
        </w:rPr>
        <w:t>[LOW]  [REFINED]</w:t>
      </w:r>
    </w:p>
    <w:p>
      <w:pPr>
        <w:spacing w:after="20"/>
      </w:pPr>
      <w:r>
        <w:rPr>
          <w:b/>
          <w:color w:val="374151"/>
          <w:sz w:val="20"/>
        </w:rPr>
        <w:t>Location:</w:t>
      </w:r>
    </w:p>
    <w:p>
      <w:pPr>
        <w:spacing w:after="80"/>
        <w:ind w:left="432"/>
      </w:pPr>
      <w:r>
        <w:rPr>
          <w:sz w:val="20"/>
        </w:rPr>
        <w:t>(define-constant CONTRACT-OWNER tx-sender), advance-wave, set-treasury-address</w:t>
      </w:r>
    </w:p>
    <w:p>
      <w:pPr>
        <w:spacing w:after="20"/>
      </w:pPr>
      <w:r>
        <w:rPr>
          <w:b/>
          <w:color w:val="374151"/>
          <w:sz w:val="20"/>
        </w:rPr>
        <w:t>Description:</w:t>
      </w:r>
    </w:p>
    <w:p>
      <w:pPr>
        <w:spacing w:after="80"/>
        <w:ind w:left="432"/>
      </w:pPr>
      <w:r>
        <w:rPr>
          <w:sz w:val="20"/>
        </w:rPr>
        <w:t>CONTRACT-OWNER is captured as a constant at deployment from tx-sender. There is no function to transfer ownership. If the deployer key is lost or compromised, advance-wave (wave epoch advancement) and set-treasury-address become permanently inaccessible or permanently accessible to an attacker respectively.</w:t>
      </w:r>
    </w:p>
    <w:p>
      <w:pPr>
        <w:spacing w:after="20"/>
      </w:pPr>
      <w:r>
        <w:rPr>
          <w:b/>
          <w:color w:val="374151"/>
          <w:sz w:val="20"/>
        </w:rPr>
        <w:t>Refinement:</w:t>
      </w:r>
    </w:p>
    <w:p>
      <w:pPr>
        <w:spacing w:after="80"/>
        <w:ind w:left="432"/>
      </w:pPr>
      <w:r>
        <w:rPr>
          <w:sz w:val="20"/>
        </w:rPr>
        <w:t>The immutability of CONTRACT-OWNER is a known Clarity constant limitation. The risk is documented as an operational consideration. To mitigate: (1) set-treasury-address is guarded by owner-only check — changing the treasury address to an attacker-controlled address is the primary risk if the key is compromised. Recommendation: deploy with a multisig principal as tx-sender. (2) advance-wave becoming inaccessible (lost key) would freeze wave reward advances but does not affect user funds — escrowed USDX is only moved by task lifecycle calls, which have no owner dependency.</w:t>
      </w:r>
    </w:p>
    <w:p>
      <w:pPr>
        <w:spacing w:before="200" w:after="40"/>
      </w:pPr>
      <w:r>
        <w:rPr>
          <w:b/>
          <w:color w:val="0A1628"/>
          <w:sz w:val="22"/>
        </w:rPr>
        <w:t xml:space="preserve">Finding F-08: cancel-task — Fee Retention on Cancellation   </w:t>
      </w:r>
      <w:r>
        <w:rPr>
          <w:b/>
          <w:color w:val="7C3AED"/>
          <w:sz w:val="18"/>
        </w:rPr>
        <w:t>[INFORMATIONAL]  [CONFIRMED SAFE]</w:t>
      </w:r>
    </w:p>
    <w:p>
      <w:pPr>
        <w:spacing w:after="20"/>
      </w:pPr>
      <w:r>
        <w:rPr>
          <w:b/>
          <w:color w:val="374151"/>
          <w:sz w:val="20"/>
        </w:rPr>
        <w:t>Location:</w:t>
      </w:r>
    </w:p>
    <w:p>
      <w:pPr>
        <w:spacing w:after="80"/>
        <w:ind w:left="432"/>
      </w:pPr>
      <w:r>
        <w:rPr>
          <w:sz w:val="20"/>
        </w:rPr>
        <w:t>cancel-task (lines 689–711)</w:t>
      </w:r>
    </w:p>
    <w:p>
      <w:pPr>
        <w:spacing w:after="20"/>
      </w:pPr>
      <w:r>
        <w:rPr>
          <w:b/>
          <w:color w:val="374151"/>
          <w:sz w:val="20"/>
        </w:rPr>
        <w:t>Description:</w:t>
      </w:r>
    </w:p>
    <w:p>
      <w:pPr>
        <w:spacing w:after="80"/>
        <w:ind w:left="432"/>
      </w:pPr>
      <w:r>
        <w:rPr>
          <w:sz w:val="20"/>
        </w:rPr>
        <w:t>When a creator cancels an open self-funded task, they receive net_amount = amount − fee. The fee (already split to treasury and wave pool at creation) is not refunded. This was audited to ensure the fee is not double-collected and that the net refund amount is available in the contract.</w:t>
      </w:r>
    </w:p>
    <w:p>
      <w:pPr>
        <w:spacing w:after="20"/>
      </w:pPr>
      <w:r>
        <w:rPr>
          <w:b/>
          <w:color w:val="374151"/>
          <w:sz w:val="20"/>
        </w:rPr>
        <w:t>Confirmed:</w:t>
      </w:r>
    </w:p>
    <w:p>
      <w:pPr>
        <w:spacing w:after="80"/>
        <w:ind w:left="432"/>
      </w:pPr>
      <w:r>
        <w:rPr>
          <w:sz w:val="20"/>
        </w:rPr>
        <w:t>The fee was extracted at creation (treasury received its share; wave pool was credited). The contract physically holds amount − treasury_fee at cancellation time. Transferring net_amount (amount − full_fee) leaves the wave_pool_fee portion in the contract, consistent with the accounting model. Fee retention on cancellation is intentional economic design — the treasury earns from task creation, not only on completion.</w:t>
      </w:r>
    </w:p>
    <w:p>
      <w:pPr>
        <w:spacing w:before="200" w:after="40"/>
      </w:pPr>
      <w:r>
        <w:rPr>
          <w:b/>
          <w:color w:val="0A1628"/>
          <w:sz w:val="22"/>
        </w:rPr>
        <w:t xml:space="preserve">Finding F-09: Token Contract Principal Validation on Every Transfer   </w:t>
      </w:r>
      <w:r>
        <w:rPr>
          <w:b/>
          <w:color w:val="7C3AED"/>
          <w:sz w:val="18"/>
        </w:rPr>
        <w:t>[MEDIUM]  [CONFIRMED SAFE]</w:t>
      </w:r>
    </w:p>
    <w:p>
      <w:pPr>
        <w:spacing w:after="20"/>
      </w:pPr>
      <w:r>
        <w:rPr>
          <w:b/>
          <w:color w:val="374151"/>
          <w:sz w:val="20"/>
        </w:rPr>
        <w:t>Location:</w:t>
      </w:r>
    </w:p>
    <w:p>
      <w:pPr>
        <w:spacing w:after="80"/>
        <w:ind w:left="432"/>
      </w:pPr>
      <w:r>
        <w:rPr>
          <w:sz w:val="20"/>
        </w:rPr>
        <w:t>approve-and-release (line 666), cancel-task (line 700), mark-expired (line 728), deposit-to-pool (line 368), execute-grant (line 516), claim-wave-reward (line 782)</w:t>
      </w:r>
    </w:p>
    <w:p>
      <w:pPr>
        <w:spacing w:after="20"/>
      </w:pPr>
      <w:r>
        <w:rPr>
          <w:b/>
          <w:color w:val="374151"/>
          <w:sz w:val="20"/>
        </w:rPr>
        <w:t>Description:</w:t>
      </w:r>
    </w:p>
    <w:p>
      <w:pPr>
        <w:spacing w:after="80"/>
        <w:ind w:left="432"/>
      </w:pPr>
      <w:r>
        <w:rPr>
          <w:sz w:val="20"/>
        </w:rPr>
        <w:t>Every public function that executes a token transfer validates the caller-supplied token-trait against the address stored in the task or the known USDX contract address using (contract-of token-trait).</w:t>
      </w:r>
    </w:p>
    <w:p>
      <w:pPr>
        <w:spacing w:before="80" w:after="80"/>
        <w:ind w:left="432"/>
      </w:pPr>
      <w:r>
        <w:rPr>
          <w:rFonts w:ascii="Courier New" w:hAnsi="Courier New"/>
          <w:color w:val="1E3A5F"/>
          <w:sz w:val="18"/>
          <w:shd w:val="clear" w:color="auto" w:fill="F1F5F9"/>
        </w:rPr>
        <w:t>(asserts! (is-eq (contract-of token-trait) (get token task)) ERR-INVALID-TOKEN)</w:t>
      </w:r>
    </w:p>
    <w:p>
      <w:pPr>
        <w:spacing w:after="20"/>
      </w:pPr>
      <w:r>
        <w:rPr>
          <w:b/>
          <w:color w:val="374151"/>
          <w:sz w:val="20"/>
        </w:rPr>
        <w:t>Confirmed:</w:t>
      </w:r>
    </w:p>
    <w:p>
      <w:pPr>
        <w:spacing w:after="80"/>
        <w:ind w:left="432"/>
      </w:pPr>
      <w:r>
        <w:rPr>
          <w:sz w:val="20"/>
        </w:rPr>
        <w:t>This pattern prevents a caller from supplying a malicious SIP-010 implementation that mimics the interface but drains different assets. The (contract-of) check is enforced at the Clarity VM level and cannot be spoofed. Validated present on all six transfer entry points.</w:t>
      </w:r>
    </w:p>
    <w:p>
      <w:pPr>
        <w:spacing w:before="200" w:after="40"/>
      </w:pPr>
      <w:r>
        <w:rPr>
          <w:b/>
          <w:color w:val="0A1628"/>
          <w:sz w:val="22"/>
        </w:rPr>
        <w:t xml:space="preserve">Finding F-10: Experience Gate Enforcement At Contract Level   </w:t>
      </w:r>
      <w:r>
        <w:rPr>
          <w:b/>
          <w:color w:val="7C3AED"/>
          <w:sz w:val="18"/>
        </w:rPr>
        <w:t>[HIGH]  [CONFIRMED SAFE]</w:t>
      </w:r>
    </w:p>
    <w:p>
      <w:pPr>
        <w:spacing w:after="20"/>
      </w:pPr>
      <w:r>
        <w:rPr>
          <w:b/>
          <w:color w:val="374151"/>
          <w:sz w:val="20"/>
        </w:rPr>
        <w:t>Location:</w:t>
      </w:r>
    </w:p>
    <w:p>
      <w:pPr>
        <w:spacing w:after="80"/>
        <w:ind w:left="432"/>
      </w:pPr>
      <w:r>
        <w:rPr>
          <w:sz w:val="20"/>
        </w:rPr>
        <w:t>apply-for-task (lines 577–596)</w:t>
      </w:r>
    </w:p>
    <w:p>
      <w:pPr>
        <w:spacing w:after="20"/>
      </w:pPr>
      <w:r>
        <w:rPr>
          <w:b/>
          <w:color w:val="374151"/>
          <w:sz w:val="20"/>
        </w:rPr>
        <w:t>Description:</w:t>
      </w:r>
    </w:p>
    <w:p>
      <w:pPr>
        <w:spacing w:after="80"/>
        <w:ind w:left="432"/>
      </w:pPr>
      <w:r>
        <w:rPr>
          <w:sz w:val="20"/>
        </w:rPr>
        <w:t>The experience matching system (experience-min, experience-max per task; experience-level per contributor) is enforced at the contract layer, not only in the frontend filter. This was a deliberate design choice and was validated in the audit.</w:t>
      </w:r>
    </w:p>
    <w:p>
      <w:pPr>
        <w:spacing w:before="80" w:after="80"/>
        <w:ind w:left="432"/>
      </w:pPr>
      <w:r>
        <w:rPr>
          <w:rFonts w:ascii="Courier New" w:hAnsi="Courier New"/>
          <w:color w:val="1E3A5F"/>
          <w:sz w:val="18"/>
          <w:shd w:val="clear" w:color="auto" w:fill="F1F5F9"/>
        </w:rPr>
        <w:t>(asserts!</w:t>
        <w:br/>
        <w:t xml:space="preserve">  (and (&gt;= exp (get experience-min task))</w:t>
        <w:br/>
        <w:t xml:space="preserve">       (&lt;= exp (get experience-max task)))</w:t>
        <w:br/>
        <w:t xml:space="preserve">  ERR-EXPERIENCE-MISMATCH)</w:t>
      </w:r>
    </w:p>
    <w:p>
      <w:pPr>
        <w:spacing w:after="20"/>
      </w:pPr>
      <w:r>
        <w:rPr>
          <w:b/>
          <w:color w:val="374151"/>
          <w:sz w:val="20"/>
        </w:rPr>
        <w:t>Confirmed:</w:t>
      </w:r>
    </w:p>
    <w:p>
      <w:pPr>
        <w:spacing w:after="80"/>
        <w:ind w:left="432"/>
      </w:pPr>
      <w:r>
        <w:rPr>
          <w:sz w:val="20"/>
        </w:rPr>
        <w:t>A contributor bypassing the frontend UI and calling apply-for-task directly cannot circumvent the experience gate. The contract rejects out-of-range applications with ERR-EXPERIENCE-MISMATCH (u1010). Combined with the 1-day cooldown on experience updates (EXPERIENCE-UPDATE-COOLDOWN = u144 blocks), experience gaming is structurally constrained.</w:t>
      </w:r>
    </w:p>
    <w:p>
      <w:pPr>
        <w:spacing w:before="320" w:after="80"/>
      </w:pPr>
      <w:r>
        <w:rPr>
          <w:b/>
          <w:color w:val="1E3A5F"/>
          <w:sz w:val="26"/>
        </w:rPr>
        <w:t>5. ACCESS CONTROL MATRIX</w:t>
      </w:r>
    </w:p>
    <w:p>
      <w:pPr>
        <w:spacing w:before="80" w:after="80"/>
        <w:pBdr>
          <w:bottom w:val="single" w:sz="6" w:space="1" w:color="CCCCCC"/>
        </w:pBdr>
      </w:pPr>
    </w:p>
    <w:p>
      <w:pPr>
        <w:spacing w:after="80"/>
      </w:pPr>
      <w:r>
        <w:rPr>
          <w:sz w:val="20"/>
        </w:rPr>
        <w:t>Every privileged function and its authorization check:</w:t>
      </w:r>
    </w:p>
    <w:tbl>
      <w:tblPr>
        <w:tblStyle w:val="TableGrid"/>
        <w:tblW w:type="auto" w:w="0"/>
        <w:tblLook w:firstColumn="1" w:firstRow="1" w:lastColumn="0" w:lastRow="0" w:noHBand="0" w:noVBand="1" w:val="04A0"/>
      </w:tblPr>
      <w:tblGrid>
        <w:gridCol w:w="3022"/>
        <w:gridCol w:w="3022"/>
        <w:gridCol w:w="3022"/>
      </w:tblGrid>
      <w:tr>
        <w:tc>
          <w:tcPr>
            <w:tcW w:type="dxa" w:w="3022"/>
          </w:tcPr>
          <w:p>
            <w:r>
              <w:rPr>
                <w:b/>
                <w:sz w:val="18"/>
              </w:rPr>
              <w:t>Function</w:t>
            </w:r>
          </w:p>
        </w:tc>
        <w:tc>
          <w:tcPr>
            <w:tcW w:type="dxa" w:w="3022"/>
          </w:tcPr>
          <w:p>
            <w:r>
              <w:rPr>
                <w:b/>
                <w:sz w:val="18"/>
              </w:rPr>
              <w:t>Guard</w:t>
            </w:r>
          </w:p>
        </w:tc>
        <w:tc>
          <w:tcPr>
            <w:tcW w:type="dxa" w:w="3022"/>
          </w:tcPr>
          <w:p>
            <w:r>
              <w:rPr>
                <w:b/>
                <w:sz w:val="18"/>
              </w:rPr>
              <w:t>Verified</w:t>
            </w:r>
          </w:p>
        </w:tc>
      </w:tr>
      <w:tr>
        <w:tc>
          <w:tcPr>
            <w:tcW w:type="dxa" w:w="3022"/>
          </w:tcPr>
          <w:p>
            <w:r>
              <w:rPr>
                <w:sz w:val="18"/>
              </w:rPr>
              <w:t>advance-wave</w:t>
            </w:r>
          </w:p>
        </w:tc>
        <w:tc>
          <w:tcPr>
            <w:tcW w:type="dxa" w:w="3022"/>
          </w:tcPr>
          <w:p>
            <w:r>
              <w:rPr>
                <w:sz w:val="18"/>
              </w:rPr>
              <w:t>tx-sender == CONTRACT-OWNER</w:t>
            </w:r>
          </w:p>
        </w:tc>
        <w:tc>
          <w:tcPr>
            <w:tcW w:type="dxa" w:w="3022"/>
          </w:tcPr>
          <w:p>
            <w:r>
              <w:rPr>
                <w:sz w:val="18"/>
              </w:rPr>
              <w:t>Yes</w:t>
            </w:r>
          </w:p>
        </w:tc>
      </w:tr>
      <w:tr>
        <w:tc>
          <w:tcPr>
            <w:tcW w:type="dxa" w:w="3022"/>
          </w:tcPr>
          <w:p>
            <w:r>
              <w:rPr>
                <w:sz w:val="18"/>
              </w:rPr>
              <w:t>set-treasury-address</w:t>
            </w:r>
          </w:p>
        </w:tc>
        <w:tc>
          <w:tcPr>
            <w:tcW w:type="dxa" w:w="3022"/>
          </w:tcPr>
          <w:p>
            <w:r>
              <w:rPr>
                <w:sz w:val="18"/>
              </w:rPr>
              <w:t>tx-sender == CONTRACT-OWNER</w:t>
            </w:r>
          </w:p>
        </w:tc>
        <w:tc>
          <w:tcPr>
            <w:tcW w:type="dxa" w:w="3022"/>
          </w:tcPr>
          <w:p>
            <w:r>
              <w:rPr>
                <w:sz w:val="18"/>
              </w:rPr>
              <w:t>Yes</w:t>
            </w:r>
          </w:p>
        </w:tc>
      </w:tr>
      <w:tr>
        <w:tc>
          <w:tcPr>
            <w:tcW w:type="dxa" w:w="3022"/>
          </w:tcPr>
          <w:p>
            <w:r>
              <w:rPr>
                <w:sz w:val="18"/>
              </w:rPr>
              <w:t>create-task</w:t>
            </w:r>
          </w:p>
        </w:tc>
        <w:tc>
          <w:tcPr>
            <w:tcW w:type="dxa" w:w="3022"/>
          </w:tcPr>
          <w:p>
            <w:r>
              <w:rPr>
                <w:sz w:val="18"/>
              </w:rPr>
              <w:t>user.role == 'creator'</w:t>
            </w:r>
          </w:p>
        </w:tc>
        <w:tc>
          <w:tcPr>
            <w:tcW w:type="dxa" w:w="3022"/>
          </w:tcPr>
          <w:p>
            <w:r>
              <w:rPr>
                <w:sz w:val="18"/>
              </w:rPr>
              <w:t>Yes</w:t>
            </w:r>
          </w:p>
        </w:tc>
      </w:tr>
      <w:tr>
        <w:tc>
          <w:tcPr>
            <w:tcW w:type="dxa" w:w="3022"/>
          </w:tcPr>
          <w:p>
            <w:r>
              <w:rPr>
                <w:sz w:val="18"/>
              </w:rPr>
              <w:t>apply-for-grant</w:t>
            </w:r>
          </w:p>
        </w:tc>
        <w:tc>
          <w:tcPr>
            <w:tcW w:type="dxa" w:w="3022"/>
          </w:tcPr>
          <w:p>
            <w:r>
              <w:rPr>
                <w:sz w:val="18"/>
              </w:rPr>
              <w:t>user.role == 'creator'</w:t>
            </w:r>
          </w:p>
        </w:tc>
        <w:tc>
          <w:tcPr>
            <w:tcW w:type="dxa" w:w="3022"/>
          </w:tcPr>
          <w:p>
            <w:r>
              <w:rPr>
                <w:sz w:val="18"/>
              </w:rPr>
              <w:t>Yes</w:t>
            </w:r>
          </w:p>
        </w:tc>
      </w:tr>
      <w:tr>
        <w:tc>
          <w:tcPr>
            <w:tcW w:type="dxa" w:w="3022"/>
          </w:tcPr>
          <w:p>
            <w:r>
              <w:rPr>
                <w:sz w:val="18"/>
              </w:rPr>
              <w:t>assign-task</w:t>
            </w:r>
          </w:p>
        </w:tc>
        <w:tc>
          <w:tcPr>
            <w:tcW w:type="dxa" w:w="3022"/>
          </w:tcPr>
          <w:p>
            <w:r>
              <w:rPr>
                <w:sz w:val="18"/>
              </w:rPr>
              <w:t>tx-sender == task.creator</w:t>
            </w:r>
          </w:p>
        </w:tc>
        <w:tc>
          <w:tcPr>
            <w:tcW w:type="dxa" w:w="3022"/>
          </w:tcPr>
          <w:p>
            <w:r>
              <w:rPr>
                <w:sz w:val="18"/>
              </w:rPr>
              <w:t>Yes</w:t>
            </w:r>
          </w:p>
        </w:tc>
      </w:tr>
      <w:tr>
        <w:tc>
          <w:tcPr>
            <w:tcW w:type="dxa" w:w="3022"/>
          </w:tcPr>
          <w:p>
            <w:r>
              <w:rPr>
                <w:sz w:val="18"/>
              </w:rPr>
              <w:t>approve-and-release</w:t>
            </w:r>
          </w:p>
        </w:tc>
        <w:tc>
          <w:tcPr>
            <w:tcW w:type="dxa" w:w="3022"/>
          </w:tcPr>
          <w:p>
            <w:r>
              <w:rPr>
                <w:sz w:val="18"/>
              </w:rPr>
              <w:t>tx-sender == task.creator</w:t>
            </w:r>
          </w:p>
        </w:tc>
        <w:tc>
          <w:tcPr>
            <w:tcW w:type="dxa" w:w="3022"/>
          </w:tcPr>
          <w:p>
            <w:r>
              <w:rPr>
                <w:sz w:val="18"/>
              </w:rPr>
              <w:t>Yes</w:t>
            </w:r>
          </w:p>
        </w:tc>
      </w:tr>
      <w:tr>
        <w:tc>
          <w:tcPr>
            <w:tcW w:type="dxa" w:w="3022"/>
          </w:tcPr>
          <w:p>
            <w:r>
              <w:rPr>
                <w:sz w:val="18"/>
              </w:rPr>
              <w:t>cancel-task</w:t>
            </w:r>
          </w:p>
        </w:tc>
        <w:tc>
          <w:tcPr>
            <w:tcW w:type="dxa" w:w="3022"/>
          </w:tcPr>
          <w:p>
            <w:r>
              <w:rPr>
                <w:sz w:val="18"/>
              </w:rPr>
              <w:t>tx-sender == task.creator, funding-type == 'self'</w:t>
            </w:r>
          </w:p>
        </w:tc>
        <w:tc>
          <w:tcPr>
            <w:tcW w:type="dxa" w:w="3022"/>
          </w:tcPr>
          <w:p>
            <w:r>
              <w:rPr>
                <w:sz w:val="18"/>
              </w:rPr>
              <w:t>Yes</w:t>
            </w:r>
          </w:p>
        </w:tc>
      </w:tr>
      <w:tr>
        <w:tc>
          <w:tcPr>
            <w:tcW w:type="dxa" w:w="3022"/>
          </w:tcPr>
          <w:p>
            <w:r>
              <w:rPr>
                <w:sz w:val="18"/>
              </w:rPr>
              <w:t>apply-for-task</w:t>
            </w:r>
          </w:p>
        </w:tc>
        <w:tc>
          <w:tcPr>
            <w:tcW w:type="dxa" w:w="3022"/>
          </w:tcPr>
          <w:p>
            <w:r>
              <w:rPr>
                <w:sz w:val="18"/>
              </w:rPr>
              <w:t>user.role == 'contributor', experience gate</w:t>
            </w:r>
          </w:p>
        </w:tc>
        <w:tc>
          <w:tcPr>
            <w:tcW w:type="dxa" w:w="3022"/>
          </w:tcPr>
          <w:p>
            <w:r>
              <w:rPr>
                <w:sz w:val="18"/>
              </w:rPr>
              <w:t>Yes</w:t>
            </w:r>
          </w:p>
        </w:tc>
      </w:tr>
      <w:tr>
        <w:tc>
          <w:tcPr>
            <w:tcW w:type="dxa" w:w="3022"/>
          </w:tcPr>
          <w:p>
            <w:r>
              <w:rPr>
                <w:sz w:val="18"/>
              </w:rPr>
              <w:t>start-task</w:t>
            </w:r>
          </w:p>
        </w:tc>
        <w:tc>
          <w:tcPr>
            <w:tcW w:type="dxa" w:w="3022"/>
          </w:tcPr>
          <w:p>
            <w:r>
              <w:rPr>
                <w:sz w:val="18"/>
              </w:rPr>
              <w:t>tx-sender == task.assignee</w:t>
            </w:r>
          </w:p>
        </w:tc>
        <w:tc>
          <w:tcPr>
            <w:tcW w:type="dxa" w:w="3022"/>
          </w:tcPr>
          <w:p>
            <w:r>
              <w:rPr>
                <w:sz w:val="18"/>
              </w:rPr>
              <w:t>Yes</w:t>
            </w:r>
          </w:p>
        </w:tc>
      </w:tr>
      <w:tr>
        <w:tc>
          <w:tcPr>
            <w:tcW w:type="dxa" w:w="3022"/>
          </w:tcPr>
          <w:p>
            <w:r>
              <w:rPr>
                <w:sz w:val="18"/>
              </w:rPr>
              <w:t>submit-task</w:t>
            </w:r>
          </w:p>
        </w:tc>
        <w:tc>
          <w:tcPr>
            <w:tcW w:type="dxa" w:w="3022"/>
          </w:tcPr>
          <w:p>
            <w:r>
              <w:rPr>
                <w:sz w:val="18"/>
              </w:rPr>
              <w:t>tx-sender == task.assignee</w:t>
            </w:r>
          </w:p>
        </w:tc>
        <w:tc>
          <w:tcPr>
            <w:tcW w:type="dxa" w:w="3022"/>
          </w:tcPr>
          <w:p>
            <w:r>
              <w:rPr>
                <w:sz w:val="18"/>
              </w:rPr>
              <w:t>Yes</w:t>
            </w:r>
          </w:p>
        </w:tc>
      </w:tr>
      <w:tr>
        <w:tc>
          <w:tcPr>
            <w:tcW w:type="dxa" w:w="3022"/>
          </w:tcPr>
          <w:p>
            <w:r>
              <w:rPr>
                <w:sz w:val="18"/>
              </w:rPr>
              <w:t>vote-on-grant</w:t>
            </w:r>
          </w:p>
        </w:tc>
        <w:tc>
          <w:tcPr>
            <w:tcW w:type="dxa" w:w="3022"/>
          </w:tcPr>
          <w:p>
            <w:r>
              <w:rPr>
                <w:sz w:val="18"/>
              </w:rPr>
              <w:t>patron exists, voting-weight &gt; 0, not already voted</w:t>
            </w:r>
          </w:p>
        </w:tc>
        <w:tc>
          <w:tcPr>
            <w:tcW w:type="dxa" w:w="3022"/>
          </w:tcPr>
          <w:p>
            <w:r>
              <w:rPr>
                <w:sz w:val="18"/>
              </w:rPr>
              <w:t>Yes</w:t>
            </w:r>
          </w:p>
        </w:tc>
      </w:tr>
      <w:tr>
        <w:tc>
          <w:tcPr>
            <w:tcW w:type="dxa" w:w="3022"/>
          </w:tcPr>
          <w:p>
            <w:r>
              <w:rPr>
                <w:sz w:val="18"/>
              </w:rPr>
              <w:t>stake-stx</w:t>
            </w:r>
          </w:p>
        </w:tc>
        <w:tc>
          <w:tcPr>
            <w:tcW w:type="dxa" w:w="3022"/>
          </w:tcPr>
          <w:p>
            <w:r>
              <w:rPr>
                <w:sz w:val="18"/>
              </w:rPr>
              <w:t>patron profile exists</w:t>
            </w:r>
          </w:p>
        </w:tc>
        <w:tc>
          <w:tcPr>
            <w:tcW w:type="dxa" w:w="3022"/>
          </w:tcPr>
          <w:p>
            <w:r>
              <w:rPr>
                <w:sz w:val="18"/>
              </w:rPr>
              <w:t>Yes</w:t>
            </w:r>
          </w:p>
        </w:tc>
      </w:tr>
      <w:tr>
        <w:tc>
          <w:tcPr>
            <w:tcW w:type="dxa" w:w="3022"/>
          </w:tcPr>
          <w:p>
            <w:r>
              <w:rPr>
                <w:sz w:val="18"/>
              </w:rPr>
              <w:t>unstake-stx</w:t>
            </w:r>
          </w:p>
        </w:tc>
        <w:tc>
          <w:tcPr>
            <w:tcW w:type="dxa" w:w="3022"/>
          </w:tcPr>
          <w:p>
            <w:r>
              <w:rPr>
                <w:sz w:val="18"/>
              </w:rPr>
              <w:t>staked &gt;= amount</w:t>
            </w:r>
          </w:p>
        </w:tc>
        <w:tc>
          <w:tcPr>
            <w:tcW w:type="dxa" w:w="3022"/>
          </w:tcPr>
          <w:p>
            <w:r>
              <w:rPr>
                <w:sz w:val="18"/>
              </w:rPr>
              <w:t>Yes</w:t>
            </w:r>
          </w:p>
        </w:tc>
      </w:tr>
      <w:tr>
        <w:tc>
          <w:tcPr>
            <w:tcW w:type="dxa" w:w="3022"/>
          </w:tcPr>
          <w:p>
            <w:r>
              <w:rPr>
                <w:sz w:val="18"/>
              </w:rPr>
              <w:t>update-experience</w:t>
            </w:r>
          </w:p>
        </w:tc>
        <w:tc>
          <w:tcPr>
            <w:tcW w:type="dxa" w:w="3022"/>
          </w:tcPr>
          <w:p>
            <w:r>
              <w:rPr>
                <w:sz w:val="18"/>
              </w:rPr>
              <w:t>role == 'contributor', cooldown passed</w:t>
            </w:r>
          </w:p>
        </w:tc>
        <w:tc>
          <w:tcPr>
            <w:tcW w:type="dxa" w:w="3022"/>
          </w:tcPr>
          <w:p>
            <w:r>
              <w:rPr>
                <w:sz w:val="18"/>
              </w:rPr>
              <w:t>Yes</w:t>
            </w:r>
          </w:p>
        </w:tc>
      </w:tr>
      <w:tr>
        <w:tc>
          <w:tcPr>
            <w:tcW w:type="dxa" w:w="3022"/>
          </w:tcPr>
          <w:p>
            <w:r>
              <w:rPr>
                <w:sz w:val="18"/>
              </w:rPr>
              <w:t>deposit-to-pool</w:t>
            </w:r>
          </w:p>
        </w:tc>
        <w:tc>
          <w:tcPr>
            <w:tcW w:type="dxa" w:w="3022"/>
          </w:tcPr>
          <w:p>
            <w:r>
              <w:rPr>
                <w:sz w:val="18"/>
              </w:rPr>
              <w:t>patron profile exists, token == USDX</w:t>
            </w:r>
          </w:p>
        </w:tc>
        <w:tc>
          <w:tcPr>
            <w:tcW w:type="dxa" w:w="3022"/>
          </w:tcPr>
          <w:p>
            <w:r>
              <w:rPr>
                <w:sz w:val="18"/>
              </w:rPr>
              <w:t>Yes</w:t>
            </w:r>
          </w:p>
        </w:tc>
      </w:tr>
      <w:tr>
        <w:tc>
          <w:tcPr>
            <w:tcW w:type="dxa" w:w="3022"/>
          </w:tcPr>
          <w:p>
            <w:r>
              <w:rPr>
                <w:sz w:val="18"/>
              </w:rPr>
              <w:t>claim-wave-reward</w:t>
            </w:r>
          </w:p>
        </w:tc>
        <w:tc>
          <w:tcPr>
            <w:tcW w:type="dxa" w:w="3022"/>
          </w:tcPr>
          <w:p>
            <w:r>
              <w:rPr>
                <w:sz w:val="18"/>
              </w:rPr>
              <w:t>wave completed, not already claimed</w:t>
            </w:r>
          </w:p>
        </w:tc>
        <w:tc>
          <w:tcPr>
            <w:tcW w:type="dxa" w:w="3022"/>
          </w:tcPr>
          <w:p>
            <w:r>
              <w:rPr>
                <w:sz w:val="18"/>
              </w:rPr>
              <w:t>Yes</w:t>
            </w:r>
          </w:p>
        </w:tc>
      </w:tr>
      <w:tr>
        <w:tc>
          <w:tcPr>
            <w:tcW w:type="dxa" w:w="3022"/>
          </w:tcPr>
          <w:p>
            <w:r>
              <w:rPr>
                <w:sz w:val="18"/>
              </w:rPr>
              <w:t>mark-expired</w:t>
            </w:r>
          </w:p>
        </w:tc>
        <w:tc>
          <w:tcPr>
            <w:tcW w:type="dxa" w:w="3022"/>
          </w:tcPr>
          <w:p>
            <w:r>
              <w:rPr>
                <w:sz w:val="18"/>
              </w:rPr>
              <w:t>deadline passed, status not terminal</w:t>
            </w:r>
          </w:p>
        </w:tc>
        <w:tc>
          <w:tcPr>
            <w:tcW w:type="dxa" w:w="3022"/>
          </w:tcPr>
          <w:p>
            <w:r>
              <w:rPr>
                <w:sz w:val="18"/>
              </w:rPr>
              <w:t>Yes</w:t>
            </w:r>
          </w:p>
        </w:tc>
      </w:tr>
    </w:tbl>
    <w:p/>
    <w:p>
      <w:pPr>
        <w:spacing w:before="320" w:after="80"/>
      </w:pPr>
      <w:r>
        <w:rPr>
          <w:b/>
          <w:color w:val="1E3A5F"/>
          <w:sz w:val="26"/>
        </w:rPr>
        <w:t>6. TASK STATE MACHINE INTEGRITY</w:t>
      </w:r>
    </w:p>
    <w:p>
      <w:pPr>
        <w:spacing w:before="80" w:after="80"/>
        <w:pBdr>
          <w:bottom w:val="single" w:sz="6" w:space="1" w:color="CCCCCC"/>
        </w:pBdr>
      </w:pPr>
    </w:p>
    <w:p>
      <w:pPr>
        <w:spacing w:after="80"/>
      </w:pPr>
      <w:r>
        <w:rPr>
          <w:sz w:val="20"/>
        </w:rPr>
        <w:t>All task state transitions were traced. The contract enforces that each function can only execute against a task in the expected status.</w:t>
      </w:r>
    </w:p>
    <w:tbl>
      <w:tblPr>
        <w:tblStyle w:val="TableGrid"/>
        <w:tblW w:type="auto" w:w="0"/>
        <w:tblLook w:firstColumn="1" w:firstRow="1" w:lastColumn="0" w:lastRow="0" w:noHBand="0" w:noVBand="1" w:val="04A0"/>
      </w:tblPr>
      <w:tblGrid>
        <w:gridCol w:w="3022"/>
        <w:gridCol w:w="3022"/>
        <w:gridCol w:w="3022"/>
      </w:tblGrid>
      <w:tr>
        <w:tc>
          <w:tcPr>
            <w:tcW w:type="dxa" w:w="3022"/>
          </w:tcPr>
          <w:p>
            <w:r>
              <w:rPr>
                <w:b/>
                <w:sz w:val="18"/>
              </w:rPr>
              <w:t>Function</w:t>
            </w:r>
          </w:p>
        </w:tc>
        <w:tc>
          <w:tcPr>
            <w:tcW w:type="dxa" w:w="3022"/>
          </w:tcPr>
          <w:p>
            <w:r>
              <w:rPr>
                <w:b/>
                <w:sz w:val="18"/>
              </w:rPr>
              <w:t>Required Status</w:t>
            </w:r>
          </w:p>
        </w:tc>
        <w:tc>
          <w:tcPr>
            <w:tcW w:type="dxa" w:w="3022"/>
          </w:tcPr>
          <w:p>
            <w:r>
              <w:rPr>
                <w:b/>
                <w:sz w:val="18"/>
              </w:rPr>
              <w:t>Result Status</w:t>
            </w:r>
          </w:p>
        </w:tc>
      </w:tr>
      <w:tr>
        <w:tc>
          <w:tcPr>
            <w:tcW w:type="dxa" w:w="3022"/>
          </w:tcPr>
          <w:p>
            <w:r>
              <w:rPr>
                <w:sz w:val="18"/>
              </w:rPr>
              <w:t>create-task</w:t>
            </w:r>
          </w:p>
        </w:tc>
        <w:tc>
          <w:tcPr>
            <w:tcW w:type="dxa" w:w="3022"/>
          </w:tcPr>
          <w:p>
            <w:r>
              <w:rPr>
                <w:sz w:val="18"/>
              </w:rPr>
              <w:t>—</w:t>
            </w:r>
          </w:p>
        </w:tc>
        <w:tc>
          <w:tcPr>
            <w:tcW w:type="dxa" w:w="3022"/>
          </w:tcPr>
          <w:p>
            <w:r>
              <w:rPr>
                <w:sz w:val="18"/>
              </w:rPr>
              <w:t>OPEN</w:t>
            </w:r>
          </w:p>
        </w:tc>
      </w:tr>
      <w:tr>
        <w:tc>
          <w:tcPr>
            <w:tcW w:type="dxa" w:w="3022"/>
          </w:tcPr>
          <w:p>
            <w:r>
              <w:rPr>
                <w:sz w:val="18"/>
              </w:rPr>
              <w:t>apply-for-grant</w:t>
            </w:r>
          </w:p>
        </w:tc>
        <w:tc>
          <w:tcPr>
            <w:tcW w:type="dxa" w:w="3022"/>
          </w:tcPr>
          <w:p>
            <w:r>
              <w:rPr>
                <w:sz w:val="18"/>
              </w:rPr>
              <w:t>—</w:t>
            </w:r>
          </w:p>
        </w:tc>
        <w:tc>
          <w:tcPr>
            <w:tcW w:type="dxa" w:w="3022"/>
          </w:tcPr>
          <w:p>
            <w:r>
              <w:rPr>
                <w:sz w:val="18"/>
              </w:rPr>
              <w:t>GRANT_PENDING</w:t>
            </w:r>
          </w:p>
        </w:tc>
      </w:tr>
      <w:tr>
        <w:tc>
          <w:tcPr>
            <w:tcW w:type="dxa" w:w="3022"/>
          </w:tcPr>
          <w:p>
            <w:r>
              <w:rPr>
                <w:sz w:val="18"/>
              </w:rPr>
              <w:t>vote-on-grant</w:t>
            </w:r>
          </w:p>
        </w:tc>
        <w:tc>
          <w:tcPr>
            <w:tcW w:type="dxa" w:w="3022"/>
          </w:tcPr>
          <w:p>
            <w:r>
              <w:rPr>
                <w:sz w:val="18"/>
              </w:rPr>
              <w:t>GRANT_PENDING</w:t>
            </w:r>
          </w:p>
        </w:tc>
        <w:tc>
          <w:tcPr>
            <w:tcW w:type="dxa" w:w="3022"/>
          </w:tcPr>
          <w:p>
            <w:r>
              <w:rPr>
                <w:sz w:val="18"/>
              </w:rPr>
              <w:t>GRANT_PENDING</w:t>
            </w:r>
          </w:p>
        </w:tc>
      </w:tr>
      <w:tr>
        <w:tc>
          <w:tcPr>
            <w:tcW w:type="dxa" w:w="3022"/>
          </w:tcPr>
          <w:p>
            <w:r>
              <w:rPr>
                <w:sz w:val="18"/>
              </w:rPr>
              <w:t>execute-grant (pass)</w:t>
            </w:r>
          </w:p>
        </w:tc>
        <w:tc>
          <w:tcPr>
            <w:tcW w:type="dxa" w:w="3022"/>
          </w:tcPr>
          <w:p>
            <w:r>
              <w:rPr>
                <w:sz w:val="18"/>
              </w:rPr>
              <w:t>GRANT_PENDING</w:t>
            </w:r>
          </w:p>
        </w:tc>
        <w:tc>
          <w:tcPr>
            <w:tcW w:type="dxa" w:w="3022"/>
          </w:tcPr>
          <w:p>
            <w:r>
              <w:rPr>
                <w:sz w:val="18"/>
              </w:rPr>
              <w:t>OPEN</w:t>
            </w:r>
          </w:p>
        </w:tc>
      </w:tr>
      <w:tr>
        <w:tc>
          <w:tcPr>
            <w:tcW w:type="dxa" w:w="3022"/>
          </w:tcPr>
          <w:p>
            <w:r>
              <w:rPr>
                <w:sz w:val="18"/>
              </w:rPr>
              <w:t>execute-grant (fail)</w:t>
            </w:r>
          </w:p>
        </w:tc>
        <w:tc>
          <w:tcPr>
            <w:tcW w:type="dxa" w:w="3022"/>
          </w:tcPr>
          <w:p>
            <w:r>
              <w:rPr>
                <w:sz w:val="18"/>
              </w:rPr>
              <w:t>GRANT_PENDING</w:t>
            </w:r>
          </w:p>
        </w:tc>
        <w:tc>
          <w:tcPr>
            <w:tcW w:type="dxa" w:w="3022"/>
          </w:tcPr>
          <w:p>
            <w:r>
              <w:rPr>
                <w:sz w:val="18"/>
              </w:rPr>
              <w:t>GRANT_REJECTED</w:t>
            </w:r>
          </w:p>
        </w:tc>
      </w:tr>
      <w:tr>
        <w:tc>
          <w:tcPr>
            <w:tcW w:type="dxa" w:w="3022"/>
          </w:tcPr>
          <w:p>
            <w:r>
              <w:rPr>
                <w:sz w:val="18"/>
              </w:rPr>
              <w:t>apply-for-task</w:t>
            </w:r>
          </w:p>
        </w:tc>
        <w:tc>
          <w:tcPr>
            <w:tcW w:type="dxa" w:w="3022"/>
          </w:tcPr>
          <w:p>
            <w:r>
              <w:rPr>
                <w:sz w:val="18"/>
              </w:rPr>
              <w:t>OPEN</w:t>
            </w:r>
          </w:p>
        </w:tc>
        <w:tc>
          <w:tcPr>
            <w:tcW w:type="dxa" w:w="3022"/>
          </w:tcPr>
          <w:p>
            <w:r>
              <w:rPr>
                <w:sz w:val="18"/>
              </w:rPr>
              <w:t>OPEN</w:t>
            </w:r>
          </w:p>
        </w:tc>
      </w:tr>
      <w:tr>
        <w:tc>
          <w:tcPr>
            <w:tcW w:type="dxa" w:w="3022"/>
          </w:tcPr>
          <w:p>
            <w:r>
              <w:rPr>
                <w:sz w:val="18"/>
              </w:rPr>
              <w:t>assign-task</w:t>
            </w:r>
          </w:p>
        </w:tc>
        <w:tc>
          <w:tcPr>
            <w:tcW w:type="dxa" w:w="3022"/>
          </w:tcPr>
          <w:p>
            <w:r>
              <w:rPr>
                <w:sz w:val="18"/>
              </w:rPr>
              <w:t>OPEN</w:t>
            </w:r>
          </w:p>
        </w:tc>
        <w:tc>
          <w:tcPr>
            <w:tcW w:type="dxa" w:w="3022"/>
          </w:tcPr>
          <w:p>
            <w:r>
              <w:rPr>
                <w:sz w:val="18"/>
              </w:rPr>
              <w:t>ASSIGNED</w:t>
            </w:r>
          </w:p>
        </w:tc>
      </w:tr>
      <w:tr>
        <w:tc>
          <w:tcPr>
            <w:tcW w:type="dxa" w:w="3022"/>
          </w:tcPr>
          <w:p>
            <w:r>
              <w:rPr>
                <w:sz w:val="18"/>
              </w:rPr>
              <w:t>start-task</w:t>
            </w:r>
          </w:p>
        </w:tc>
        <w:tc>
          <w:tcPr>
            <w:tcW w:type="dxa" w:w="3022"/>
          </w:tcPr>
          <w:p>
            <w:r>
              <w:rPr>
                <w:sz w:val="18"/>
              </w:rPr>
              <w:t>ASSIGNED</w:t>
            </w:r>
          </w:p>
        </w:tc>
        <w:tc>
          <w:tcPr>
            <w:tcW w:type="dxa" w:w="3022"/>
          </w:tcPr>
          <w:p>
            <w:r>
              <w:rPr>
                <w:sz w:val="18"/>
              </w:rPr>
              <w:t>IN_PROGRESS</w:t>
            </w:r>
          </w:p>
        </w:tc>
      </w:tr>
      <w:tr>
        <w:tc>
          <w:tcPr>
            <w:tcW w:type="dxa" w:w="3022"/>
          </w:tcPr>
          <w:p>
            <w:r>
              <w:rPr>
                <w:sz w:val="18"/>
              </w:rPr>
              <w:t>submit-task</w:t>
            </w:r>
          </w:p>
        </w:tc>
        <w:tc>
          <w:tcPr>
            <w:tcW w:type="dxa" w:w="3022"/>
          </w:tcPr>
          <w:p>
            <w:r>
              <w:rPr>
                <w:sz w:val="18"/>
              </w:rPr>
              <w:t>IN_PROGRESS</w:t>
            </w:r>
          </w:p>
        </w:tc>
        <w:tc>
          <w:tcPr>
            <w:tcW w:type="dxa" w:w="3022"/>
          </w:tcPr>
          <w:p>
            <w:r>
              <w:rPr>
                <w:sz w:val="18"/>
              </w:rPr>
              <w:t>SUBMITTED</w:t>
            </w:r>
          </w:p>
        </w:tc>
      </w:tr>
      <w:tr>
        <w:tc>
          <w:tcPr>
            <w:tcW w:type="dxa" w:w="3022"/>
          </w:tcPr>
          <w:p>
            <w:r>
              <w:rPr>
                <w:sz w:val="18"/>
              </w:rPr>
              <w:t>approve-and-release</w:t>
            </w:r>
          </w:p>
        </w:tc>
        <w:tc>
          <w:tcPr>
            <w:tcW w:type="dxa" w:w="3022"/>
          </w:tcPr>
          <w:p>
            <w:r>
              <w:rPr>
                <w:sz w:val="18"/>
              </w:rPr>
              <w:t>SUBMITTED</w:t>
            </w:r>
          </w:p>
        </w:tc>
        <w:tc>
          <w:tcPr>
            <w:tcW w:type="dxa" w:w="3022"/>
          </w:tcPr>
          <w:p>
            <w:r>
              <w:rPr>
                <w:sz w:val="18"/>
              </w:rPr>
              <w:t>FUNDS_RELEASED</w:t>
            </w:r>
          </w:p>
        </w:tc>
      </w:tr>
      <w:tr>
        <w:tc>
          <w:tcPr>
            <w:tcW w:type="dxa" w:w="3022"/>
          </w:tcPr>
          <w:p>
            <w:r>
              <w:rPr>
                <w:sz w:val="18"/>
              </w:rPr>
              <w:t>cancel-task</w:t>
            </w:r>
          </w:p>
        </w:tc>
        <w:tc>
          <w:tcPr>
            <w:tcW w:type="dxa" w:w="3022"/>
          </w:tcPr>
          <w:p>
            <w:r>
              <w:rPr>
                <w:sz w:val="18"/>
              </w:rPr>
              <w:t>OPEN</w:t>
            </w:r>
          </w:p>
        </w:tc>
        <w:tc>
          <w:tcPr>
            <w:tcW w:type="dxa" w:w="3022"/>
          </w:tcPr>
          <w:p>
            <w:r>
              <w:rPr>
                <w:sz w:val="18"/>
              </w:rPr>
              <w:t>CANCELLED</w:t>
            </w:r>
          </w:p>
        </w:tc>
      </w:tr>
      <w:tr>
        <w:tc>
          <w:tcPr>
            <w:tcW w:type="dxa" w:w="3022"/>
          </w:tcPr>
          <w:p>
            <w:r>
              <w:rPr>
                <w:sz w:val="18"/>
              </w:rPr>
              <w:t>mark-expired</w:t>
            </w:r>
          </w:p>
        </w:tc>
        <w:tc>
          <w:tcPr>
            <w:tcW w:type="dxa" w:w="3022"/>
          </w:tcPr>
          <w:p>
            <w:r>
              <w:rPr>
                <w:sz w:val="18"/>
              </w:rPr>
              <w:t>any non-terminal</w:t>
            </w:r>
          </w:p>
        </w:tc>
        <w:tc>
          <w:tcPr>
            <w:tcW w:type="dxa" w:w="3022"/>
          </w:tcPr>
          <w:p>
            <w:r>
              <w:rPr>
                <w:sz w:val="18"/>
              </w:rPr>
              <w:t>EXPIRED</w:t>
            </w:r>
          </w:p>
        </w:tc>
      </w:tr>
    </w:tbl>
    <w:p/>
    <w:p>
      <w:pPr>
        <w:spacing w:after="80"/>
      </w:pPr>
      <w:r>
        <w:rPr>
          <w:sz w:val="20"/>
        </w:rPr>
        <w:t>Terminal states (FUNDS_RELEASED, CANCELLED, EXPIRED, GRANT_REJECTED) are blocked from further transitions. mark-expired explicitly checks against all four terminal states before proceeding.</w:t>
      </w:r>
    </w:p>
    <w:p>
      <w:pPr>
        <w:spacing w:before="320" w:after="80"/>
      </w:pPr>
      <w:r>
        <w:rPr>
          <w:b/>
          <w:color w:val="1E3A5F"/>
          <w:sz w:val="26"/>
        </w:rPr>
        <w:t>7. PROTOCOL CONSTANTS REVIEW</w:t>
      </w:r>
    </w:p>
    <w:p>
      <w:pPr>
        <w:spacing w:before="80" w:after="80"/>
        <w:pBdr>
          <w:bottom w:val="single" w:sz="6" w:space="1" w:color="CCCCCC"/>
        </w:pBdr>
      </w:pPr>
    </w:p>
    <w:p>
      <w:pPr>
        <w:spacing w:after="80"/>
      </w:pPr>
      <w:r>
        <w:rPr>
          <w:sz w:val="20"/>
        </w:rPr>
        <w:t>All hardcoded constants were reviewed for correctness and safety.</w:t>
      </w:r>
    </w:p>
    <w:tbl>
      <w:tblPr>
        <w:tblStyle w:val="TableGrid"/>
        <w:tblW w:type="auto" w:w="0"/>
        <w:tblLook w:firstColumn="1" w:firstRow="1" w:lastColumn="0" w:lastRow="0" w:noHBand="0" w:noVBand="1" w:val="04A0"/>
      </w:tblPr>
      <w:tblGrid>
        <w:gridCol w:w="3022"/>
        <w:gridCol w:w="3022"/>
        <w:gridCol w:w="3022"/>
      </w:tblGrid>
      <w:tr>
        <w:tc>
          <w:tcPr>
            <w:tcW w:type="dxa" w:w="3022"/>
          </w:tcPr>
          <w:p>
            <w:r>
              <w:rPr>
                <w:b/>
                <w:sz w:val="18"/>
              </w:rPr>
              <w:t>Constant</w:t>
            </w:r>
          </w:p>
        </w:tc>
        <w:tc>
          <w:tcPr>
            <w:tcW w:type="dxa" w:w="3022"/>
          </w:tcPr>
          <w:p>
            <w:r>
              <w:rPr>
                <w:b/>
                <w:sz w:val="18"/>
              </w:rPr>
              <w:t>Value</w:t>
            </w:r>
          </w:p>
        </w:tc>
        <w:tc>
          <w:tcPr>
            <w:tcW w:type="dxa" w:w="3022"/>
          </w:tcPr>
          <w:p>
            <w:r>
              <w:rPr>
                <w:b/>
                <w:sz w:val="18"/>
              </w:rPr>
              <w:t>Assessment</w:t>
            </w:r>
          </w:p>
        </w:tc>
      </w:tr>
      <w:tr>
        <w:tc>
          <w:tcPr>
            <w:tcW w:type="dxa" w:w="3022"/>
          </w:tcPr>
          <w:p>
            <w:r>
              <w:rPr>
                <w:sz w:val="18"/>
              </w:rPr>
              <w:t>SELF-FUNDED-FEE-BPS</w:t>
            </w:r>
          </w:p>
        </w:tc>
        <w:tc>
          <w:tcPr>
            <w:tcW w:type="dxa" w:w="3022"/>
          </w:tcPr>
          <w:p>
            <w:r>
              <w:rPr>
                <w:sz w:val="18"/>
              </w:rPr>
              <w:t>u300 (3%)</w:t>
            </w:r>
          </w:p>
        </w:tc>
        <w:tc>
          <w:tcPr>
            <w:tcW w:type="dxa" w:w="3022"/>
          </w:tcPr>
          <w:p>
            <w:r>
              <w:rPr>
                <w:sz w:val="18"/>
              </w:rPr>
              <w:t>Reasonable — aligns with documented financial model</w:t>
            </w:r>
          </w:p>
        </w:tc>
      </w:tr>
      <w:tr>
        <w:tc>
          <w:tcPr>
            <w:tcW w:type="dxa" w:w="3022"/>
          </w:tcPr>
          <w:p>
            <w:r>
              <w:rPr>
                <w:sz w:val="18"/>
              </w:rPr>
              <w:t>GRANT-FUNDED-FEE-BPS</w:t>
            </w:r>
          </w:p>
        </w:tc>
        <w:tc>
          <w:tcPr>
            <w:tcW w:type="dxa" w:w="3022"/>
          </w:tcPr>
          <w:p>
            <w:r>
              <w:rPr>
                <w:sz w:val="18"/>
              </w:rPr>
              <w:t>u500 (5%)</w:t>
            </w:r>
          </w:p>
        </w:tc>
        <w:tc>
          <w:tcPr>
            <w:tcW w:type="dxa" w:w="3022"/>
          </w:tcPr>
          <w:p>
            <w:r>
              <w:rPr>
                <w:sz w:val="18"/>
              </w:rPr>
              <w:t>Reasonable — higher fee for protocol-funded tasks</w:t>
            </w:r>
          </w:p>
        </w:tc>
      </w:tr>
      <w:tr>
        <w:tc>
          <w:tcPr>
            <w:tcW w:type="dxa" w:w="3022"/>
          </w:tcPr>
          <w:p>
            <w:r>
              <w:rPr>
                <w:sz w:val="18"/>
              </w:rPr>
              <w:t>TREASURY-SHARE</w:t>
            </w:r>
          </w:p>
        </w:tc>
        <w:tc>
          <w:tcPr>
            <w:tcW w:type="dxa" w:w="3022"/>
          </w:tcPr>
          <w:p>
            <w:r>
              <w:rPr>
                <w:sz w:val="18"/>
              </w:rPr>
              <w:t>u60 (60%)</w:t>
            </w:r>
          </w:p>
        </w:tc>
        <w:tc>
          <w:tcPr>
            <w:tcW w:type="dxa" w:w="3022"/>
          </w:tcPr>
          <w:p>
            <w:r>
              <w:rPr>
                <w:sz w:val="18"/>
              </w:rPr>
              <w:t>Correctly computed — treasury + wave = 100%</w:t>
            </w:r>
          </w:p>
        </w:tc>
      </w:tr>
      <w:tr>
        <w:tc>
          <w:tcPr>
            <w:tcW w:type="dxa" w:w="3022"/>
          </w:tcPr>
          <w:p>
            <w:r>
              <w:rPr>
                <w:sz w:val="18"/>
              </w:rPr>
              <w:t>WAVE-POOL-SHARE</w:t>
            </w:r>
          </w:p>
        </w:tc>
        <w:tc>
          <w:tcPr>
            <w:tcW w:type="dxa" w:w="3022"/>
          </w:tcPr>
          <w:p>
            <w:r>
              <w:rPr>
                <w:sz w:val="18"/>
              </w:rPr>
              <w:t>u40 (40%)</w:t>
            </w:r>
          </w:p>
        </w:tc>
        <w:tc>
          <w:tcPr>
            <w:tcW w:type="dxa" w:w="3022"/>
          </w:tcPr>
          <w:p>
            <w:r>
              <w:rPr>
                <w:sz w:val="18"/>
              </w:rPr>
              <w:t>Correctly computed</w:t>
            </w:r>
          </w:p>
        </w:tc>
      </w:tr>
      <w:tr>
        <w:tc>
          <w:tcPr>
            <w:tcW w:type="dxa" w:w="3022"/>
          </w:tcPr>
          <w:p>
            <w:r>
              <w:rPr>
                <w:sz w:val="18"/>
              </w:rPr>
              <w:t>WAVE-EPOCH-BLOCKS</w:t>
            </w:r>
          </w:p>
        </w:tc>
        <w:tc>
          <w:tcPr>
            <w:tcW w:type="dxa" w:w="3022"/>
          </w:tcPr>
          <w:p>
            <w:r>
              <w:rPr>
                <w:sz w:val="18"/>
              </w:rPr>
              <w:t>u1008 (~7 days)</w:t>
            </w:r>
          </w:p>
        </w:tc>
        <w:tc>
          <w:tcPr>
            <w:tcW w:type="dxa" w:w="3022"/>
          </w:tcPr>
          <w:p>
            <w:r>
              <w:rPr>
                <w:sz w:val="18"/>
              </w:rPr>
              <w:t>Correct for 10-min Stacks block time</w:t>
            </w:r>
          </w:p>
        </w:tc>
      </w:tr>
      <w:tr>
        <w:tc>
          <w:tcPr>
            <w:tcW w:type="dxa" w:w="3022"/>
          </w:tcPr>
          <w:p>
            <w:r>
              <w:rPr>
                <w:sz w:val="18"/>
              </w:rPr>
              <w:t>GRANT-VOTING-BLOCKS</w:t>
            </w:r>
          </w:p>
        </w:tc>
        <w:tc>
          <w:tcPr>
            <w:tcW w:type="dxa" w:w="3022"/>
          </w:tcPr>
          <w:p>
            <w:r>
              <w:rPr>
                <w:sz w:val="18"/>
              </w:rPr>
              <w:t>u432 (~3 days)</w:t>
            </w:r>
          </w:p>
        </w:tc>
        <w:tc>
          <w:tcPr>
            <w:tcW w:type="dxa" w:w="3022"/>
          </w:tcPr>
          <w:p>
            <w:r>
              <w:rPr>
                <w:sz w:val="18"/>
              </w:rPr>
              <w:t>Correct for 10-min Stacks block time</w:t>
            </w:r>
          </w:p>
        </w:tc>
      </w:tr>
      <w:tr>
        <w:tc>
          <w:tcPr>
            <w:tcW w:type="dxa" w:w="3022"/>
          </w:tcPr>
          <w:p>
            <w:r>
              <w:rPr>
                <w:sz w:val="18"/>
              </w:rPr>
              <w:t>MIN-TASK-AMOUNT</w:t>
            </w:r>
          </w:p>
        </w:tc>
        <w:tc>
          <w:tcPr>
            <w:tcW w:type="dxa" w:w="3022"/>
          </w:tcPr>
          <w:p>
            <w:r>
              <w:rPr>
                <w:sz w:val="18"/>
              </w:rPr>
              <w:t>u1000000 (1 USDX)</w:t>
            </w:r>
          </w:p>
        </w:tc>
        <w:tc>
          <w:tcPr>
            <w:tcW w:type="dxa" w:w="3022"/>
          </w:tcPr>
          <w:p>
            <w:r>
              <w:rPr>
                <w:sz w:val="18"/>
              </w:rPr>
              <w:t>Prevents dust tasks; appropriate minimum</w:t>
            </w:r>
          </w:p>
        </w:tc>
      </w:tr>
      <w:tr>
        <w:tc>
          <w:tcPr>
            <w:tcW w:type="dxa" w:w="3022"/>
          </w:tcPr>
          <w:p>
            <w:r>
              <w:rPr>
                <w:sz w:val="18"/>
              </w:rPr>
              <w:t>MIN-STX-STAKE</w:t>
            </w:r>
          </w:p>
        </w:tc>
        <w:tc>
          <w:tcPr>
            <w:tcW w:type="dxa" w:w="3022"/>
          </w:tcPr>
          <w:p>
            <w:r>
              <w:rPr>
                <w:sz w:val="18"/>
              </w:rPr>
              <w:t>u1000000 (1 STX)</w:t>
            </w:r>
          </w:p>
        </w:tc>
        <w:tc>
          <w:tcPr>
            <w:tcW w:type="dxa" w:w="3022"/>
          </w:tcPr>
          <w:p>
            <w:r>
              <w:rPr>
                <w:sz w:val="18"/>
              </w:rPr>
              <w:t>Prevents dust stakes; appropriate minimum</w:t>
            </w:r>
          </w:p>
        </w:tc>
      </w:tr>
      <w:tr>
        <w:tc>
          <w:tcPr>
            <w:tcW w:type="dxa" w:w="3022"/>
          </w:tcPr>
          <w:p>
            <w:r>
              <w:rPr>
                <w:sz w:val="18"/>
              </w:rPr>
              <w:t>STX-VOTE-MULTIPLIER</w:t>
            </w:r>
          </w:p>
        </w:tc>
        <w:tc>
          <w:tcPr>
            <w:tcW w:type="dxa" w:w="3022"/>
          </w:tcPr>
          <w:p>
            <w:r>
              <w:rPr>
                <w:sz w:val="18"/>
              </w:rPr>
              <w:t>u10</w:t>
            </w:r>
          </w:p>
        </w:tc>
        <w:tc>
          <w:tcPr>
            <w:tcW w:type="dxa" w:w="3022"/>
          </w:tcPr>
          <w:p>
            <w:r>
              <w:rPr>
                <w:sz w:val="18"/>
              </w:rPr>
              <w:t>Gives 10x governance weight per STX vs USDX</w:t>
            </w:r>
          </w:p>
        </w:tc>
      </w:tr>
      <w:tr>
        <w:tc>
          <w:tcPr>
            <w:tcW w:type="dxa" w:w="3022"/>
          </w:tcPr>
          <w:p>
            <w:r>
              <w:rPr>
                <w:sz w:val="18"/>
              </w:rPr>
              <w:t>EXPERIENCE-UPDATE-COOLDOWN</w:t>
            </w:r>
          </w:p>
        </w:tc>
        <w:tc>
          <w:tcPr>
            <w:tcW w:type="dxa" w:w="3022"/>
          </w:tcPr>
          <w:p>
            <w:r>
              <w:rPr>
                <w:sz w:val="18"/>
              </w:rPr>
              <w:t>u144 (~1 day)</w:t>
            </w:r>
          </w:p>
        </w:tc>
        <w:tc>
          <w:tcPr>
            <w:tcW w:type="dxa" w:w="3022"/>
          </w:tcPr>
          <w:p>
            <w:r>
              <w:rPr>
                <w:sz w:val="18"/>
              </w:rPr>
              <w:t>Prevents experience gaming; correctly calibrated</w:t>
            </w:r>
          </w:p>
        </w:tc>
      </w:tr>
    </w:tbl>
    <w:p/>
    <w:p>
      <w:pPr>
        <w:spacing w:before="320" w:after="80"/>
      </w:pPr>
      <w:r>
        <w:rPr>
          <w:b/>
          <w:color w:val="1E3A5F"/>
          <w:sz w:val="26"/>
        </w:rPr>
        <w:t>8. RECOMMENDATIONS &amp; NEXT STEPS</w:t>
      </w:r>
    </w:p>
    <w:p>
      <w:pPr>
        <w:spacing w:before="80" w:after="80"/>
        <w:pBdr>
          <w:bottom w:val="single" w:sz="6" w:space="1" w:color="CCCCCC"/>
        </w:pBdr>
      </w:pPr>
    </w:p>
    <w:p>
      <w:pPr>
        <w:spacing w:before="200" w:after="40"/>
      </w:pPr>
      <w:r>
        <w:rPr>
          <w:b/>
          <w:color w:val="1E3A5F"/>
          <w:sz w:val="22"/>
        </w:rPr>
        <w:t>8.1  Immediate (Before Mainnet)</w:t>
      </w:r>
    </w:p>
    <w:p>
      <w:pPr>
        <w:pStyle w:val="ListBullet"/>
        <w:spacing w:after="60"/>
      </w:pPr>
      <w:r>
        <w:rPr>
          <w:sz w:val="20"/>
        </w:rPr>
        <w:t>Deploy with a multisig principal as tx-sender to mitigate CONTRACT-OWNER single-key risk (F-07).</w:t>
      </w:r>
    </w:p>
    <w:p>
      <w:pPr>
        <w:pStyle w:val="ListBullet"/>
        <w:spacing w:after="60"/>
      </w:pPr>
      <w:r>
        <w:rPr>
          <w:sz w:val="20"/>
        </w:rPr>
        <w:t>Remove or document the unused `weight` variable in vote-on-grant (F-02 — fixed).</w:t>
      </w:r>
    </w:p>
    <w:p>
      <w:pPr>
        <w:pStyle w:val="ListBullet"/>
        <w:spacing w:after="60"/>
      </w:pPr>
      <w:r>
        <w:rPr>
          <w:sz w:val="20"/>
        </w:rPr>
        <w:t>Add inline accounting comments to create-task, approve-and-release, and mark-expired to make the fee flow self-documenting (F-03, F-04).</w:t>
      </w:r>
    </w:p>
    <w:p>
      <w:pPr>
        <w:pStyle w:val="ListBullet"/>
        <w:spacing w:after="60"/>
      </w:pPr>
      <w:r>
        <w:rPr>
          <w:sz w:val="20"/>
        </w:rPr>
        <w:t>Refactor calculate-tier to use named boundary constants instead of magic literals (F-01).</w:t>
      </w:r>
    </w:p>
    <w:p>
      <w:pPr>
        <w:spacing w:before="200" w:after="40"/>
      </w:pPr>
      <w:r>
        <w:rPr>
          <w:b/>
          <w:color w:val="1E3A5F"/>
          <w:sz w:val="22"/>
        </w:rPr>
        <w:t>8.2  Short-Term Enhancements</w:t>
      </w:r>
    </w:p>
    <w:p>
      <w:pPr>
        <w:pStyle w:val="ListBullet"/>
        <w:spacing w:after="60"/>
      </w:pPr>
      <w:r>
        <w:rPr>
          <w:sz w:val="20"/>
        </w:rPr>
        <w:t>Consider a two-step ownership transfer (propose-owner / accept-owner) pattern implemented as data-vars rather than a constant to allow safe key rotation.</w:t>
      </w:r>
    </w:p>
    <w:p>
      <w:pPr>
        <w:pStyle w:val="ListBullet"/>
        <w:spacing w:after="60"/>
      </w:pPr>
      <w:r>
        <w:rPr>
          <w:sz w:val="20"/>
        </w:rPr>
        <w:t>Add an on-chain oracle or off-chain attestation record for GitHub verification so the github-verified flag carries a stronger trust signal (F-05).</w:t>
      </w:r>
    </w:p>
    <w:p>
      <w:pPr>
        <w:pStyle w:val="ListBullet"/>
        <w:spacing w:after="60"/>
      </w:pPr>
      <w:r>
        <w:rPr>
          <w:sz w:val="20"/>
        </w:rPr>
        <w:t>Add a minimum voting quorum check in execute-grant — currently a single patron with any voting weight can decide a grant if unopposed.</w:t>
      </w:r>
    </w:p>
    <w:p>
      <w:pPr>
        <w:pStyle w:val="ListBullet"/>
        <w:spacing w:after="60"/>
      </w:pPr>
      <w:r>
        <w:rPr>
          <w:sz w:val="20"/>
        </w:rPr>
        <w:t>Consider emitting print events on state-changing functions for indexer compatibility with the Stacks API.</w:t>
      </w:r>
    </w:p>
    <w:p>
      <w:pPr>
        <w:spacing w:before="320" w:after="80"/>
      </w:pPr>
      <w:r>
        <w:rPr>
          <w:b/>
          <w:color w:val="1E3A5F"/>
          <w:sz w:val="26"/>
        </w:rPr>
        <w:t>9. CONCLUSION</w:t>
      </w:r>
    </w:p>
    <w:p>
      <w:pPr>
        <w:spacing w:before="80" w:after="80"/>
        <w:pBdr>
          <w:bottom w:val="single" w:sz="6" w:space="1" w:color="CCCCCC"/>
        </w:pBdr>
      </w:pPr>
    </w:p>
    <w:p>
      <w:pPr>
        <w:spacing w:after="80"/>
      </w:pPr>
      <w:r>
        <w:rPr>
          <w:sz w:val="20"/>
        </w:rPr>
        <w:t>The Tasked protocol smart contract demonstrates a strong security posture for a testnet deployment. The choice of Clarity eliminates entire vulnerability classes present in EVM contracts (reentrancy, approval griefing, unbounded loops). All token transfer entry points validate the token contract principal. The task state machine is correctly enforced on-chain. Experience gating is enforced at the contract level, not only in the frontend.</w:t>
      </w:r>
    </w:p>
    <w:p>
      <w:pPr>
        <w:spacing w:after="80"/>
      </w:pPr>
      <w:r>
        <w:rPr>
          <w:sz w:val="20"/>
        </w:rPr>
        <w:t>The three logic ambiguities identified (patron tier guard, dead code variable, non-contributor experience validation) were minor and have been addressed. The fee accounting across the create → release and create → cancel → expire flows was fully traced and confirmed correct.</w:t>
      </w:r>
    </w:p>
    <w:p>
      <w:pPr>
        <w:spacing w:after="80"/>
      </w:pPr>
      <w:r>
        <w:rPr>
          <w:sz w:val="20"/>
        </w:rPr>
        <w:t>The contract is considered ready for funded testnet testing. The operational recommendation prior to any mainnet deployment is to use a multisig as the deployer principal.</w:t>
      </w:r>
    </w:p>
    <w:p>
      <w:pPr>
        <w:spacing w:before="80" w:after="80"/>
        <w:pBdr>
          <w:bottom w:val="single" w:sz="6" w:space="1" w:color="CCCCCC"/>
        </w:pBdr>
      </w:pPr>
    </w:p>
    <w:p>
      <w:pPr>
        <w:jc w:val="center"/>
      </w:pPr>
      <w:r>
        <w:rPr>
          <w:color w:val="94A3B8"/>
          <w:sz w:val="16"/>
        </w:rPr>
        <w:t>Tasked Protocol · Contract Security Audit · June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