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ind w:firstLine="0"/>
        <w:jc w:val="center"/>
      </w:pPr>
      <w:r>
        <w:rPr>
          <w:rFonts w:ascii="Times New Roman" w:hAnsi="Times New Roman"/>
          <w:b/>
          <w:sz w:val="32"/>
        </w:rPr>
        <w:t>План датасетов и валидации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Цель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Подтвердить, что модуль корректно, воспроизводимо и надежно формирует метрики, категорию качества и рекомендацию в пределах заявленного назначения.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Наборы данных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Минимально требуются: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инженерный набор для регрессионного тестирования алгоритмов;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внутренний валидационный набор для настройки порогов;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внешний независимый тестовый набор без пересечения с обучающими/настроечными данными;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набор отрицательных сценариев: плохое освещение, потеря трекинга, выход руки из кадра, украшения, фоновые объекты.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Метаданные записи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обезличенный код участника;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возрастная группа;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доминирующая рука;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исследуемая рука;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камера и разрешение;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освещенность и фон;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упражнение;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экспертная оценка;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причины исключения записи, если есть.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Разметка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Для каждой записи фиксируются: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идентификатор упражнения;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пригодность записи;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экспертная категория качества;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ошибки выполнения;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моменты потери трекинга;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комментарии эксперта.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Разногласия экспертов должны разрешаться согласительной процедурой. Итоговая эталонная разметка хранится отдельно от результатов автоматического анализа.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Валидационные слои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Аналитическая валидация: корректность трекинга, метрик, устойчивости и воспроизводимости.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Клиническая связь: обоснование связи метрик с функциональным состоянием кисти.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Клиническая валидация: совпадение автоматической оценки и экспертного решения на целевой выборке.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Стартовые KPI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validTrackingRatio</w:t>
      </w:r>
      <w:r>
        <w:rPr>
          <w:sz w:val="28"/>
        </w:rPr>
        <w:t xml:space="preserve"> в нормальных условиях: не ниже 0.80;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отказ от интерпретации при </w:t>
      </w:r>
      <w:r>
        <w:rPr>
          <w:rFonts w:ascii="Courier New" w:hAnsi="Courier New"/>
          <w:sz w:val="28"/>
        </w:rPr>
        <w:t>validTrackingRatio &lt; 0.65</w:t>
      </w:r>
      <w:r>
        <w:rPr>
          <w:sz w:val="28"/>
        </w:rPr>
        <w:t>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совпадение категории с экспертной оценкой: стартовая цель не ниже 80%;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время формирования результата после завершения сессии: не более 2 секунд на целевом ПК;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внешний тестовый набор: 0 пересечений с внутренними наборами.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Численные KPI должны быть утверждены клиническим экспертом и подтверждены протоколами испытаний.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t xml:space="preserve">Лист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360" w:lineRule="auto"/>
      <w:ind w:firstLine="709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