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E24" w:rsidRPr="00212E24" w:rsidRDefault="00212E24" w:rsidP="00212E24">
      <w:pPr>
        <w:spacing w:after="200" w:line="264" w:lineRule="auto"/>
        <w:jc w:val="center"/>
        <w:rPr>
          <w:rFonts w:ascii="Times New Roman" w:hAnsi="Times New Roman" w:cs="Times New Roman"/>
          <w:b/>
          <w:sz w:val="30"/>
        </w:rPr>
      </w:pPr>
      <w:bookmarkStart w:id="0" w:name="_GoBack"/>
      <w:bookmarkEnd w:id="0"/>
      <w:r w:rsidRPr="00212E24">
        <w:rPr>
          <w:rFonts w:ascii="Times New Roman" w:hAnsi="Times New Roman" w:cs="Times New Roman"/>
          <w:b/>
          <w:sz w:val="30"/>
        </w:rPr>
        <w:t>Описание модели и итоговых метрик</w:t>
      </w:r>
    </w:p>
    <w:p w:rsidR="00212E24" w:rsidRPr="00212E24" w:rsidRDefault="00212E24" w:rsidP="00212E24">
      <w:pPr>
        <w:spacing w:after="320" w:line="264" w:lineRule="auto"/>
        <w:jc w:val="center"/>
        <w:rPr>
          <w:rFonts w:ascii="Times New Roman" w:hAnsi="Times New Roman" w:cs="Times New Roman"/>
          <w:sz w:val="24"/>
        </w:rPr>
      </w:pPr>
      <w:r w:rsidRPr="00212E24">
        <w:rPr>
          <w:rFonts w:ascii="Times New Roman" w:hAnsi="Times New Roman" w:cs="Times New Roman"/>
          <w:sz w:val="24"/>
        </w:rPr>
        <w:t>Автоматическое обнаружение и анатомическая классификация очагов демиелинизации на FLAIR-МРТ</w:t>
      </w:r>
    </w:p>
    <w:p w:rsidR="00212E24" w:rsidRPr="00212E24" w:rsidRDefault="00212E24" w:rsidP="00212E24">
      <w:pPr>
        <w:spacing w:after="80" w:line="264" w:lineRule="auto"/>
        <w:rPr>
          <w:rFonts w:ascii="Times New Roman" w:hAnsi="Times New Roman" w:cs="Times New Roman"/>
          <w:b/>
          <w:sz w:val="24"/>
        </w:rPr>
      </w:pPr>
      <w:r w:rsidRPr="00212E24">
        <w:rPr>
          <w:rFonts w:ascii="Times New Roman" w:hAnsi="Times New Roman" w:cs="Times New Roman"/>
          <w:b/>
          <w:sz w:val="24"/>
        </w:rPr>
        <w:t>1. Общая архитектура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Модель реализует двухступенчатый анализ FLAIR-МРТ. Первый этап формирует бинарную маску очагов, второй — относит каждый найденный очаг к одному из четырёх анатомических классов: I (инфратенториальный), P (перивентрикулярный), S (субкортикальный) или U (юкстакортикальный). Такое разделение соответствует постановке задачи: локальный сигнал нужен для обнаружения очага, а его анатомическое окружение — для определения класса.</w:t>
      </w:r>
    </w:p>
    <w:p w:rsidR="00212E24" w:rsidRPr="00212E24" w:rsidRDefault="00212E24" w:rsidP="00212E24">
      <w:pPr>
        <w:spacing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На вход детектора подаются три соседних FLAIR-среза: предыдущий, текущий и следующий. Они используются как три канала 2.5D-входа. Это добавляет объёмный контекст без полного перехода к 3D-архитектуре и помогает отличать стабильный очаг от единичного шумового сигнала. Выход детектора представляет собой вероятностную карту «очаг/фон», из которой выделяются связные компоненты.</w:t>
      </w:r>
    </w:p>
    <w:p w:rsidR="00212E24" w:rsidRDefault="00212E24">
      <w:r>
        <w:rPr>
          <w:noProof/>
          <w:lang w:eastAsia="ru-RU"/>
        </w:rPr>
        <w:drawing>
          <wp:inline distT="0" distB="0" distL="0" distR="0">
            <wp:extent cx="5207000" cy="2212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2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E24" w:rsidRPr="00212E24" w:rsidRDefault="00212E24" w:rsidP="00212E24">
      <w:pPr>
        <w:spacing w:after="120"/>
        <w:jc w:val="center"/>
        <w:rPr>
          <w:rFonts w:ascii="Times New Roman" w:hAnsi="Times New Roman" w:cs="Times New Roman"/>
          <w:i/>
          <w:sz w:val="20"/>
        </w:rPr>
      </w:pPr>
      <w:r w:rsidRPr="00212E24">
        <w:rPr>
          <w:rFonts w:ascii="Times New Roman" w:hAnsi="Times New Roman" w:cs="Times New Roman"/>
          <w:i/>
          <w:sz w:val="20"/>
        </w:rPr>
        <w:t>Рисунок 1. Структура модели: детектор очагов и анатомический классификатор.</w:t>
      </w:r>
    </w:p>
    <w:p w:rsidR="00212E24" w:rsidRDefault="00212E24">
      <w:r>
        <w:br w:type="page"/>
      </w:r>
    </w:p>
    <w:p w:rsidR="00212E24" w:rsidRPr="00212E24" w:rsidRDefault="00212E24" w:rsidP="00212E24">
      <w:pPr>
        <w:spacing w:after="80" w:line="264" w:lineRule="auto"/>
        <w:rPr>
          <w:rFonts w:ascii="Times New Roman" w:hAnsi="Times New Roman" w:cs="Times New Roman"/>
          <w:b/>
          <w:sz w:val="24"/>
        </w:rPr>
      </w:pPr>
      <w:r w:rsidRPr="00212E24">
        <w:rPr>
          <w:rFonts w:ascii="Times New Roman" w:hAnsi="Times New Roman" w:cs="Times New Roman"/>
          <w:b/>
          <w:sz w:val="24"/>
        </w:rPr>
        <w:lastRenderedPageBreak/>
        <w:t>2. Детектор очагов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Бинарный детектор построен на U-Net с кодировщиком ResNet34, инициализированным весами ImageNet. Использование предобученного кодировщика ускоряет сходимость и улучшает извлечение низкоуровневых и контекстных признаков на ограниченной медицинской выборке. Декодер восстанавливает пространственное разрешение и выдаёт один логит для каждого пикселя текущего среза.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Оптимизация выполняется AdamW при начальной скорости обучения 5×10⁻⁵ и weight decay 10⁻⁴. Скорость обучения снижается по косинусному расписанию. Используются смешанная точность, обрезка нормы градиента до 1.0 и баланс фоновых и очаговых срезов в соотношении 1:1. Эти меры предотвращают переход к тривиальному решению с пустой маской и стабилизируют обучение на изображениях с выраженным дисбалансом классов.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Функция потерь имеет вид L = L_Dice + L_FT. Dice-часть оптимизирует перекрытие предсказанной и эталонной масок. Focal–Tversky-часть вычисляется как L_FT = (1 − T)^γ, где T = |X∩Y| / (|X∩Y| + α|X∖Y| + β|Y∖X|). Используются α=0.7, β=0.3 и γ=1. Такой выбор повышает цену пропуска очага и ориентирует обучение на lesion-level recall.</w:t>
      </w:r>
    </w:p>
    <w:p w:rsidR="00212E24" w:rsidRPr="00212E24" w:rsidRDefault="00212E24" w:rsidP="00212E24">
      <w:pPr>
        <w:spacing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Для мониторинга качества рассчитываются pixel Dice и lesion-level recall. Лучшая контрольная точка выбирается по сумме Dice и recall, а не по одной полноте: это не позволяет модели с чрезмерно большой маской получать преимущество только за счёт обнаружения каждого эталонного компонента.</w:t>
      </w:r>
    </w:p>
    <w:p w:rsidR="00212E24" w:rsidRDefault="00212E24">
      <w:r>
        <w:br w:type="page"/>
      </w:r>
    </w:p>
    <w:p w:rsidR="00212E24" w:rsidRPr="00212E24" w:rsidRDefault="00212E24" w:rsidP="00212E24">
      <w:pPr>
        <w:spacing w:after="80" w:line="264" w:lineRule="auto"/>
        <w:rPr>
          <w:rFonts w:ascii="Times New Roman" w:hAnsi="Times New Roman" w:cs="Times New Roman"/>
          <w:b/>
          <w:sz w:val="24"/>
        </w:rPr>
      </w:pPr>
      <w:r w:rsidRPr="00212E24">
        <w:rPr>
          <w:rFonts w:ascii="Times New Roman" w:hAnsi="Times New Roman" w:cs="Times New Roman"/>
          <w:b/>
          <w:sz w:val="24"/>
        </w:rPr>
        <w:lastRenderedPageBreak/>
        <w:t>3. Анатомический классификатор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Анатомический класс не определяется достоверно только по внешнему виду маленького очага. Поэтому классификатор использует маски структур мозга, рассчитанные SynthSeg на FLAIR/T2. Из бинарной маски очага и структурных масок извлекаются: минимальные расстояния до коры и желудочков, признаки контакта, доля перекрытия, положение по оси z и площадь очага. Для класса I дополнительно учитывается перекрытие со стволом и мозжечком.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Вектор этих признаков обрабатывается HistGradientBoostingClassifier. Параметры модели: learning_rate=0.06, max_iter=400, max_depth=4, l2_regularization=1.0, class_weight=balanced и random_state=42. Градиентный бустинг выбран из-за устойчивости к нелинейным пороговым отношениям, интерпретируемости и способности работать с признаками разного масштаба.</w:t>
      </w:r>
    </w:p>
    <w:p w:rsidR="00212E24" w:rsidRDefault="00212E24">
      <w:r>
        <w:rPr>
          <w:noProof/>
          <w:lang w:eastAsia="ru-RU"/>
        </w:rPr>
        <w:drawing>
          <wp:inline distT="0" distB="0" distL="0" distR="0">
            <wp:extent cx="4572000" cy="268589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E24" w:rsidRPr="00212E24" w:rsidRDefault="00212E24" w:rsidP="00212E24">
      <w:pPr>
        <w:spacing w:after="120"/>
        <w:jc w:val="center"/>
        <w:rPr>
          <w:rFonts w:ascii="Times New Roman" w:hAnsi="Times New Roman" w:cs="Times New Roman"/>
          <w:i/>
          <w:sz w:val="20"/>
        </w:rPr>
      </w:pPr>
      <w:r w:rsidRPr="00212E24">
        <w:rPr>
          <w:rFonts w:ascii="Times New Roman" w:hAnsi="Times New Roman" w:cs="Times New Roman"/>
          <w:i/>
          <w:sz w:val="20"/>
        </w:rPr>
        <w:t>Рисунок 2. Анатомические отношения, преобразуемые в признаки классификатора.</w:t>
      </w:r>
    </w:p>
    <w:p w:rsidR="00212E24" w:rsidRDefault="00212E24">
      <w:r>
        <w:br w:type="page"/>
      </w:r>
    </w:p>
    <w:p w:rsidR="00212E24" w:rsidRPr="00212E24" w:rsidRDefault="00212E24" w:rsidP="00212E24">
      <w:pPr>
        <w:spacing w:after="80" w:line="264" w:lineRule="auto"/>
        <w:rPr>
          <w:rFonts w:ascii="Times New Roman" w:hAnsi="Times New Roman" w:cs="Times New Roman"/>
          <w:b/>
          <w:sz w:val="24"/>
        </w:rPr>
      </w:pPr>
      <w:r w:rsidRPr="00212E24">
        <w:rPr>
          <w:rFonts w:ascii="Times New Roman" w:hAnsi="Times New Roman" w:cs="Times New Roman"/>
          <w:b/>
          <w:sz w:val="24"/>
        </w:rPr>
        <w:lastRenderedPageBreak/>
        <w:t>4. Метрики и правило сопоставления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Оценка проводится на независимых исследованиях. Предсказание сопоставляется с эталонным очагом того же класса, если IoU ограничивающих прямоугольников не меньше 0.1 либо центроид одного прямоугольника расположен внутри другого. Мягкий центроидный критерий необходим для небольших очагов, у которых смещение на несколько пикселей может резко уменьшить IoU. Сопоставление выполняется жадно по убыванию joint-score; один эталонный очаг сопоставляется не более одного раза.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Для каждого класса вычисляются TP, FP и FN. Далее рассчитываются precision = TP/(TP+FP), recall = TP/(TP+FN) и F1 = 2·precision·recall/(precision+recall). Для precision и recall приведены 95% доверительные интервалы Уилсона. Помимо оценки на всех очагах используется порог площади ≥100 px, позволяющий отдельно анализировать очаги, для которых пространственное разрешение оказывает меньшее влияние на совпадение масок.</w:t>
      </w:r>
    </w:p>
    <w:p w:rsidR="00212E24" w:rsidRPr="00212E24" w:rsidRDefault="00212E24" w:rsidP="00212E24">
      <w:pPr>
        <w:spacing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Классификатор оценивается в двух режимах. В первом режиме используется истинная локализация очага: он отражает качество анатомического решения. Во втором режиме рассчитывается сквозная метрика, включающая ошибки детектора и классификатора. Такое разделение не смешивает две разные причины ухудшения результата.</w:t>
      </w:r>
    </w:p>
    <w:p w:rsidR="00212E24" w:rsidRPr="00212E24" w:rsidRDefault="00F65327" w:rsidP="00212E24">
      <w:pPr>
        <w:spacing w:after="40" w:line="264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Таблица 1. Метрики анатомического классификатора и сквозной модели.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698"/>
        <w:gridCol w:w="2090"/>
        <w:gridCol w:w="1810"/>
        <w:gridCol w:w="1482"/>
        <w:gridCol w:w="1202"/>
        <w:gridCol w:w="622"/>
      </w:tblGrid>
      <w:tr w:rsidR="00212E24" w:rsidTr="00212E24"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Класс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Recall классификатора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F1 классификатора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Recall сквозной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F1 сквозной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b/>
                <w:sz w:val="18"/>
              </w:rPr>
              <w:t>n GT</w:t>
            </w:r>
          </w:p>
        </w:tc>
      </w:tr>
      <w:tr w:rsidR="00212E24" w:rsidTr="00212E24"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I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0.98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0.92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0.38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0.21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8</w:t>
            </w:r>
          </w:p>
        </w:tc>
      </w:tr>
      <w:tr w:rsidR="00212E24" w:rsidTr="00212E24"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P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0.78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0.79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0.64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0.56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478</w:t>
            </w:r>
          </w:p>
        </w:tc>
      </w:tr>
      <w:tr w:rsidR="00212E24" w:rsidTr="00212E24"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S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0.83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0.86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0.57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0.54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540</w:t>
            </w:r>
          </w:p>
        </w:tc>
      </w:tr>
      <w:tr w:rsidR="00212E24" w:rsidTr="00212E24"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U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0.87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0.80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0.78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0.45</w:t>
            </w:r>
          </w:p>
        </w:tc>
        <w:tc>
          <w:tcPr>
            <w:tcW w:w="0" w:type="auto"/>
          </w:tcPr>
          <w:p w:rsidR="00212E24" w:rsidRDefault="00F65327">
            <w:r w:rsidRPr="00F65327">
              <w:rPr>
                <w:rFonts w:ascii="Times New Roman" w:hAnsi="Times New Roman" w:cs="Times New Roman"/>
                <w:sz w:val="18"/>
              </w:rPr>
              <w:t>97</w:t>
            </w:r>
          </w:p>
        </w:tc>
      </w:tr>
    </w:tbl>
    <w:p w:rsidR="00212E24" w:rsidRDefault="00212E24"/>
    <w:p w:rsidR="00212E24" w:rsidRDefault="00212E24">
      <w:r>
        <w:br w:type="page"/>
      </w:r>
    </w:p>
    <w:p w:rsidR="00212E24" w:rsidRPr="00212E24" w:rsidRDefault="00212E24" w:rsidP="00212E24">
      <w:pPr>
        <w:spacing w:after="80" w:line="264" w:lineRule="auto"/>
        <w:rPr>
          <w:rFonts w:ascii="Times New Roman" w:hAnsi="Times New Roman" w:cs="Times New Roman"/>
          <w:b/>
          <w:sz w:val="24"/>
        </w:rPr>
      </w:pPr>
      <w:r w:rsidRPr="00212E24">
        <w:rPr>
          <w:rFonts w:ascii="Times New Roman" w:hAnsi="Times New Roman" w:cs="Times New Roman"/>
          <w:b/>
          <w:sz w:val="24"/>
        </w:rPr>
        <w:lastRenderedPageBreak/>
        <w:t>5. Итоговые показатели модели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При оценке анатомического классификатора на корректно локализованных очагах получены F1: 0.92 для I, 0.79 для P, 0.86 для S и 0.80 для U; macro-F1 составил 0.84. Эти значения характеризуют способность структурных признаков разделять анатомические зоны после того, как очаг уже найден.</w:t>
      </w:r>
    </w:p>
    <w:p w:rsidR="00212E24" w:rsidRPr="00212E24" w:rsidRDefault="00F65327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Метрики следует интерпретировать на двух уровнях. При найденном очаге анатомический классификатор достигает recall 0.98, 0.78, 0.83 и 0.87 для I, P, S и U, а macro-F1 равен 0.84. Сквозной показатель ниже, поскольку он дополнительно учитывает пропуски и ложные срабатывания детектора: recall на очагах ≥100 px равен 0.38, 0.64, 0.57 и 0.78 соответственно; macro-recall равен 0.59.</w:t>
      </w:r>
      <w:r w:rsidR="00212E24" w:rsidRPr="00212E24">
        <w:rPr>
          <w:rFonts w:ascii="Times New Roman" w:hAnsi="Times New Roman" w:cs="Times New Roman"/>
        </w:rPr>
        <w:t xml:space="preserve"> Наименьшая устойчивость оценки относится к I: класс представлен малым числом эталонных очагов, поэтому его доверительный интервал широк. Для U достигнута высокая полнота, однако её следует рассматривать одновременно с precision, так как часть предсказаний не имеет соответствующей экспертной отметки.</w:t>
      </w:r>
    </w:p>
    <w:p w:rsidR="00212E24" w:rsidRDefault="00F65327">
      <w:r>
        <w:rPr>
          <w:noProof/>
          <w:lang w:eastAsia="ru-RU"/>
        </w:rPr>
        <w:drawing>
          <wp:inline distT="0" distB="0" distL="0" distR="0">
            <wp:extent cx="4953000" cy="41605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E24" w:rsidRPr="00212E24" w:rsidRDefault="00F65327" w:rsidP="00212E24">
      <w:pPr>
        <w:spacing w:after="120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3. Нормированная матрица анатомической классификации при найденном очаге. Диагональные элементы соответствуют recall классов.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212E24">
        <w:rPr>
          <w:rFonts w:ascii="Times New Roman" w:hAnsi="Times New Roman" w:cs="Times New Roman"/>
        </w:rPr>
        <w:t>Итоговая модель сохраняет объяснимую структуру решения: первый этап отвечает за наличие очага, второй — за его анатомическое положение. Это позволяет отдельно контролировать чувствительность детектора, качество классификации и статистическую неопределённость каждого класса.</w:t>
      </w:r>
    </w:p>
    <w:p w:rsidR="00212E24" w:rsidRPr="00212E24" w:rsidRDefault="00212E24" w:rsidP="00212E24">
      <w:pPr>
        <w:spacing w:after="120" w:line="264" w:lineRule="auto"/>
        <w:jc w:val="both"/>
        <w:rPr>
          <w:rFonts w:ascii="Times New Roman" w:hAnsi="Times New Roman" w:cs="Times New Roman"/>
          <w:b/>
        </w:rPr>
      </w:pPr>
      <w:r w:rsidRPr="00212E24">
        <w:rPr>
          <w:rFonts w:ascii="Times New Roman" w:hAnsi="Times New Roman" w:cs="Times New Roman"/>
          <w:b/>
        </w:rPr>
        <w:t>Заключение. Описанная система сочетает 2.5D сегментацию и классификацию по структурному контексту. Наиболее сильный результат классификатора — macro-F1 0.84 при найденном очаге; ключевой сквозной показатель для U на очагах ≥100 px — recall 0.78.</w:t>
      </w:r>
    </w:p>
    <w:p w:rsidR="00EB1CB4" w:rsidRDefault="00F65327"/>
    <w:sectPr w:rsidR="00EB1CB4" w:rsidSect="00212E2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E24"/>
    <w:rsid w:val="00212E24"/>
    <w:rsid w:val="00A768F7"/>
    <w:rsid w:val="00AD0065"/>
    <w:rsid w:val="00F6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C19AC0-D457-4045-9B77-F99929DE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2</cp:revision>
  <dcterms:created xsi:type="dcterms:W3CDTF">2026-07-10T11:47:00Z</dcterms:created>
  <dcterms:modified xsi:type="dcterms:W3CDTF">2026-07-10T12:00:00Z</dcterms:modified>
</cp:coreProperties>
</file>