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[DRAFT – FOR STUDENT REVIEW]</w:t>
      </w:r>
    </w:p>
    <w:p>
      <w:r>
        <w:rPr>
          <w:b/>
        </w:rPr>
        <w:t>Table 4.2 Barangay-Level EPR and Coastal Erosion Risk Results, 1990–2025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Barangay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Mean EPR (m/year)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Minimum EPR (m/year)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Maximum EPR (m/year)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Low Risk (ha)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Medium Risk (ha)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High Risk (ha)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Dodan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Maura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56.97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Bulala Norte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San Antonio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Linao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Paddaya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Punta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Bulala Sur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</w:tbl>
    <w:p>
      <w:r>
        <w:rPr>
          <w:i/>
          <w:sz w:val="18"/>
        </w:rPr>
        <w:t>Shoreline set: vector_clean. EPR = (position 2025 − position 1990) ÷ 35 years; negative = erosion, positive = accretion.</w:t>
      </w:r>
    </w:p>
    <w:p>
      <w:r>
        <w:rPr>
          <w:i/>
          <w:sz w:val="18"/>
        </w:rPr>
        <w:t>Classes (Table 3.1): Low &lt; 2, Medium 2–5 (inclusive), High &gt; 5 m/year of erosion; accreting transects are counted as Low and tagged 'accreting'.</w:t>
      </w:r>
    </w:p>
    <w:p>
      <w:r>
        <w:rPr>
          <w:i/>
          <w:sz w:val="18"/>
        </w:rPr>
        <w:t>Hectares = kilometres of classified shoreline × a 100 m coastal strip (config risk.strip_width_m, decision D-08). The primary, assumption-free measure is kilometres of shoreline.</w:t>
      </w:r>
    </w:p>
    <w:p>
      <w:r>
        <w:rPr>
          <w:i/>
          <w:sz w:val="18"/>
        </w:rPr>
        <w:t>Only the open, sea-facing coast is classified (the Cagayan River banks are excluded, decision D-06). Bulala Sur and Paddaya are covered because the analysis is not limited to the old Earth Engine 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