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CFCB" w14:textId="41735212" w:rsidR="007F4F13" w:rsidRDefault="007F4F13" w:rsidP="007F4F13">
      <w:pPr>
        <w:pStyle w:val="Paragraphedeliste"/>
        <w:numPr>
          <w:ilvl w:val="0"/>
          <w:numId w:val="2"/>
        </w:numPr>
        <w:rPr>
          <w:b/>
          <w:bCs/>
        </w:rPr>
      </w:pPr>
      <w:r w:rsidRPr="007F4F13">
        <w:rPr>
          <w:b/>
          <w:bCs/>
        </w:rPr>
        <w:t>Page de gestion de portefeuille</w:t>
      </w:r>
    </w:p>
    <w:p w14:paraId="002066CB" w14:textId="11CB4F98" w:rsidR="007F4F13" w:rsidRDefault="007F4F13" w:rsidP="007F4F13">
      <w:pPr>
        <w:pStyle w:val="Paragraphedeliste"/>
        <w:rPr>
          <w:b/>
          <w:bCs/>
        </w:rPr>
      </w:pPr>
    </w:p>
    <w:p w14:paraId="315DAA76" w14:textId="77777777" w:rsidR="007F4F13" w:rsidRDefault="007F4F13" w:rsidP="007F4F13">
      <w:pPr>
        <w:pStyle w:val="Paragraphedeliste"/>
      </w:pPr>
      <w:r>
        <w:rPr>
          <w:b/>
          <w:bCs/>
        </w:rPr>
        <w:t>Accès </w:t>
      </w:r>
      <w:r w:rsidRPr="005B0B15">
        <w:t>:</w:t>
      </w:r>
      <w:r>
        <w:rPr>
          <w:b/>
          <w:bCs/>
        </w:rPr>
        <w:t xml:space="preserve"> </w:t>
      </w:r>
      <w:r>
        <w:t xml:space="preserve">l’utilisateur arrive sur cette page après avoir </w:t>
      </w:r>
      <w:r>
        <w:t>cliqué sur un des portefeuilles</w:t>
      </w:r>
    </w:p>
    <w:p w14:paraId="3FB93CA5" w14:textId="3BF4B981" w:rsidR="007F4F13" w:rsidRDefault="007F4F13" w:rsidP="007F4F13">
      <w:pPr>
        <w:pStyle w:val="Paragraphedeliste"/>
      </w:pPr>
      <w:r>
        <w:t>présents dans la liste du menu de gestion de portefeuilles.</w:t>
      </w:r>
    </w:p>
    <w:p w14:paraId="1FC5BE7B" w14:textId="5D409897" w:rsidR="007803D2" w:rsidRDefault="007F4F13" w:rsidP="001468B3">
      <w:pPr>
        <w:pStyle w:val="Paragraphedeliste"/>
      </w:pPr>
      <w:r>
        <w:rPr>
          <w:b/>
          <w:bCs/>
        </w:rPr>
        <w:t>Contenu </w:t>
      </w:r>
      <w:r w:rsidRPr="005B0B15">
        <w:t>:</w:t>
      </w:r>
      <w:r>
        <w:rPr>
          <w:b/>
          <w:bCs/>
        </w:rPr>
        <w:t xml:space="preserve"> </w:t>
      </w:r>
      <w:r>
        <w:t>ce menu contient plusieurs</w:t>
      </w:r>
      <w:r w:rsidR="00C1360B">
        <w:t xml:space="preserve"> choses comme détailler dans la partie commune</w:t>
      </w:r>
      <w:r w:rsidR="008D5F76">
        <w:t>, avec en plus</w:t>
      </w:r>
      <w:r w:rsidR="003D05EB">
        <w:t xml:space="preserve"> </w:t>
      </w:r>
      <w:r w:rsidR="00582AEF">
        <w:t>la possibilité d’avoir un point de fourniture de production et un bouton pour voir les certificats verts.</w:t>
      </w:r>
      <w:r w:rsidR="001468B3">
        <w:t xml:space="preserve"> Le point de fourniture fonctionne de la même façon que les points de fournitures normaux, sauf pour le pop-up d’ajout qui a seulement la zone de texte pour entrer le code EA</w:t>
      </w:r>
      <w:r w:rsidR="007803D2">
        <w:t xml:space="preserve">N. Et le bouton « Green </w:t>
      </w:r>
      <w:r w:rsidR="005B0B15">
        <w:t>c</w:t>
      </w:r>
      <w:r w:rsidR="007803D2">
        <w:t>ertificates » permet d’accéder à la page de certificats verts.</w:t>
      </w:r>
    </w:p>
    <w:p w14:paraId="16A35CC9" w14:textId="77777777" w:rsidR="007F4F13" w:rsidRDefault="007F4F13" w:rsidP="007F4F13">
      <w:pPr>
        <w:pStyle w:val="Paragraphedeliste"/>
        <w:rPr>
          <w:b/>
          <w:bCs/>
        </w:rPr>
      </w:pPr>
    </w:p>
    <w:p w14:paraId="7FDBFFF1" w14:textId="5C27FA2B" w:rsidR="007F4F13" w:rsidRDefault="007803D2" w:rsidP="007F4F1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Page de certificats verts</w:t>
      </w:r>
    </w:p>
    <w:p w14:paraId="04B5257B" w14:textId="1DE2849A" w:rsidR="005B0B15" w:rsidRDefault="005B0B15" w:rsidP="005B0B15">
      <w:pPr>
        <w:pStyle w:val="Paragraphedeliste"/>
        <w:rPr>
          <w:b/>
          <w:bCs/>
        </w:rPr>
      </w:pPr>
    </w:p>
    <w:p w14:paraId="1605DA85" w14:textId="10B0EF93" w:rsidR="005B0B15" w:rsidRDefault="005B0B15" w:rsidP="005B0B15">
      <w:pPr>
        <w:pStyle w:val="Paragraphedeliste"/>
      </w:pPr>
      <w:r>
        <w:rPr>
          <w:b/>
          <w:bCs/>
        </w:rPr>
        <w:t>Accès </w:t>
      </w:r>
      <w:r>
        <w:t>: l’utilisateur arrive sur cette page après avoir cliqué sur le bouton « Green certificates » sur la page de gestion de portefeuille.</w:t>
      </w:r>
    </w:p>
    <w:p w14:paraId="6EE38B1A" w14:textId="67B20BEB" w:rsidR="005B0B15" w:rsidRDefault="005B0B15" w:rsidP="005B0B15">
      <w:pPr>
        <w:pStyle w:val="Paragraphedeliste"/>
      </w:pPr>
      <w:r>
        <w:rPr>
          <w:b/>
          <w:bCs/>
        </w:rPr>
        <w:t>Contenu</w:t>
      </w:r>
      <w:r>
        <w:t xml:space="preserve"> : </w:t>
      </w:r>
      <w:r w:rsidR="0035740D">
        <w:t>cette page permet de voir la liste des certificats verts du portefeuille et de faire la demande d’un nouveau certificat vert.</w:t>
      </w:r>
    </w:p>
    <w:p w14:paraId="34801D8C" w14:textId="228D159A" w:rsidR="0035740D" w:rsidRDefault="0035740D" w:rsidP="0035740D">
      <w:pPr>
        <w:pStyle w:val="Paragraphedeliste"/>
        <w:numPr>
          <w:ilvl w:val="0"/>
          <w:numId w:val="7"/>
        </w:numPr>
      </w:pPr>
      <w:r>
        <w:rPr>
          <w:b/>
          <w:bCs/>
        </w:rPr>
        <w:t>Tableau des certificats verts </w:t>
      </w:r>
      <w:r>
        <w:t>: le tableau contenant toutes les informations des certificats verts.</w:t>
      </w:r>
    </w:p>
    <w:p w14:paraId="198282A6" w14:textId="6D99D921" w:rsidR="0035740D" w:rsidRDefault="0035740D" w:rsidP="0035740D">
      <w:pPr>
        <w:pStyle w:val="Paragraphedeliste"/>
        <w:numPr>
          <w:ilvl w:val="0"/>
          <w:numId w:val="7"/>
        </w:numPr>
      </w:pPr>
      <w:r>
        <w:rPr>
          <w:b/>
          <w:bCs/>
        </w:rPr>
        <w:t>Bouton « Green Certificate Request » </w:t>
      </w:r>
      <w:r>
        <w:t xml:space="preserve">: Permet </w:t>
      </w:r>
      <w:r w:rsidR="00056285">
        <w:t>de faire la demande d’un certificat verts via une fenêtre pop-up.</w:t>
      </w:r>
    </w:p>
    <w:p w14:paraId="422BBE0D" w14:textId="41B891EF" w:rsidR="00056285" w:rsidRDefault="00056285" w:rsidP="00056285">
      <w:pPr>
        <w:pStyle w:val="Paragraphedeliste"/>
        <w:numPr>
          <w:ilvl w:val="1"/>
          <w:numId w:val="7"/>
        </w:numPr>
      </w:pPr>
      <w:r>
        <w:rPr>
          <w:b/>
          <w:bCs/>
        </w:rPr>
        <w:t>Bouton « Cancel » </w:t>
      </w:r>
      <w:r w:rsidRPr="00056285">
        <w:t>:</w:t>
      </w:r>
      <w:r>
        <w:t xml:space="preserve"> permet d’annuler la demande.</w:t>
      </w:r>
    </w:p>
    <w:p w14:paraId="60C36440" w14:textId="27A3D17D" w:rsidR="00056285" w:rsidRDefault="00056285" w:rsidP="00056285">
      <w:pPr>
        <w:pStyle w:val="Paragraphedeliste"/>
        <w:numPr>
          <w:ilvl w:val="1"/>
          <w:numId w:val="7"/>
        </w:numPr>
      </w:pPr>
      <w:r>
        <w:rPr>
          <w:b/>
          <w:bCs/>
        </w:rPr>
        <w:t>Bouton « Confirm » </w:t>
      </w:r>
      <w:r w:rsidRPr="00056285">
        <w:t>:</w:t>
      </w:r>
      <w:r>
        <w:t xml:space="preserve"> permet de confirmer la demande.</w:t>
      </w:r>
    </w:p>
    <w:p w14:paraId="52A86F11" w14:textId="77777777" w:rsidR="00056285" w:rsidRPr="005B0B15" w:rsidRDefault="00056285" w:rsidP="00056285"/>
    <w:p w14:paraId="3B372202" w14:textId="77777777" w:rsidR="00BF235A" w:rsidRDefault="00BF235A" w:rsidP="00BF235A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Page d’historique de production d’électricité</w:t>
      </w:r>
    </w:p>
    <w:p w14:paraId="4D208B34" w14:textId="77777777" w:rsidR="00BF235A" w:rsidRDefault="00BF235A" w:rsidP="00BF235A">
      <w:pPr>
        <w:pStyle w:val="Paragraphedeliste"/>
        <w:rPr>
          <w:b/>
          <w:bCs/>
        </w:rPr>
      </w:pPr>
    </w:p>
    <w:p w14:paraId="748939FB" w14:textId="77777777" w:rsidR="00BF235A" w:rsidRDefault="00BF235A" w:rsidP="00BF235A">
      <w:pPr>
        <w:pStyle w:val="Paragraphedeliste"/>
      </w:pPr>
      <w:r>
        <w:rPr>
          <w:b/>
          <w:bCs/>
        </w:rPr>
        <w:t>Accès </w:t>
      </w:r>
      <w:r>
        <w:t>: depuis la page de gestion de portefeuille, en appuyant sur l’icône en</w:t>
      </w:r>
    </w:p>
    <w:p w14:paraId="4F824832" w14:textId="77777777" w:rsidR="00BF235A" w:rsidRDefault="00BF235A" w:rsidP="00BF235A">
      <w:pPr>
        <w:pStyle w:val="Paragraphedeliste"/>
      </w:pPr>
      <w:r>
        <w:t>forme de presse papier à côté du point de fourniture de production.</w:t>
      </w:r>
    </w:p>
    <w:p w14:paraId="5418834D" w14:textId="3A4C3D04" w:rsidR="00BF235A" w:rsidRDefault="00BF235A" w:rsidP="00BF235A">
      <w:pPr>
        <w:pStyle w:val="Paragraphedeliste"/>
      </w:pPr>
      <w:r>
        <w:rPr>
          <w:b/>
          <w:bCs/>
        </w:rPr>
        <w:t>Contenu </w:t>
      </w:r>
      <w:r>
        <w:t xml:space="preserve">: </w:t>
      </w:r>
      <w:r>
        <w:t>f</w:t>
      </w:r>
      <w:r>
        <w:t>onctionne de la même manière que la page d’historique de consommation de la partie commune.</w:t>
      </w:r>
    </w:p>
    <w:p w14:paraId="2EDFF9A5" w14:textId="77777777" w:rsidR="00BF235A" w:rsidRPr="00BF235A" w:rsidRDefault="00BF235A" w:rsidP="00BF235A">
      <w:pPr>
        <w:pStyle w:val="Paragraphedeliste"/>
      </w:pPr>
    </w:p>
    <w:p w14:paraId="6C84712C" w14:textId="78A026B2" w:rsidR="00BF235A" w:rsidRDefault="00BF235A" w:rsidP="00BF235A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Page </w:t>
      </w:r>
      <w:r>
        <w:rPr>
          <w:b/>
          <w:bCs/>
        </w:rPr>
        <w:t>d’acceuil</w:t>
      </w:r>
    </w:p>
    <w:p w14:paraId="2FF68A10" w14:textId="77777777" w:rsidR="00BF235A" w:rsidRDefault="00BF235A" w:rsidP="00BF235A">
      <w:pPr>
        <w:pStyle w:val="Paragraphedeliste"/>
        <w:rPr>
          <w:b/>
          <w:bCs/>
        </w:rPr>
      </w:pPr>
    </w:p>
    <w:p w14:paraId="29B95DE2" w14:textId="77777777" w:rsidR="00BF235A" w:rsidRDefault="00BF235A" w:rsidP="00BF235A">
      <w:pPr>
        <w:pStyle w:val="Paragraphedeliste"/>
      </w:pPr>
      <w:r>
        <w:rPr>
          <w:b/>
          <w:bCs/>
        </w:rPr>
        <w:t>Accès </w:t>
      </w:r>
      <w:r>
        <w:t>: page sur laquelle arrive tout utilisateur qui se connecte. Il est également</w:t>
      </w:r>
    </w:p>
    <w:p w14:paraId="47537002" w14:textId="77777777" w:rsidR="00BF235A" w:rsidRDefault="00BF235A" w:rsidP="00BF235A">
      <w:pPr>
        <w:pStyle w:val="Paragraphedeliste"/>
      </w:pPr>
      <w:r>
        <w:t>possible d’y accèder en revenant en arrière depuis différentes pages, et depuis</w:t>
      </w:r>
    </w:p>
    <w:p w14:paraId="66FCCC73" w14:textId="77777777" w:rsidR="00BF235A" w:rsidRDefault="00BF235A" w:rsidP="00BF235A">
      <w:pPr>
        <w:pStyle w:val="Paragraphedeliste"/>
      </w:pPr>
      <w:r>
        <w:t>le bouton "General overview" dans le menu latéral. Cette page contient les</w:t>
      </w:r>
    </w:p>
    <w:p w14:paraId="0B3C3BCF" w14:textId="77777777" w:rsidR="00BF235A" w:rsidRDefault="00BF235A" w:rsidP="00BF235A">
      <w:pPr>
        <w:pStyle w:val="Paragraphedeliste"/>
      </w:pPr>
      <w:r>
        <w:t>informations de base du portfolio favoris. La page est vide si l’utilisateur n’a</w:t>
      </w:r>
    </w:p>
    <w:p w14:paraId="201B6301" w14:textId="4903690F" w:rsidR="00BF235A" w:rsidRDefault="00BF235A" w:rsidP="00BF235A">
      <w:pPr>
        <w:pStyle w:val="Paragraphedeliste"/>
      </w:pPr>
      <w:r>
        <w:t>pas encore de portefeuille créé.</w:t>
      </w:r>
    </w:p>
    <w:p w14:paraId="22E23F44" w14:textId="4782A5F2" w:rsidR="00BF235A" w:rsidRPr="00BF235A" w:rsidRDefault="00BF235A" w:rsidP="00BF235A">
      <w:pPr>
        <w:pStyle w:val="Paragraphedeliste"/>
      </w:pPr>
      <w:r>
        <w:rPr>
          <w:b/>
          <w:bCs/>
        </w:rPr>
        <w:t>Contenu </w:t>
      </w:r>
      <w:r>
        <w:t xml:space="preserve">: </w:t>
      </w:r>
      <w:r w:rsidR="004C1FC3">
        <w:t>cette page fonctionne de la même manière que dans la partie commune, avec en plus un bouton qui permet d’afficher la production d’électricité dans le graphique.</w:t>
      </w:r>
    </w:p>
    <w:p w14:paraId="11168767" w14:textId="2FAB6FAC" w:rsidR="00BF235A" w:rsidRPr="00BF235A" w:rsidRDefault="00BF235A" w:rsidP="00BF235A">
      <w:pPr>
        <w:pStyle w:val="Paragraphedeliste"/>
      </w:pPr>
    </w:p>
    <w:sectPr w:rsidR="00BF235A" w:rsidRPr="00BF2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FE8"/>
    <w:multiLevelType w:val="hybridMultilevel"/>
    <w:tmpl w:val="4C0257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3E88"/>
    <w:multiLevelType w:val="hybridMultilevel"/>
    <w:tmpl w:val="0FD0E37A"/>
    <w:lvl w:ilvl="0" w:tplc="7570CCF2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6937D6F"/>
    <w:multiLevelType w:val="hybridMultilevel"/>
    <w:tmpl w:val="1BB448D4"/>
    <w:lvl w:ilvl="0" w:tplc="30B2A478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FB86672"/>
    <w:multiLevelType w:val="hybridMultilevel"/>
    <w:tmpl w:val="B094BB8E"/>
    <w:lvl w:ilvl="0" w:tplc="22B2660E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2DB2C20"/>
    <w:multiLevelType w:val="hybridMultilevel"/>
    <w:tmpl w:val="B63A6B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32701"/>
    <w:multiLevelType w:val="hybridMultilevel"/>
    <w:tmpl w:val="53B49938"/>
    <w:lvl w:ilvl="0" w:tplc="962222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452DE1"/>
    <w:multiLevelType w:val="hybridMultilevel"/>
    <w:tmpl w:val="E16A54CE"/>
    <w:lvl w:ilvl="0" w:tplc="FA8C8B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5"/>
    <w:rsid w:val="00056285"/>
    <w:rsid w:val="001468B3"/>
    <w:rsid w:val="0035740D"/>
    <w:rsid w:val="003D05EB"/>
    <w:rsid w:val="004C1FC3"/>
    <w:rsid w:val="00582AEF"/>
    <w:rsid w:val="005B0B15"/>
    <w:rsid w:val="005C65B1"/>
    <w:rsid w:val="007803D2"/>
    <w:rsid w:val="007842C5"/>
    <w:rsid w:val="007F4F13"/>
    <w:rsid w:val="008D5F76"/>
    <w:rsid w:val="00BF235A"/>
    <w:rsid w:val="00C1360B"/>
    <w:rsid w:val="00DE6AE5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43C0"/>
  <w15:chartTrackingRefBased/>
  <w15:docId w15:val="{AB263803-68EC-4F12-85AD-5929150B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Delnatte</dc:creator>
  <cp:keywords/>
  <dc:description/>
  <cp:lastModifiedBy>Jérémy Delnatte</cp:lastModifiedBy>
  <cp:revision>2</cp:revision>
  <dcterms:created xsi:type="dcterms:W3CDTF">2022-12-18T15:52:00Z</dcterms:created>
  <dcterms:modified xsi:type="dcterms:W3CDTF">2022-12-18T18:04:00Z</dcterms:modified>
</cp:coreProperties>
</file>