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SYSTEM ANALYSIS AND DESIGN SPECIFICATION</w:t>
      </w:r>
    </w:p>
    <w:p>
      <w:pPr>
        <w:spacing w:after="300"/>
        <w:jc w:val="center"/>
      </w:pPr>
      <w:r>
        <w:rPr>
          <w:i/>
          <w:iCs/>
          <w:sz w:val="24"/>
          <w:szCs w:val="24"/>
        </w:rPr>
        <w:t xml:space="preserve">Design and Development of an Online Auction System for Improving Transparent Bidding and Price Discovery in Mbarara City</w:t>
      </w:r>
    </w:p>
    <w:p>
      <w:pPr>
        <w:spacing w:after="600"/>
        <w:jc w:val="center"/>
      </w:pPr>
      <w:r>
        <w:rPr>
          <w:b/>
          <w:bCs/>
          <w:sz w:val="22"/>
          <w:szCs w:val="22"/>
        </w:rPr>
        <w:t xml:space="preserve">Phase 1 — Research &amp; Requirements Analysis</w:t>
      </w:r>
    </w:p>
    <w:p>
      <w:pPr>
        <w:pStyle w:val="Heading1"/>
        <w:spacing w:after="200" w:before="400"/>
      </w:pPr>
      <w:r>
        <w:t xml:space="preserve">1. Abstract</w:t>
      </w:r>
    </w:p>
    <w:p>
      <w:pPr>
        <w:spacing w:after="160"/>
      </w:pPr>
      <w:r>
        <w:t xml:space="preserve">This document is Phase 1 of a multi-phase System Analysis and Design Specification for a web-based Online Auction System targeting Mbarara City, Uganda. It establishes the problem context, objectives, requirements, business rules, use cases, scope, assumptions, risks, and a requirements traceability framework that will guide the subsequent design (Phase 2) and Django implementation (Phases 3–13). No source code is produced in this phase, consistent with an incremental, specification-first development approach.</w:t>
      </w:r>
    </w:p>
    <w:p>
      <w:pPr>
        <w:pStyle w:val="Heading1"/>
        <w:spacing w:after="200" w:before="400"/>
      </w:pPr>
      <w:r>
        <w:t xml:space="preserve">2. Research Background</w:t>
      </w:r>
    </w:p>
    <w:p>
      <w:pPr>
        <w:spacing w:after="160"/>
      </w:pPr>
      <w:r>
        <w:t xml:space="preserve">Auctions are a competitive-price-formation mechanism in which multiple interested buyers submit successively higher offers for an item, with the item awarded to the highest qualifying bidder. This is a well-established economic mechanism (the ascending / English auction) independent of any specific location.</w:t>
      </w:r>
    </w:p>
    <w:p>
      <w:pPr>
        <w:spacing w:after="160"/>
      </w:pPr>
      <w:r>
        <w:t xml:space="preserve">Regarding local practice in Mbarara City specifically: no verified, citation-backed research on the current state of auction practices in Mbarara City is available to this specification. Any statement about how auctions are presently conducted there (paper-based records, physical attendance, limited price transparency, etc.) is therefore treated strictly as a PROJECT ASSUMPTION for design purposes, not a verified finding, per the instruction not to assert unresearched local facts. If empirical grounding is required (e.g., for an academic dissertation), primary research such as interviews or surveys with local auctioneers, land brokers, livestock markets, or asset-disposal firms in Mbarara City is recommended before the final report is defended.</w:t>
      </w:r>
    </w:p>
    <w:p>
      <w:pPr>
        <w:spacing w:after="120"/>
      </w:pPr>
      <w:r>
        <w:rPr>
          <w:b/>
          <w:bCs/>
        </w:rPr>
        <w:t xml:space="preserve">Classification of statements used throughout this document:</w:t>
      </w:r>
    </w:p>
    <w:p>
      <w:pPr>
        <w:pStyle w:val="ListParagraph"/>
        <w:numPr>
          <w:ilvl w:val="0"/>
          <w:numId w:val="1"/>
        </w:numPr>
        <w:spacing w:after="60"/>
      </w:pPr>
      <w:r>
        <w:t xml:space="preserve">Verified fact — general, non-location-specific knowledge (e.g., how English auctions work).</w:t>
      </w:r>
    </w:p>
    <w:p>
      <w:pPr>
        <w:pStyle w:val="ListParagraph"/>
        <w:numPr>
          <w:ilvl w:val="0"/>
          <w:numId w:val="1"/>
        </w:numPr>
        <w:spacing w:after="60"/>
      </w:pPr>
      <w:r>
        <w:t xml:space="preserve">Research finding — would require citation; none is asserted here without a source.</w:t>
      </w:r>
    </w:p>
    <w:p>
      <w:pPr>
        <w:pStyle w:val="ListParagraph"/>
        <w:numPr>
          <w:ilvl w:val="0"/>
          <w:numId w:val="1"/>
        </w:numPr>
        <w:spacing w:after="60"/>
      </w:pPr>
      <w:r>
        <w:t xml:space="preserve">Project assumption — a working premise adopted for design purposes (clearly labelled).</w:t>
      </w:r>
    </w:p>
    <w:p>
      <w:pPr>
        <w:pStyle w:val="ListParagraph"/>
        <w:numPr>
          <w:ilvl w:val="0"/>
          <w:numId w:val="1"/>
        </w:numPr>
        <w:spacing w:after="60"/>
      </w:pPr>
      <w:r>
        <w:t xml:space="preserve">Proposed system feature — a capability this specification recommends building.</w:t>
      </w:r>
    </w:p>
    <w:p>
      <w:pPr>
        <w:pStyle w:val="Heading1"/>
        <w:spacing w:after="200" w:before="400"/>
      </w:pPr>
      <w:r>
        <w:t xml:space="preserve">3. Problem Statement</w:t>
      </w:r>
    </w:p>
    <w:p>
      <w:pPr>
        <w:spacing w:after="160"/>
      </w:pPr>
      <w:r>
        <w:t xml:space="preserve">Conventional (offline) auction processes commonly rely on physical attendance, verbal or paper-based bid recording, and manual determination of the winning bid. Under this model — as a general, well-known limitation of manual auction administration, not a claim specific to Mbarara City — participation is constrained to those who can attend in person, bid records are harder to audit after the fact, and price formation is harder to verify independently. This creates an assumed opportunity (Project Assumption) for a digital platform that opens participation, produces a verifiable, timestamped bid record, and lets the final price emerge transparently from competitive bidding rather than manual negotiation.</w:t>
      </w:r>
    </w:p>
    <w:p>
      <w:pPr>
        <w:pStyle w:val="Heading1"/>
        <w:spacing w:after="200" w:before="400"/>
      </w:pPr>
      <w:r>
        <w:t xml:space="preserve">4. Existing System Analysis</w:t>
      </w:r>
    </w:p>
    <w:p>
      <w:pPr>
        <w:spacing w:after="160"/>
      </w:pPr>
      <w:r>
        <w:t xml:space="preserve">No specific existing software system in Mbarara City is analysed here, since none has been named or supplied as a requirement. This section instead documents the generic manual/offline auction process as a baseline for comparison, treated as a Project Assumption:</w:t>
      </w:r>
    </w:p>
    <w:p>
      <w:pPr>
        <w:pStyle w:val="ListParagraph"/>
        <w:numPr>
          <w:ilvl w:val="0"/>
          <w:numId w:val="1"/>
        </w:numPr>
        <w:spacing w:after="60"/>
      </w:pPr>
      <w:r>
        <w:t xml:space="preserve">Item owner (seller) engages an auctioneer or arranges a public sale.</w:t>
      </w:r>
    </w:p>
    <w:p>
      <w:pPr>
        <w:pStyle w:val="ListParagraph"/>
        <w:numPr>
          <w:ilvl w:val="0"/>
          <w:numId w:val="1"/>
        </w:numPr>
        <w:spacing w:after="60"/>
      </w:pPr>
      <w:r>
        <w:t xml:space="preserve">Prospective bidders learn of the auction informally or via local announcement.</w:t>
      </w:r>
    </w:p>
    <w:p>
      <w:pPr>
        <w:pStyle w:val="ListParagraph"/>
        <w:numPr>
          <w:ilvl w:val="0"/>
          <w:numId w:val="1"/>
        </w:numPr>
        <w:spacing w:after="60"/>
      </w:pPr>
      <w:r>
        <w:t xml:space="preserve">Bidders attend in person and raise bids verbally or by hand signal.</w:t>
      </w:r>
    </w:p>
    <w:p>
      <w:pPr>
        <w:pStyle w:val="ListParagraph"/>
        <w:numPr>
          <w:ilvl w:val="0"/>
          <w:numId w:val="1"/>
        </w:numPr>
        <w:spacing w:after="60"/>
      </w:pPr>
      <w:r>
        <w:t xml:space="preserve">The auctioneer manually determines and announces the highest bid.</w:t>
      </w:r>
    </w:p>
    <w:p>
      <w:pPr>
        <w:pStyle w:val="ListParagraph"/>
        <w:numPr>
          <w:ilvl w:val="0"/>
          <w:numId w:val="1"/>
        </w:numPr>
        <w:spacing w:after="60"/>
      </w:pPr>
      <w:r>
        <w:t xml:space="preserve">Records, if kept, are typically paper-based and not easily queryable or auditable.</w:t>
      </w:r>
    </w:p>
    <w:p>
      <w:pPr>
        <w:spacing w:after="160"/>
      </w:pPr>
      <w:r>
        <w:t xml:space="preserve">Limitations of this baseline (again, general and not location-specific): limited reach beyond those physically present, no independently verifiable timestamped bid trail, higher risk of disputed outcomes, and no systematic price-discovery analytics.</w:t>
      </w:r>
    </w:p>
    <w:p>
      <w:pPr>
        <w:pStyle w:val="Heading1"/>
        <w:spacing w:after="200" w:before="400"/>
      </w:pPr>
      <w:r>
        <w:t xml:space="preserve">5. Proposed System Overview</w:t>
      </w:r>
    </w:p>
    <w:p>
      <w:pPr>
        <w:spacing w:after="160"/>
      </w:pPr>
      <w:r>
        <w:t xml:space="preserve">The proposed system is a modular Django/PostgreSQL web application that digitises the auction lifecycle end-to-end: listing creation and approval, bidder registration and eligibility, real-time-ish competitive bidding with server-authoritative validation, automated and auditable closing/winner determination, notifications, reporting, and dispute handling. The system defaults to the English (ascending-price) auction model, with an architecture that leaves room for other auction types later without being over-built now.</w:t>
      </w:r>
    </w:p>
    <w:p>
      <w:pPr>
        <w:pStyle w:val="Heading1"/>
        <w:spacing w:after="200" w:before="400"/>
      </w:pPr>
      <w:r>
        <w:t xml:space="preserve">6. Stakeholder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1F3864" w:val="clear"/>
          </w:tcPr>
          <w:p>
            <w:r>
              <w:rPr>
                <w:b/>
                <w:bCs/>
                <w:color w:val="FFFFFF"/>
                <w:sz w:val="20"/>
                <w:szCs w:val="20"/>
              </w:rPr>
              <w:t xml:space="preserve">Stakeholder</w:t>
            </w:r>
          </w:p>
        </w:tc>
        <w:tc>
          <w:tcPr>
            <w:tcW w:type="dxa" w:w="3600"/>
            <w:shd w:fill="1F3864" w:val="clear"/>
          </w:tcPr>
          <w:p>
            <w:r>
              <w:rPr>
                <w:b/>
                <w:bCs/>
                <w:color w:val="FFFFFF"/>
                <w:sz w:val="20"/>
                <w:szCs w:val="20"/>
              </w:rPr>
              <w:t xml:space="preserve">Interest</w:t>
            </w:r>
          </w:p>
        </w:tc>
        <w:tc>
          <w:tcPr>
            <w:tcW w:type="dxa" w:w="3600"/>
            <w:shd w:fill="1F3864" w:val="clear"/>
          </w:tcPr>
          <w:p>
            <w:r>
              <w:rPr>
                <w:b/>
                <w:bCs/>
                <w:color w:val="FFFFFF"/>
                <w:sz w:val="20"/>
                <w:szCs w:val="20"/>
              </w:rPr>
              <w:t xml:space="preserve">Key Concerns</w:t>
            </w:r>
          </w:p>
        </w:tc>
      </w:tr>
      <w:tr>
        <w:tc>
          <w:tcPr>
            <w:tcW w:type="dxa" w:w="2400"/>
          </w:tcPr>
          <w:p>
            <w:r>
              <w:rPr>
                <w:b w:val="false"/>
                <w:bCs w:val="false"/>
                <w:sz w:val="20"/>
                <w:szCs w:val="20"/>
              </w:rPr>
              <w:t xml:space="preserve">System Administrator</w:t>
            </w:r>
          </w:p>
        </w:tc>
        <w:tc>
          <w:tcPr>
            <w:tcW w:type="dxa" w:w="3600"/>
          </w:tcPr>
          <w:p>
            <w:r>
              <w:rPr>
                <w:b w:val="false"/>
                <w:bCs w:val="false"/>
                <w:sz w:val="20"/>
                <w:szCs w:val="20"/>
              </w:rPr>
              <w:t xml:space="preserve">Overall platform integrity &amp; operations</w:t>
            </w:r>
          </w:p>
        </w:tc>
        <w:tc>
          <w:tcPr>
            <w:tcW w:type="dxa" w:w="3600"/>
          </w:tcPr>
          <w:p>
            <w:r>
              <w:rPr>
                <w:b w:val="false"/>
                <w:bCs w:val="false"/>
                <w:sz w:val="20"/>
                <w:szCs w:val="20"/>
              </w:rPr>
              <w:t xml:space="preserve">Fraud prevention, uptime, dispute resolution, reporting</w:t>
            </w:r>
          </w:p>
        </w:tc>
      </w:tr>
      <w:tr>
        <w:tc>
          <w:tcPr>
            <w:tcW w:type="dxa" w:w="2400"/>
          </w:tcPr>
          <w:p>
            <w:r>
              <w:rPr>
                <w:b w:val="false"/>
                <w:bCs w:val="false"/>
                <w:sz w:val="20"/>
                <w:szCs w:val="20"/>
              </w:rPr>
              <w:t xml:space="preserve">Seller</w:t>
            </w:r>
          </w:p>
        </w:tc>
        <w:tc>
          <w:tcPr>
            <w:tcW w:type="dxa" w:w="3600"/>
          </w:tcPr>
          <w:p>
            <w:r>
              <w:rPr>
                <w:b w:val="false"/>
                <w:bCs w:val="false"/>
                <w:sz w:val="20"/>
                <w:szCs w:val="20"/>
              </w:rPr>
              <w:t xml:space="preserve">List items, achieve a fair market price</w:t>
            </w:r>
          </w:p>
        </w:tc>
        <w:tc>
          <w:tcPr>
            <w:tcW w:type="dxa" w:w="3600"/>
          </w:tcPr>
          <w:p>
            <w:r>
              <w:rPr>
                <w:b w:val="false"/>
                <w:bCs w:val="false"/>
                <w:sz w:val="20"/>
                <w:szCs w:val="20"/>
              </w:rPr>
              <w:t xml:space="preserve">Ease of listing, visibility, trustworthy bidders, timely payment</w:t>
            </w:r>
          </w:p>
        </w:tc>
      </w:tr>
      <w:tr>
        <w:tc>
          <w:tcPr>
            <w:tcW w:type="dxa" w:w="2400"/>
          </w:tcPr>
          <w:p>
            <w:r>
              <w:rPr>
                <w:b w:val="false"/>
                <w:bCs w:val="false"/>
                <w:sz w:val="20"/>
                <w:szCs w:val="20"/>
              </w:rPr>
              <w:t xml:space="preserve">Bidder</w:t>
            </w:r>
          </w:p>
        </w:tc>
        <w:tc>
          <w:tcPr>
            <w:tcW w:type="dxa" w:w="3600"/>
          </w:tcPr>
          <w:p>
            <w:r>
              <w:rPr>
                <w:b w:val="false"/>
                <w:bCs w:val="false"/>
                <w:sz w:val="20"/>
                <w:szCs w:val="20"/>
              </w:rPr>
              <w:t xml:space="preserve">Discover and win items at a fair price</w:t>
            </w:r>
          </w:p>
        </w:tc>
        <w:tc>
          <w:tcPr>
            <w:tcW w:type="dxa" w:w="3600"/>
          </w:tcPr>
          <w:p>
            <w:r>
              <w:rPr>
                <w:b w:val="false"/>
                <w:bCs w:val="false"/>
                <w:sz w:val="20"/>
                <w:szCs w:val="20"/>
              </w:rPr>
              <w:t xml:space="preserve">Transparent rules, confidence bids aren't manipulated, privacy</w:t>
            </w:r>
          </w:p>
        </w:tc>
      </w:tr>
      <w:tr>
        <w:tc>
          <w:tcPr>
            <w:tcW w:type="dxa" w:w="2400"/>
          </w:tcPr>
          <w:p>
            <w:r>
              <w:rPr>
                <w:b w:val="false"/>
                <w:bCs w:val="false"/>
                <w:sz w:val="20"/>
                <w:szCs w:val="20"/>
              </w:rPr>
              <w:t xml:space="preserve">Auction Officer/Moderator</w:t>
            </w:r>
          </w:p>
        </w:tc>
        <w:tc>
          <w:tcPr>
            <w:tcW w:type="dxa" w:w="3600"/>
          </w:tcPr>
          <w:p>
            <w:r>
              <w:rPr>
                <w:b w:val="false"/>
                <w:bCs w:val="false"/>
                <w:sz w:val="20"/>
                <w:szCs w:val="20"/>
              </w:rPr>
              <w:t xml:space="preserve">Day-to-day quality control</w:t>
            </w:r>
          </w:p>
        </w:tc>
        <w:tc>
          <w:tcPr>
            <w:tcW w:type="dxa" w:w="3600"/>
          </w:tcPr>
          <w:p>
            <w:r>
              <w:rPr>
                <w:b w:val="false"/>
                <w:bCs w:val="false"/>
                <w:sz w:val="20"/>
                <w:szCs w:val="20"/>
              </w:rPr>
              <w:t xml:space="preserve">Tooling to review listings and flag abuse quickly</w:t>
            </w:r>
          </w:p>
        </w:tc>
      </w:tr>
      <w:tr>
        <w:tc>
          <w:tcPr>
            <w:tcW w:type="dxa" w:w="2400"/>
          </w:tcPr>
          <w:p>
            <w:r>
              <w:rPr>
                <w:b w:val="false"/>
                <w:bCs w:val="false"/>
                <w:sz w:val="20"/>
                <w:szCs w:val="20"/>
              </w:rPr>
              <w:t xml:space="preserve">Guest/Public</w:t>
            </w:r>
          </w:p>
        </w:tc>
        <w:tc>
          <w:tcPr>
            <w:tcW w:type="dxa" w:w="3600"/>
          </w:tcPr>
          <w:p>
            <w:r>
              <w:rPr>
                <w:b w:val="false"/>
                <w:bCs w:val="false"/>
                <w:sz w:val="20"/>
                <w:szCs w:val="20"/>
              </w:rPr>
              <w:t xml:space="preserve">Browse without commitment</w:t>
            </w:r>
          </w:p>
        </w:tc>
        <w:tc>
          <w:tcPr>
            <w:tcW w:type="dxa" w:w="3600"/>
          </w:tcPr>
          <w:p>
            <w:r>
              <w:rPr>
                <w:b w:val="false"/>
                <w:bCs w:val="false"/>
                <w:sz w:val="20"/>
                <w:szCs w:val="20"/>
              </w:rPr>
              <w:t xml:space="preserve">Easy discovery, low-friction registration path</w:t>
            </w:r>
          </w:p>
        </w:tc>
      </w:tr>
      <w:tr>
        <w:tc>
          <w:tcPr>
            <w:tcW w:type="dxa" w:w="2400"/>
          </w:tcPr>
          <w:p>
            <w:r>
              <w:rPr>
                <w:b w:val="false"/>
                <w:bCs w:val="false"/>
                <w:sz w:val="20"/>
                <w:szCs w:val="20"/>
              </w:rPr>
              <w:t xml:space="preserve">Institution/Academic Reviewer</w:t>
            </w:r>
          </w:p>
        </w:tc>
        <w:tc>
          <w:tcPr>
            <w:tcW w:type="dxa" w:w="3600"/>
          </w:tcPr>
          <w:p>
            <w:r>
              <w:rPr>
                <w:b w:val="false"/>
                <w:bCs w:val="false"/>
                <w:sz w:val="20"/>
                <w:szCs w:val="20"/>
              </w:rPr>
              <w:t xml:space="preserve">System correctness &amp; rigor</w:t>
            </w:r>
          </w:p>
        </w:tc>
        <w:tc>
          <w:tcPr>
            <w:tcW w:type="dxa" w:w="3600"/>
          </w:tcPr>
          <w:p>
            <w:r>
              <w:rPr>
                <w:b w:val="false"/>
                <w:bCs w:val="false"/>
                <w:sz w:val="20"/>
                <w:szCs w:val="20"/>
              </w:rPr>
              <w:t xml:space="preserve">Sound requirements, testable design, security</w:t>
            </w:r>
          </w:p>
        </w:tc>
      </w:tr>
    </w:tbl>
    <w:p>
      <w:pPr>
        <w:pStyle w:val="Heading1"/>
        <w:spacing w:after="200" w:before="400"/>
      </w:pPr>
      <w:r>
        <w:t xml:space="preserve">7. Scope</w:t>
      </w:r>
    </w:p>
    <w:p>
      <w:pPr>
        <w:spacing w:after="120"/>
      </w:pPr>
      <w:r>
        <w:rPr>
          <w:b/>
          <w:bCs/>
        </w:rPr>
        <w:t xml:space="preserve">In scope (MVP-oriented, Phase 1–7 focus):</w:t>
      </w:r>
    </w:p>
    <w:p>
      <w:pPr>
        <w:pStyle w:val="ListParagraph"/>
        <w:numPr>
          <w:ilvl w:val="0"/>
          <w:numId w:val="1"/>
        </w:numPr>
        <w:spacing w:after="60"/>
      </w:pPr>
      <w:r>
        <w:t xml:space="preserve">User registration/authentication with Seller and Bidder roles</w:t>
      </w:r>
    </w:p>
    <w:p>
      <w:pPr>
        <w:pStyle w:val="ListParagraph"/>
        <w:numPr>
          <w:ilvl w:val="0"/>
          <w:numId w:val="1"/>
        </w:numPr>
        <w:spacing w:after="60"/>
      </w:pPr>
      <w:r>
        <w:t xml:space="preserve">Auction category, listing, and image management</w:t>
      </w:r>
    </w:p>
    <w:p>
      <w:pPr>
        <w:pStyle w:val="ListParagraph"/>
        <w:numPr>
          <w:ilvl w:val="0"/>
          <w:numId w:val="1"/>
        </w:numPr>
        <w:spacing w:after="60"/>
      </w:pPr>
      <w:r>
        <w:t xml:space="preserve">Listing approval workflow (draft → submitted → approved/rejected → scheduled → live → closed)</w:t>
      </w:r>
    </w:p>
    <w:p>
      <w:pPr>
        <w:pStyle w:val="ListParagraph"/>
        <w:numPr>
          <w:ilvl w:val="0"/>
          <w:numId w:val="1"/>
        </w:numPr>
        <w:spacing w:after="60"/>
      </w:pPr>
      <w:r>
        <w:t xml:space="preserve">Server-authoritative ascending-bid engine with increment and reserve-price rules</w:t>
      </w:r>
    </w:p>
    <w:p>
      <w:pPr>
        <w:pStyle w:val="ListParagraph"/>
        <w:numPr>
          <w:ilvl w:val="0"/>
          <w:numId w:val="1"/>
        </w:numPr>
        <w:spacing w:after="60"/>
      </w:pPr>
      <w:r>
        <w:t xml:space="preserve">Chronological, privacy-preserving bid history</w:t>
      </w:r>
    </w:p>
    <w:p>
      <w:pPr>
        <w:pStyle w:val="ListParagraph"/>
        <w:numPr>
          <w:ilvl w:val="0"/>
          <w:numId w:val="1"/>
        </w:numPr>
        <w:spacing w:after="60"/>
      </w:pPr>
      <w:r>
        <w:t xml:space="preserve">Automated closing and winner determination</w:t>
      </w:r>
    </w:p>
    <w:p>
      <w:pPr>
        <w:pStyle w:val="ListParagraph"/>
        <w:numPr>
          <w:ilvl w:val="0"/>
          <w:numId w:val="1"/>
        </w:numPr>
        <w:spacing w:after="60"/>
      </w:pPr>
      <w:r>
        <w:t xml:space="preserve">Notifications (in-app first; email/SMS as extension points)</w:t>
      </w:r>
    </w:p>
    <w:p>
      <w:pPr>
        <w:pStyle w:val="ListParagraph"/>
        <w:numPr>
          <w:ilvl w:val="0"/>
          <w:numId w:val="1"/>
        </w:numPr>
        <w:spacing w:after="60"/>
      </w:pPr>
      <w:r>
        <w:t xml:space="preserve">Audit logging of critical actions</w:t>
      </w:r>
    </w:p>
    <w:p>
      <w:pPr>
        <w:pStyle w:val="ListParagraph"/>
        <w:numPr>
          <w:ilvl w:val="0"/>
          <w:numId w:val="1"/>
        </w:numPr>
        <w:spacing w:after="60"/>
      </w:pPr>
      <w:r>
        <w:t xml:space="preserve">Basic reporting and price-discovery analytics</w:t>
      </w:r>
    </w:p>
    <w:p>
      <w:pPr>
        <w:spacing w:after="120"/>
      </w:pPr>
      <w:r>
        <w:rPr>
          <w:b/>
          <w:bCs/>
        </w:rPr>
        <w:t xml:space="preserve">Out of scope unless later explicitly requested:</w:t>
      </w:r>
    </w:p>
    <w:p>
      <w:pPr>
        <w:pStyle w:val="ListParagraph"/>
        <w:numPr>
          <w:ilvl w:val="0"/>
          <w:numId w:val="1"/>
        </w:numPr>
        <w:spacing w:after="60"/>
      </w:pPr>
      <w:r>
        <w:t xml:space="preserve">Real payment gateway integration (module scaffolded only, per Section 34 of the master prompt)</w:t>
      </w:r>
    </w:p>
    <w:p>
      <w:pPr>
        <w:pStyle w:val="ListParagraph"/>
        <w:numPr>
          <w:ilvl w:val="0"/>
          <w:numId w:val="1"/>
        </w:numPr>
        <w:spacing w:after="60"/>
      </w:pPr>
      <w:r>
        <w:t xml:space="preserve">Real-time WebSocket bidding (MVP uses polling; Channels/Redis noted as future enhancement)</w:t>
      </w:r>
    </w:p>
    <w:p>
      <w:pPr>
        <w:pStyle w:val="ListParagraph"/>
        <w:numPr>
          <w:ilvl w:val="0"/>
          <w:numId w:val="1"/>
        </w:numPr>
        <w:spacing w:after="60"/>
      </w:pPr>
      <w:r>
        <w:t xml:space="preserve">Non-English auction types (sealed-bid, Dutch, reverse, timed) beyond architectural allowance</w:t>
      </w:r>
    </w:p>
    <w:p>
      <w:pPr>
        <w:pStyle w:val="ListParagraph"/>
        <w:numPr>
          <w:ilvl w:val="0"/>
          <w:numId w:val="1"/>
        </w:numPr>
        <w:spacing w:after="60"/>
      </w:pPr>
      <w:r>
        <w:t xml:space="preserve">Native mobile apps</w:t>
      </w:r>
    </w:p>
    <w:p>
      <w:pPr>
        <w:pStyle w:val="Heading1"/>
        <w:spacing w:after="200" w:before="400"/>
      </w:pPr>
      <w:r>
        <w:t xml:space="preserve">8. Assumptions</w:t>
      </w:r>
    </w:p>
    <w:p>
      <w:pPr>
        <w:pStyle w:val="ListParagraph"/>
        <w:numPr>
          <w:ilvl w:val="0"/>
          <w:numId w:val="1"/>
        </w:numPr>
        <w:spacing w:after="60"/>
      </w:pPr>
      <w:r>
        <w:t xml:space="preserve">Location focus is Mbarara City; architecture allows later multi-region expansion (Project Assumption).</w:t>
      </w:r>
    </w:p>
    <w:p>
      <w:pPr>
        <w:pStyle w:val="ListParagraph"/>
        <w:numPr>
          <w:ilvl w:val="0"/>
          <w:numId w:val="1"/>
        </w:numPr>
        <w:spacing w:after="60"/>
      </w:pPr>
      <w:r>
        <w:t xml:space="preserve">Default currency is UGX; currency is configurable, not hard-coded (Project Assumption).</w:t>
      </w:r>
    </w:p>
    <w:p>
      <w:pPr>
        <w:pStyle w:val="ListParagraph"/>
        <w:numPr>
          <w:ilvl w:val="0"/>
          <w:numId w:val="1"/>
        </w:numPr>
        <w:spacing w:after="60"/>
      </w:pPr>
      <w:r>
        <w:t xml:space="preserve">Primary auction model is English/ascending-price (Project Assumption per master prompt).</w:t>
      </w:r>
    </w:p>
    <w:p>
      <w:pPr>
        <w:pStyle w:val="ListParagraph"/>
        <w:numPr>
          <w:ilvl w:val="0"/>
          <w:numId w:val="1"/>
        </w:numPr>
        <w:spacing w:after="60"/>
      </w:pPr>
      <w:r>
        <w:t xml:space="preserve">Seller and administrator verification exists but its exact evidentiary requirements are left configurable, since no legal/regulatory requirement has been supplied (Project Assumption).</w:t>
      </w:r>
    </w:p>
    <w:p>
      <w:pPr>
        <w:pStyle w:val="ListParagraph"/>
        <w:numPr>
          <w:ilvl w:val="0"/>
          <w:numId w:val="1"/>
        </w:numPr>
        <w:spacing w:after="60"/>
      </w:pPr>
      <w:r>
        <w:t xml:space="preserve">No real money moves through the MVP; payments are tracked as a status separate from the winning bid amount (Project Assumption).</w:t>
      </w:r>
    </w:p>
    <w:p>
      <w:pPr>
        <w:pStyle w:val="Heading1"/>
        <w:spacing w:after="200" w:before="400"/>
      </w:pPr>
      <w:r>
        <w:t xml:space="preserve">9. Business Rules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1F3864" w:val="clear"/>
          </w:tcPr>
          <w:p>
            <w:r>
              <w:rPr>
                <w:b/>
                <w:bCs/>
                <w:color w:val="FFFFFF"/>
                <w:sz w:val="20"/>
                <w:szCs w:val="20"/>
              </w:rPr>
              <w:t xml:space="preserve">ID</w:t>
            </w:r>
          </w:p>
        </w:tc>
        <w:tc>
          <w:tcPr>
            <w:tcW w:type="dxa" w:w="8200"/>
            <w:shd w:fill="1F3864" w:val="clear"/>
          </w:tcPr>
          <w:p>
            <w:r>
              <w:rPr>
                <w:b/>
                <w:bCs/>
                <w:color w:val="FFFFFF"/>
                <w:sz w:val="20"/>
                <w:szCs w:val="20"/>
              </w:rPr>
              <w:t xml:space="preserve">Rule</w:t>
            </w:r>
          </w:p>
        </w:tc>
      </w:tr>
      <w:tr>
        <w:tc>
          <w:tcPr>
            <w:tcW w:type="dxa" w:w="1400"/>
          </w:tcPr>
          <w:p>
            <w:r>
              <w:rPr>
                <w:b w:val="false"/>
                <w:bCs w:val="false"/>
                <w:sz w:val="20"/>
                <w:szCs w:val="20"/>
              </w:rPr>
              <w:t xml:space="preserve">BR-01</w:t>
            </w:r>
          </w:p>
        </w:tc>
        <w:tc>
          <w:tcPr>
            <w:tcW w:type="dxa" w:w="8200"/>
          </w:tcPr>
          <w:p>
            <w:r>
              <w:rPr>
                <w:b w:val="false"/>
                <w:bCs w:val="false"/>
                <w:sz w:val="20"/>
                <w:szCs w:val="20"/>
              </w:rPr>
              <w:t xml:space="preserve">A bid is valid only if Auction status = LIVE and current time is within [start_time, end_time].</w:t>
            </w:r>
          </w:p>
        </w:tc>
      </w:tr>
      <w:tr>
        <w:tc>
          <w:tcPr>
            <w:tcW w:type="dxa" w:w="1400"/>
          </w:tcPr>
          <w:p>
            <w:r>
              <w:rPr>
                <w:b w:val="false"/>
                <w:bCs w:val="false"/>
                <w:sz w:val="20"/>
                <w:szCs w:val="20"/>
              </w:rPr>
              <w:t xml:space="preserve">BR-02</w:t>
            </w:r>
          </w:p>
        </w:tc>
        <w:tc>
          <w:tcPr>
            <w:tcW w:type="dxa" w:w="8200"/>
          </w:tcPr>
          <w:p>
            <w:r>
              <w:rPr>
                <w:b w:val="false"/>
                <w:bCs w:val="false"/>
                <w:sz w:val="20"/>
                <w:szCs w:val="20"/>
              </w:rPr>
              <w:t xml:space="preserve">First bid on an auction must be &gt;= starting_price.</w:t>
            </w:r>
          </w:p>
        </w:tc>
      </w:tr>
      <w:tr>
        <w:tc>
          <w:tcPr>
            <w:tcW w:type="dxa" w:w="1400"/>
          </w:tcPr>
          <w:p>
            <w:r>
              <w:rPr>
                <w:b w:val="false"/>
                <w:bCs w:val="false"/>
                <w:sz w:val="20"/>
                <w:szCs w:val="20"/>
              </w:rPr>
              <w:t xml:space="preserve">BR-03</w:t>
            </w:r>
          </w:p>
        </w:tc>
        <w:tc>
          <w:tcPr>
            <w:tcW w:type="dxa" w:w="8200"/>
          </w:tcPr>
          <w:p>
            <w:r>
              <w:rPr>
                <w:b w:val="false"/>
                <w:bCs w:val="false"/>
                <w:sz w:val="20"/>
                <w:szCs w:val="20"/>
              </w:rPr>
              <w:t xml:space="preserve">Every subsequent bid must be &gt;= current_highest_bid + minimum_increment.</w:t>
            </w:r>
          </w:p>
        </w:tc>
      </w:tr>
      <w:tr>
        <w:tc>
          <w:tcPr>
            <w:tcW w:type="dxa" w:w="1400"/>
          </w:tcPr>
          <w:p>
            <w:r>
              <w:rPr>
                <w:b w:val="false"/>
                <w:bCs w:val="false"/>
                <w:sz w:val="20"/>
                <w:szCs w:val="20"/>
              </w:rPr>
              <w:t xml:space="preserve">BR-04</w:t>
            </w:r>
          </w:p>
        </w:tc>
        <w:tc>
          <w:tcPr>
            <w:tcW w:type="dxa" w:w="8200"/>
          </w:tcPr>
          <w:p>
            <w:r>
              <w:rPr>
                <w:b w:val="false"/>
                <w:bCs w:val="false"/>
                <w:sz w:val="20"/>
                <w:szCs w:val="20"/>
              </w:rPr>
              <w:t xml:space="preserve">A seller cannot bid on their own auction.</w:t>
            </w:r>
          </w:p>
        </w:tc>
      </w:tr>
      <w:tr>
        <w:tc>
          <w:tcPr>
            <w:tcW w:type="dxa" w:w="1400"/>
          </w:tcPr>
          <w:p>
            <w:r>
              <w:rPr>
                <w:b w:val="false"/>
                <w:bCs w:val="false"/>
                <w:sz w:val="20"/>
                <w:szCs w:val="20"/>
              </w:rPr>
              <w:t xml:space="preserve">BR-05</w:t>
            </w:r>
          </w:p>
        </w:tc>
        <w:tc>
          <w:tcPr>
            <w:tcW w:type="dxa" w:w="8200"/>
          </w:tcPr>
          <w:p>
            <w:r>
              <w:rPr>
                <w:b w:val="false"/>
                <w:bCs w:val="false"/>
                <w:sz w:val="20"/>
                <w:szCs w:val="20"/>
              </w:rPr>
              <w:t xml:space="preserve">Only authenticated, verified, non-suspended bidders may bid.</w:t>
            </w:r>
          </w:p>
        </w:tc>
      </w:tr>
      <w:tr>
        <w:tc>
          <w:tcPr>
            <w:tcW w:type="dxa" w:w="1400"/>
          </w:tcPr>
          <w:p>
            <w:r>
              <w:rPr>
                <w:b w:val="false"/>
                <w:bCs w:val="false"/>
                <w:sz w:val="20"/>
                <w:szCs w:val="20"/>
              </w:rPr>
              <w:t xml:space="preserve">BR-06</w:t>
            </w:r>
          </w:p>
        </w:tc>
        <w:tc>
          <w:tcPr>
            <w:tcW w:type="dxa" w:w="8200"/>
          </w:tcPr>
          <w:p>
            <w:r>
              <w:rPr>
                <w:b w:val="false"/>
                <w:bCs w:val="false"/>
                <w:sz w:val="20"/>
                <w:szCs w:val="20"/>
              </w:rPr>
              <w:t xml:space="preserve">Accepted bids are immutable; invalidation is a status change with a recorded reason, never a silent edit or delete.</w:t>
            </w:r>
          </w:p>
        </w:tc>
      </w:tr>
      <w:tr>
        <w:tc>
          <w:tcPr>
            <w:tcW w:type="dxa" w:w="1400"/>
          </w:tcPr>
          <w:p>
            <w:r>
              <w:rPr>
                <w:b w:val="false"/>
                <w:bCs w:val="false"/>
                <w:sz w:val="20"/>
                <w:szCs w:val="20"/>
              </w:rPr>
              <w:t xml:space="preserve">BR-07</w:t>
            </w:r>
          </w:p>
        </w:tc>
        <w:tc>
          <w:tcPr>
            <w:tcW w:type="dxa" w:w="8200"/>
          </w:tcPr>
          <w:p>
            <w:r>
              <w:rPr>
                <w:b w:val="false"/>
                <w:bCs w:val="false"/>
                <w:sz w:val="20"/>
                <w:szCs w:val="20"/>
              </w:rPr>
              <w:t xml:space="preserve">All bid and auction-closing timestamps are server/database-generated, never client-supplied.</w:t>
            </w:r>
          </w:p>
        </w:tc>
      </w:tr>
      <w:tr>
        <w:tc>
          <w:tcPr>
            <w:tcW w:type="dxa" w:w="1400"/>
          </w:tcPr>
          <w:p>
            <w:r>
              <w:rPr>
                <w:b w:val="false"/>
                <w:bCs w:val="false"/>
                <w:sz w:val="20"/>
                <w:szCs w:val="20"/>
              </w:rPr>
              <w:t xml:space="preserve">BR-08</w:t>
            </w:r>
          </w:p>
        </w:tc>
        <w:tc>
          <w:tcPr>
            <w:tcW w:type="dxa" w:w="8200"/>
          </w:tcPr>
          <w:p>
            <w:r>
              <w:rPr>
                <w:b w:val="false"/>
                <w:bCs w:val="false"/>
                <w:sz w:val="20"/>
                <w:szCs w:val="20"/>
              </w:rPr>
              <w:t xml:space="preserve">Winner = highest valid bid at close, subject to reserve price being met (if configured) and bidder eligibility.</w:t>
            </w:r>
          </w:p>
        </w:tc>
      </w:tr>
      <w:tr>
        <w:tc>
          <w:tcPr>
            <w:tcW w:type="dxa" w:w="1400"/>
          </w:tcPr>
          <w:p>
            <w:r>
              <w:rPr>
                <w:b w:val="false"/>
                <w:bCs w:val="false"/>
                <w:sz w:val="20"/>
                <w:szCs w:val="20"/>
              </w:rPr>
              <w:t xml:space="preserve">BR-09</w:t>
            </w:r>
          </w:p>
        </w:tc>
        <w:tc>
          <w:tcPr>
            <w:tcW w:type="dxa" w:w="8200"/>
          </w:tcPr>
          <w:p>
            <w:r>
              <w:rPr>
                <w:b w:val="false"/>
                <w:bCs w:val="false"/>
                <w:sz w:val="20"/>
                <w:szCs w:val="20"/>
              </w:rPr>
              <w:t xml:space="preserve">If reserve price is not met, the auction closes with a highest bidder identified but no winner declared.</w:t>
            </w:r>
          </w:p>
        </w:tc>
      </w:tr>
      <w:tr>
        <w:tc>
          <w:tcPr>
            <w:tcW w:type="dxa" w:w="1400"/>
          </w:tcPr>
          <w:p>
            <w:r>
              <w:rPr>
                <w:b w:val="false"/>
                <w:bCs w:val="false"/>
                <w:sz w:val="20"/>
                <w:szCs w:val="20"/>
              </w:rPr>
              <w:t xml:space="preserve">BR-10</w:t>
            </w:r>
          </w:p>
        </w:tc>
        <w:tc>
          <w:tcPr>
            <w:tcW w:type="dxa" w:w="8200"/>
          </w:tcPr>
          <w:p>
            <w:r>
              <w:rPr>
                <w:b w:val="false"/>
                <w:bCs w:val="false"/>
                <w:sz w:val="20"/>
                <w:szCs w:val="20"/>
              </w:rPr>
              <w:t xml:space="preserve">Tie bids (identical amount) are broken by earliest accepted server-side sequence number.</w:t>
            </w:r>
          </w:p>
        </w:tc>
      </w:tr>
      <w:tr>
        <w:tc>
          <w:tcPr>
            <w:tcW w:type="dxa" w:w="1400"/>
          </w:tcPr>
          <w:p>
            <w:r>
              <w:rPr>
                <w:b w:val="false"/>
                <w:bCs w:val="false"/>
                <w:sz w:val="20"/>
                <w:szCs w:val="20"/>
              </w:rPr>
              <w:t xml:space="preserve">BR-11</w:t>
            </w:r>
          </w:p>
        </w:tc>
        <w:tc>
          <w:tcPr>
            <w:tcW w:type="dxa" w:w="8200"/>
          </w:tcPr>
          <w:p>
            <w:r>
              <w:rPr>
                <w:b w:val="false"/>
                <w:bCs w:val="false"/>
                <w:sz w:val="20"/>
                <w:szCs w:val="20"/>
              </w:rPr>
              <w:t xml:space="preserve">Auction status transitions follow the defined state machine only; no arbitrary status changes.</w:t>
            </w:r>
          </w:p>
        </w:tc>
      </w:tr>
    </w:tbl>
    <w:p>
      <w:pPr>
        <w:pStyle w:val="Heading1"/>
        <w:spacing w:after="200" w:before="400"/>
      </w:pPr>
      <w:r>
        <w:t xml:space="preserve">10. Functional Requirements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800"/>
      </w:tblGrid>
      <w:tr>
        <w:tc>
          <w:tcPr>
            <w:tcW w:type="dxa" w:w="1200"/>
            <w:shd w:fill="1F3864" w:val="clear"/>
          </w:tcPr>
          <w:p>
            <w:r>
              <w:rPr>
                <w:b/>
                <w:bCs/>
                <w:color w:val="FFFFFF"/>
                <w:sz w:val="20"/>
                <w:szCs w:val="20"/>
              </w:rPr>
              <w:t xml:space="preserve">ID</w:t>
            </w:r>
          </w:p>
        </w:tc>
        <w:tc>
          <w:tcPr>
            <w:tcW w:type="dxa" w:w="6600"/>
            <w:shd w:fill="1F3864" w:val="clear"/>
          </w:tcPr>
          <w:p>
            <w:r>
              <w:rPr>
                <w:b/>
                <w:bCs/>
                <w:color w:val="FFFFFF"/>
                <w:sz w:val="20"/>
                <w:szCs w:val="20"/>
              </w:rPr>
              <w:t xml:space="preserve">Requirement</w:t>
            </w:r>
          </w:p>
        </w:tc>
        <w:tc>
          <w:tcPr>
            <w:tcW w:type="dxa" w:w="1800"/>
            <w:shd w:fill="1F3864" w:val="clear"/>
          </w:tcPr>
          <w:p>
            <w:r>
              <w:rPr>
                <w:b/>
                <w:bCs/>
                <w:color w:val="FFFFFF"/>
                <w:sz w:val="20"/>
                <w:szCs w:val="20"/>
              </w:rPr>
              <w:t xml:space="preserve">Priority</w:t>
            </w:r>
          </w:p>
        </w:tc>
      </w:tr>
      <w:tr>
        <w:tc>
          <w:tcPr>
            <w:tcW w:type="dxa" w:w="1200"/>
          </w:tcPr>
          <w:p>
            <w:r>
              <w:rPr>
                <w:b w:val="false"/>
                <w:bCs w:val="false"/>
                <w:sz w:val="20"/>
                <w:szCs w:val="20"/>
              </w:rPr>
              <w:t xml:space="preserve">FR-01</w:t>
            </w:r>
          </w:p>
        </w:tc>
        <w:tc>
          <w:tcPr>
            <w:tcW w:type="dxa" w:w="6600"/>
          </w:tcPr>
          <w:p>
            <w:r>
              <w:rPr>
                <w:b w:val="false"/>
                <w:bCs w:val="false"/>
                <w:sz w:val="20"/>
                <w:szCs w:val="20"/>
              </w:rPr>
              <w:t xml:space="preserve">Users can register, log in, log out, and reset passwords</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FR-02</w:t>
            </w:r>
          </w:p>
        </w:tc>
        <w:tc>
          <w:tcPr>
            <w:tcW w:type="dxa" w:w="6600"/>
          </w:tcPr>
          <w:p>
            <w:r>
              <w:rPr>
                <w:b w:val="false"/>
                <w:bCs w:val="false"/>
                <w:sz w:val="20"/>
                <w:szCs w:val="20"/>
              </w:rPr>
              <w:t xml:space="preserve">Sellers can create, edit (pre-approval), and submit auction listings</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FR-03</w:t>
            </w:r>
          </w:p>
        </w:tc>
        <w:tc>
          <w:tcPr>
            <w:tcW w:type="dxa" w:w="6600"/>
          </w:tcPr>
          <w:p>
            <w:r>
              <w:rPr>
                <w:b w:val="false"/>
                <w:bCs w:val="false"/>
                <w:sz w:val="20"/>
                <w:szCs w:val="20"/>
              </w:rPr>
              <w:t xml:space="preserve">Administrators/officers can review, approve, or reject listings</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FR-04</w:t>
            </w:r>
          </w:p>
        </w:tc>
        <w:tc>
          <w:tcPr>
            <w:tcW w:type="dxa" w:w="6600"/>
          </w:tcPr>
          <w:p>
            <w:r>
              <w:rPr>
                <w:b w:val="false"/>
                <w:bCs w:val="false"/>
                <w:sz w:val="20"/>
                <w:szCs w:val="20"/>
              </w:rPr>
              <w:t xml:space="preserve">Bidders can browse, search, and filter auctions</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FR-05</w:t>
            </w:r>
          </w:p>
        </w:tc>
        <w:tc>
          <w:tcPr>
            <w:tcW w:type="dxa" w:w="6600"/>
          </w:tcPr>
          <w:p>
            <w:r>
              <w:rPr>
                <w:b w:val="false"/>
                <w:bCs w:val="false"/>
                <w:sz w:val="20"/>
                <w:szCs w:val="20"/>
              </w:rPr>
              <w:t xml:space="preserve">Authenticated eligible bidders can place bids, validated server-side</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FR-06</w:t>
            </w:r>
          </w:p>
        </w:tc>
        <w:tc>
          <w:tcPr>
            <w:tcW w:type="dxa" w:w="6600"/>
          </w:tcPr>
          <w:p>
            <w:r>
              <w:rPr>
                <w:b w:val="false"/>
                <w:bCs w:val="false"/>
                <w:sz w:val="20"/>
                <w:szCs w:val="20"/>
              </w:rPr>
              <w:t xml:space="preserve">System records every bid with server timestamp and sequence</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FR-07</w:t>
            </w:r>
          </w:p>
        </w:tc>
        <w:tc>
          <w:tcPr>
            <w:tcW w:type="dxa" w:w="6600"/>
          </w:tcPr>
          <w:p>
            <w:r>
              <w:rPr>
                <w:b w:val="false"/>
                <w:bCs w:val="false"/>
                <w:sz w:val="20"/>
                <w:szCs w:val="20"/>
              </w:rPr>
              <w:t xml:space="preserve">System automatically closes auctions at end_time and determines the winner</w:t>
            </w:r>
          </w:p>
        </w:tc>
        <w:tc>
          <w:tcPr>
            <w:tcW w:type="dxa" w:w="1800"/>
          </w:tcPr>
          <w:p>
            <w:r>
              <w:rPr>
                <w:b w:val="false"/>
                <w:bCs w:val="false"/>
                <w:sz w:val="20"/>
                <w:szCs w:val="20"/>
              </w:rPr>
              <w:t xml:space="preserve">Must</w:t>
            </w:r>
          </w:p>
        </w:tc>
      </w:tr>
      <w:tr>
        <w:tc>
          <w:tcPr>
            <w:tcW w:type="dxa" w:w="1200"/>
          </w:tcPr>
          <w:p>
            <w:r>
              <w:rPr>
                <w:b w:val="false"/>
                <w:bCs w:val="false"/>
                <w:sz w:val="20"/>
                <w:szCs w:val="20"/>
              </w:rPr>
              <w:t xml:space="preserve">FR-08</w:t>
            </w:r>
          </w:p>
        </w:tc>
        <w:tc>
          <w:tcPr>
            <w:tcW w:type="dxa" w:w="6600"/>
          </w:tcPr>
          <w:p>
            <w:r>
              <w:rPr>
                <w:b w:val="false"/>
                <w:bCs w:val="false"/>
                <w:sz w:val="20"/>
                <w:szCs w:val="20"/>
              </w:rPr>
              <w:t xml:space="preserve">Users receive in-app notifications for key bidding events</w:t>
            </w:r>
          </w:p>
        </w:tc>
        <w:tc>
          <w:tcPr>
            <w:tcW w:type="dxa" w:w="1800"/>
          </w:tcPr>
          <w:p>
            <w:r>
              <w:rPr>
                <w:b w:val="false"/>
                <w:bCs w:val="false"/>
                <w:sz w:val="20"/>
                <w:szCs w:val="20"/>
              </w:rPr>
              <w:t xml:space="preserve">Should</w:t>
            </w:r>
          </w:p>
        </w:tc>
      </w:tr>
      <w:tr>
        <w:tc>
          <w:tcPr>
            <w:tcW w:type="dxa" w:w="1200"/>
          </w:tcPr>
          <w:p>
            <w:r>
              <w:rPr>
                <w:b w:val="false"/>
                <w:bCs w:val="false"/>
                <w:sz w:val="20"/>
                <w:szCs w:val="20"/>
              </w:rPr>
              <w:t xml:space="preserve">FR-09</w:t>
            </w:r>
          </w:p>
        </w:tc>
        <w:tc>
          <w:tcPr>
            <w:tcW w:type="dxa" w:w="6600"/>
          </w:tcPr>
          <w:p>
            <w:r>
              <w:rPr>
                <w:b w:val="false"/>
                <w:bCs w:val="false"/>
                <w:sz w:val="20"/>
                <w:szCs w:val="20"/>
              </w:rPr>
              <w:t xml:space="preserve">System provides bid-history and price-discovery reports/dashboards</w:t>
            </w:r>
          </w:p>
        </w:tc>
        <w:tc>
          <w:tcPr>
            <w:tcW w:type="dxa" w:w="1800"/>
          </w:tcPr>
          <w:p>
            <w:r>
              <w:rPr>
                <w:b w:val="false"/>
                <w:bCs w:val="false"/>
                <w:sz w:val="20"/>
                <w:szCs w:val="20"/>
              </w:rPr>
              <w:t xml:space="preserve">Should</w:t>
            </w:r>
          </w:p>
        </w:tc>
      </w:tr>
      <w:tr>
        <w:tc>
          <w:tcPr>
            <w:tcW w:type="dxa" w:w="1200"/>
          </w:tcPr>
          <w:p>
            <w:r>
              <w:rPr>
                <w:b w:val="false"/>
                <w:bCs w:val="false"/>
                <w:sz w:val="20"/>
                <w:szCs w:val="20"/>
              </w:rPr>
              <w:t xml:space="preserve">FR-10</w:t>
            </w:r>
          </w:p>
        </w:tc>
        <w:tc>
          <w:tcPr>
            <w:tcW w:type="dxa" w:w="6600"/>
          </w:tcPr>
          <w:p>
            <w:r>
              <w:rPr>
                <w:b w:val="false"/>
                <w:bCs w:val="false"/>
                <w:sz w:val="20"/>
                <w:szCs w:val="20"/>
              </w:rPr>
              <w:t xml:space="preserve">Administrators can view audit logs of critical actions</w:t>
            </w:r>
          </w:p>
        </w:tc>
        <w:tc>
          <w:tcPr>
            <w:tcW w:type="dxa" w:w="1800"/>
          </w:tcPr>
          <w:p>
            <w:r>
              <w:rPr>
                <w:b w:val="false"/>
                <w:bCs w:val="false"/>
                <w:sz w:val="20"/>
                <w:szCs w:val="20"/>
              </w:rPr>
              <w:t xml:space="preserve">Should</w:t>
            </w:r>
          </w:p>
        </w:tc>
      </w:tr>
      <w:tr>
        <w:tc>
          <w:tcPr>
            <w:tcW w:type="dxa" w:w="1200"/>
          </w:tcPr>
          <w:p>
            <w:r>
              <w:rPr>
                <w:b w:val="false"/>
                <w:bCs w:val="false"/>
                <w:sz w:val="20"/>
                <w:szCs w:val="20"/>
              </w:rPr>
              <w:t xml:space="preserve">FR-11</w:t>
            </w:r>
          </w:p>
        </w:tc>
        <w:tc>
          <w:tcPr>
            <w:tcW w:type="dxa" w:w="6600"/>
          </w:tcPr>
          <w:p>
            <w:r>
              <w:rPr>
                <w:b w:val="false"/>
                <w:bCs w:val="false"/>
                <w:sz w:val="20"/>
                <w:szCs w:val="20"/>
              </w:rPr>
              <w:t xml:space="preserve">Users can raise and track disputes on an auction</w:t>
            </w:r>
          </w:p>
        </w:tc>
        <w:tc>
          <w:tcPr>
            <w:tcW w:type="dxa" w:w="1800"/>
          </w:tcPr>
          <w:p>
            <w:r>
              <w:rPr>
                <w:b w:val="false"/>
                <w:bCs w:val="false"/>
                <w:sz w:val="20"/>
                <w:szCs w:val="20"/>
              </w:rPr>
              <w:t xml:space="preserve">Could</w:t>
            </w:r>
          </w:p>
        </w:tc>
      </w:tr>
      <w:tr>
        <w:tc>
          <w:tcPr>
            <w:tcW w:type="dxa" w:w="1200"/>
          </w:tcPr>
          <w:p>
            <w:r>
              <w:rPr>
                <w:b w:val="false"/>
                <w:bCs w:val="false"/>
                <w:sz w:val="20"/>
                <w:szCs w:val="20"/>
              </w:rPr>
              <w:t xml:space="preserve">FR-12</w:t>
            </w:r>
          </w:p>
        </w:tc>
        <w:tc>
          <w:tcPr>
            <w:tcW w:type="dxa" w:w="6600"/>
          </w:tcPr>
          <w:p>
            <w:r>
              <w:rPr>
                <w:b w:val="false"/>
                <w:bCs w:val="false"/>
                <w:sz w:val="20"/>
                <w:szCs w:val="20"/>
              </w:rPr>
              <w:t xml:space="preserve">Optional anti-sniping auction-extension rule, configurable per auction</w:t>
            </w:r>
          </w:p>
        </w:tc>
        <w:tc>
          <w:tcPr>
            <w:tcW w:type="dxa" w:w="1800"/>
          </w:tcPr>
          <w:p>
            <w:r>
              <w:rPr>
                <w:b w:val="false"/>
                <w:bCs w:val="false"/>
                <w:sz w:val="20"/>
                <w:szCs w:val="20"/>
              </w:rPr>
              <w:t xml:space="preserve">Could</w:t>
            </w:r>
          </w:p>
        </w:tc>
      </w:tr>
    </w:tbl>
    <w:p>
      <w:pPr>
        <w:pStyle w:val="Heading1"/>
        <w:spacing w:after="200" w:before="400"/>
      </w:pPr>
      <w:r>
        <w:t xml:space="preserve">11.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1F3864" w:val="clear"/>
          </w:tcPr>
          <w:p>
            <w:r>
              <w:rPr>
                <w:b/>
                <w:bCs/>
                <w:color w:val="FFFFFF"/>
                <w:sz w:val="20"/>
                <w:szCs w:val="20"/>
              </w:rPr>
              <w:t xml:space="preserve">ID</w:t>
            </w:r>
          </w:p>
        </w:tc>
        <w:tc>
          <w:tcPr>
            <w:tcW w:type="dxa" w:w="8200"/>
            <w:shd w:fill="1F3864" w:val="clear"/>
          </w:tcPr>
          <w:p>
            <w:r>
              <w:rPr>
                <w:b/>
                <w:bCs/>
                <w:color w:val="FFFFFF"/>
                <w:sz w:val="20"/>
                <w:szCs w:val="20"/>
              </w:rPr>
              <w:t xml:space="preserve">Requirement</w:t>
            </w:r>
          </w:p>
        </w:tc>
      </w:tr>
      <w:tr>
        <w:tc>
          <w:tcPr>
            <w:tcW w:type="dxa" w:w="1400"/>
          </w:tcPr>
          <w:p>
            <w:r>
              <w:rPr>
                <w:b w:val="false"/>
                <w:bCs w:val="false"/>
                <w:sz w:val="20"/>
                <w:szCs w:val="20"/>
              </w:rPr>
              <w:t xml:space="preserve">NFR-01</w:t>
            </w:r>
          </w:p>
        </w:tc>
        <w:tc>
          <w:tcPr>
            <w:tcW w:type="dxa" w:w="8200"/>
          </w:tcPr>
          <w:p>
            <w:r>
              <w:rPr>
                <w:b w:val="false"/>
                <w:bCs w:val="false"/>
                <w:sz w:val="20"/>
                <w:szCs w:val="20"/>
              </w:rPr>
              <w:t xml:space="preserve">All bid-validity and auction-state decisions are enforced server-side; client code is advisory only.</w:t>
            </w:r>
          </w:p>
        </w:tc>
      </w:tr>
      <w:tr>
        <w:tc>
          <w:tcPr>
            <w:tcW w:type="dxa" w:w="1400"/>
          </w:tcPr>
          <w:p>
            <w:r>
              <w:rPr>
                <w:b w:val="false"/>
                <w:bCs w:val="false"/>
                <w:sz w:val="20"/>
                <w:szCs w:val="20"/>
              </w:rPr>
              <w:t xml:space="preserve">NFR-02</w:t>
            </w:r>
          </w:p>
        </w:tc>
        <w:tc>
          <w:tcPr>
            <w:tcW w:type="dxa" w:w="8200"/>
          </w:tcPr>
          <w:p>
            <w:r>
              <w:rPr>
                <w:b w:val="false"/>
                <w:bCs w:val="false"/>
                <w:sz w:val="20"/>
                <w:szCs w:val="20"/>
              </w:rPr>
              <w:t xml:space="preserve">Concurrent bids on the same auction must be serialized (e.g., transaction.atomic() + select_for_update()) so no two bids can be accepted inconsistently.</w:t>
            </w:r>
          </w:p>
        </w:tc>
      </w:tr>
      <w:tr>
        <w:tc>
          <w:tcPr>
            <w:tcW w:type="dxa" w:w="1400"/>
          </w:tcPr>
          <w:p>
            <w:r>
              <w:rPr>
                <w:b w:val="false"/>
                <w:bCs w:val="false"/>
                <w:sz w:val="20"/>
                <w:szCs w:val="20"/>
              </w:rPr>
              <w:t xml:space="preserve">NFR-03</w:t>
            </w:r>
          </w:p>
        </w:tc>
        <w:tc>
          <w:tcPr>
            <w:tcW w:type="dxa" w:w="8200"/>
          </w:tcPr>
          <w:p>
            <w:r>
              <w:rPr>
                <w:b w:val="false"/>
                <w:bCs w:val="false"/>
                <w:sz w:val="20"/>
                <w:szCs w:val="20"/>
              </w:rPr>
              <w:t xml:space="preserve">Passwords hashed via Django's auth framework; no secrets hard-coded or logged.</w:t>
            </w:r>
          </w:p>
        </w:tc>
      </w:tr>
      <w:tr>
        <w:tc>
          <w:tcPr>
            <w:tcW w:type="dxa" w:w="1400"/>
          </w:tcPr>
          <w:p>
            <w:r>
              <w:rPr>
                <w:b w:val="false"/>
                <w:bCs w:val="false"/>
                <w:sz w:val="20"/>
                <w:szCs w:val="20"/>
              </w:rPr>
              <w:t xml:space="preserve">NFR-04</w:t>
            </w:r>
          </w:p>
        </w:tc>
        <w:tc>
          <w:tcPr>
            <w:tcW w:type="dxa" w:w="8200"/>
          </w:tcPr>
          <w:p>
            <w:r>
              <w:rPr>
                <w:b w:val="false"/>
                <w:bCs w:val="false"/>
                <w:sz w:val="20"/>
                <w:szCs w:val="20"/>
              </w:rPr>
              <w:t xml:space="preserve">Standard protections against CSRF, XSS, SQL injection, and IDOR are active by default.</w:t>
            </w:r>
          </w:p>
        </w:tc>
      </w:tr>
      <w:tr>
        <w:tc>
          <w:tcPr>
            <w:tcW w:type="dxa" w:w="1400"/>
          </w:tcPr>
          <w:p>
            <w:r>
              <w:rPr>
                <w:b w:val="false"/>
                <w:bCs w:val="false"/>
                <w:sz w:val="20"/>
                <w:szCs w:val="20"/>
              </w:rPr>
              <w:t xml:space="preserve">NFR-05</w:t>
            </w:r>
          </w:p>
        </w:tc>
        <w:tc>
          <w:tcPr>
            <w:tcW w:type="dxa" w:w="8200"/>
          </w:tcPr>
          <w:p>
            <w:r>
              <w:rPr>
                <w:b w:val="false"/>
                <w:bCs w:val="false"/>
                <w:sz w:val="20"/>
                <w:szCs w:val="20"/>
              </w:rPr>
              <w:t xml:space="preserve">Personal bidder/seller data is exposed only to authorized parties; public bid history uses anonymized identifiers.</w:t>
            </w:r>
          </w:p>
        </w:tc>
      </w:tr>
      <w:tr>
        <w:tc>
          <w:tcPr>
            <w:tcW w:type="dxa" w:w="1400"/>
          </w:tcPr>
          <w:p>
            <w:r>
              <w:rPr>
                <w:b w:val="false"/>
                <w:bCs w:val="false"/>
                <w:sz w:val="20"/>
                <w:szCs w:val="20"/>
              </w:rPr>
              <w:t xml:space="preserve">NFR-06</w:t>
            </w:r>
          </w:p>
        </w:tc>
        <w:tc>
          <w:tcPr>
            <w:tcW w:type="dxa" w:w="8200"/>
          </w:tcPr>
          <w:p>
            <w:r>
              <w:rPr>
                <w:b w:val="false"/>
                <w:bCs w:val="false"/>
                <w:sz w:val="20"/>
                <w:szCs w:val="20"/>
              </w:rPr>
              <w:t xml:space="preserve">The system should remain usable on low-bandwidth mobile connections (responsive UI, minimal payloads).</w:t>
            </w:r>
          </w:p>
        </w:tc>
      </w:tr>
      <w:tr>
        <w:tc>
          <w:tcPr>
            <w:tcW w:type="dxa" w:w="1400"/>
          </w:tcPr>
          <w:p>
            <w:r>
              <w:rPr>
                <w:b w:val="false"/>
                <w:bCs w:val="false"/>
                <w:sz w:val="20"/>
                <w:szCs w:val="20"/>
              </w:rPr>
              <w:t xml:space="preserve">NFR-07</w:t>
            </w:r>
          </w:p>
        </w:tc>
        <w:tc>
          <w:tcPr>
            <w:tcW w:type="dxa" w:w="8200"/>
          </w:tcPr>
          <w:p>
            <w:r>
              <w:rPr>
                <w:b w:val="false"/>
                <w:bCs w:val="false"/>
                <w:sz w:val="20"/>
                <w:szCs w:val="20"/>
              </w:rPr>
              <w:t xml:space="preserve">Critical auction and bidding actions are logged to an immutable audit trail.</w:t>
            </w:r>
          </w:p>
        </w:tc>
      </w:tr>
      <w:tr>
        <w:tc>
          <w:tcPr>
            <w:tcW w:type="dxa" w:w="1400"/>
          </w:tcPr>
          <w:p>
            <w:r>
              <w:rPr>
                <w:b w:val="false"/>
                <w:bCs w:val="false"/>
                <w:sz w:val="20"/>
                <w:szCs w:val="20"/>
              </w:rPr>
              <w:t xml:space="preserve">NFR-08</w:t>
            </w:r>
          </w:p>
        </w:tc>
        <w:tc>
          <w:tcPr>
            <w:tcW w:type="dxa" w:w="8200"/>
          </w:tcPr>
          <w:p>
            <w:r>
              <w:rPr>
                <w:b w:val="false"/>
                <w:bCs w:val="false"/>
                <w:sz w:val="20"/>
                <w:szCs w:val="20"/>
              </w:rPr>
              <w:t xml:space="preserve">The codebase is modular (separate Django apps) to keep business logic out of templates and views thin.</w:t>
            </w:r>
          </w:p>
        </w:tc>
      </w:tr>
    </w:tbl>
    <w:p>
      <w:pPr>
        <w:pStyle w:val="Heading1"/>
        <w:spacing w:after="200" w:before="400"/>
      </w:pPr>
      <w:r>
        <w:t xml:space="preserve">12. Key Use Cases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1F3864" w:val="clear"/>
          </w:tcPr>
          <w:p>
            <w:r>
              <w:rPr>
                <w:b/>
                <w:bCs/>
                <w:color w:val="FFFFFF"/>
                <w:sz w:val="20"/>
                <w:szCs w:val="20"/>
              </w:rPr>
              <w:t xml:space="preserve">Actor</w:t>
            </w:r>
          </w:p>
        </w:tc>
        <w:tc>
          <w:tcPr>
            <w:tcW w:type="dxa" w:w="7400"/>
            <w:shd w:fill="1F3864" w:val="clear"/>
          </w:tcPr>
          <w:p>
            <w:r>
              <w:rPr>
                <w:b/>
                <w:bCs/>
                <w:color w:val="FFFFFF"/>
                <w:sz w:val="20"/>
                <w:szCs w:val="20"/>
              </w:rPr>
              <w:t xml:space="preserve">Use Case</w:t>
            </w:r>
          </w:p>
        </w:tc>
      </w:tr>
      <w:tr>
        <w:tc>
          <w:tcPr>
            <w:tcW w:type="dxa" w:w="2200"/>
          </w:tcPr>
          <w:p>
            <w:r>
              <w:rPr>
                <w:b w:val="false"/>
                <w:bCs w:val="false"/>
                <w:sz w:val="20"/>
                <w:szCs w:val="20"/>
              </w:rPr>
              <w:t xml:space="preserve">Guest</w:t>
            </w:r>
          </w:p>
        </w:tc>
        <w:tc>
          <w:tcPr>
            <w:tcW w:type="dxa" w:w="7400"/>
          </w:tcPr>
          <w:p>
            <w:r>
              <w:rPr>
                <w:b w:val="false"/>
                <w:bCs w:val="false"/>
                <w:sz w:val="20"/>
                <w:szCs w:val="20"/>
              </w:rPr>
              <w:t xml:space="preserve">Browse/search approved auctions; register as bidder or seller</w:t>
            </w:r>
          </w:p>
        </w:tc>
      </w:tr>
      <w:tr>
        <w:tc>
          <w:tcPr>
            <w:tcW w:type="dxa" w:w="2200"/>
          </w:tcPr>
          <w:p>
            <w:r>
              <w:rPr>
                <w:b w:val="false"/>
                <w:bCs w:val="false"/>
                <w:sz w:val="20"/>
                <w:szCs w:val="20"/>
              </w:rPr>
              <w:t xml:space="preserve">Bidder</w:t>
            </w:r>
          </w:p>
        </w:tc>
        <w:tc>
          <w:tcPr>
            <w:tcW w:type="dxa" w:w="7400"/>
          </w:tcPr>
          <w:p>
            <w:r>
              <w:rPr>
                <w:b w:val="false"/>
                <w:bCs w:val="false"/>
                <w:sz w:val="20"/>
                <w:szCs w:val="20"/>
              </w:rPr>
              <w:t xml:space="preserve">Log in; view auction detail; place bid; view own bid history; receive notifications; view win/loss result</w:t>
            </w:r>
          </w:p>
        </w:tc>
      </w:tr>
      <w:tr>
        <w:tc>
          <w:tcPr>
            <w:tcW w:type="dxa" w:w="2200"/>
          </w:tcPr>
          <w:p>
            <w:r>
              <w:rPr>
                <w:b w:val="false"/>
                <w:bCs w:val="false"/>
                <w:sz w:val="20"/>
                <w:szCs w:val="20"/>
              </w:rPr>
              <w:t xml:space="preserve">Seller</w:t>
            </w:r>
          </w:p>
        </w:tc>
        <w:tc>
          <w:tcPr>
            <w:tcW w:type="dxa" w:w="7400"/>
          </w:tcPr>
          <w:p>
            <w:r>
              <w:rPr>
                <w:b w:val="false"/>
                <w:bCs w:val="false"/>
                <w:sz w:val="20"/>
                <w:szCs w:val="20"/>
              </w:rPr>
              <w:t xml:space="preserve">Create/edit/submit listing; monitor bids on own auctions; view auction outcome</w:t>
            </w:r>
          </w:p>
        </w:tc>
      </w:tr>
      <w:tr>
        <w:tc>
          <w:tcPr>
            <w:tcW w:type="dxa" w:w="2200"/>
          </w:tcPr>
          <w:p>
            <w:r>
              <w:rPr>
                <w:b w:val="false"/>
                <w:bCs w:val="false"/>
                <w:sz w:val="20"/>
                <w:szCs w:val="20"/>
              </w:rPr>
              <w:t xml:space="preserve">Administrator</w:t>
            </w:r>
          </w:p>
        </w:tc>
        <w:tc>
          <w:tcPr>
            <w:tcW w:type="dxa" w:w="7400"/>
          </w:tcPr>
          <w:p>
            <w:r>
              <w:rPr>
                <w:b w:val="false"/>
                <w:bCs w:val="false"/>
                <w:sz w:val="20"/>
                <w:szCs w:val="20"/>
              </w:rPr>
              <w:t xml:space="preserve">Approve/reject listings; manage users &amp; categories; monitor auctions; view audit logs; view reports</w:t>
            </w:r>
          </w:p>
        </w:tc>
      </w:tr>
      <w:tr>
        <w:tc>
          <w:tcPr>
            <w:tcW w:type="dxa" w:w="2200"/>
          </w:tcPr>
          <w:p>
            <w:r>
              <w:rPr>
                <w:b w:val="false"/>
                <w:bCs w:val="false"/>
                <w:sz w:val="20"/>
                <w:szCs w:val="20"/>
              </w:rPr>
              <w:t xml:space="preserve">Auction Officer</w:t>
            </w:r>
          </w:p>
        </w:tc>
        <w:tc>
          <w:tcPr>
            <w:tcW w:type="dxa" w:w="7400"/>
          </w:tcPr>
          <w:p>
            <w:r>
              <w:rPr>
                <w:b w:val="false"/>
                <w:bCs w:val="false"/>
                <w:sz w:val="20"/>
                <w:szCs w:val="20"/>
              </w:rPr>
              <w:t xml:space="preserve">Review listings; flag suspicious bidding; suspend a problematic auction</w:t>
            </w:r>
          </w:p>
        </w:tc>
      </w:tr>
    </w:tbl>
    <w:p>
      <w:pPr>
        <w:spacing w:after="160"/>
      </w:pPr>
      <w:r>
        <w:t xml:space="preserve">A full Mermaid use-case diagram and sequence diagrams for bid submission and auction closing will be produced in Phase 2 (System Design), per Sections 65–68 of the specification.</w:t>
      </w:r>
    </w:p>
    <w:p>
      <w:pPr>
        <w:pStyle w:val="Heading1"/>
        <w:spacing w:after="200" w:before="400"/>
      </w:pPr>
      <w:r>
        <w:t xml:space="preserve">13.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c>
          <w:tcPr>
            <w:tcW w:type="dxa" w:w="3000"/>
            <w:shd w:fill="1F3864" w:val="clear"/>
          </w:tcPr>
          <w:p>
            <w:r>
              <w:rPr>
                <w:b/>
                <w:bCs/>
                <w:color w:val="FFFFFF"/>
                <w:sz w:val="20"/>
                <w:szCs w:val="20"/>
              </w:rPr>
              <w:t xml:space="preserve">Risk</w:t>
            </w:r>
          </w:p>
        </w:tc>
        <w:tc>
          <w:tcPr>
            <w:tcW w:type="dxa" w:w="1400"/>
            <w:shd w:fill="1F3864" w:val="clear"/>
          </w:tcPr>
          <w:p>
            <w:r>
              <w:rPr>
                <w:b/>
                <w:bCs/>
                <w:color w:val="FFFFFF"/>
                <w:sz w:val="20"/>
                <w:szCs w:val="20"/>
              </w:rPr>
              <w:t xml:space="preserve">Impact</w:t>
            </w:r>
          </w:p>
        </w:tc>
        <w:tc>
          <w:tcPr>
            <w:tcW w:type="dxa" w:w="4600"/>
            <w:shd w:fill="1F3864" w:val="clear"/>
          </w:tcPr>
          <w:p>
            <w:r>
              <w:rPr>
                <w:b/>
                <w:bCs/>
                <w:color w:val="FFFFFF"/>
                <w:sz w:val="20"/>
                <w:szCs w:val="20"/>
              </w:rPr>
              <w:t xml:space="preserve">Mitigation</w:t>
            </w:r>
          </w:p>
        </w:tc>
      </w:tr>
      <w:tr>
        <w:tc>
          <w:tcPr>
            <w:tcW w:type="dxa" w:w="3000"/>
          </w:tcPr>
          <w:p>
            <w:r>
              <w:rPr>
                <w:b w:val="false"/>
                <w:bCs w:val="false"/>
                <w:sz w:val="20"/>
                <w:szCs w:val="20"/>
              </w:rPr>
              <w:t xml:space="preserve">Concurrent bids causing inconsistent auction state</w:t>
            </w:r>
          </w:p>
        </w:tc>
        <w:tc>
          <w:tcPr>
            <w:tcW w:type="dxa" w:w="1400"/>
          </w:tcPr>
          <w:p>
            <w:r>
              <w:rPr>
                <w:b w:val="false"/>
                <w:bCs w:val="false"/>
                <w:sz w:val="20"/>
                <w:szCs w:val="20"/>
              </w:rPr>
              <w:t xml:space="preserve">High</w:t>
            </w:r>
          </w:p>
        </w:tc>
        <w:tc>
          <w:tcPr>
            <w:tcW w:type="dxa" w:w="4600"/>
          </w:tcPr>
          <w:p>
            <w:r>
              <w:rPr>
                <w:b w:val="false"/>
                <w:bCs w:val="false"/>
                <w:sz w:val="20"/>
                <w:szCs w:val="20"/>
              </w:rPr>
              <w:t xml:space="preserve">DB transactions + row locking (select_for_update); deterministic tie-break rule</w:t>
            </w:r>
          </w:p>
        </w:tc>
      </w:tr>
      <w:tr>
        <w:tc>
          <w:tcPr>
            <w:tcW w:type="dxa" w:w="3000"/>
          </w:tcPr>
          <w:p>
            <w:r>
              <w:rPr>
                <w:b w:val="false"/>
                <w:bCs w:val="false"/>
                <w:sz w:val="20"/>
                <w:szCs w:val="20"/>
              </w:rPr>
              <w:t xml:space="preserve">Seller self-bidding to inflate price</w:t>
            </w:r>
          </w:p>
        </w:tc>
        <w:tc>
          <w:tcPr>
            <w:tcW w:type="dxa" w:w="1400"/>
          </w:tcPr>
          <w:p>
            <w:r>
              <w:rPr>
                <w:b w:val="false"/>
                <w:bCs w:val="false"/>
                <w:sz w:val="20"/>
                <w:szCs w:val="20"/>
              </w:rPr>
              <w:t xml:space="preserve">Medium</w:t>
            </w:r>
          </w:p>
        </w:tc>
        <w:tc>
          <w:tcPr>
            <w:tcW w:type="dxa" w:w="4600"/>
          </w:tcPr>
          <w:p>
            <w:r>
              <w:rPr>
                <w:b w:val="false"/>
                <w:bCs w:val="false"/>
                <w:sz w:val="20"/>
                <w:szCs w:val="20"/>
              </w:rPr>
              <w:t xml:space="preserve">Server-side check preventing seller.user == bidder.user on their own auction</w:t>
            </w:r>
          </w:p>
        </w:tc>
      </w:tr>
      <w:tr>
        <w:tc>
          <w:tcPr>
            <w:tcW w:type="dxa" w:w="3000"/>
          </w:tcPr>
          <w:p>
            <w:r>
              <w:rPr>
                <w:b w:val="false"/>
                <w:bCs w:val="false"/>
                <w:sz w:val="20"/>
                <w:szCs w:val="20"/>
              </w:rPr>
              <w:t xml:space="preserve">Client-side clock/timer used to gate bidding</w:t>
            </w:r>
          </w:p>
        </w:tc>
        <w:tc>
          <w:tcPr>
            <w:tcW w:type="dxa" w:w="1400"/>
          </w:tcPr>
          <w:p>
            <w:r>
              <w:rPr>
                <w:b w:val="false"/>
                <w:bCs w:val="false"/>
                <w:sz w:val="20"/>
                <w:szCs w:val="20"/>
              </w:rPr>
              <w:t xml:space="preserve">High</w:t>
            </w:r>
          </w:p>
        </w:tc>
        <w:tc>
          <w:tcPr>
            <w:tcW w:type="dxa" w:w="4600"/>
          </w:tcPr>
          <w:p>
            <w:r>
              <w:rPr>
                <w:b w:val="false"/>
                <w:bCs w:val="false"/>
                <w:sz w:val="20"/>
                <w:szCs w:val="20"/>
              </w:rPr>
              <w:t xml:space="preserve">Server is sole authority on auction open/close state</w:t>
            </w:r>
          </w:p>
        </w:tc>
      </w:tr>
      <w:tr>
        <w:tc>
          <w:tcPr>
            <w:tcW w:type="dxa" w:w="3000"/>
          </w:tcPr>
          <w:p>
            <w:r>
              <w:rPr>
                <w:b w:val="false"/>
                <w:bCs w:val="false"/>
                <w:sz w:val="20"/>
                <w:szCs w:val="20"/>
              </w:rPr>
              <w:t xml:space="preserve">Scope creep (payments, real-time bidding) inflating MVP</w:t>
            </w:r>
          </w:p>
        </w:tc>
        <w:tc>
          <w:tcPr>
            <w:tcW w:type="dxa" w:w="1400"/>
          </w:tcPr>
          <w:p>
            <w:r>
              <w:rPr>
                <w:b w:val="false"/>
                <w:bCs w:val="false"/>
                <w:sz w:val="20"/>
                <w:szCs w:val="20"/>
              </w:rPr>
              <w:t xml:space="preserve">Medium</w:t>
            </w:r>
          </w:p>
        </w:tc>
        <w:tc>
          <w:tcPr>
            <w:tcW w:type="dxa" w:w="4600"/>
          </w:tcPr>
          <w:p>
            <w:r>
              <w:rPr>
                <w:b w:val="false"/>
                <w:bCs w:val="false"/>
                <w:sz w:val="20"/>
                <w:szCs w:val="20"/>
              </w:rPr>
              <w:t xml:space="preserve">Explicit phase gating; payments/WebSockets scaffolded, not fully built, until requested</w:t>
            </w:r>
          </w:p>
        </w:tc>
      </w:tr>
      <w:tr>
        <w:tc>
          <w:tcPr>
            <w:tcW w:type="dxa" w:w="3000"/>
          </w:tcPr>
          <w:p>
            <w:r>
              <w:rPr>
                <w:b w:val="false"/>
                <w:bCs w:val="false"/>
                <w:sz w:val="20"/>
                <w:szCs w:val="20"/>
              </w:rPr>
              <w:t xml:space="preserve">Unverified claims about local auction practice presented as fact</w:t>
            </w:r>
          </w:p>
        </w:tc>
        <w:tc>
          <w:tcPr>
            <w:tcW w:type="dxa" w:w="1400"/>
          </w:tcPr>
          <w:p>
            <w:r>
              <w:rPr>
                <w:b w:val="false"/>
                <w:bCs w:val="false"/>
                <w:sz w:val="20"/>
                <w:szCs w:val="20"/>
              </w:rPr>
              <w:t xml:space="preserve">Reputational (academic)</w:t>
            </w:r>
          </w:p>
        </w:tc>
        <w:tc>
          <w:tcPr>
            <w:tcW w:type="dxa" w:w="4600"/>
          </w:tcPr>
          <w:p>
            <w:r>
              <w:rPr>
                <w:b w:val="false"/>
                <w:bCs w:val="false"/>
                <w:sz w:val="20"/>
                <w:szCs w:val="20"/>
              </w:rPr>
              <w:t xml:space="preserve">All such statements labelled as Project Assumptions in this document</w:t>
            </w:r>
          </w:p>
        </w:tc>
      </w:tr>
    </w:tbl>
    <w:p>
      <w:pPr>
        <w:pStyle w:val="Heading1"/>
        <w:spacing w:after="200" w:before="400"/>
      </w:pPr>
      <w:r>
        <w:t xml:space="preserve">14. Requirements Traceability (Preview)</w:t>
      </w:r>
    </w:p>
    <w:p>
      <w:pPr>
        <w:spacing w:after="160"/>
      </w:pPr>
      <w:r>
        <w:t xml:space="preserve">A full matrix mapping every functional requirement to its Django app, model, view/API endpoint, and test case will be completed once Phase 2 (design) and Phase 3+ (implementation) are underway, per Section 69 of the master specification. A starter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200"/>
      </w:tblGrid>
      <w:tr>
        <w:tc>
          <w:tcPr>
            <w:tcW w:type="dxa" w:w="1400"/>
            <w:shd w:fill="1F3864" w:val="clear"/>
          </w:tcPr>
          <w:p>
            <w:r>
              <w:rPr>
                <w:b/>
                <w:bCs/>
                <w:color w:val="FFFFFF"/>
                <w:sz w:val="20"/>
                <w:szCs w:val="20"/>
              </w:rPr>
              <w:t xml:space="preserve">Req</w:t>
            </w:r>
          </w:p>
        </w:tc>
        <w:tc>
          <w:tcPr>
            <w:tcW w:type="dxa" w:w="2800"/>
            <w:shd w:fill="1F3864" w:val="clear"/>
          </w:tcPr>
          <w:p>
            <w:r>
              <w:rPr>
                <w:b/>
                <w:bCs/>
                <w:color w:val="FFFFFF"/>
                <w:sz w:val="20"/>
                <w:szCs w:val="20"/>
              </w:rPr>
              <w:t xml:space="preserve">Module</w:t>
            </w:r>
          </w:p>
        </w:tc>
        <w:tc>
          <w:tcPr>
            <w:tcW w:type="dxa" w:w="2800"/>
            <w:shd w:fill="1F3864" w:val="clear"/>
          </w:tcPr>
          <w:p>
            <w:r>
              <w:rPr>
                <w:b/>
                <w:bCs/>
                <w:color w:val="FFFFFF"/>
                <w:sz w:val="20"/>
                <w:szCs w:val="20"/>
              </w:rPr>
              <w:t xml:space="preserve">Key Model</w:t>
            </w:r>
          </w:p>
        </w:tc>
        <w:tc>
          <w:tcPr>
            <w:tcW w:type="dxa" w:w="2200"/>
            <w:shd w:fill="1F3864" w:val="clear"/>
          </w:tcPr>
          <w:p>
            <w:r>
              <w:rPr>
                <w:b/>
                <w:bCs/>
                <w:color w:val="FFFFFF"/>
                <w:sz w:val="20"/>
                <w:szCs w:val="20"/>
              </w:rPr>
              <w:t xml:space="preserve">Test (planned)</w:t>
            </w:r>
          </w:p>
        </w:tc>
      </w:tr>
      <w:tr>
        <w:tc>
          <w:tcPr>
            <w:tcW w:type="dxa" w:w="1400"/>
          </w:tcPr>
          <w:p>
            <w:r>
              <w:rPr>
                <w:b w:val="false"/>
                <w:bCs w:val="false"/>
                <w:sz w:val="20"/>
                <w:szCs w:val="20"/>
              </w:rPr>
              <w:t xml:space="preserve">FR-01</w:t>
            </w:r>
          </w:p>
        </w:tc>
        <w:tc>
          <w:tcPr>
            <w:tcW w:type="dxa" w:w="2800"/>
          </w:tcPr>
          <w:p>
            <w:r>
              <w:rPr>
                <w:b w:val="false"/>
                <w:bCs w:val="false"/>
                <w:sz w:val="20"/>
                <w:szCs w:val="20"/>
              </w:rPr>
              <w:t xml:space="preserve">accounts</w:t>
            </w:r>
          </w:p>
        </w:tc>
        <w:tc>
          <w:tcPr>
            <w:tcW w:type="dxa" w:w="2800"/>
          </w:tcPr>
          <w:p>
            <w:r>
              <w:rPr>
                <w:b w:val="false"/>
                <w:bCs w:val="false"/>
                <w:sz w:val="20"/>
                <w:szCs w:val="20"/>
              </w:rPr>
              <w:t xml:space="preserve">User</w:t>
            </w:r>
          </w:p>
        </w:tc>
        <w:tc>
          <w:tcPr>
            <w:tcW w:type="dxa" w:w="2200"/>
          </w:tcPr>
          <w:p>
            <w:r>
              <w:rPr>
                <w:b w:val="false"/>
                <w:bCs w:val="false"/>
                <w:sz w:val="20"/>
                <w:szCs w:val="20"/>
              </w:rPr>
              <w:t xml:space="preserve">TC-AUTH-001</w:t>
            </w:r>
          </w:p>
        </w:tc>
      </w:tr>
      <w:tr>
        <w:tc>
          <w:tcPr>
            <w:tcW w:type="dxa" w:w="1400"/>
          </w:tcPr>
          <w:p>
            <w:r>
              <w:rPr>
                <w:b w:val="false"/>
                <w:bCs w:val="false"/>
                <w:sz w:val="20"/>
                <w:szCs w:val="20"/>
              </w:rPr>
              <w:t xml:space="preserve">FR-02</w:t>
            </w:r>
          </w:p>
        </w:tc>
        <w:tc>
          <w:tcPr>
            <w:tcW w:type="dxa" w:w="2800"/>
          </w:tcPr>
          <w:p>
            <w:r>
              <w:rPr>
                <w:b w:val="false"/>
                <w:bCs w:val="false"/>
                <w:sz w:val="20"/>
                <w:szCs w:val="20"/>
              </w:rPr>
              <w:t xml:space="preserve">listings</w:t>
            </w:r>
          </w:p>
        </w:tc>
        <w:tc>
          <w:tcPr>
            <w:tcW w:type="dxa" w:w="2800"/>
          </w:tcPr>
          <w:p>
            <w:r>
              <w:rPr>
                <w:b w:val="false"/>
                <w:bCs w:val="false"/>
                <w:sz w:val="20"/>
                <w:szCs w:val="20"/>
              </w:rPr>
              <w:t xml:space="preserve">Auction</w:t>
            </w:r>
          </w:p>
        </w:tc>
        <w:tc>
          <w:tcPr>
            <w:tcW w:type="dxa" w:w="2200"/>
          </w:tcPr>
          <w:p>
            <w:r>
              <w:rPr>
                <w:b w:val="false"/>
                <w:bCs w:val="false"/>
                <w:sz w:val="20"/>
                <w:szCs w:val="20"/>
              </w:rPr>
              <w:t xml:space="preserve">TC-AUCTION-001</w:t>
            </w:r>
          </w:p>
        </w:tc>
      </w:tr>
      <w:tr>
        <w:tc>
          <w:tcPr>
            <w:tcW w:type="dxa" w:w="1400"/>
          </w:tcPr>
          <w:p>
            <w:r>
              <w:rPr>
                <w:b w:val="false"/>
                <w:bCs w:val="false"/>
                <w:sz w:val="20"/>
                <w:szCs w:val="20"/>
              </w:rPr>
              <w:t xml:space="preserve">FR-05</w:t>
            </w:r>
          </w:p>
        </w:tc>
        <w:tc>
          <w:tcPr>
            <w:tcW w:type="dxa" w:w="2800"/>
          </w:tcPr>
          <w:p>
            <w:r>
              <w:rPr>
                <w:b w:val="false"/>
                <w:bCs w:val="false"/>
                <w:sz w:val="20"/>
                <w:szCs w:val="20"/>
              </w:rPr>
              <w:t xml:space="preserve">bidding</w:t>
            </w:r>
          </w:p>
        </w:tc>
        <w:tc>
          <w:tcPr>
            <w:tcW w:type="dxa" w:w="2800"/>
          </w:tcPr>
          <w:p>
            <w:r>
              <w:rPr>
                <w:b w:val="false"/>
                <w:bCs w:val="false"/>
                <w:sz w:val="20"/>
                <w:szCs w:val="20"/>
              </w:rPr>
              <w:t xml:space="preserve">Bid</w:t>
            </w:r>
          </w:p>
        </w:tc>
        <w:tc>
          <w:tcPr>
            <w:tcW w:type="dxa" w:w="2200"/>
          </w:tcPr>
          <w:p>
            <w:r>
              <w:rPr>
                <w:b w:val="false"/>
                <w:bCs w:val="false"/>
                <w:sz w:val="20"/>
                <w:szCs w:val="20"/>
              </w:rPr>
              <w:t xml:space="preserve">TC-BID-001</w:t>
            </w:r>
          </w:p>
        </w:tc>
      </w:tr>
      <w:tr>
        <w:tc>
          <w:tcPr>
            <w:tcW w:type="dxa" w:w="1400"/>
          </w:tcPr>
          <w:p>
            <w:r>
              <w:rPr>
                <w:b w:val="false"/>
                <w:bCs w:val="false"/>
                <w:sz w:val="20"/>
                <w:szCs w:val="20"/>
              </w:rPr>
              <w:t xml:space="preserve">FR-07</w:t>
            </w:r>
          </w:p>
        </w:tc>
        <w:tc>
          <w:tcPr>
            <w:tcW w:type="dxa" w:w="2800"/>
          </w:tcPr>
          <w:p>
            <w:r>
              <w:rPr>
                <w:b w:val="false"/>
                <w:bCs w:val="false"/>
                <w:sz w:val="20"/>
                <w:szCs w:val="20"/>
              </w:rPr>
              <w:t xml:space="preserve">bidding / auctions</w:t>
            </w:r>
          </w:p>
        </w:tc>
        <w:tc>
          <w:tcPr>
            <w:tcW w:type="dxa" w:w="2800"/>
          </w:tcPr>
          <w:p>
            <w:r>
              <w:rPr>
                <w:b w:val="false"/>
                <w:bCs w:val="false"/>
                <w:sz w:val="20"/>
                <w:szCs w:val="20"/>
              </w:rPr>
              <w:t xml:space="preserve">Auction, Bid</w:t>
            </w:r>
          </w:p>
        </w:tc>
        <w:tc>
          <w:tcPr>
            <w:tcW w:type="dxa" w:w="2200"/>
          </w:tcPr>
          <w:p>
            <w:r>
              <w:rPr>
                <w:b w:val="false"/>
                <w:bCs w:val="false"/>
                <w:sz w:val="20"/>
                <w:szCs w:val="20"/>
              </w:rPr>
              <w:t xml:space="preserve">TC-AUCTION-CLOSE-001</w:t>
            </w:r>
          </w:p>
        </w:tc>
      </w:tr>
    </w:tbl>
    <w:p>
      <w:pPr>
        <w:pStyle w:val="Heading1"/>
        <w:spacing w:after="200" w:before="400"/>
      </w:pPr>
      <w:r>
        <w:t xml:space="preserve">15. Next Steps</w:t>
      </w:r>
    </w:p>
    <w:p>
      <w:pPr>
        <w:spacing w:after="160"/>
      </w:pPr>
      <w:r>
        <w:t xml:space="preserve">On confirmation, Phase 2 will proceed with: full system architecture, PostgreSQL database design and ERD, complete state-machine diagrams, the bidding-concurrency algorithm, the transparency/privacy model, the security threat model, and UI/UX wireframes for the key screens (auction listing, auction detail with bid history, dashboards). Django implementation (Phase 3 onward) begins only after Phase 2 is reviewed.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2026-08-29T06:39:08.739Z</dcterms:created>
  <dcterms:modified xsi:type="dcterms:W3CDTF">2026-08-29T06:39:08.740Z</dcterms:modified>
</cp:coreProperties>
</file>

<file path=docProps/custom.xml><?xml version="1.0" encoding="utf-8"?>
<Properties xmlns="http://schemas.openxmlformats.org/officeDocument/2006/custom-properties" xmlns:vt="http://schemas.openxmlformats.org/officeDocument/2006/docPropsVTypes"/>
</file>