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6F4" w:rsidRPr="00B95A08" w:rsidRDefault="00EC16F4" w:rsidP="001C4A5D">
      <w:pPr>
        <w:rPr>
          <w:color w:val="000000"/>
          <w:sz w:val="22"/>
          <w:szCs w:val="22"/>
        </w:rPr>
      </w:pPr>
      <w:r w:rsidRPr="00B95A08">
        <w:rPr>
          <w:color w:val="000000"/>
          <w:sz w:val="22"/>
          <w:szCs w:val="22"/>
        </w:rPr>
        <w:t xml:space="preserve">« Dans la pratique », on fait appel à des </w:t>
      </w:r>
      <w:r w:rsidRPr="00B95A08">
        <w:rPr>
          <w:color w:val="000000"/>
          <w:sz w:val="22"/>
          <w:szCs w:val="22"/>
          <w:highlight w:val="magenta"/>
        </w:rPr>
        <w:t>variables en valeur</w:t>
      </w:r>
      <w:r w:rsidRPr="00B95A08">
        <w:rPr>
          <w:color w:val="000000"/>
          <w:sz w:val="22"/>
          <w:szCs w:val="22"/>
        </w:rPr>
        <w:t xml:space="preserve"> et on préfère parler de « productivité globale des facteurs » (</w:t>
      </w:r>
      <w:r w:rsidRPr="00B95A08">
        <w:rPr>
          <w:i/>
          <w:iCs/>
          <w:color w:val="000000"/>
          <w:sz w:val="22"/>
          <w:szCs w:val="22"/>
        </w:rPr>
        <w:t>PGF</w:t>
      </w:r>
      <w:r w:rsidRPr="00B95A08">
        <w:rPr>
          <w:color w:val="000000"/>
          <w:sz w:val="22"/>
          <w:szCs w:val="22"/>
        </w:rPr>
        <w:t xml:space="preserve">). Par analogie avec (6), en remplaçant </w:t>
      </w:r>
      <w:r w:rsidRPr="00B95A08">
        <w:rPr>
          <w:i/>
          <w:iCs/>
          <w:color w:val="000000"/>
          <w:sz w:val="22"/>
          <w:szCs w:val="22"/>
        </w:rPr>
        <w:t xml:space="preserve">Q </w:t>
      </w:r>
      <w:r w:rsidRPr="00B95A08">
        <w:rPr>
          <w:color w:val="000000"/>
          <w:sz w:val="22"/>
          <w:szCs w:val="22"/>
        </w:rPr>
        <w:t xml:space="preserve">par </w:t>
      </w:r>
      <w:r w:rsidRPr="00B95A08">
        <w:rPr>
          <w:i/>
          <w:iCs/>
          <w:color w:val="000000"/>
          <w:sz w:val="22"/>
          <w:szCs w:val="22"/>
        </w:rPr>
        <w:t xml:space="preserve">V </w:t>
      </w:r>
      <w:r w:rsidRPr="00B95A08">
        <w:rPr>
          <w:color w:val="000000"/>
          <w:sz w:val="22"/>
          <w:szCs w:val="22"/>
        </w:rPr>
        <w:t xml:space="preserve">et </w:t>
      </w:r>
      <w:r w:rsidRPr="00B95A08">
        <w:rPr>
          <w:i/>
          <w:iCs/>
          <w:color w:val="000000"/>
          <w:sz w:val="22"/>
          <w:szCs w:val="22"/>
        </w:rPr>
        <w:t>K</w:t>
      </w:r>
      <w:r w:rsidRPr="00B95A08">
        <w:rPr>
          <w:color w:val="000000"/>
          <w:sz w:val="22"/>
          <w:szCs w:val="22"/>
        </w:rPr>
        <w:t xml:space="preserve"> par </w:t>
      </w:r>
      <w:r w:rsidRPr="00B95A08">
        <w:rPr>
          <w:i/>
          <w:iCs/>
          <w:color w:val="000000"/>
          <w:sz w:val="22"/>
          <w:szCs w:val="22"/>
        </w:rPr>
        <w:t>J</w:t>
      </w:r>
      <w:r w:rsidRPr="00B95A08">
        <w:rPr>
          <w:color w:val="000000"/>
          <w:sz w:val="22"/>
          <w:szCs w:val="22"/>
        </w:rPr>
        <w:t>, on obtient l’équivalent en valeur de φ :</w:t>
      </w:r>
    </w:p>
    <w:p w:rsidR="00EC16F4" w:rsidRPr="00B95A08" w:rsidRDefault="00EC16F4" w:rsidP="001C4A5D">
      <w:pPr>
        <w:rPr>
          <w:color w:val="000000"/>
          <w:sz w:val="22"/>
          <w:szCs w:val="22"/>
        </w:rPr>
      </w:pPr>
      <w:r w:rsidRPr="00B95A08">
        <w:rPr>
          <w:color w:val="000000"/>
          <w:sz w:val="22"/>
          <w:szCs w:val="22"/>
        </w:rPr>
        <w:t xml:space="preserve"> </w:t>
      </w:r>
      <w:r w:rsidRPr="00B95A08">
        <w:rPr>
          <w:color w:val="000000"/>
          <w:sz w:val="22"/>
          <w:szCs w:val="22"/>
          <w:highlight w:val="magenta"/>
        </w:rPr>
        <w:t xml:space="preserve">(7) </w:t>
      </w:r>
      <w:r w:rsidRPr="00B95A08">
        <w:rPr>
          <w:i/>
          <w:iCs/>
          <w:color w:val="000000"/>
          <w:sz w:val="22"/>
          <w:szCs w:val="22"/>
          <w:highlight w:val="magenta"/>
        </w:rPr>
        <w:t>PGF</w:t>
      </w:r>
      <w:r w:rsidRPr="00B95A08">
        <w:rPr>
          <w:color w:val="000000"/>
          <w:sz w:val="22"/>
          <w:szCs w:val="22"/>
          <w:highlight w:val="magenta"/>
        </w:rPr>
        <w:t xml:space="preserve">^ = </w:t>
      </w:r>
      <w:r w:rsidRPr="00B95A08">
        <w:rPr>
          <w:i/>
          <w:iCs/>
          <w:color w:val="000000"/>
          <w:sz w:val="22"/>
          <w:szCs w:val="22"/>
          <w:highlight w:val="magenta"/>
        </w:rPr>
        <w:t>V</w:t>
      </w:r>
      <w:r w:rsidRPr="00B95A08">
        <w:rPr>
          <w:color w:val="000000"/>
          <w:sz w:val="22"/>
          <w:szCs w:val="22"/>
          <w:highlight w:val="magenta"/>
        </w:rPr>
        <w:t xml:space="preserve">^ – </w:t>
      </w:r>
      <w:proofErr w:type="spellStart"/>
      <w:r w:rsidRPr="00B95A08">
        <w:rPr>
          <w:i/>
          <w:iCs/>
          <w:color w:val="000000"/>
          <w:sz w:val="22"/>
          <w:szCs w:val="22"/>
          <w:highlight w:val="magenta"/>
        </w:rPr>
        <w:t>aL</w:t>
      </w:r>
      <w:proofErr w:type="spellEnd"/>
      <w:r w:rsidRPr="00B95A08">
        <w:rPr>
          <w:color w:val="000000"/>
          <w:sz w:val="22"/>
          <w:szCs w:val="22"/>
          <w:highlight w:val="magenta"/>
        </w:rPr>
        <w:t xml:space="preserve">^ – (1 – </w:t>
      </w:r>
      <w:r w:rsidRPr="00B95A08">
        <w:rPr>
          <w:i/>
          <w:iCs/>
          <w:color w:val="000000"/>
          <w:sz w:val="22"/>
          <w:szCs w:val="22"/>
          <w:highlight w:val="magenta"/>
        </w:rPr>
        <w:t>a</w:t>
      </w:r>
      <w:r w:rsidRPr="00B95A08">
        <w:rPr>
          <w:color w:val="000000"/>
          <w:sz w:val="22"/>
          <w:szCs w:val="22"/>
          <w:highlight w:val="magenta"/>
        </w:rPr>
        <w:t xml:space="preserve">) </w:t>
      </w:r>
      <w:r w:rsidRPr="00B95A08">
        <w:rPr>
          <w:i/>
          <w:iCs/>
          <w:color w:val="000000"/>
          <w:sz w:val="22"/>
          <w:szCs w:val="22"/>
          <w:highlight w:val="magenta"/>
        </w:rPr>
        <w:t>J</w:t>
      </w:r>
      <w:proofErr w:type="gramStart"/>
      <w:r w:rsidRPr="00B95A08">
        <w:rPr>
          <w:color w:val="000000"/>
          <w:sz w:val="22"/>
          <w:szCs w:val="22"/>
          <w:highlight w:val="magenta"/>
        </w:rPr>
        <w:t>^ .</w:t>
      </w:r>
      <w:proofErr w:type="gramEnd"/>
      <w:r w:rsidRPr="00B95A08">
        <w:rPr>
          <w:color w:val="000000"/>
          <w:sz w:val="22"/>
          <w:szCs w:val="22"/>
        </w:rPr>
        <w:t xml:space="preserve"> </w:t>
      </w:r>
    </w:p>
    <w:p w:rsidR="00993408" w:rsidRPr="00B95A08" w:rsidRDefault="00EC16F4" w:rsidP="001C4A5D">
      <w:pPr>
        <w:rPr>
          <w:color w:val="000000"/>
          <w:sz w:val="22"/>
          <w:szCs w:val="22"/>
        </w:rPr>
      </w:pPr>
      <w:r w:rsidRPr="00B95A08">
        <w:rPr>
          <w:color w:val="000000"/>
          <w:sz w:val="22"/>
          <w:szCs w:val="22"/>
        </w:rPr>
        <w:t xml:space="preserve">Bien que les formules (6) et (7) se ressemblent beaucoup, elles peuvent conduire à des résultats radicalement différents. Pour s’en rendre compte, il suffit de reprendre la simulation décrite plus haut : l’effet « réel » du progrès technique φ y est donné par la formule (6) avec α </w:t>
      </w:r>
      <w:r w:rsidRPr="00B95A08">
        <w:rPr>
          <w:i/>
          <w:iCs/>
          <w:color w:val="000000"/>
          <w:sz w:val="22"/>
          <w:szCs w:val="22"/>
        </w:rPr>
        <w:t xml:space="preserve">= </w:t>
      </w:r>
      <w:r w:rsidRPr="00B95A08">
        <w:rPr>
          <w:color w:val="000000"/>
          <w:sz w:val="22"/>
          <w:szCs w:val="22"/>
        </w:rPr>
        <w:t xml:space="preserve">0,25 (rappelons qu’il a été supposé que toutes les entreprises ont la même fonction de production) mais sa valeur « observée » est donnée par la formule (7) où, en raison de la règle de prix adoptée (coût en travail + marge), on a </w:t>
      </w:r>
      <w:proofErr w:type="spellStart"/>
      <w:r w:rsidRPr="00B95A08">
        <w:rPr>
          <w:i/>
          <w:iCs/>
          <w:color w:val="000000"/>
          <w:sz w:val="22"/>
          <w:szCs w:val="22"/>
        </w:rPr>
        <w:t>a</w:t>
      </w:r>
      <w:proofErr w:type="spellEnd"/>
      <w:r w:rsidRPr="00B95A08">
        <w:rPr>
          <w:i/>
          <w:iCs/>
          <w:color w:val="000000"/>
          <w:sz w:val="22"/>
          <w:szCs w:val="22"/>
        </w:rPr>
        <w:t xml:space="preserve"> = </w:t>
      </w:r>
      <w:r w:rsidRPr="00B95A08">
        <w:rPr>
          <w:color w:val="000000"/>
          <w:sz w:val="22"/>
          <w:szCs w:val="22"/>
        </w:rPr>
        <w:t xml:space="preserve">0,75. La variable </w:t>
      </w:r>
      <w:r w:rsidRPr="00B95A08">
        <w:rPr>
          <w:i/>
          <w:iCs/>
          <w:color w:val="000000"/>
          <w:sz w:val="22"/>
          <w:szCs w:val="22"/>
        </w:rPr>
        <w:t>PGF</w:t>
      </w:r>
      <w:r w:rsidRPr="00B95A08">
        <w:rPr>
          <w:color w:val="000000"/>
          <w:sz w:val="22"/>
          <w:szCs w:val="22"/>
        </w:rPr>
        <w:t xml:space="preserve">^ donne donc une estimation totalement erronée de la « vraie valeur » φ 17. </w:t>
      </w:r>
    </w:p>
    <w:p w:rsidR="00C95962" w:rsidRPr="00B95A08" w:rsidRDefault="00C95962" w:rsidP="001C4A5D">
      <w:pPr>
        <w:rPr>
          <w:color w:val="000000"/>
          <w:sz w:val="22"/>
          <w:szCs w:val="22"/>
        </w:rPr>
      </w:pPr>
      <w:r w:rsidRPr="00B95A08">
        <w:rPr>
          <w:color w:val="000000"/>
          <w:sz w:val="22"/>
          <w:szCs w:val="22"/>
        </w:rPr>
        <w:t xml:space="preserve">Dans le cas où on suppose que la part des « facteurs » est constante (« fait stylisé »), si on se reporte à l’identité (5), </w:t>
      </w:r>
      <w:r w:rsidRPr="00B95A08">
        <w:rPr>
          <w:i/>
          <w:iCs/>
          <w:color w:val="000000"/>
          <w:sz w:val="22"/>
          <w:szCs w:val="22"/>
        </w:rPr>
        <w:t>V ≡ BLaJ</w:t>
      </w:r>
      <w:r w:rsidRPr="00B95A08">
        <w:rPr>
          <w:color w:val="000000"/>
          <w:sz w:val="22"/>
          <w:szCs w:val="22"/>
        </w:rPr>
        <w:t>1 –</w:t>
      </w:r>
      <w:r w:rsidRPr="00B95A08">
        <w:rPr>
          <w:i/>
          <w:iCs/>
          <w:color w:val="000000"/>
          <w:sz w:val="22"/>
          <w:szCs w:val="22"/>
        </w:rPr>
        <w:t>a</w:t>
      </w:r>
      <w:r w:rsidRPr="00B95A08">
        <w:rPr>
          <w:color w:val="000000"/>
          <w:sz w:val="22"/>
          <w:szCs w:val="22"/>
        </w:rPr>
        <w:t xml:space="preserve">, en procédant comme on l’a fait pour (6) et (7) – </w:t>
      </w:r>
      <w:r w:rsidRPr="00B95A08">
        <w:rPr>
          <w:color w:val="000000"/>
          <w:sz w:val="22"/>
          <w:szCs w:val="22"/>
          <w:highlight w:val="magenta"/>
        </w:rPr>
        <w:t>passage aux logarithmes puis dérivation</w:t>
      </w:r>
      <w:r w:rsidRPr="00B95A08">
        <w:rPr>
          <w:color w:val="000000"/>
          <w:sz w:val="22"/>
          <w:szCs w:val="22"/>
        </w:rPr>
        <w:t xml:space="preserve"> – on obtient : </w:t>
      </w:r>
    </w:p>
    <w:p w:rsidR="00C95962" w:rsidRPr="00B95A08" w:rsidRDefault="00C95962" w:rsidP="001C4A5D">
      <w:pPr>
        <w:rPr>
          <w:rFonts w:eastAsia="TimesNewRomanPSMT"/>
          <w:color w:val="000000"/>
          <w:sz w:val="22"/>
          <w:szCs w:val="22"/>
          <w:highlight w:val="magenta"/>
        </w:rPr>
      </w:pPr>
      <w:r w:rsidRPr="00B95A08">
        <w:rPr>
          <w:color w:val="000000"/>
          <w:sz w:val="22"/>
          <w:szCs w:val="22"/>
          <w:highlight w:val="magenta"/>
        </w:rPr>
        <w:t>^</w:t>
      </w:r>
      <w:r w:rsidRPr="00B95A08">
        <w:rPr>
          <w:i/>
          <w:iCs/>
          <w:color w:val="000000"/>
          <w:sz w:val="22"/>
          <w:szCs w:val="22"/>
          <w:highlight w:val="magenta"/>
        </w:rPr>
        <w:t xml:space="preserve">V </w:t>
      </w:r>
      <w:r w:rsidRPr="00B95A08">
        <w:rPr>
          <w:rFonts w:eastAsia="TimesNewRomanPSMT"/>
          <w:color w:val="000000"/>
          <w:sz w:val="22"/>
          <w:szCs w:val="22"/>
          <w:highlight w:val="magenta"/>
        </w:rPr>
        <w:t xml:space="preserve">≡ </w:t>
      </w:r>
      <w:r w:rsidRPr="00B95A08">
        <w:rPr>
          <w:rFonts w:eastAsia="TimesNewRomanPSMT"/>
          <w:i/>
          <w:iCs/>
          <w:color w:val="000000"/>
          <w:sz w:val="22"/>
          <w:szCs w:val="22"/>
          <w:highlight w:val="magenta"/>
        </w:rPr>
        <w:t>B</w:t>
      </w:r>
      <w:r w:rsidRPr="00B95A08">
        <w:rPr>
          <w:rFonts w:eastAsia="TimesNewRomanPSMT"/>
          <w:color w:val="000000"/>
          <w:sz w:val="22"/>
          <w:szCs w:val="22"/>
          <w:highlight w:val="magenta"/>
        </w:rPr>
        <w:t xml:space="preserve">^ + </w:t>
      </w:r>
      <w:proofErr w:type="spellStart"/>
      <w:r w:rsidRPr="00B95A08">
        <w:rPr>
          <w:rFonts w:eastAsia="TimesNewRomanPSMT"/>
          <w:i/>
          <w:iCs/>
          <w:color w:val="000000"/>
          <w:sz w:val="22"/>
          <w:szCs w:val="22"/>
          <w:highlight w:val="magenta"/>
        </w:rPr>
        <w:t>aL</w:t>
      </w:r>
      <w:proofErr w:type="spellEnd"/>
      <w:r w:rsidRPr="00B95A08">
        <w:rPr>
          <w:rFonts w:eastAsia="TimesNewRomanPSMT"/>
          <w:color w:val="000000"/>
          <w:sz w:val="22"/>
          <w:szCs w:val="22"/>
          <w:highlight w:val="magenta"/>
        </w:rPr>
        <w:t xml:space="preserve">^ + (1 – </w:t>
      </w:r>
      <w:r w:rsidRPr="00B95A08">
        <w:rPr>
          <w:rFonts w:eastAsia="TimesNewRomanPSMT"/>
          <w:i/>
          <w:iCs/>
          <w:color w:val="000000"/>
          <w:sz w:val="22"/>
          <w:szCs w:val="22"/>
          <w:highlight w:val="magenta"/>
        </w:rPr>
        <w:t>a</w:t>
      </w:r>
      <w:r w:rsidRPr="00B95A08">
        <w:rPr>
          <w:rFonts w:eastAsia="TimesNewRomanPSMT"/>
          <w:color w:val="000000"/>
          <w:sz w:val="22"/>
          <w:szCs w:val="22"/>
          <w:highlight w:val="magenta"/>
        </w:rPr>
        <w:t xml:space="preserve">) </w:t>
      </w:r>
      <w:r w:rsidRPr="00B95A08">
        <w:rPr>
          <w:rFonts w:eastAsia="TimesNewRomanPSMT"/>
          <w:i/>
          <w:iCs/>
          <w:color w:val="000000"/>
          <w:sz w:val="22"/>
          <w:szCs w:val="22"/>
          <w:highlight w:val="magenta"/>
        </w:rPr>
        <w:t>J</w:t>
      </w:r>
      <w:r w:rsidRPr="00B95A08">
        <w:rPr>
          <w:rFonts w:eastAsia="TimesNewRomanPSMT"/>
          <w:color w:val="000000"/>
          <w:sz w:val="22"/>
          <w:szCs w:val="22"/>
          <w:highlight w:val="magenta"/>
        </w:rPr>
        <w:t xml:space="preserve">^ </w:t>
      </w:r>
    </w:p>
    <w:p w:rsidR="00C95962" w:rsidRPr="00B95A08" w:rsidRDefault="00C95962" w:rsidP="001C4A5D">
      <w:pPr>
        <w:rPr>
          <w:rFonts w:eastAsia="TimesNewRomanPSMT"/>
          <w:color w:val="000000"/>
          <w:sz w:val="22"/>
          <w:szCs w:val="22"/>
        </w:rPr>
      </w:pPr>
      <w:proofErr w:type="gramStart"/>
      <w:r w:rsidRPr="00B95A08">
        <w:rPr>
          <w:rFonts w:eastAsia="TimesNewRomanPSMT"/>
          <w:color w:val="000000"/>
          <w:sz w:val="22"/>
          <w:szCs w:val="22"/>
        </w:rPr>
        <w:t>et</w:t>
      </w:r>
      <w:proofErr w:type="gramEnd"/>
      <w:r w:rsidRPr="00B95A08">
        <w:rPr>
          <w:rFonts w:eastAsia="TimesNewRomanPSMT"/>
          <w:color w:val="000000"/>
          <w:sz w:val="22"/>
          <w:szCs w:val="22"/>
        </w:rPr>
        <w:t xml:space="preserve"> donc </w:t>
      </w:r>
    </w:p>
    <w:p w:rsidR="00C95962" w:rsidRPr="00B95A08" w:rsidRDefault="00C95962" w:rsidP="001C4A5D">
      <w:pPr>
        <w:rPr>
          <w:rFonts w:eastAsia="TimesNewRomanPSMT"/>
          <w:color w:val="000000"/>
          <w:sz w:val="22"/>
          <w:szCs w:val="22"/>
          <w:highlight w:val="magenta"/>
        </w:rPr>
      </w:pPr>
      <w:r w:rsidRPr="00B95A08">
        <w:rPr>
          <w:rFonts w:eastAsia="TimesNewRomanPSMT"/>
          <w:color w:val="000000"/>
          <w:sz w:val="22"/>
          <w:szCs w:val="22"/>
          <w:highlight w:val="magenta"/>
        </w:rPr>
        <w:t xml:space="preserve">(8) </w:t>
      </w:r>
      <w:r w:rsidRPr="00B95A08">
        <w:rPr>
          <w:rFonts w:eastAsia="TimesNewRomanPSMT"/>
          <w:i/>
          <w:iCs/>
          <w:color w:val="000000"/>
          <w:sz w:val="22"/>
          <w:szCs w:val="22"/>
          <w:highlight w:val="magenta"/>
        </w:rPr>
        <w:t>B</w:t>
      </w:r>
      <w:r w:rsidRPr="00B95A08">
        <w:rPr>
          <w:rFonts w:eastAsia="TimesNewRomanPSMT"/>
          <w:color w:val="000000"/>
          <w:sz w:val="22"/>
          <w:szCs w:val="22"/>
          <w:highlight w:val="magenta"/>
        </w:rPr>
        <w:t xml:space="preserve">^ ≡ </w:t>
      </w:r>
      <w:r w:rsidRPr="00B95A08">
        <w:rPr>
          <w:rFonts w:eastAsia="TimesNewRomanPSMT"/>
          <w:i/>
          <w:iCs/>
          <w:color w:val="000000"/>
          <w:sz w:val="22"/>
          <w:szCs w:val="22"/>
          <w:highlight w:val="magenta"/>
        </w:rPr>
        <w:t>V</w:t>
      </w:r>
      <w:r w:rsidRPr="00B95A08">
        <w:rPr>
          <w:rFonts w:eastAsia="TimesNewRomanPSMT"/>
          <w:color w:val="000000"/>
          <w:sz w:val="22"/>
          <w:szCs w:val="22"/>
          <w:highlight w:val="magenta"/>
        </w:rPr>
        <w:t xml:space="preserve">^ – </w:t>
      </w:r>
      <w:proofErr w:type="spellStart"/>
      <w:r w:rsidRPr="00B95A08">
        <w:rPr>
          <w:rFonts w:eastAsia="TimesNewRomanPSMT"/>
          <w:i/>
          <w:iCs/>
          <w:color w:val="000000"/>
          <w:sz w:val="22"/>
          <w:szCs w:val="22"/>
          <w:highlight w:val="magenta"/>
        </w:rPr>
        <w:t>aL</w:t>
      </w:r>
      <w:proofErr w:type="spellEnd"/>
      <w:r w:rsidRPr="00B95A08">
        <w:rPr>
          <w:rFonts w:eastAsia="TimesNewRomanPSMT"/>
          <w:color w:val="000000"/>
          <w:sz w:val="22"/>
          <w:szCs w:val="22"/>
          <w:highlight w:val="magenta"/>
        </w:rPr>
        <w:t xml:space="preserve">^ – (1 – </w:t>
      </w:r>
      <w:r w:rsidRPr="00B95A08">
        <w:rPr>
          <w:rFonts w:eastAsia="TimesNewRomanPSMT"/>
          <w:i/>
          <w:iCs/>
          <w:color w:val="000000"/>
          <w:sz w:val="22"/>
          <w:szCs w:val="22"/>
          <w:highlight w:val="magenta"/>
        </w:rPr>
        <w:t>a</w:t>
      </w:r>
      <w:r w:rsidRPr="00B95A08">
        <w:rPr>
          <w:rFonts w:eastAsia="TimesNewRomanPSMT"/>
          <w:color w:val="000000"/>
          <w:sz w:val="22"/>
          <w:szCs w:val="22"/>
          <w:highlight w:val="magenta"/>
        </w:rPr>
        <w:t xml:space="preserve">) </w:t>
      </w:r>
      <w:r w:rsidRPr="00B95A08">
        <w:rPr>
          <w:rFonts w:eastAsia="TimesNewRomanPSMT"/>
          <w:i/>
          <w:iCs/>
          <w:color w:val="000000"/>
          <w:sz w:val="22"/>
          <w:szCs w:val="22"/>
          <w:highlight w:val="magenta"/>
        </w:rPr>
        <w:t>J</w:t>
      </w:r>
      <w:r w:rsidRPr="00B95A08">
        <w:rPr>
          <w:rFonts w:eastAsia="TimesNewRomanPSMT"/>
          <w:color w:val="000000"/>
          <w:sz w:val="22"/>
          <w:szCs w:val="22"/>
          <w:highlight w:val="magenta"/>
        </w:rPr>
        <w:t xml:space="preserve">^ (≡ </w:t>
      </w:r>
      <w:r w:rsidRPr="00B95A08">
        <w:rPr>
          <w:rFonts w:eastAsia="TimesNewRomanPSMT"/>
          <w:i/>
          <w:iCs/>
          <w:color w:val="000000"/>
          <w:sz w:val="22"/>
          <w:szCs w:val="22"/>
          <w:highlight w:val="magenta"/>
        </w:rPr>
        <w:t>PGF</w:t>
      </w:r>
      <w:proofErr w:type="gramStart"/>
      <w:r w:rsidRPr="00B95A08">
        <w:rPr>
          <w:rFonts w:eastAsia="TimesNewRomanPSMT"/>
          <w:color w:val="000000"/>
          <w:sz w:val="22"/>
          <w:szCs w:val="22"/>
          <w:highlight w:val="magenta"/>
        </w:rPr>
        <w:t>^ )</w:t>
      </w:r>
      <w:proofErr w:type="gramEnd"/>
      <w:r w:rsidRPr="00B95A08">
        <w:rPr>
          <w:rFonts w:eastAsia="TimesNewRomanPSMT"/>
          <w:color w:val="000000"/>
          <w:sz w:val="22"/>
          <w:szCs w:val="22"/>
          <w:highlight w:val="magenta"/>
        </w:rPr>
        <w:t xml:space="preserve">. </w:t>
      </w:r>
    </w:p>
    <w:p w:rsidR="00C95962" w:rsidRPr="00B7392A" w:rsidRDefault="00C95962" w:rsidP="001C4A5D">
      <w:pPr>
        <w:rPr>
          <w:rFonts w:eastAsia="TimesNewRomanPSMT"/>
          <w:color w:val="000000"/>
          <w:sz w:val="22"/>
          <w:szCs w:val="22"/>
          <w:highlight w:val="magenta"/>
        </w:rPr>
      </w:pPr>
      <w:r w:rsidRPr="00B95A08">
        <w:rPr>
          <w:rFonts w:eastAsia="TimesNewRomanPSMT"/>
          <w:color w:val="000000"/>
          <w:sz w:val="22"/>
          <w:szCs w:val="22"/>
        </w:rPr>
        <w:t xml:space="preserve">Ainsi, en comparant avec (7), on voit que le taux de variation de la productivité globale des facteurs est donné par la dérivée logarithmique de </w:t>
      </w:r>
      <w:r w:rsidRPr="00B95A08">
        <w:rPr>
          <w:rFonts w:eastAsia="TimesNewRomanPSMT"/>
          <w:i/>
          <w:iCs/>
          <w:color w:val="000000"/>
          <w:sz w:val="22"/>
          <w:szCs w:val="22"/>
        </w:rPr>
        <w:t xml:space="preserve">B = a </w:t>
      </w:r>
      <w:r w:rsidRPr="00B95A08">
        <w:rPr>
          <w:rFonts w:eastAsia="TimesNewRomanPSMT"/>
          <w:color w:val="000000"/>
          <w:sz w:val="22"/>
          <w:szCs w:val="22"/>
        </w:rPr>
        <w:t>–</w:t>
      </w:r>
      <w:proofErr w:type="gramStart"/>
      <w:r w:rsidRPr="00B95A08">
        <w:rPr>
          <w:rFonts w:eastAsia="TimesNewRomanPSMT"/>
          <w:i/>
          <w:iCs/>
          <w:color w:val="000000"/>
          <w:sz w:val="22"/>
          <w:szCs w:val="22"/>
        </w:rPr>
        <w:t>a</w:t>
      </w:r>
      <w:r w:rsidRPr="00B95A08">
        <w:rPr>
          <w:rFonts w:eastAsia="TimesNewRomanPSMT"/>
          <w:color w:val="000000"/>
          <w:sz w:val="22"/>
          <w:szCs w:val="22"/>
        </w:rPr>
        <w:t>(</w:t>
      </w:r>
      <w:proofErr w:type="gramEnd"/>
      <w:r w:rsidRPr="00B95A08">
        <w:rPr>
          <w:rFonts w:eastAsia="TimesNewRomanPSMT"/>
          <w:color w:val="000000"/>
          <w:sz w:val="22"/>
          <w:szCs w:val="22"/>
        </w:rPr>
        <w:t xml:space="preserve">1– </w:t>
      </w:r>
      <w:r w:rsidRPr="00B95A08">
        <w:rPr>
          <w:rFonts w:eastAsia="TimesNewRomanPSMT"/>
          <w:i/>
          <w:iCs/>
          <w:color w:val="000000"/>
          <w:sz w:val="22"/>
          <w:szCs w:val="22"/>
        </w:rPr>
        <w:t>a</w:t>
      </w:r>
      <w:r w:rsidRPr="00B95A08">
        <w:rPr>
          <w:rFonts w:eastAsia="TimesNewRomanPSMT"/>
          <w:color w:val="000000"/>
          <w:sz w:val="22"/>
          <w:szCs w:val="22"/>
        </w:rPr>
        <w:t>)1 –</w:t>
      </w:r>
      <w:r w:rsidRPr="00B95A08">
        <w:rPr>
          <w:rFonts w:eastAsia="TimesNewRomanPSMT"/>
          <w:i/>
          <w:iCs/>
          <w:color w:val="000000"/>
          <w:sz w:val="22"/>
          <w:szCs w:val="22"/>
        </w:rPr>
        <w:t xml:space="preserve">a </w:t>
      </w:r>
      <w:proofErr w:type="spellStart"/>
      <w:r w:rsidRPr="00B95A08">
        <w:rPr>
          <w:rFonts w:eastAsia="TimesNewRomanPSMT"/>
          <w:i/>
          <w:iCs/>
          <w:color w:val="000000"/>
          <w:sz w:val="22"/>
          <w:szCs w:val="22"/>
        </w:rPr>
        <w:t>wa</w:t>
      </w:r>
      <w:proofErr w:type="spellEnd"/>
      <w:r w:rsidRPr="00B95A08">
        <w:rPr>
          <w:rFonts w:eastAsia="TimesNewRomanPSMT"/>
          <w:i/>
          <w:iCs/>
          <w:color w:val="000000"/>
          <w:sz w:val="22"/>
          <w:szCs w:val="22"/>
        </w:rPr>
        <w:t xml:space="preserve"> r</w:t>
      </w:r>
      <w:r w:rsidRPr="00B95A08">
        <w:rPr>
          <w:rFonts w:eastAsia="TimesNewRomanPSMT"/>
          <w:color w:val="000000"/>
          <w:sz w:val="22"/>
          <w:szCs w:val="22"/>
        </w:rPr>
        <w:t>1 –</w:t>
      </w:r>
      <w:r w:rsidRPr="00B95A08">
        <w:rPr>
          <w:rFonts w:eastAsia="TimesNewRomanPSMT"/>
          <w:i/>
          <w:iCs/>
          <w:color w:val="000000"/>
          <w:sz w:val="22"/>
          <w:szCs w:val="22"/>
        </w:rPr>
        <w:t xml:space="preserve">a </w:t>
      </w:r>
      <w:r w:rsidRPr="00B95A08">
        <w:rPr>
          <w:rFonts w:eastAsia="TimesNewRomanPSMT"/>
          <w:color w:val="000000"/>
          <w:sz w:val="22"/>
          <w:szCs w:val="22"/>
        </w:rPr>
        <w:t xml:space="preserve">, </w:t>
      </w:r>
      <w:r w:rsidRPr="00B7392A">
        <w:rPr>
          <w:rFonts w:eastAsia="TimesNewRomanPSMT"/>
          <w:color w:val="000000"/>
          <w:sz w:val="22"/>
          <w:szCs w:val="22"/>
          <w:highlight w:val="magenta"/>
        </w:rPr>
        <w:t>soit</w:t>
      </w:r>
      <w:r w:rsidRPr="00B95A08">
        <w:rPr>
          <w:rFonts w:eastAsia="TimesNewRomanPSMT"/>
          <w:color w:val="000000"/>
          <w:sz w:val="22"/>
          <w:szCs w:val="22"/>
        </w:rPr>
        <w:t xml:space="preserve">, puisqu’on suppose </w:t>
      </w:r>
      <w:r w:rsidRPr="00B95A08">
        <w:rPr>
          <w:rFonts w:eastAsia="TimesNewRomanPSMT"/>
          <w:i/>
          <w:iCs/>
          <w:color w:val="000000"/>
          <w:sz w:val="22"/>
          <w:szCs w:val="22"/>
        </w:rPr>
        <w:t xml:space="preserve">a </w:t>
      </w:r>
      <w:r w:rsidRPr="00B95A08">
        <w:rPr>
          <w:rFonts w:eastAsia="TimesNewRomanPSMT"/>
          <w:color w:val="000000"/>
          <w:sz w:val="22"/>
          <w:szCs w:val="22"/>
        </w:rPr>
        <w:t>constant :</w:t>
      </w:r>
      <w:r w:rsidRPr="00B7392A">
        <w:rPr>
          <w:rFonts w:eastAsia="TimesNewRomanPSMT"/>
          <w:color w:val="000000"/>
          <w:sz w:val="22"/>
          <w:szCs w:val="22"/>
        </w:rPr>
        <w:br/>
      </w:r>
      <w:r w:rsidRPr="00B7392A">
        <w:rPr>
          <w:rFonts w:eastAsia="TimesNewRomanPSMT"/>
          <w:i/>
          <w:iCs/>
          <w:color w:val="000000"/>
          <w:sz w:val="22"/>
          <w:szCs w:val="22"/>
          <w:highlight w:val="magenta"/>
        </w:rPr>
        <w:t>PGF</w:t>
      </w:r>
      <w:r w:rsidRPr="00B7392A">
        <w:rPr>
          <w:rFonts w:eastAsia="TimesNewRomanPSMT"/>
          <w:color w:val="000000"/>
          <w:sz w:val="22"/>
          <w:szCs w:val="22"/>
          <w:highlight w:val="magenta"/>
        </w:rPr>
        <w:t xml:space="preserve">^ = </w:t>
      </w:r>
      <w:proofErr w:type="spellStart"/>
      <w:r w:rsidRPr="00B7392A">
        <w:rPr>
          <w:rFonts w:eastAsia="TimesNewRomanPSMT"/>
          <w:i/>
          <w:iCs/>
          <w:color w:val="000000"/>
          <w:sz w:val="22"/>
          <w:szCs w:val="22"/>
          <w:highlight w:val="magenta"/>
        </w:rPr>
        <w:t>aw</w:t>
      </w:r>
      <w:proofErr w:type="spellEnd"/>
      <w:r w:rsidRPr="00B7392A">
        <w:rPr>
          <w:rFonts w:eastAsia="TimesNewRomanPSMT"/>
          <w:color w:val="000000"/>
          <w:sz w:val="22"/>
          <w:szCs w:val="22"/>
          <w:highlight w:val="magenta"/>
        </w:rPr>
        <w:t xml:space="preserve">^ + (1 – </w:t>
      </w:r>
      <w:r w:rsidRPr="00B7392A">
        <w:rPr>
          <w:rFonts w:eastAsia="TimesNewRomanPSMT"/>
          <w:i/>
          <w:iCs/>
          <w:color w:val="000000"/>
          <w:sz w:val="22"/>
          <w:szCs w:val="22"/>
          <w:highlight w:val="magenta"/>
        </w:rPr>
        <w:t>a</w:t>
      </w:r>
      <w:r w:rsidRPr="00B7392A">
        <w:rPr>
          <w:rFonts w:eastAsia="TimesNewRomanPSMT"/>
          <w:color w:val="000000"/>
          <w:sz w:val="22"/>
          <w:szCs w:val="22"/>
          <w:highlight w:val="magenta"/>
        </w:rPr>
        <w:t xml:space="preserve">) </w:t>
      </w:r>
      <w:r w:rsidRPr="00B7392A">
        <w:rPr>
          <w:rFonts w:eastAsia="TimesNewRomanPSMT"/>
          <w:i/>
          <w:iCs/>
          <w:color w:val="000000"/>
          <w:sz w:val="22"/>
          <w:szCs w:val="22"/>
          <w:highlight w:val="magenta"/>
        </w:rPr>
        <w:t>r</w:t>
      </w:r>
      <w:r w:rsidRPr="00B7392A">
        <w:rPr>
          <w:rFonts w:eastAsia="TimesNewRomanPSMT"/>
          <w:color w:val="000000"/>
          <w:sz w:val="22"/>
          <w:szCs w:val="22"/>
          <w:highlight w:val="magenta"/>
        </w:rPr>
        <w:t>^ .</w:t>
      </w:r>
    </w:p>
    <w:p w:rsidR="00B7392A" w:rsidRPr="00B7392A" w:rsidRDefault="00B7392A" w:rsidP="001C4A5D">
      <w:pPr>
        <w:rPr>
          <w:rFonts w:eastAsia="TimesNewRomanPSMT"/>
          <w:color w:val="000000"/>
          <w:sz w:val="22"/>
          <w:szCs w:val="22"/>
          <w:highlight w:val="magenta"/>
        </w:rPr>
      </w:pPr>
      <w:r w:rsidRPr="00B7392A">
        <w:rPr>
          <w:color w:val="000000"/>
          <w:sz w:val="22"/>
          <w:szCs w:val="22"/>
        </w:rPr>
        <w:t xml:space="preserve">Comme le disent Felipe et </w:t>
      </w:r>
      <w:proofErr w:type="spellStart"/>
      <w:r w:rsidRPr="00B7392A">
        <w:rPr>
          <w:color w:val="000000"/>
          <w:sz w:val="22"/>
          <w:szCs w:val="22"/>
        </w:rPr>
        <w:t>McCombie</w:t>
      </w:r>
      <w:proofErr w:type="spellEnd"/>
      <w:r w:rsidRPr="00B7392A">
        <w:rPr>
          <w:color w:val="000000"/>
          <w:sz w:val="22"/>
          <w:szCs w:val="22"/>
        </w:rPr>
        <w:t xml:space="preserve"> : « ce que la théorie néoclassique appelle “productivité globale des facteurs” est, </w:t>
      </w:r>
      <w:r w:rsidRPr="00B7392A">
        <w:rPr>
          <w:i/>
          <w:iCs/>
          <w:color w:val="000000"/>
          <w:sz w:val="22"/>
          <w:szCs w:val="22"/>
        </w:rPr>
        <w:t>tautologiquement</w:t>
      </w:r>
      <w:r w:rsidRPr="00B7392A">
        <w:rPr>
          <w:color w:val="000000"/>
          <w:sz w:val="22"/>
          <w:szCs w:val="22"/>
        </w:rPr>
        <w:t xml:space="preserve">, une fonction des salaires et des taux de profit » (p. 209, leurs italiques), ce qui n’explique rien – notamment quand on compare des pays entre eux. De toutes façons, « dans la mesure où il n’existe pas de fonction de production sous-jacente, il n’est pas possible de calculer séparément la contribution à la croissance du progrès technique (croissance de la </w:t>
      </w:r>
      <w:r w:rsidRPr="00B7392A">
        <w:rPr>
          <w:i/>
          <w:iCs/>
          <w:color w:val="000000"/>
          <w:sz w:val="22"/>
          <w:szCs w:val="22"/>
        </w:rPr>
        <w:t>PGF</w:t>
      </w:r>
      <w:r w:rsidRPr="00B7392A">
        <w:rPr>
          <w:color w:val="000000"/>
          <w:sz w:val="22"/>
          <w:szCs w:val="22"/>
        </w:rPr>
        <w:t>) et la croissance de chaque facteur » (</w:t>
      </w:r>
      <w:proofErr w:type="spellStart"/>
      <w:r w:rsidRPr="00B7392A">
        <w:rPr>
          <w:i/>
          <w:iCs/>
          <w:color w:val="000000"/>
          <w:sz w:val="22"/>
          <w:szCs w:val="22"/>
        </w:rPr>
        <w:t>ibid</w:t>
      </w:r>
      <w:proofErr w:type="spellEnd"/>
      <w:r w:rsidRPr="00B7392A">
        <w:rPr>
          <w:color w:val="000000"/>
          <w:sz w:val="22"/>
          <w:szCs w:val="22"/>
        </w:rPr>
        <w:t xml:space="preserve">) 18. Il est évidemment toujours possible de calculer des termes tels que celui donné par la formule (7), tout en sachant qu’il découle d’une identité comptable et non de relations qui traduiraient l’évolution technique de l’économie. </w:t>
      </w:r>
      <w:r w:rsidRPr="001B5A99">
        <w:rPr>
          <w:color w:val="000000"/>
          <w:sz w:val="22"/>
          <w:szCs w:val="22"/>
          <w:highlight w:val="magenta"/>
        </w:rPr>
        <w:t>Reste à les interpréter, alors qu’ils ont été débarrassés de leur gangue idéologique</w:t>
      </w:r>
      <w:r w:rsidRPr="00B7392A">
        <w:rPr>
          <w:color w:val="000000"/>
          <w:sz w:val="22"/>
          <w:szCs w:val="22"/>
        </w:rPr>
        <w:t xml:space="preserve"> (la théorie marginaliste de la répartition).</w:t>
      </w:r>
    </w:p>
    <w:p w:rsidR="00BA2C5A" w:rsidRPr="00B95A08" w:rsidRDefault="00BA2C5A" w:rsidP="001C4A5D">
      <w:pPr>
        <w:rPr>
          <w:color w:val="000000"/>
        </w:rPr>
      </w:pPr>
    </w:p>
    <w:p w:rsidR="00BA2C5A" w:rsidRPr="00B95A08" w:rsidRDefault="00BA2C5A" w:rsidP="001C4A5D">
      <w:pPr>
        <w:rPr>
          <w:lang w:val="en-US"/>
        </w:rPr>
      </w:pPr>
      <w:r w:rsidRPr="00B95A08">
        <w:rPr>
          <w:lang w:val="en-US"/>
        </w:rPr>
        <w:t xml:space="preserve">"In practice", </w:t>
      </w:r>
      <w:r w:rsidRPr="00B95A08">
        <w:rPr>
          <w:lang w:val="en-US"/>
        </w:rPr>
        <w:t>we</w:t>
      </w:r>
      <w:r w:rsidRPr="00B95A08">
        <w:rPr>
          <w:lang w:val="en-US"/>
        </w:rPr>
        <w:t xml:space="preserve"> </w:t>
      </w:r>
      <w:r w:rsidRPr="00B95A08">
        <w:rPr>
          <w:lang w:val="en-US"/>
        </w:rPr>
        <w:t>resort</w:t>
      </w:r>
      <w:r w:rsidRPr="00B95A08">
        <w:rPr>
          <w:lang w:val="en-US"/>
        </w:rPr>
        <w:t xml:space="preserve"> to </w:t>
      </w:r>
      <w:r w:rsidRPr="00B95A08">
        <w:rPr>
          <w:highlight w:val="magenta"/>
          <w:lang w:val="en-US"/>
        </w:rPr>
        <w:t>variables in value</w:t>
      </w:r>
      <w:r w:rsidRPr="00B95A08">
        <w:rPr>
          <w:lang w:val="en-US"/>
        </w:rPr>
        <w:t xml:space="preserve"> and we prefer to talk about "total factor productivity" (</w:t>
      </w:r>
      <w:r w:rsidRPr="00B95A08">
        <w:rPr>
          <w:lang w:val="en-US"/>
        </w:rPr>
        <w:t>TFG</w:t>
      </w:r>
      <w:r w:rsidRPr="00B95A08">
        <w:rPr>
          <w:lang w:val="en-US"/>
        </w:rPr>
        <w:t xml:space="preserve">). By analogy with (6), by replacing </w:t>
      </w:r>
      <w:r w:rsidRPr="00B95A08">
        <w:rPr>
          <w:i/>
          <w:lang w:val="en-US"/>
        </w:rPr>
        <w:t xml:space="preserve">Q </w:t>
      </w:r>
      <w:r w:rsidRPr="00B95A08">
        <w:rPr>
          <w:lang w:val="en-US"/>
        </w:rPr>
        <w:t>with</w:t>
      </w:r>
      <w:r w:rsidRPr="00B95A08">
        <w:rPr>
          <w:lang w:val="en-US"/>
        </w:rPr>
        <w:t xml:space="preserve"> </w:t>
      </w:r>
      <w:r w:rsidRPr="00B95A08">
        <w:rPr>
          <w:i/>
          <w:lang w:val="en-US"/>
        </w:rPr>
        <w:t>V</w:t>
      </w:r>
      <w:r w:rsidRPr="00B95A08">
        <w:rPr>
          <w:lang w:val="en-US"/>
        </w:rPr>
        <w:t xml:space="preserve"> and </w:t>
      </w:r>
      <w:r w:rsidRPr="00B95A08">
        <w:rPr>
          <w:i/>
          <w:lang w:val="en-US"/>
        </w:rPr>
        <w:t>K</w:t>
      </w:r>
      <w:r w:rsidRPr="00B95A08">
        <w:rPr>
          <w:lang w:val="en-US"/>
        </w:rPr>
        <w:t xml:space="preserve"> </w:t>
      </w:r>
      <w:r w:rsidRPr="00B95A08">
        <w:rPr>
          <w:lang w:val="en-US"/>
        </w:rPr>
        <w:t>with</w:t>
      </w:r>
      <w:r w:rsidRPr="00B95A08">
        <w:rPr>
          <w:lang w:val="en-US"/>
        </w:rPr>
        <w:t xml:space="preserve"> </w:t>
      </w:r>
      <w:r w:rsidRPr="00B95A08">
        <w:rPr>
          <w:i/>
          <w:lang w:val="en-US"/>
        </w:rPr>
        <w:t>J</w:t>
      </w:r>
      <w:r w:rsidRPr="00B95A08">
        <w:rPr>
          <w:lang w:val="en-US"/>
        </w:rPr>
        <w:t xml:space="preserve">, </w:t>
      </w:r>
      <w:r w:rsidR="0029735E" w:rsidRPr="00B95A08">
        <w:rPr>
          <w:lang w:val="en-US"/>
        </w:rPr>
        <w:t>we obtain</w:t>
      </w:r>
      <w:r w:rsidRPr="00B95A08">
        <w:rPr>
          <w:lang w:val="en-US"/>
        </w:rPr>
        <w:t xml:space="preserve"> the equivalent in value of </w:t>
      </w:r>
      <w:r w:rsidRPr="00B95A08">
        <w:t>φ</w:t>
      </w:r>
      <w:r w:rsidRPr="00B95A08">
        <w:rPr>
          <w:lang w:val="en-US"/>
        </w:rPr>
        <w:t>:</w:t>
      </w:r>
    </w:p>
    <w:p w:rsidR="00B82892" w:rsidRPr="00B95A08" w:rsidRDefault="00B82892" w:rsidP="00B82892">
      <w:pPr>
        <w:rPr>
          <w:color w:val="000000"/>
        </w:rPr>
      </w:pPr>
      <w:r w:rsidRPr="00B95A08">
        <w:rPr>
          <w:color w:val="000000"/>
          <w:highlight w:val="magenta"/>
        </w:rPr>
        <w:t xml:space="preserve">(7) </w:t>
      </w:r>
      <w:r w:rsidRPr="00B95A08">
        <w:rPr>
          <w:i/>
          <w:iCs/>
          <w:color w:val="000000"/>
          <w:highlight w:val="magenta"/>
        </w:rPr>
        <w:t>PGF</w:t>
      </w:r>
      <w:r w:rsidRPr="00B95A08">
        <w:rPr>
          <w:color w:val="000000"/>
          <w:highlight w:val="magenta"/>
        </w:rPr>
        <w:t xml:space="preserve">^ = </w:t>
      </w:r>
      <w:r w:rsidRPr="00B95A08">
        <w:rPr>
          <w:i/>
          <w:iCs/>
          <w:color w:val="000000"/>
          <w:highlight w:val="magenta"/>
        </w:rPr>
        <w:t>V</w:t>
      </w:r>
      <w:r w:rsidRPr="00B95A08">
        <w:rPr>
          <w:color w:val="000000"/>
          <w:highlight w:val="magenta"/>
        </w:rPr>
        <w:t xml:space="preserve">^ – </w:t>
      </w:r>
      <w:proofErr w:type="spellStart"/>
      <w:r w:rsidRPr="00B95A08">
        <w:rPr>
          <w:i/>
          <w:iCs/>
          <w:color w:val="000000"/>
          <w:highlight w:val="magenta"/>
        </w:rPr>
        <w:t>aL</w:t>
      </w:r>
      <w:proofErr w:type="spellEnd"/>
      <w:r w:rsidRPr="00B95A08">
        <w:rPr>
          <w:color w:val="000000"/>
          <w:highlight w:val="magenta"/>
        </w:rPr>
        <w:t xml:space="preserve">^ – (1 – </w:t>
      </w:r>
      <w:r w:rsidRPr="00B95A08">
        <w:rPr>
          <w:i/>
          <w:iCs/>
          <w:color w:val="000000"/>
          <w:highlight w:val="magenta"/>
        </w:rPr>
        <w:t>a</w:t>
      </w:r>
      <w:r w:rsidRPr="00B95A08">
        <w:rPr>
          <w:color w:val="000000"/>
          <w:highlight w:val="magenta"/>
        </w:rPr>
        <w:t xml:space="preserve">) </w:t>
      </w:r>
      <w:r w:rsidRPr="00B95A08">
        <w:rPr>
          <w:i/>
          <w:iCs/>
          <w:color w:val="000000"/>
          <w:highlight w:val="magenta"/>
        </w:rPr>
        <w:t>J</w:t>
      </w:r>
      <w:proofErr w:type="gramStart"/>
      <w:r w:rsidRPr="00B95A08">
        <w:rPr>
          <w:color w:val="000000"/>
          <w:highlight w:val="magenta"/>
        </w:rPr>
        <w:t>^ .</w:t>
      </w:r>
      <w:proofErr w:type="gramEnd"/>
      <w:r w:rsidRPr="00B95A08">
        <w:rPr>
          <w:color w:val="000000"/>
        </w:rPr>
        <w:t xml:space="preserve"> </w:t>
      </w:r>
    </w:p>
    <w:p w:rsidR="00B82892" w:rsidRPr="00B95A08" w:rsidRDefault="00B82892" w:rsidP="00B82892">
      <w:pPr>
        <w:rPr>
          <w:lang w:val="en-US"/>
        </w:rPr>
      </w:pPr>
      <w:r w:rsidRPr="00B95A08">
        <w:rPr>
          <w:lang w:val="en-US"/>
        </w:rPr>
        <w:t xml:space="preserve">Although the formulae (6) and (7) are very similar, they may lead to drastically different results. To </w:t>
      </w:r>
      <w:r w:rsidRPr="00B95A08">
        <w:rPr>
          <w:lang w:val="en-US"/>
        </w:rPr>
        <w:t>see</w:t>
      </w:r>
      <w:r w:rsidRPr="00B95A08">
        <w:rPr>
          <w:lang w:val="en-US"/>
        </w:rPr>
        <w:t xml:space="preserve"> this, it is sufficient to resume the simulation described above: the</w:t>
      </w:r>
      <w:r w:rsidRPr="00B95A08">
        <w:rPr>
          <w:lang w:val="en-US"/>
        </w:rPr>
        <w:t xml:space="preserve"> </w:t>
      </w:r>
      <w:r w:rsidRPr="00B95A08">
        <w:rPr>
          <w:lang w:val="en-US"/>
        </w:rPr>
        <w:t>"real</w:t>
      </w:r>
      <w:proofErr w:type="gramStart"/>
      <w:r w:rsidRPr="00B95A08">
        <w:rPr>
          <w:lang w:val="en-US"/>
        </w:rPr>
        <w:t>"  effect</w:t>
      </w:r>
      <w:proofErr w:type="gramEnd"/>
      <w:r w:rsidRPr="00B95A08">
        <w:rPr>
          <w:lang w:val="en-US"/>
        </w:rPr>
        <w:t xml:space="preserve"> of the technical progress </w:t>
      </w:r>
      <w:r w:rsidRPr="00B95A08">
        <w:rPr>
          <w:i/>
        </w:rPr>
        <w:t>φ</w:t>
      </w:r>
      <w:r w:rsidRPr="00B95A08">
        <w:rPr>
          <w:lang w:val="en-US"/>
        </w:rPr>
        <w:t xml:space="preserve"> y is given by the formula (6) with </w:t>
      </w:r>
      <w:r w:rsidRPr="00B95A08">
        <w:t>α</w:t>
      </w:r>
      <w:r w:rsidRPr="00B95A08">
        <w:rPr>
          <w:lang w:val="en-US"/>
        </w:rPr>
        <w:t xml:space="preserve"> = 0.25 (remember that it has been assumed that all </w:t>
      </w:r>
      <w:r w:rsidR="00E36E0A" w:rsidRPr="00B95A08">
        <w:rPr>
          <w:lang w:val="en-US"/>
        </w:rPr>
        <w:t>companies</w:t>
      </w:r>
      <w:r w:rsidRPr="00B95A08">
        <w:rPr>
          <w:lang w:val="en-US"/>
        </w:rPr>
        <w:t xml:space="preserve"> have the same production function) but its "observed" </w:t>
      </w:r>
      <w:r w:rsidR="005C1A84" w:rsidRPr="00B95A08">
        <w:rPr>
          <w:lang w:val="en-US"/>
        </w:rPr>
        <w:t xml:space="preserve">value </w:t>
      </w:r>
      <w:r w:rsidRPr="00B95A08">
        <w:rPr>
          <w:lang w:val="en-US"/>
        </w:rPr>
        <w:t xml:space="preserve">is given by the formula (7) or, because of the price rule adopted (cost in work + margin), it was </w:t>
      </w:r>
      <w:r w:rsidRPr="00B95A08">
        <w:rPr>
          <w:i/>
          <w:lang w:val="en-US"/>
        </w:rPr>
        <w:t xml:space="preserve">a </w:t>
      </w:r>
      <w:r w:rsidRPr="00B95A08">
        <w:rPr>
          <w:lang w:val="en-US"/>
        </w:rPr>
        <w:t xml:space="preserve">= 0.75 . The variable </w:t>
      </w:r>
      <w:r w:rsidR="005C1A84" w:rsidRPr="00B95A08">
        <w:rPr>
          <w:i/>
          <w:lang w:val="en-US"/>
        </w:rPr>
        <w:t>TFG</w:t>
      </w:r>
      <w:r w:rsidRPr="00B95A08">
        <w:rPr>
          <w:lang w:val="en-US"/>
        </w:rPr>
        <w:t xml:space="preserve">^ </w:t>
      </w:r>
      <w:r w:rsidR="005C1A84" w:rsidRPr="00B95A08">
        <w:rPr>
          <w:lang w:val="en-US"/>
        </w:rPr>
        <w:t>therefore</w:t>
      </w:r>
      <w:r w:rsidRPr="00B95A08">
        <w:rPr>
          <w:lang w:val="en-US"/>
        </w:rPr>
        <w:t xml:space="preserve"> gives a wholly erroneous estimate of the "true value" </w:t>
      </w:r>
      <w:r w:rsidRPr="00B95A08">
        <w:t>φ</w:t>
      </w:r>
      <w:r w:rsidRPr="00B95A08">
        <w:rPr>
          <w:lang w:val="en-US"/>
        </w:rPr>
        <w:t xml:space="preserve"> 17.</w:t>
      </w:r>
    </w:p>
    <w:p w:rsidR="00B95A08" w:rsidRPr="00B95A08" w:rsidRDefault="00B95A08" w:rsidP="00B82892">
      <w:pPr>
        <w:rPr>
          <w:color w:val="000000"/>
          <w:lang w:val="en-US"/>
        </w:rPr>
      </w:pPr>
      <w:r w:rsidRPr="00B95A08">
        <w:rPr>
          <w:lang w:val="en-US"/>
        </w:rPr>
        <w:t>In the case where it is assumed that the s</w:t>
      </w:r>
      <w:r w:rsidRPr="00B95A08">
        <w:rPr>
          <w:lang w:val="en-US"/>
        </w:rPr>
        <w:t>hare of "factors" is constant (</w:t>
      </w:r>
      <w:r w:rsidRPr="00B95A08">
        <w:rPr>
          <w:lang w:val="en-US"/>
        </w:rPr>
        <w:t>"stylized fact</w:t>
      </w:r>
      <w:proofErr w:type="gramStart"/>
      <w:r w:rsidRPr="00B95A08">
        <w:rPr>
          <w:lang w:val="en-US"/>
        </w:rPr>
        <w:t>" )</w:t>
      </w:r>
      <w:proofErr w:type="gramEnd"/>
      <w:r w:rsidRPr="00B95A08">
        <w:rPr>
          <w:lang w:val="en-US"/>
        </w:rPr>
        <w:t xml:space="preserve">, if we refer back to the identity (5), </w:t>
      </w:r>
      <w:r w:rsidRPr="00B95A08">
        <w:rPr>
          <w:i/>
          <w:lang w:val="en-US"/>
        </w:rPr>
        <w:t>V ≡ Bl</w:t>
      </w:r>
      <w:r w:rsidRPr="00B95A08">
        <w:rPr>
          <w:i/>
          <w:vertAlign w:val="superscript"/>
          <w:lang w:val="en-US"/>
        </w:rPr>
        <w:t>a</w:t>
      </w:r>
      <w:r w:rsidRPr="00B95A08">
        <w:rPr>
          <w:i/>
          <w:lang w:val="en-US"/>
        </w:rPr>
        <w:t>j</w:t>
      </w:r>
      <w:r w:rsidRPr="00B95A08">
        <w:rPr>
          <w:i/>
          <w:vertAlign w:val="superscript"/>
          <w:lang w:val="en-US"/>
        </w:rPr>
        <w:t>1 -a</w:t>
      </w:r>
      <w:r w:rsidRPr="00B95A08">
        <w:rPr>
          <w:lang w:val="en-US"/>
        </w:rPr>
        <w:t xml:space="preserve">, </w:t>
      </w:r>
      <w:r w:rsidRPr="00B95A08">
        <w:rPr>
          <w:lang w:val="en-US"/>
        </w:rPr>
        <w:t>proceeding</w:t>
      </w:r>
      <w:r w:rsidRPr="00B95A08">
        <w:rPr>
          <w:lang w:val="en-US"/>
        </w:rPr>
        <w:t xml:space="preserve"> as </w:t>
      </w:r>
      <w:r w:rsidRPr="00B95A08">
        <w:rPr>
          <w:lang w:val="en-US"/>
        </w:rPr>
        <w:t xml:space="preserve">done </w:t>
      </w:r>
      <w:r w:rsidRPr="00B95A08">
        <w:rPr>
          <w:lang w:val="en-US"/>
        </w:rPr>
        <w:t xml:space="preserve">for (6) and (7) - </w:t>
      </w:r>
      <w:r w:rsidRPr="00B95A08">
        <w:rPr>
          <w:highlight w:val="magenta"/>
          <w:lang w:val="en-US"/>
        </w:rPr>
        <w:t>passing</w:t>
      </w:r>
      <w:r w:rsidRPr="00B95A08">
        <w:rPr>
          <w:highlight w:val="magenta"/>
          <w:lang w:val="en-US"/>
        </w:rPr>
        <w:t xml:space="preserve"> to logarithms and then </w:t>
      </w:r>
      <w:r w:rsidRPr="00B95A08">
        <w:rPr>
          <w:highlight w:val="magenta"/>
          <w:lang w:val="en-US"/>
        </w:rPr>
        <w:t>derivation</w:t>
      </w:r>
      <w:r w:rsidRPr="00B95A08">
        <w:rPr>
          <w:highlight w:val="magenta"/>
          <w:lang w:val="en-US"/>
        </w:rPr>
        <w:t xml:space="preserve"> </w:t>
      </w:r>
      <w:r w:rsidRPr="00B95A08">
        <w:rPr>
          <w:lang w:val="en-US"/>
        </w:rPr>
        <w:t>- we obtain:</w:t>
      </w:r>
    </w:p>
    <w:p w:rsidR="00B95A08" w:rsidRPr="00B95A08" w:rsidRDefault="00B95A08" w:rsidP="00B95A08">
      <w:pPr>
        <w:rPr>
          <w:rFonts w:eastAsia="TimesNewRomanPSMT"/>
          <w:color w:val="000000"/>
          <w:highlight w:val="magenta"/>
        </w:rPr>
      </w:pPr>
      <w:r w:rsidRPr="00B95A08">
        <w:rPr>
          <w:color w:val="000000"/>
          <w:highlight w:val="magenta"/>
        </w:rPr>
        <w:t>^</w:t>
      </w:r>
      <w:r w:rsidRPr="00B95A08">
        <w:rPr>
          <w:i/>
          <w:iCs/>
          <w:color w:val="000000"/>
          <w:highlight w:val="magenta"/>
        </w:rPr>
        <w:t xml:space="preserve">V </w:t>
      </w:r>
      <w:r w:rsidRPr="00B95A08">
        <w:rPr>
          <w:rFonts w:eastAsia="TimesNewRomanPSMT"/>
          <w:color w:val="000000"/>
          <w:highlight w:val="magenta"/>
        </w:rPr>
        <w:t xml:space="preserve">≡ </w:t>
      </w:r>
      <w:r w:rsidRPr="00B95A08">
        <w:rPr>
          <w:rFonts w:eastAsia="TimesNewRomanPSMT"/>
          <w:i/>
          <w:iCs/>
          <w:color w:val="000000"/>
          <w:highlight w:val="magenta"/>
        </w:rPr>
        <w:t>B</w:t>
      </w:r>
      <w:r w:rsidRPr="00B95A08">
        <w:rPr>
          <w:rFonts w:eastAsia="TimesNewRomanPSMT"/>
          <w:color w:val="000000"/>
          <w:highlight w:val="magenta"/>
        </w:rPr>
        <w:t xml:space="preserve">^ + </w:t>
      </w:r>
      <w:proofErr w:type="spellStart"/>
      <w:r w:rsidRPr="00B95A08">
        <w:rPr>
          <w:rFonts w:eastAsia="TimesNewRomanPSMT"/>
          <w:i/>
          <w:iCs/>
          <w:color w:val="000000"/>
          <w:highlight w:val="magenta"/>
        </w:rPr>
        <w:t>aL</w:t>
      </w:r>
      <w:proofErr w:type="spellEnd"/>
      <w:r w:rsidRPr="00B95A08">
        <w:rPr>
          <w:rFonts w:eastAsia="TimesNewRomanPSMT"/>
          <w:color w:val="000000"/>
          <w:highlight w:val="magenta"/>
        </w:rPr>
        <w:t xml:space="preserve">^ + (1 – </w:t>
      </w:r>
      <w:r w:rsidRPr="00B95A08">
        <w:rPr>
          <w:rFonts w:eastAsia="TimesNewRomanPSMT"/>
          <w:i/>
          <w:iCs/>
          <w:color w:val="000000"/>
          <w:highlight w:val="magenta"/>
        </w:rPr>
        <w:t>a</w:t>
      </w:r>
      <w:r w:rsidRPr="00B95A08">
        <w:rPr>
          <w:rFonts w:eastAsia="TimesNewRomanPSMT"/>
          <w:color w:val="000000"/>
          <w:highlight w:val="magenta"/>
        </w:rPr>
        <w:t xml:space="preserve">) </w:t>
      </w:r>
      <w:r w:rsidRPr="00B95A08">
        <w:rPr>
          <w:rFonts w:eastAsia="TimesNewRomanPSMT"/>
          <w:i/>
          <w:iCs/>
          <w:color w:val="000000"/>
          <w:highlight w:val="magenta"/>
        </w:rPr>
        <w:t>J</w:t>
      </w:r>
      <w:r w:rsidRPr="00B95A08">
        <w:rPr>
          <w:rFonts w:eastAsia="TimesNewRomanPSMT"/>
          <w:color w:val="000000"/>
          <w:highlight w:val="magenta"/>
        </w:rPr>
        <w:t xml:space="preserve">^ </w:t>
      </w:r>
    </w:p>
    <w:p w:rsidR="00B95A08" w:rsidRPr="00B95A08" w:rsidRDefault="00B95A08" w:rsidP="00B95A08">
      <w:pPr>
        <w:rPr>
          <w:rFonts w:eastAsia="TimesNewRomanPSMT"/>
          <w:color w:val="000000"/>
          <w:lang w:val="en-US"/>
        </w:rPr>
      </w:pPr>
      <w:r w:rsidRPr="00B95A08">
        <w:rPr>
          <w:rFonts w:eastAsia="TimesNewRomanPSMT"/>
          <w:color w:val="000000"/>
          <w:lang w:val="en-US"/>
        </w:rPr>
        <w:t xml:space="preserve">And </w:t>
      </w:r>
      <w:proofErr w:type="gramStart"/>
      <w:r w:rsidRPr="00B95A08">
        <w:rPr>
          <w:rFonts w:eastAsia="TimesNewRomanPSMT"/>
          <w:color w:val="000000"/>
          <w:lang w:val="en-US"/>
        </w:rPr>
        <w:t>therefore :</w:t>
      </w:r>
      <w:proofErr w:type="gramEnd"/>
    </w:p>
    <w:p w:rsidR="00B95A08" w:rsidRPr="00B95A08" w:rsidRDefault="00B95A08" w:rsidP="00B95A08">
      <w:pPr>
        <w:rPr>
          <w:rFonts w:eastAsia="TimesNewRomanPSMT"/>
          <w:color w:val="000000"/>
          <w:highlight w:val="magenta"/>
          <w:lang w:val="en-US"/>
        </w:rPr>
      </w:pPr>
      <w:r w:rsidRPr="00B95A08">
        <w:rPr>
          <w:rFonts w:eastAsia="TimesNewRomanPSMT"/>
          <w:color w:val="000000"/>
          <w:highlight w:val="magenta"/>
          <w:lang w:val="en-US"/>
        </w:rPr>
        <w:t xml:space="preserve">(8) </w:t>
      </w:r>
      <w:r w:rsidRPr="00B95A08">
        <w:rPr>
          <w:rFonts w:eastAsia="TimesNewRomanPSMT"/>
          <w:i/>
          <w:iCs/>
          <w:color w:val="000000"/>
          <w:highlight w:val="magenta"/>
          <w:lang w:val="en-US"/>
        </w:rPr>
        <w:t>B</w:t>
      </w:r>
      <w:r w:rsidRPr="00B95A08">
        <w:rPr>
          <w:rFonts w:eastAsia="TimesNewRomanPSMT"/>
          <w:color w:val="000000"/>
          <w:highlight w:val="magenta"/>
          <w:lang w:val="en-US"/>
        </w:rPr>
        <w:t xml:space="preserve">^ ≡ </w:t>
      </w:r>
      <w:r w:rsidRPr="00B95A08">
        <w:rPr>
          <w:rFonts w:eastAsia="TimesNewRomanPSMT"/>
          <w:i/>
          <w:iCs/>
          <w:color w:val="000000"/>
          <w:highlight w:val="magenta"/>
          <w:lang w:val="en-US"/>
        </w:rPr>
        <w:t>V</w:t>
      </w:r>
      <w:r w:rsidRPr="00B95A08">
        <w:rPr>
          <w:rFonts w:eastAsia="TimesNewRomanPSMT"/>
          <w:color w:val="000000"/>
          <w:highlight w:val="magenta"/>
          <w:lang w:val="en-US"/>
        </w:rPr>
        <w:t xml:space="preserve">^ – </w:t>
      </w:r>
      <w:proofErr w:type="spellStart"/>
      <w:r w:rsidRPr="00B95A08">
        <w:rPr>
          <w:rFonts w:eastAsia="TimesNewRomanPSMT"/>
          <w:i/>
          <w:iCs/>
          <w:color w:val="000000"/>
          <w:highlight w:val="magenta"/>
          <w:lang w:val="en-US"/>
        </w:rPr>
        <w:t>aL</w:t>
      </w:r>
      <w:proofErr w:type="spellEnd"/>
      <w:r w:rsidRPr="00B95A08">
        <w:rPr>
          <w:rFonts w:eastAsia="TimesNewRomanPSMT"/>
          <w:color w:val="000000"/>
          <w:highlight w:val="magenta"/>
          <w:lang w:val="en-US"/>
        </w:rPr>
        <w:t xml:space="preserve">^ – (1 – </w:t>
      </w:r>
      <w:r w:rsidRPr="00B95A08">
        <w:rPr>
          <w:rFonts w:eastAsia="TimesNewRomanPSMT"/>
          <w:i/>
          <w:iCs/>
          <w:color w:val="000000"/>
          <w:highlight w:val="magenta"/>
          <w:lang w:val="en-US"/>
        </w:rPr>
        <w:t>a</w:t>
      </w:r>
      <w:r w:rsidRPr="00B95A08">
        <w:rPr>
          <w:rFonts w:eastAsia="TimesNewRomanPSMT"/>
          <w:color w:val="000000"/>
          <w:highlight w:val="magenta"/>
          <w:lang w:val="en-US"/>
        </w:rPr>
        <w:t xml:space="preserve">) </w:t>
      </w:r>
      <w:r w:rsidRPr="00B95A08">
        <w:rPr>
          <w:rFonts w:eastAsia="TimesNewRomanPSMT"/>
          <w:i/>
          <w:iCs/>
          <w:color w:val="000000"/>
          <w:highlight w:val="magenta"/>
          <w:lang w:val="en-US"/>
        </w:rPr>
        <w:t>J</w:t>
      </w:r>
      <w:r w:rsidRPr="00B95A08">
        <w:rPr>
          <w:rFonts w:eastAsia="TimesNewRomanPSMT"/>
          <w:color w:val="000000"/>
          <w:highlight w:val="magenta"/>
          <w:lang w:val="en-US"/>
        </w:rPr>
        <w:t xml:space="preserve">^ (≡ </w:t>
      </w:r>
      <w:r w:rsidRPr="00B95A08">
        <w:rPr>
          <w:rFonts w:eastAsia="TimesNewRomanPSMT"/>
          <w:i/>
          <w:iCs/>
          <w:color w:val="000000"/>
          <w:sz w:val="26"/>
          <w:szCs w:val="26"/>
          <w:highlight w:val="magenta"/>
          <w:lang w:val="en-US"/>
        </w:rPr>
        <w:t>PGF</w:t>
      </w:r>
      <w:proofErr w:type="gramStart"/>
      <w:r w:rsidRPr="00B95A08">
        <w:rPr>
          <w:rFonts w:eastAsia="TimesNewRomanPSMT"/>
          <w:color w:val="000000"/>
          <w:highlight w:val="magenta"/>
          <w:lang w:val="en-US"/>
        </w:rPr>
        <w:t>^ )</w:t>
      </w:r>
      <w:proofErr w:type="gramEnd"/>
      <w:r w:rsidRPr="00B95A08">
        <w:rPr>
          <w:rFonts w:eastAsia="TimesNewRomanPSMT"/>
          <w:color w:val="000000"/>
          <w:highlight w:val="magenta"/>
          <w:lang w:val="en-US"/>
        </w:rPr>
        <w:t xml:space="preserve">. </w:t>
      </w:r>
    </w:p>
    <w:p w:rsidR="00B82892" w:rsidRPr="00B7392A" w:rsidRDefault="00B95A08" w:rsidP="001C4A5D">
      <w:pPr>
        <w:rPr>
          <w:lang w:val="en-US"/>
        </w:rPr>
      </w:pPr>
      <w:r>
        <w:rPr>
          <w:lang w:val="en-US"/>
        </w:rPr>
        <w:t>Therefore</w:t>
      </w:r>
      <w:r w:rsidRPr="00B95A08">
        <w:rPr>
          <w:lang w:val="en-US"/>
        </w:rPr>
        <w:t xml:space="preserve">, comparing </w:t>
      </w:r>
      <w:r w:rsidR="00B7392A">
        <w:rPr>
          <w:lang w:val="en-US"/>
        </w:rPr>
        <w:t xml:space="preserve">that </w:t>
      </w:r>
      <w:r w:rsidRPr="00B95A08">
        <w:rPr>
          <w:lang w:val="en-US"/>
        </w:rPr>
        <w:t xml:space="preserve">with (7), we see that the rate of change of the </w:t>
      </w:r>
      <w:r w:rsidR="00B7392A">
        <w:rPr>
          <w:lang w:val="en-US"/>
        </w:rPr>
        <w:t>total</w:t>
      </w:r>
      <w:r w:rsidRPr="00B95A08">
        <w:rPr>
          <w:lang w:val="en-US"/>
        </w:rPr>
        <w:t xml:space="preserve"> </w:t>
      </w:r>
      <w:r w:rsidR="00B7392A">
        <w:rPr>
          <w:lang w:val="en-US"/>
        </w:rPr>
        <w:t xml:space="preserve">factor </w:t>
      </w:r>
      <w:r w:rsidRPr="00B95A08">
        <w:rPr>
          <w:lang w:val="en-US"/>
        </w:rPr>
        <w:t xml:space="preserve">productivity is given by the logarithmic derivative of </w:t>
      </w:r>
      <w:r w:rsidRPr="00B95A08">
        <w:rPr>
          <w:rFonts w:eastAsia="TimesNewRomanPSMT"/>
          <w:i/>
          <w:iCs/>
          <w:color w:val="000000"/>
          <w:sz w:val="22"/>
          <w:szCs w:val="22"/>
          <w:lang w:val="en-US"/>
        </w:rPr>
        <w:t xml:space="preserve">B = a </w:t>
      </w:r>
      <w:r w:rsidRPr="00B95A08">
        <w:rPr>
          <w:rFonts w:eastAsia="TimesNewRomanPSMT"/>
          <w:color w:val="000000"/>
          <w:sz w:val="22"/>
          <w:szCs w:val="22"/>
          <w:lang w:val="en-US"/>
        </w:rPr>
        <w:t>–</w:t>
      </w:r>
      <w:proofErr w:type="gramStart"/>
      <w:r w:rsidRPr="00B95A08">
        <w:rPr>
          <w:rFonts w:eastAsia="TimesNewRomanPSMT"/>
          <w:i/>
          <w:iCs/>
          <w:color w:val="000000"/>
          <w:sz w:val="22"/>
          <w:szCs w:val="22"/>
          <w:lang w:val="en-US"/>
        </w:rPr>
        <w:t>a</w:t>
      </w:r>
      <w:r w:rsidRPr="00B95A08">
        <w:rPr>
          <w:rFonts w:eastAsia="TimesNewRomanPSMT"/>
          <w:color w:val="000000"/>
          <w:sz w:val="22"/>
          <w:szCs w:val="22"/>
          <w:lang w:val="en-US"/>
        </w:rPr>
        <w:t>(</w:t>
      </w:r>
      <w:proofErr w:type="gramEnd"/>
      <w:r w:rsidRPr="00B95A08">
        <w:rPr>
          <w:rFonts w:eastAsia="TimesNewRomanPSMT"/>
          <w:color w:val="000000"/>
          <w:sz w:val="22"/>
          <w:szCs w:val="22"/>
          <w:lang w:val="en-US"/>
        </w:rPr>
        <w:t xml:space="preserve">1– </w:t>
      </w:r>
      <w:r w:rsidRPr="00B95A08">
        <w:rPr>
          <w:rFonts w:eastAsia="TimesNewRomanPSMT"/>
          <w:i/>
          <w:iCs/>
          <w:color w:val="000000"/>
          <w:sz w:val="22"/>
          <w:szCs w:val="22"/>
          <w:lang w:val="en-US"/>
        </w:rPr>
        <w:t>a</w:t>
      </w:r>
      <w:r w:rsidRPr="00B95A08">
        <w:rPr>
          <w:rFonts w:eastAsia="TimesNewRomanPSMT"/>
          <w:color w:val="000000"/>
          <w:sz w:val="22"/>
          <w:szCs w:val="22"/>
          <w:lang w:val="en-US"/>
        </w:rPr>
        <w:t>)1 –</w:t>
      </w:r>
      <w:r w:rsidRPr="00B95A08">
        <w:rPr>
          <w:rFonts w:eastAsia="TimesNewRomanPSMT"/>
          <w:i/>
          <w:iCs/>
          <w:color w:val="000000"/>
          <w:sz w:val="22"/>
          <w:szCs w:val="22"/>
          <w:lang w:val="en-US"/>
        </w:rPr>
        <w:t xml:space="preserve">a </w:t>
      </w:r>
      <w:proofErr w:type="spellStart"/>
      <w:r w:rsidRPr="00B95A08">
        <w:rPr>
          <w:rFonts w:eastAsia="TimesNewRomanPSMT"/>
          <w:i/>
          <w:iCs/>
          <w:color w:val="000000"/>
          <w:sz w:val="22"/>
          <w:szCs w:val="22"/>
          <w:lang w:val="en-US"/>
        </w:rPr>
        <w:t>wa</w:t>
      </w:r>
      <w:proofErr w:type="spellEnd"/>
      <w:r w:rsidRPr="00B95A08">
        <w:rPr>
          <w:rFonts w:eastAsia="TimesNewRomanPSMT"/>
          <w:i/>
          <w:iCs/>
          <w:color w:val="000000"/>
          <w:sz w:val="22"/>
          <w:szCs w:val="22"/>
          <w:lang w:val="en-US"/>
        </w:rPr>
        <w:t xml:space="preserve"> r</w:t>
      </w:r>
      <w:r w:rsidRPr="00B95A08">
        <w:rPr>
          <w:rFonts w:eastAsia="TimesNewRomanPSMT"/>
          <w:color w:val="000000"/>
          <w:sz w:val="22"/>
          <w:szCs w:val="22"/>
          <w:lang w:val="en-US"/>
        </w:rPr>
        <w:t>1 –</w:t>
      </w:r>
      <w:r w:rsidRPr="00B95A08">
        <w:rPr>
          <w:rFonts w:eastAsia="TimesNewRomanPSMT"/>
          <w:i/>
          <w:iCs/>
          <w:color w:val="000000"/>
          <w:sz w:val="22"/>
          <w:szCs w:val="22"/>
          <w:lang w:val="en-US"/>
        </w:rPr>
        <w:t>a</w:t>
      </w:r>
      <w:r w:rsidRPr="00B95A08">
        <w:rPr>
          <w:lang w:val="en-US"/>
        </w:rPr>
        <w:t xml:space="preserve">, </w:t>
      </w:r>
      <w:r w:rsidR="00B7392A" w:rsidRPr="00B7392A">
        <w:rPr>
          <w:highlight w:val="magenta"/>
          <w:lang w:val="en-US"/>
        </w:rPr>
        <w:t>whether</w:t>
      </w:r>
      <w:r w:rsidRPr="00B95A08">
        <w:rPr>
          <w:lang w:val="en-US"/>
        </w:rPr>
        <w:t xml:space="preserve">, since </w:t>
      </w:r>
      <w:r w:rsidR="00B7392A">
        <w:rPr>
          <w:lang w:val="en-US"/>
        </w:rPr>
        <w:t xml:space="preserve">we assume </w:t>
      </w:r>
      <w:r w:rsidRPr="00B7392A">
        <w:rPr>
          <w:i/>
          <w:lang w:val="en-US"/>
        </w:rPr>
        <w:t>a</w:t>
      </w:r>
      <w:r w:rsidR="00B7392A" w:rsidRPr="00B7392A">
        <w:rPr>
          <w:lang w:val="en-US"/>
        </w:rPr>
        <w:t xml:space="preserve"> is</w:t>
      </w:r>
      <w:r w:rsidRPr="00B95A08">
        <w:rPr>
          <w:lang w:val="en-US"/>
        </w:rPr>
        <w:t xml:space="preserve"> constant:</w:t>
      </w:r>
    </w:p>
    <w:p w:rsidR="00B7392A" w:rsidRPr="00B7392A" w:rsidRDefault="00B7392A" w:rsidP="00B7392A">
      <w:pPr>
        <w:rPr>
          <w:rFonts w:eastAsia="TimesNewRomanPSMT"/>
          <w:color w:val="000000"/>
          <w:sz w:val="22"/>
          <w:szCs w:val="22"/>
          <w:highlight w:val="magenta"/>
          <w:lang w:val="en-US"/>
        </w:rPr>
      </w:pPr>
      <w:r w:rsidRPr="00B7392A">
        <w:rPr>
          <w:rFonts w:eastAsia="TimesNewRomanPSMT"/>
          <w:i/>
          <w:iCs/>
          <w:color w:val="000000"/>
          <w:sz w:val="22"/>
          <w:szCs w:val="22"/>
          <w:highlight w:val="magenta"/>
          <w:lang w:val="en-US"/>
        </w:rPr>
        <w:t>PGF</w:t>
      </w:r>
      <w:r w:rsidRPr="00B7392A">
        <w:rPr>
          <w:rFonts w:eastAsia="TimesNewRomanPSMT"/>
          <w:color w:val="000000"/>
          <w:sz w:val="22"/>
          <w:szCs w:val="22"/>
          <w:highlight w:val="magenta"/>
          <w:lang w:val="en-US"/>
        </w:rPr>
        <w:t xml:space="preserve">^ = </w:t>
      </w:r>
      <w:r w:rsidRPr="00B7392A">
        <w:rPr>
          <w:rFonts w:eastAsia="TimesNewRomanPSMT"/>
          <w:i/>
          <w:iCs/>
          <w:color w:val="000000"/>
          <w:sz w:val="22"/>
          <w:szCs w:val="22"/>
          <w:highlight w:val="magenta"/>
          <w:lang w:val="en-US"/>
        </w:rPr>
        <w:t>aw</w:t>
      </w:r>
      <w:r w:rsidRPr="00B7392A">
        <w:rPr>
          <w:rFonts w:eastAsia="TimesNewRomanPSMT"/>
          <w:color w:val="000000"/>
          <w:sz w:val="22"/>
          <w:szCs w:val="22"/>
          <w:highlight w:val="magenta"/>
          <w:lang w:val="en-US"/>
        </w:rPr>
        <w:t xml:space="preserve">^ + (1 – </w:t>
      </w:r>
      <w:r w:rsidRPr="00B7392A">
        <w:rPr>
          <w:rFonts w:eastAsia="TimesNewRomanPSMT"/>
          <w:i/>
          <w:iCs/>
          <w:color w:val="000000"/>
          <w:sz w:val="22"/>
          <w:szCs w:val="22"/>
          <w:highlight w:val="magenta"/>
          <w:lang w:val="en-US"/>
        </w:rPr>
        <w:t>a</w:t>
      </w:r>
      <w:r w:rsidRPr="00B7392A">
        <w:rPr>
          <w:rFonts w:eastAsia="TimesNewRomanPSMT"/>
          <w:color w:val="000000"/>
          <w:sz w:val="22"/>
          <w:szCs w:val="22"/>
          <w:highlight w:val="magenta"/>
          <w:lang w:val="en-US"/>
        </w:rPr>
        <w:t xml:space="preserve">) </w:t>
      </w:r>
      <w:r w:rsidRPr="00B7392A">
        <w:rPr>
          <w:rFonts w:eastAsia="TimesNewRomanPSMT"/>
          <w:i/>
          <w:iCs/>
          <w:color w:val="000000"/>
          <w:sz w:val="22"/>
          <w:szCs w:val="22"/>
          <w:highlight w:val="magenta"/>
          <w:lang w:val="en-US"/>
        </w:rPr>
        <w:t>r</w:t>
      </w:r>
      <w:proofErr w:type="gramStart"/>
      <w:r w:rsidRPr="00B7392A">
        <w:rPr>
          <w:rFonts w:eastAsia="TimesNewRomanPSMT"/>
          <w:color w:val="000000"/>
          <w:sz w:val="22"/>
          <w:szCs w:val="22"/>
          <w:highlight w:val="magenta"/>
          <w:lang w:val="en-US"/>
        </w:rPr>
        <w:t>^ .</w:t>
      </w:r>
      <w:proofErr w:type="gramEnd"/>
    </w:p>
    <w:p w:rsidR="00B7392A" w:rsidRDefault="00B7392A" w:rsidP="001C4A5D">
      <w:pPr>
        <w:rPr>
          <w:lang w:val="en-US"/>
        </w:rPr>
      </w:pPr>
      <w:r w:rsidRPr="00B7392A">
        <w:rPr>
          <w:lang w:val="en-US"/>
        </w:rPr>
        <w:t>As Felipe and McCombie</w:t>
      </w:r>
      <w:r>
        <w:rPr>
          <w:lang w:val="en-US"/>
        </w:rPr>
        <w:t xml:space="preserve"> said: "</w:t>
      </w:r>
      <w:r w:rsidRPr="00B7392A">
        <w:rPr>
          <w:lang w:val="en-US"/>
        </w:rPr>
        <w:t>what the neoclassical theory called "</w:t>
      </w:r>
      <w:r>
        <w:rPr>
          <w:lang w:val="en-US"/>
        </w:rPr>
        <w:t>total factor</w:t>
      </w:r>
      <w:r w:rsidRPr="00B7392A">
        <w:rPr>
          <w:lang w:val="en-US"/>
        </w:rPr>
        <w:t xml:space="preserve"> </w:t>
      </w:r>
      <w:proofErr w:type="gramStart"/>
      <w:r w:rsidRPr="00B7392A">
        <w:rPr>
          <w:lang w:val="en-US"/>
        </w:rPr>
        <w:t>productivity "</w:t>
      </w:r>
      <w:proofErr w:type="gramEnd"/>
      <w:r w:rsidRPr="00B7392A">
        <w:rPr>
          <w:lang w:val="en-US"/>
        </w:rPr>
        <w:t xml:space="preserve"> is, tautologi</w:t>
      </w:r>
      <w:r>
        <w:rPr>
          <w:lang w:val="en-US"/>
        </w:rPr>
        <w:t>cally</w:t>
      </w:r>
      <w:r w:rsidRPr="00B7392A">
        <w:rPr>
          <w:lang w:val="en-US"/>
        </w:rPr>
        <w:t>, a function of wages and profit</w:t>
      </w:r>
      <w:r w:rsidRPr="00B7392A">
        <w:rPr>
          <w:lang w:val="en-US"/>
        </w:rPr>
        <w:t xml:space="preserve"> </w:t>
      </w:r>
      <w:r w:rsidRPr="00B7392A">
        <w:rPr>
          <w:lang w:val="en-US"/>
        </w:rPr>
        <w:t xml:space="preserve">rates " (p. 209, their italics), which explains </w:t>
      </w:r>
      <w:r w:rsidRPr="00B7392A">
        <w:rPr>
          <w:lang w:val="en-US"/>
        </w:rPr>
        <w:lastRenderedPageBreak/>
        <w:t xml:space="preserve">nothing - especially when one compares countries. </w:t>
      </w:r>
      <w:r>
        <w:rPr>
          <w:lang w:val="en-US"/>
        </w:rPr>
        <w:t>Anyway</w:t>
      </w:r>
      <w:r w:rsidRPr="00B7392A">
        <w:rPr>
          <w:lang w:val="en-US"/>
        </w:rPr>
        <w:t>, "</w:t>
      </w:r>
      <w:r>
        <w:rPr>
          <w:lang w:val="en-US"/>
        </w:rPr>
        <w:t>as far as</w:t>
      </w:r>
      <w:r w:rsidRPr="00B7392A">
        <w:rPr>
          <w:lang w:val="en-US"/>
        </w:rPr>
        <w:t xml:space="preserve"> there is no production function underlying, it is not possible to calculate separately the contribution to the growth of technical progress (growth of TFP) and the growth of each factor" (ibid) 18. </w:t>
      </w:r>
    </w:p>
    <w:p w:rsidR="00B7392A" w:rsidRPr="00B7392A" w:rsidRDefault="00B7392A" w:rsidP="001C4A5D">
      <w:pPr>
        <w:rPr>
          <w:sz w:val="22"/>
          <w:szCs w:val="22"/>
          <w:lang w:val="en-US"/>
        </w:rPr>
      </w:pPr>
      <w:r>
        <w:rPr>
          <w:lang w:val="en-US"/>
        </w:rPr>
        <w:t>It</w:t>
      </w:r>
      <w:r w:rsidRPr="00B7392A">
        <w:rPr>
          <w:lang w:val="en-US"/>
        </w:rPr>
        <w:t xml:space="preserve"> is, of course, always possible to calculate terms such as the one</w:t>
      </w:r>
      <w:r>
        <w:rPr>
          <w:lang w:val="en-US"/>
        </w:rPr>
        <w:t>s</w:t>
      </w:r>
      <w:r w:rsidRPr="00B7392A">
        <w:rPr>
          <w:lang w:val="en-US"/>
        </w:rPr>
        <w:t xml:space="preserve"> given by the formula (7), while knowing that it </w:t>
      </w:r>
      <w:r>
        <w:rPr>
          <w:lang w:val="en-US"/>
        </w:rPr>
        <w:t>derives</w:t>
      </w:r>
      <w:r w:rsidRPr="00B7392A">
        <w:rPr>
          <w:lang w:val="en-US"/>
        </w:rPr>
        <w:t xml:space="preserve"> from an accounting identity and </w:t>
      </w:r>
      <w:r>
        <w:rPr>
          <w:lang w:val="en-US"/>
        </w:rPr>
        <w:t>not from relations</w:t>
      </w:r>
      <w:r w:rsidRPr="00B7392A">
        <w:rPr>
          <w:lang w:val="en-US"/>
        </w:rPr>
        <w:t xml:space="preserve"> which would reflect the technical evolution of the economy. </w:t>
      </w:r>
      <w:r w:rsidRPr="001B5A99">
        <w:rPr>
          <w:highlight w:val="magenta"/>
          <w:lang w:val="en-US"/>
        </w:rPr>
        <w:t>Remains to interpret them, while they have been got rid of their ideological gangue</w:t>
      </w:r>
      <w:r w:rsidRPr="00B7392A">
        <w:rPr>
          <w:lang w:val="en-US"/>
        </w:rPr>
        <w:t xml:space="preserve"> (</w:t>
      </w:r>
      <w:proofErr w:type="spellStart"/>
      <w:r w:rsidR="001B5A99" w:rsidRPr="00B7392A">
        <w:rPr>
          <w:lang w:val="en-US"/>
        </w:rPr>
        <w:t>marginalist</w:t>
      </w:r>
      <w:proofErr w:type="spellEnd"/>
      <w:r w:rsidR="001B5A99" w:rsidRPr="00B7392A">
        <w:rPr>
          <w:lang w:val="en-US"/>
        </w:rPr>
        <w:t xml:space="preserve"> </w:t>
      </w:r>
      <w:r w:rsidR="001B5A99">
        <w:rPr>
          <w:lang w:val="en-US"/>
        </w:rPr>
        <w:t>theory</w:t>
      </w:r>
      <w:r w:rsidRPr="00B7392A">
        <w:rPr>
          <w:lang w:val="en-US"/>
        </w:rPr>
        <w:t xml:space="preserve"> of </w:t>
      </w:r>
      <w:bookmarkStart w:id="0" w:name="_GoBack"/>
      <w:bookmarkEnd w:id="0"/>
      <w:r w:rsidRPr="00B7392A">
        <w:rPr>
          <w:lang w:val="en-US"/>
        </w:rPr>
        <w:t>distribution).</w:t>
      </w:r>
    </w:p>
    <w:sectPr w:rsidR="00B7392A" w:rsidRPr="00B739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97B1A"/>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461"/>
    <w:rsid w:val="00007660"/>
    <w:rsid w:val="00046CAB"/>
    <w:rsid w:val="00076039"/>
    <w:rsid w:val="000935C5"/>
    <w:rsid w:val="000C36F4"/>
    <w:rsid w:val="000F4B43"/>
    <w:rsid w:val="00115C9A"/>
    <w:rsid w:val="0011699F"/>
    <w:rsid w:val="00143AD5"/>
    <w:rsid w:val="00156F5A"/>
    <w:rsid w:val="001B5A99"/>
    <w:rsid w:val="001C4A5D"/>
    <w:rsid w:val="001E1D23"/>
    <w:rsid w:val="00202BF7"/>
    <w:rsid w:val="002661C9"/>
    <w:rsid w:val="00276386"/>
    <w:rsid w:val="0029735E"/>
    <w:rsid w:val="002B062B"/>
    <w:rsid w:val="002B7297"/>
    <w:rsid w:val="00326A0F"/>
    <w:rsid w:val="003A54BF"/>
    <w:rsid w:val="003C031A"/>
    <w:rsid w:val="00463B29"/>
    <w:rsid w:val="00465393"/>
    <w:rsid w:val="00470DA3"/>
    <w:rsid w:val="004C2923"/>
    <w:rsid w:val="00565DDD"/>
    <w:rsid w:val="005670E7"/>
    <w:rsid w:val="00571169"/>
    <w:rsid w:val="00585DB4"/>
    <w:rsid w:val="00590AFA"/>
    <w:rsid w:val="005A5445"/>
    <w:rsid w:val="005C1A84"/>
    <w:rsid w:val="005F7FC5"/>
    <w:rsid w:val="00630742"/>
    <w:rsid w:val="0065491E"/>
    <w:rsid w:val="00676643"/>
    <w:rsid w:val="00691F42"/>
    <w:rsid w:val="006B45F5"/>
    <w:rsid w:val="006B5069"/>
    <w:rsid w:val="006E0153"/>
    <w:rsid w:val="006E3173"/>
    <w:rsid w:val="00743BE3"/>
    <w:rsid w:val="00762F7E"/>
    <w:rsid w:val="00783E9B"/>
    <w:rsid w:val="007C25FF"/>
    <w:rsid w:val="008F231B"/>
    <w:rsid w:val="00957B52"/>
    <w:rsid w:val="009707A2"/>
    <w:rsid w:val="00993408"/>
    <w:rsid w:val="009E6D97"/>
    <w:rsid w:val="00A05DA9"/>
    <w:rsid w:val="00A225C9"/>
    <w:rsid w:val="00A44F7F"/>
    <w:rsid w:val="00AA0810"/>
    <w:rsid w:val="00AA4959"/>
    <w:rsid w:val="00B37CCF"/>
    <w:rsid w:val="00B64F96"/>
    <w:rsid w:val="00B721CE"/>
    <w:rsid w:val="00B7392A"/>
    <w:rsid w:val="00B7639A"/>
    <w:rsid w:val="00B82892"/>
    <w:rsid w:val="00B95A08"/>
    <w:rsid w:val="00BA2C5A"/>
    <w:rsid w:val="00C14A64"/>
    <w:rsid w:val="00C55001"/>
    <w:rsid w:val="00C8584C"/>
    <w:rsid w:val="00C95962"/>
    <w:rsid w:val="00CA0199"/>
    <w:rsid w:val="00CC68E5"/>
    <w:rsid w:val="00CD33B0"/>
    <w:rsid w:val="00CD45C4"/>
    <w:rsid w:val="00CF6708"/>
    <w:rsid w:val="00D042A8"/>
    <w:rsid w:val="00D56127"/>
    <w:rsid w:val="00D90461"/>
    <w:rsid w:val="00DC004A"/>
    <w:rsid w:val="00E36E0A"/>
    <w:rsid w:val="00E63F12"/>
    <w:rsid w:val="00E70F07"/>
    <w:rsid w:val="00EC16F4"/>
    <w:rsid w:val="00EC3B30"/>
    <w:rsid w:val="00EC7321"/>
    <w:rsid w:val="00ED29B4"/>
    <w:rsid w:val="00F07957"/>
    <w:rsid w:val="00F52E44"/>
    <w:rsid w:val="00FD7FCA"/>
    <w:rsid w:val="00FE07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461"/>
    <w:pPr>
      <w:spacing w:after="0" w:line="240" w:lineRule="auto"/>
    </w:pPr>
    <w:rPr>
      <w:rFonts w:ascii="Times New Roman" w:eastAsia="MS Mincho" w:hAnsi="Times New Roman"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93"/>
    <w:pPr>
      <w:ind w:left="720"/>
      <w:contextualSpacing/>
    </w:pPr>
  </w:style>
  <w:style w:type="character" w:customStyle="1" w:styleId="linkvisual">
    <w:name w:val="linkvisual"/>
    <w:basedOn w:val="DefaultParagraphFont"/>
    <w:rsid w:val="00AA4959"/>
  </w:style>
  <w:style w:type="paragraph" w:styleId="NormalWeb">
    <w:name w:val="Normal (Web)"/>
    <w:basedOn w:val="Normal"/>
    <w:uiPriority w:val="99"/>
    <w:semiHidden/>
    <w:unhideWhenUsed/>
    <w:rsid w:val="006E0153"/>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461"/>
    <w:pPr>
      <w:spacing w:after="0" w:line="240" w:lineRule="auto"/>
    </w:pPr>
    <w:rPr>
      <w:rFonts w:ascii="Times New Roman" w:eastAsia="MS Mincho" w:hAnsi="Times New Roman"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93"/>
    <w:pPr>
      <w:ind w:left="720"/>
      <w:contextualSpacing/>
    </w:pPr>
  </w:style>
  <w:style w:type="character" w:customStyle="1" w:styleId="linkvisual">
    <w:name w:val="linkvisual"/>
    <w:basedOn w:val="DefaultParagraphFont"/>
    <w:rsid w:val="00AA4959"/>
  </w:style>
  <w:style w:type="paragraph" w:styleId="NormalWeb">
    <w:name w:val="Normal (Web)"/>
    <w:basedOn w:val="Normal"/>
    <w:uiPriority w:val="99"/>
    <w:semiHidden/>
    <w:unhideWhenUsed/>
    <w:rsid w:val="006E0153"/>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2212">
      <w:bodyDiv w:val="1"/>
      <w:marLeft w:val="0"/>
      <w:marRight w:val="0"/>
      <w:marTop w:val="0"/>
      <w:marBottom w:val="0"/>
      <w:divBdr>
        <w:top w:val="none" w:sz="0" w:space="0" w:color="auto"/>
        <w:left w:val="none" w:sz="0" w:space="0" w:color="auto"/>
        <w:bottom w:val="none" w:sz="0" w:space="0" w:color="auto"/>
        <w:right w:val="none" w:sz="0" w:space="0" w:color="auto"/>
      </w:divBdr>
      <w:divsChild>
        <w:div w:id="329332123">
          <w:marLeft w:val="0"/>
          <w:marRight w:val="0"/>
          <w:marTop w:val="0"/>
          <w:marBottom w:val="0"/>
          <w:divBdr>
            <w:top w:val="none" w:sz="0" w:space="0" w:color="auto"/>
            <w:left w:val="none" w:sz="0" w:space="0" w:color="auto"/>
            <w:bottom w:val="none" w:sz="0" w:space="0" w:color="auto"/>
            <w:right w:val="none" w:sz="0" w:space="0" w:color="auto"/>
          </w:divBdr>
          <w:divsChild>
            <w:div w:id="128325167">
              <w:marLeft w:val="0"/>
              <w:marRight w:val="0"/>
              <w:marTop w:val="0"/>
              <w:marBottom w:val="0"/>
              <w:divBdr>
                <w:top w:val="none" w:sz="0" w:space="0" w:color="auto"/>
                <w:left w:val="none" w:sz="0" w:space="0" w:color="auto"/>
                <w:bottom w:val="none" w:sz="0" w:space="0" w:color="auto"/>
                <w:right w:val="none" w:sz="0" w:space="0" w:color="auto"/>
              </w:divBdr>
              <w:divsChild>
                <w:div w:id="1958946135">
                  <w:marLeft w:val="0"/>
                  <w:marRight w:val="0"/>
                  <w:marTop w:val="0"/>
                  <w:marBottom w:val="0"/>
                  <w:divBdr>
                    <w:top w:val="none" w:sz="0" w:space="0" w:color="auto"/>
                    <w:left w:val="none" w:sz="0" w:space="0" w:color="auto"/>
                    <w:bottom w:val="none" w:sz="0" w:space="0" w:color="auto"/>
                    <w:right w:val="none" w:sz="0" w:space="0" w:color="auto"/>
                  </w:divBdr>
                  <w:divsChild>
                    <w:div w:id="564680106">
                      <w:marLeft w:val="0"/>
                      <w:marRight w:val="0"/>
                      <w:marTop w:val="0"/>
                      <w:marBottom w:val="0"/>
                      <w:divBdr>
                        <w:top w:val="none" w:sz="0" w:space="0" w:color="auto"/>
                        <w:left w:val="none" w:sz="0" w:space="0" w:color="auto"/>
                        <w:bottom w:val="none" w:sz="0" w:space="0" w:color="auto"/>
                        <w:right w:val="none" w:sz="0" w:space="0" w:color="auto"/>
                      </w:divBdr>
                      <w:divsChild>
                        <w:div w:id="2047486096">
                          <w:marLeft w:val="0"/>
                          <w:marRight w:val="0"/>
                          <w:marTop w:val="0"/>
                          <w:marBottom w:val="0"/>
                          <w:divBdr>
                            <w:top w:val="none" w:sz="0" w:space="0" w:color="auto"/>
                            <w:left w:val="none" w:sz="0" w:space="0" w:color="auto"/>
                            <w:bottom w:val="none" w:sz="0" w:space="0" w:color="auto"/>
                            <w:right w:val="none" w:sz="0" w:space="0" w:color="auto"/>
                          </w:divBdr>
                          <w:divsChild>
                            <w:div w:id="21364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727378">
      <w:bodyDiv w:val="1"/>
      <w:marLeft w:val="0"/>
      <w:marRight w:val="0"/>
      <w:marTop w:val="0"/>
      <w:marBottom w:val="0"/>
      <w:divBdr>
        <w:top w:val="none" w:sz="0" w:space="0" w:color="auto"/>
        <w:left w:val="none" w:sz="0" w:space="0" w:color="auto"/>
        <w:bottom w:val="none" w:sz="0" w:space="0" w:color="auto"/>
        <w:right w:val="none" w:sz="0" w:space="0" w:color="auto"/>
      </w:divBdr>
      <w:divsChild>
        <w:div w:id="928734507">
          <w:marLeft w:val="0"/>
          <w:marRight w:val="0"/>
          <w:marTop w:val="0"/>
          <w:marBottom w:val="0"/>
          <w:divBdr>
            <w:top w:val="none" w:sz="0" w:space="0" w:color="auto"/>
            <w:left w:val="none" w:sz="0" w:space="0" w:color="auto"/>
            <w:bottom w:val="none" w:sz="0" w:space="0" w:color="auto"/>
            <w:right w:val="none" w:sz="0" w:space="0" w:color="auto"/>
          </w:divBdr>
          <w:divsChild>
            <w:div w:id="1563250348">
              <w:marLeft w:val="0"/>
              <w:marRight w:val="0"/>
              <w:marTop w:val="0"/>
              <w:marBottom w:val="0"/>
              <w:divBdr>
                <w:top w:val="none" w:sz="0" w:space="0" w:color="auto"/>
                <w:left w:val="none" w:sz="0" w:space="0" w:color="auto"/>
                <w:bottom w:val="none" w:sz="0" w:space="0" w:color="auto"/>
                <w:right w:val="none" w:sz="0" w:space="0" w:color="auto"/>
              </w:divBdr>
              <w:divsChild>
                <w:div w:id="715010814">
                  <w:marLeft w:val="0"/>
                  <w:marRight w:val="0"/>
                  <w:marTop w:val="0"/>
                  <w:marBottom w:val="0"/>
                  <w:divBdr>
                    <w:top w:val="none" w:sz="0" w:space="0" w:color="auto"/>
                    <w:left w:val="none" w:sz="0" w:space="0" w:color="auto"/>
                    <w:bottom w:val="none" w:sz="0" w:space="0" w:color="auto"/>
                    <w:right w:val="none" w:sz="0" w:space="0" w:color="auto"/>
                  </w:divBdr>
                  <w:divsChild>
                    <w:div w:id="631718547">
                      <w:marLeft w:val="0"/>
                      <w:marRight w:val="0"/>
                      <w:marTop w:val="0"/>
                      <w:marBottom w:val="0"/>
                      <w:divBdr>
                        <w:top w:val="none" w:sz="0" w:space="0" w:color="auto"/>
                        <w:left w:val="none" w:sz="0" w:space="0" w:color="auto"/>
                        <w:bottom w:val="none" w:sz="0" w:space="0" w:color="auto"/>
                        <w:right w:val="none" w:sz="0" w:space="0" w:color="auto"/>
                      </w:divBdr>
                      <w:divsChild>
                        <w:div w:id="777867848">
                          <w:marLeft w:val="0"/>
                          <w:marRight w:val="0"/>
                          <w:marTop w:val="0"/>
                          <w:marBottom w:val="0"/>
                          <w:divBdr>
                            <w:top w:val="none" w:sz="0" w:space="0" w:color="auto"/>
                            <w:left w:val="none" w:sz="0" w:space="0" w:color="auto"/>
                            <w:bottom w:val="none" w:sz="0" w:space="0" w:color="auto"/>
                            <w:right w:val="none" w:sz="0" w:space="0" w:color="auto"/>
                          </w:divBdr>
                          <w:divsChild>
                            <w:div w:id="1442989189">
                              <w:marLeft w:val="0"/>
                              <w:marRight w:val="0"/>
                              <w:marTop w:val="0"/>
                              <w:marBottom w:val="0"/>
                              <w:divBdr>
                                <w:top w:val="none" w:sz="0" w:space="0" w:color="auto"/>
                                <w:left w:val="none" w:sz="0" w:space="0" w:color="auto"/>
                                <w:bottom w:val="none" w:sz="0" w:space="0" w:color="auto"/>
                                <w:right w:val="none" w:sz="0" w:space="0" w:color="auto"/>
                              </w:divBdr>
                              <w:divsChild>
                                <w:div w:id="1054353326">
                                  <w:marLeft w:val="0"/>
                                  <w:marRight w:val="0"/>
                                  <w:marTop w:val="14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6603">
      <w:bodyDiv w:val="1"/>
      <w:marLeft w:val="0"/>
      <w:marRight w:val="0"/>
      <w:marTop w:val="0"/>
      <w:marBottom w:val="0"/>
      <w:divBdr>
        <w:top w:val="none" w:sz="0" w:space="0" w:color="auto"/>
        <w:left w:val="none" w:sz="0" w:space="0" w:color="auto"/>
        <w:bottom w:val="none" w:sz="0" w:space="0" w:color="auto"/>
        <w:right w:val="none" w:sz="0" w:space="0" w:color="auto"/>
      </w:divBdr>
      <w:divsChild>
        <w:div w:id="836194889">
          <w:marLeft w:val="0"/>
          <w:marRight w:val="0"/>
          <w:marTop w:val="0"/>
          <w:marBottom w:val="0"/>
          <w:divBdr>
            <w:top w:val="none" w:sz="0" w:space="0" w:color="auto"/>
            <w:left w:val="none" w:sz="0" w:space="0" w:color="auto"/>
            <w:bottom w:val="none" w:sz="0" w:space="0" w:color="auto"/>
            <w:right w:val="none" w:sz="0" w:space="0" w:color="auto"/>
          </w:divBdr>
          <w:divsChild>
            <w:div w:id="1652246741">
              <w:marLeft w:val="0"/>
              <w:marRight w:val="0"/>
              <w:marTop w:val="0"/>
              <w:marBottom w:val="0"/>
              <w:divBdr>
                <w:top w:val="none" w:sz="0" w:space="0" w:color="auto"/>
                <w:left w:val="none" w:sz="0" w:space="0" w:color="auto"/>
                <w:bottom w:val="none" w:sz="0" w:space="0" w:color="auto"/>
                <w:right w:val="none" w:sz="0" w:space="0" w:color="auto"/>
              </w:divBdr>
              <w:divsChild>
                <w:div w:id="1683699281">
                  <w:marLeft w:val="0"/>
                  <w:marRight w:val="0"/>
                  <w:marTop w:val="0"/>
                  <w:marBottom w:val="0"/>
                  <w:divBdr>
                    <w:top w:val="none" w:sz="0" w:space="0" w:color="auto"/>
                    <w:left w:val="none" w:sz="0" w:space="0" w:color="auto"/>
                    <w:bottom w:val="none" w:sz="0" w:space="0" w:color="auto"/>
                    <w:right w:val="none" w:sz="0" w:space="0" w:color="auto"/>
                  </w:divBdr>
                  <w:divsChild>
                    <w:div w:id="528300646">
                      <w:marLeft w:val="0"/>
                      <w:marRight w:val="0"/>
                      <w:marTop w:val="0"/>
                      <w:marBottom w:val="0"/>
                      <w:divBdr>
                        <w:top w:val="none" w:sz="0" w:space="0" w:color="auto"/>
                        <w:left w:val="none" w:sz="0" w:space="0" w:color="auto"/>
                        <w:bottom w:val="none" w:sz="0" w:space="0" w:color="auto"/>
                        <w:right w:val="none" w:sz="0" w:space="0" w:color="auto"/>
                      </w:divBdr>
                      <w:divsChild>
                        <w:div w:id="2108038183">
                          <w:marLeft w:val="0"/>
                          <w:marRight w:val="0"/>
                          <w:marTop w:val="0"/>
                          <w:marBottom w:val="0"/>
                          <w:divBdr>
                            <w:top w:val="none" w:sz="0" w:space="0" w:color="auto"/>
                            <w:left w:val="none" w:sz="0" w:space="0" w:color="auto"/>
                            <w:bottom w:val="none" w:sz="0" w:space="0" w:color="auto"/>
                            <w:right w:val="none" w:sz="0" w:space="0" w:color="auto"/>
                          </w:divBdr>
                          <w:divsChild>
                            <w:div w:id="16485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Pages>
  <Words>700</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70</cp:revision>
  <dcterms:created xsi:type="dcterms:W3CDTF">2015-01-14T10:13:00Z</dcterms:created>
  <dcterms:modified xsi:type="dcterms:W3CDTF">2015-01-16T13:14:00Z</dcterms:modified>
</cp:coreProperties>
</file>