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atement-of-significance"/>
    <w:p>
      <w:pPr>
        <w:pStyle w:val="Heading1"/>
      </w:pPr>
      <w:r>
        <w:t xml:space="preserve">Statement of Significance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Integrating single-cohort-per-condition multi-omics datasets across conditions is routine in biomedical informatics, but when the biological contrast of interest is perfectly aliased with cohort and batch the integration is non-identifiable, and a standard harmonization can manufacture large, plausible, but false differential lists.</w:t>
      </w:r>
    </w:p>
    <w:p>
      <w:pPr>
        <w:pStyle w:val="BodyText"/>
      </w:pPr>
      <w:r>
        <w:rPr>
          <w:b/>
          <w:bCs/>
        </w:rPr>
        <w:t xml:space="preserve">What is already known:</w:t>
      </w:r>
      <w:r>
        <w:t xml:space="preserve"> </w:t>
      </w:r>
      <w:r>
        <w:t xml:space="preserve">Batch-free anchor and negative-control checks (removing unwanted variation, surrogate variable analysis, guided principal-component analysis, and the routine mRNA-protein concordance check) exist, but they are routinely omitted in the single-cohort-per-condition setting, and how they degrade under perfect aliasing has not been calibrated.</w:t>
      </w:r>
    </w:p>
    <w:p>
      <w:pPr>
        <w:pStyle w:val="BodyText"/>
      </w:pPr>
      <w:r>
        <w:rPr>
          <w:b/>
          <w:bCs/>
        </w:rPr>
        <w:t xml:space="preserve">What this paper adds:</w:t>
      </w:r>
      <w:r>
        <w:t xml:space="preserve"> </w:t>
      </w:r>
      <w:r>
        <w:t xml:space="preserve">A formal non-identifiability framing for this integration design, a ground-truth calibration of how a standard anchor check degrades with the degree of aliasing, and a reproducible two-disease benchmark, demonstrated where the merge is most tempting (liver and kidney cancer proteogenomics).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2026-06-26T11:59:05Z</dcterms:created>
  <dcterms:modified xsi:type="dcterms:W3CDTF">2026-06-26T11:59:05Z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