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Anh Tuan Quan, MD, MSc</w:t>
      </w:r>
    </w:p>
    <w:p>
      <w:pPr>
        <w:pStyle w:val="BodyText"/>
      </w:pPr>
      <w:r>
        <w:t xml:space="preserve">International Graduate Program in Medicine, College of Medicine, Taipei Medical University, Taipei, Taiwan</w:t>
      </w:r>
    </w:p>
    <w:p>
      <w:pPr>
        <w:pStyle w:val="BodyText"/>
      </w:pPr>
      <w:r>
        <w:t xml:space="preserve">ORCID: https://orcid.org/0009-0008-2281-970X</w:t>
      </w:r>
    </w:p>
    <w:p>
      <w:pPr>
        <w:pStyle w:val="BodyText"/>
      </w:pPr>
      <w:r>
        <w:t xml:space="preserve">Email: tuan.quan.md@outlook.com</w:t>
      </w:r>
    </w:p>
    <w:p>
      <w:pPr>
        <w:pStyle w:val="BodyText"/>
      </w:pPr>
      <w:r>
        <w:t xml:space="preserve">Dear Editor-in-Chief,</w:t>
      </w:r>
    </w:p>
    <w:p>
      <w:pPr>
        <w:pStyle w:val="BodyText"/>
      </w:pPr>
      <w:r>
        <w:t xml:space="preserve">Please consider the manuscript,</w:t>
      </w:r>
      <w:r>
        <w:t xml:space="preserve"> </w:t>
      </w:r>
      <w:r>
        <w:t xml:space="preserve">“A liver cancer lineage axis and LAT1 vulnerability reveal non-identifiability in single-cohort proteogenomic merges,”</w:t>
      </w:r>
      <w:r>
        <w:t xml:space="preserve"> </w:t>
      </w:r>
      <w:r>
        <w:t xml:space="preserve">for publication as an Original Research Article in Translational Oncology.</w:t>
      </w:r>
    </w:p>
    <w:p>
      <w:pPr>
        <w:pStyle w:val="BodyText"/>
      </w:pPr>
      <w:r>
        <w:t xml:space="preserve">The study fits the journal’s translational oncology scope because it connects cancer lineage classification, target nomination, and clinical anchoring in liver cancer. Using only open data, it builds a cross-validated hepatocellular-carcinoma (HCC) to intrahepatic-cholangiocarcinoma (iCCA) lineage axis (AUC 0.966) and places combined hepatocellular-cholangiocarcinoma (cHCC-CCA) in the expected intermediate direction, with independent replication relative to HCC.</w:t>
      </w:r>
    </w:p>
    <w:p>
      <w:pPr>
        <w:pStyle w:val="BodyText"/>
      </w:pPr>
      <w:r>
        <w:t xml:space="preserve">The paper also addresses a practical target-nomination risk. An apparent iCCA-selective EGFR/kinase program disappears when DepMap dependency is tested against HCC rather than all other lineages. By contrast, LAT1 amino-acid transport remains supported by tumor expression and by the positive randomized phase 2 nanvuranlat study in biliary tract cancer.</w:t>
      </w:r>
    </w:p>
    <w:p>
      <w:pPr>
        <w:pStyle w:val="BodyText"/>
      </w:pPr>
      <w:r>
        <w:t xml:space="preserve">The methodological contribution is a reproducible benchmark showing that single-cohort-per-tumor-type proteogenomic merges are non-identifiable for cross-tumor contrasts. A standard harmonization produced thousands of liver and kidney protein hits that failed batch-free RNA validation, and ComBat could not resolve the aliased design. The manuscript therefore separates what open liver cancer data can support from what they cannot.</w:t>
      </w:r>
    </w:p>
    <w:p>
      <w:pPr>
        <w:pStyle w:val="BodyText"/>
      </w:pPr>
      <w:r>
        <w:t xml:space="preserve">All data are public, and the complete pipeline, tables, and figures are released on GitHub (https://github.com/Goden26/single-cohort-proteogenomic-nonidentifiability) and archived at Zenodo (DOI: 10.5281/zenodo.20888892).</w:t>
      </w:r>
    </w:p>
    <w:p>
      <w:pPr>
        <w:pStyle w:val="BodyText"/>
      </w:pPr>
      <w:r>
        <w:t xml:space="preserve">Thank you for considering this submission.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Anh Tuan Quan, MD, MSc</w:t>
      </w:r>
    </w:p>
    <w:p>
      <w:pPr>
        <w:pStyle w:val="BodyText"/>
      </w:pPr>
      <w:r>
        <w:t xml:space="preserve">No. 250 Wuxing Street, Xinyi District, Taipei 11031, Taiwan</w:t>
      </w:r>
    </w:p>
    <w:p>
      <w:pPr>
        <w:pStyle w:val="BodyText"/>
      </w:pPr>
      <w:r>
        <w:t xml:space="preserve">Tel.: +84 987 750 775</w:t>
      </w:r>
    </w:p>
    <w:p>
      <w:pPr>
        <w:pStyle w:val="BodyText"/>
      </w:pPr>
      <w:r>
        <w:t xml:space="preserve">Email: tuan.quan.md@outlook.com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00000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2026-06-27T10:08:22Z</dcterms:created>
  <dcterms:modified xsi:type="dcterms:W3CDTF">2026-06-27T10:08:22Z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