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cross-validated HCC-iCCA lineage axis places cHCC-CCA as intermediate.</w:t>
      </w:r>
    </w:p>
    <w:p>
      <w:pPr>
        <w:pStyle w:val="Compact"/>
        <w:numPr>
          <w:ilvl w:val="0"/>
          <w:numId w:val="1001"/>
        </w:numPr>
      </w:pPr>
      <w:r>
        <w:t xml:space="preserve">Single-cohort proteogenomic merges fail under perfect cohort-tumor aliasing.</w:t>
      </w:r>
    </w:p>
    <w:p>
      <w:pPr>
        <w:pStyle w:val="Compact"/>
        <w:numPr>
          <w:ilvl w:val="0"/>
          <w:numId w:val="1001"/>
        </w:numPr>
      </w:pPr>
      <w:r>
        <w:t xml:space="preserve">The correct DepMap comparator removes an apparent EGFR dependency signal.</w:t>
      </w:r>
    </w:p>
    <w:p>
      <w:pPr>
        <w:pStyle w:val="Compact"/>
        <w:numPr>
          <w:ilvl w:val="0"/>
          <w:numId w:val="1001"/>
        </w:numPr>
      </w:pPr>
      <w:r>
        <w:t xml:space="preserve">LAT1 amino-acid transport remains a clinically anchored iCCA vulnerability.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2026-06-27T10:08:22Z</dcterms:created>
  <dcterms:modified xsi:type="dcterms:W3CDTF">2026-06-27T10:08:22Z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