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upplementary-material"/>
    <w:p>
      <w:pPr>
        <w:pStyle w:val="Heading1"/>
      </w:pPr>
      <w:r>
        <w:t xml:space="preserve">Supplementary material</w:t>
      </w:r>
    </w:p>
    <w:p>
      <w:pPr>
        <w:pStyle w:val="FirstParagraph"/>
      </w:pPr>
      <w:r>
        <w:rPr>
          <w:b/>
          <w:bCs/>
        </w:rPr>
        <w:t xml:space="preserve">Figure S1. Ground-truth calibration of the anchor check.</w:t>
      </w:r>
      <w:r>
        <w:t xml:space="preserve"> </w:t>
      </w:r>
      <w:r>
        <w:t xml:space="preserve">Using real TCGA-LIHC expression as substrate, a known 200-gene signature was spiked into a synthetic biological contrast, a synthetic batch effect was added to a synthetic cohort, and the aliasing of the contrast with the cohort was swept across 11 levels from 0 to 1 (20 repeats per level). Concordance is measured against a separate noisy orthogonal anchor (concordance to the truth about 0.20), not the ground truth. As aliasing increases, true-signal recall stays high while the false-discovery proportion rises to 0.93 and noisy-anchor concordance shifts from 0.105 to 0.042. Pooling the 220 runs, noisy-anchor concordance predicts false-discovery proportion (Spearman -0.68, level-block bootstrap 95% CI -0.72 to -0.43; -0.68 under a multiplicative batch model), while the within-level association is near zero.</w:t>
      </w:r>
    </w:p>
    <w:p>
      <w:pPr>
        <w:pStyle w:val="BodyText"/>
      </w:pPr>
      <w:r>
        <w:rPr>
          <w:b/>
          <w:bCs/>
        </w:rPr>
        <w:t xml:space="preserve">Table S1. Genes passing the direct iCCA versus HCC dependency contrast (FDR below 0.1).</w:t>
      </w:r>
      <w:r>
        <w:t xml:space="preserve"> </w:t>
      </w:r>
      <w:r>
        <w:t xml:space="preserve">Negative dChronos means more essential in iCCA lines. TFRC and TRPM7 remain pan-essential, so they are preferential rather than iCCA-exclusive. FDR reflects rank separation rather than effect magnitude; NHEJ1 has no transport rationale and is likely an incidental survivor.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dChronos (iCCA minus HCC)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Chronos iCCA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Chronos HCC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RNA log2FC (iCCA minus HCC)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SLC3A2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NHEJ1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2026-06-27T10:08:22Z</dcterms:created>
  <dcterms:modified xsi:type="dcterms:W3CDTF">2026-06-27T10:08:22Z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