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 </w:t>
      </w:r>
      <w:r>
        <w:t xml:space="preserve">Merging single-cohort proteogenomic datasets is non-identifiable for cross-tumor contrasts: a calibrated benchmark in liver and kidney cancer</w:t>
      </w:r>
    </w:p>
    <w:p>
      <w:pPr>
        <w:pStyle w:val="BodyText"/>
      </w:pPr>
      <w:r>
        <w:rPr>
          <w:b/>
          <w:bCs/>
        </w:rPr>
        <w:t xml:space="preserve">Running title</w:t>
      </w:r>
      <w:r>
        <w:t xml:space="preserve"> </w:t>
      </w:r>
      <w:r>
        <w:t xml:space="preserve">A non-identifiability benchmark for single-cohort proteogenomic merges</w:t>
      </w:r>
    </w:p>
    <w:p>
      <w:pPr>
        <w:pStyle w:val="BodyText"/>
      </w:pPr>
      <w:r>
        <w:rPr>
          <w:b/>
          <w:bCs/>
        </w:rPr>
        <w:t xml:space="preserve">Article type</w:t>
      </w:r>
      <w:r>
        <w:t xml:space="preserve"> </w:t>
      </w:r>
      <w:r>
        <w:t xml:space="preserve">Research Paper (Original research)</w:t>
      </w:r>
    </w:p>
    <w:p>
      <w:pPr>
        <w:pStyle w:val="BodyText"/>
      </w:pPr>
      <w:r>
        <w:rPr>
          <w:b/>
          <w:bCs/>
        </w:rPr>
        <w:t xml:space="preserve">Author</w:t>
      </w:r>
      <w:r>
        <w:t xml:space="preserve"> </w:t>
      </w:r>
      <w:r>
        <w:t xml:space="preserve">Anh Tuan Quan, MD, MSc</w:t>
      </w:r>
    </w:p>
    <w:p>
      <w:pPr>
        <w:pStyle w:val="BodyText"/>
      </w:pPr>
      <w:r>
        <w:rPr>
          <w:b/>
          <w:bCs/>
        </w:rPr>
        <w:t xml:space="preserve">Affiliation</w:t>
      </w:r>
      <w:r>
        <w:t xml:space="preserve"> </w:t>
      </w:r>
      <w:r>
        <w:t xml:space="preserve">International Graduate Program in Medicine, College of Medicine, Taipei Medical University, Taipei, Taiwan</w:t>
      </w:r>
    </w:p>
    <w:p>
      <w:pPr>
        <w:pStyle w:val="BodyText"/>
      </w:pPr>
      <w:r>
        <w:rPr>
          <w:b/>
          <w:bCs/>
        </w:rPr>
        <w:t xml:space="preserve">Corresponding author</w:t>
      </w:r>
      <w:r>
        <w:t xml:space="preserve"> </w:t>
      </w:r>
      <w:r>
        <w:t xml:space="preserve">Dr. Anh Tuan Quan</w:t>
      </w:r>
      <w:r>
        <w:t xml:space="preserve"> </w:t>
      </w:r>
      <w:r>
        <w:t xml:space="preserve">International Graduate Program in Medicine, College of Medicine, Taipei Medical University, No. 250 Wuxing Street, Xinyi District, Taipei 11031, Taiwan</w:t>
      </w:r>
      <w:r>
        <w:t xml:space="preserve"> </w:t>
      </w:r>
      <w:r>
        <w:t xml:space="preserve">Tel.: +84 987 750 775</w:t>
      </w:r>
      <w:r>
        <w:t xml:space="preserve"> </w:t>
      </w:r>
      <w:r>
        <w:t xml:space="preserve">Email: tuan.quan.md@outlook.com</w:t>
      </w:r>
      <w:r>
        <w:t xml:space="preserve"> </w:t>
      </w:r>
      <w:r>
        <w:t xml:space="preserve">ORCID: https://orcid.org/0009-0008-2281-970X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Data integration; Batch effects; Non-identifiability; Confounding; Proteogenomics; Reproducibility; Benchmarking</w:t>
      </w:r>
    </w:p>
    <w:p>
      <w:pPr>
        <w:pStyle w:val="BodyText"/>
      </w:pPr>
      <w:r>
        <w:rPr>
          <w:b/>
          <w:bCs/>
        </w:rPr>
        <w:t xml:space="preserve">Word counts</w:t>
      </w:r>
      <w:r>
        <w:t xml:space="preserve"> </w:t>
      </w:r>
      <w:r>
        <w:t xml:space="preserve">Structured abstract: 275 words. Main text (Introduction through Conclusion): about 5,763 words. Figures: 6. Tables: 2. References: 24. Supplementary material: full analysis code and intermediate result tables released as an open repository.</w:t>
      </w:r>
    </w:p>
    <w:p>
      <w:pPr>
        <w:pStyle w:val="BodyText"/>
      </w:pPr>
      <w:r>
        <w:rPr>
          <w:b/>
          <w:bCs/>
        </w:rPr>
        <w:t xml:space="preserve">Funding</w:t>
      </w:r>
      <w:r>
        <w:t xml:space="preserve"> </w:t>
      </w:r>
      <w:r>
        <w:t xml:space="preserve">This work received no specific grant from any funding 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Declaration of competing interest</w:t>
      </w:r>
      <w:r>
        <w:t xml:space="preserve"> </w:t>
      </w:r>
      <w:r>
        <w:t xml:space="preserve">The author declares no competing interests.</w:t>
      </w:r>
    </w:p>
    <w:p>
      <w:pPr>
        <w:pStyle w:val="BodyText"/>
      </w:pPr>
      <w:r>
        <w:rPr>
          <w:b/>
          <w:bCs/>
        </w:rPr>
        <w:t xml:space="preserve">Data and code availability</w:t>
      </w:r>
      <w:r>
        <w:t xml:space="preserve"> </w:t>
      </w:r>
      <w:r>
        <w:t xml:space="preserve">All data analyzed are public. The complete analysis code and intermediate tables are released and reproduce every reported number (see the manuscript section</w:t>
      </w:r>
      <w:r>
        <w:t xml:space="preserve"> </w:t>
      </w:r>
      <w:r>
        <w:t xml:space="preserve">“Data and code availability”</w:t>
      </w:r>
      <w:r>
        <w:t xml:space="preserve"> </w:t>
      </w:r>
      <w:r>
        <w:t xml:space="preserve">and the Declarations).</w:t>
      </w:r>
    </w:p>
    <w:p>
      <w:pPr>
        <w:pStyle w:val="BodyText"/>
      </w:pPr>
      <w:r>
        <w:rPr>
          <w:b/>
          <w:bCs/>
        </w:rPr>
        <w:t xml:space="preserve">Use of generative AI</w:t>
      </w:r>
      <w:r>
        <w:t xml:space="preserve"> </w:t>
      </w:r>
      <w:r>
        <w:t xml:space="preserve">The author used an AI-assisted coding and writing tool, disclosed in full in the Declarations, and takes full responsibility for the content.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2026-06-26T00:47:46Z</dcterms:created>
  <dcterms:modified xsi:type="dcterms:W3CDTF">2026-06-26T00:47:46Z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