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declarations"/>
    <w:p>
      <w:pPr>
        <w:pStyle w:val="Heading1"/>
      </w:pPr>
      <w:r>
        <w:t xml:space="preserve">Declarations</w:t>
      </w:r>
    </w:p>
    <w:bookmarkStart w:id="9" w:name="Xd182db0490b2de20bd2b4e4cc8698599182035f"/>
    <w:p>
      <w:pPr>
        <w:pStyle w:val="Heading2"/>
      </w:pPr>
      <w:r>
        <w:t xml:space="preserve">Ethics approval and consent to participate</w:t>
      </w:r>
    </w:p>
    <w:p>
      <w:pPr>
        <w:pStyle w:val="FirstParagraph"/>
      </w:pPr>
      <w:r>
        <w:t xml:space="preserve">Not applicable. The study used only publicly available, previously published, de-identified or aggregate datasets (TCGA, DepMap, GEO, NODE-deposited proteogenomic cohorts, and OmniPath). No new human or animal data were collected, and no identifiable participant data were used.</w:t>
      </w:r>
    </w:p>
    <w:bookmarkEnd w:id="9"/>
    <w:bookmarkStart w:id="10" w:name="consent-for-publication"/>
    <w:p>
      <w:pPr>
        <w:pStyle w:val="Heading2"/>
      </w:pPr>
      <w:r>
        <w:t xml:space="preserve">Consent for publication</w:t>
      </w:r>
    </w:p>
    <w:p>
      <w:pPr>
        <w:pStyle w:val="FirstParagraph"/>
      </w:pPr>
      <w:r>
        <w:t xml:space="preserve">Not applicable.</w:t>
      </w:r>
    </w:p>
    <w:bookmarkEnd w:id="10"/>
    <w:bookmarkStart w:id="11" w:name="declaration-of-competing-interest"/>
    <w:p>
      <w:pPr>
        <w:pStyle w:val="Heading2"/>
      </w:pPr>
      <w:r>
        <w:t xml:space="preserve">Declaration of competing interest</w:t>
      </w:r>
    </w:p>
    <w:p>
      <w:pPr>
        <w:pStyle w:val="FirstParagraph"/>
      </w:pPr>
      <w:r>
        <w:t xml:space="preserve">The author declares no competing interests.</w:t>
      </w:r>
    </w:p>
    <w:bookmarkEnd w:id="11"/>
    <w:bookmarkStart w:id="12" w:name="funding"/>
    <w:p>
      <w:pPr>
        <w:pStyle w:val="Heading2"/>
      </w:pPr>
      <w:r>
        <w:t xml:space="preserve">Funding</w:t>
      </w:r>
    </w:p>
    <w:p>
      <w:pPr>
        <w:pStyle w:val="FirstParagraph"/>
      </w:pPr>
      <w:r>
        <w:t xml:space="preserve">This work received no specific grant from any funding agency in the public, commercial, or not-for-profit sectors.</w:t>
      </w:r>
    </w:p>
    <w:bookmarkEnd w:id="12"/>
    <w:bookmarkStart w:id="13" w:name="credit-author-contributions-statement"/>
    <w:p>
      <w:pPr>
        <w:pStyle w:val="Heading2"/>
      </w:pPr>
      <w:r>
        <w:t xml:space="preserve">CRediT author contributions statement</w:t>
      </w:r>
    </w:p>
    <w:p>
      <w:pPr>
        <w:pStyle w:val="FirstParagraph"/>
      </w:pPr>
      <w:r>
        <w:t xml:space="preserve">Anh Tuan Quan: Conceptualization, Data curation, Formal analysis, Investigation, Methodology, Software, Validation, Visualization, Writing - original draft, Writing - review and editing. The author is the sole contributor and holds all applicable roles.</w:t>
      </w:r>
    </w:p>
    <w:bookmarkEnd w:id="13"/>
    <w:bookmarkStart w:id="14" w:name="availability-of-data-and-materials"/>
    <w:p>
      <w:pPr>
        <w:pStyle w:val="Heading2"/>
      </w:pPr>
      <w:r>
        <w:t xml:space="preserve">Availability of data and materials</w:t>
      </w:r>
    </w:p>
    <w:p>
      <w:pPr>
        <w:pStyle w:val="FirstParagraph"/>
      </w:pPr>
      <w:r>
        <w:t xml:space="preserve">All datasets analyzed are public and openly accessible: NODE OEP000321 (Gao 2019 HCC proteogenomics) and NODE OEP001105 (Dong 2022 iCCA proteogenomics), with processed matrices in the respective journal supplementary tables; TCGA-LIHC, TCGA-CHOL, TCGA-KIRC, and TCGA-KIRP via the UCSC Xena GDC hub; GEO GSE241466 and GSE231854; the clear-cell renal cell carcinoma proteome (iProX IPX0001962000) and the papillary renal cell carcinoma proteome (PRIDE PXD013523); DepMap Public 24Q4 via figshare; and the OmniPath kinase-substrate network. The complete analysis code (Python 3.13), parsed intermediate matrices, per-gene result tables, figure-generation scripts, and manuscript build scripts are released at https://github.com/Goden26/single-cohort-proteogenomic-nonidentifiability and archived at Zenodo (DOI: 10.5281/zenodo.20888892); a single top-level script regenerates the stat files, tables, and figures.</w:t>
      </w:r>
    </w:p>
    <w:bookmarkEnd w:id="14"/>
    <w:bookmarkStart w:id="15" w:name="acknowledgements"/>
    <w:p>
      <w:pPr>
        <w:pStyle w:val="Heading2"/>
      </w:pPr>
      <w:r>
        <w:t xml:space="preserve">Acknowledgements</w:t>
      </w:r>
    </w:p>
    <w:p>
      <w:pPr>
        <w:pStyle w:val="FirstParagraph"/>
      </w:pPr>
      <w:r>
        <w:t xml:space="preserve">None.</w:t>
      </w:r>
    </w:p>
    <w:bookmarkEnd w:id="15"/>
    <w:bookmarkStart w:id="16" w:name="X909628ebf523ead0f9edcbbd4cdbd7daff543bb"/>
    <w:p>
      <w:pPr>
        <w:pStyle w:val="Heading2"/>
      </w:pPr>
      <w:r>
        <w:t xml:space="preserve">Use of generative AI and AI-assisted technologies (disclosure)</w:t>
      </w:r>
    </w:p>
    <w:p>
      <w:pPr>
        <w:pStyle w:val="FirstParagraph"/>
      </w:pPr>
      <w:r>
        <w:t xml:space="preserve">During the preparation of this work the author used an AI-assisted coding and writing tool (Anthropic Claude, accessed through the Claude Code interface) to help locate and download public datasets, to write and debug the Python analysis code, to draft and revise the manuscript text, and to run an internal simulated peer review that guided the analysis and the writing. After using this tool the author reviewed and edited the content as needed, directed every analysis, verified that all reported statistics were produced by the released code, independently confirmed that all 24 cited references are real and correctly attributed (PubMed identifiers are listed), and takes full responsibility for the content, the interpretation, and the conclusions. No data, results, or citations were generated without verification against the primary source or the released pipeline.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000000"/>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000000"/>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2026-06-26T11:59:06Z</dcterms:created>
  <dcterms:modified xsi:type="dcterms:W3CDTF">2026-06-26T11:59:06Z</dcterms:modified>
</cp:coreProperties>
</file>

<file path=docProps/custom.xml><?xml version="1.0" encoding="utf-8"?>
<Properties xmlns="http://schemas.openxmlformats.org/officeDocument/2006/custom-properties" xmlns:vt="http://schemas.openxmlformats.org/officeDocument/2006/docPropsVTypes"/>
</file>