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suggested-reviewers"/>
    <w:p>
      <w:pPr>
        <w:pStyle w:val="Heading1"/>
      </w:pPr>
      <w:r>
        <w:t xml:space="preserve">Suggested reviewers</w:t>
      </w:r>
    </w:p>
    <w:p>
      <w:pPr>
        <w:pStyle w:val="FirstParagraph"/>
      </w:pPr>
      <w:r>
        <w:t xml:space="preserve">JBI does not want suggested reviewers inside the cover letter; the system requests them separately if needed. This is a candidate list of real, senior experts whose own methods this paper builds on or stress-tests. Before entering any name, VERIFY the current affiliation and email, and exclude anyone with a conflict of interest (recent co-authorship, same institution, or a mentor/mentee relationship). The author has no co-authors, which simplifies conflict checks.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Jeffrey T. Leek</w:t>
      </w:r>
      <w:r>
        <w:t xml:space="preserve"> </w:t>
      </w:r>
      <w:r>
        <w:t xml:space="preserve">- batch effects and surrogate variable analysis (lead author of the sva package, cited as ref [23]). Authority on confounding and unwanted variation in high-throughput data. (Verify current affiliation; recently at Fred Hutchinson Cancer Center, Seattle, USA.)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W. Evan Johnson</w:t>
      </w:r>
      <w:r>
        <w:t xml:space="preserve"> </w:t>
      </w:r>
      <w:r>
        <w:t xml:space="preserve">- empirical-Bayes batch correction (lead author of ComBat, ref [13], which this paper stress-tests and shows cannot rescue perfect aliasing). Ideal to judge the ComBat failure-mode analysis. (Verify current affiliation; Rutgers, USA.)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Johann A. Gagnon-Bartsch</w:t>
      </w:r>
      <w:r>
        <w:t xml:space="preserve"> </w:t>
      </w:r>
      <w:r>
        <w:t xml:space="preserve">- removing unwanted variation with negative controls (co-developer of RUV, ref [21]). Suited to evaluate the batch-free anchor calibration. (University of Michigan, Department of Statistics, USA; verify.)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Julio Saez-Rodriguez</w:t>
      </w:r>
      <w:r>
        <w:t xml:space="preserve"> </w:t>
      </w:r>
      <w:r>
        <w:t xml:space="preserve">- multi-omics integration and activity inference (senior author of OmniPath, ref [9], and decoupleR, ref [12], used here for kinase-activity inference). Can assess the proteogenomic integration methodology. (Heidelberg University, Faculty of Medicine, Germany; verify.)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Bing Zhang</w:t>
      </w:r>
      <w:r>
        <w:t xml:space="preserve"> </w:t>
      </w:r>
      <w:r>
        <w:t xml:space="preserve">- proteogenomics and mRNA-protein concordance (senior author of the proteogenomic concordance work cited as ref [24]). Expert on the mRNA-protein anchor check that this paper calibrates. (Baylor College of Medicine, USA; verify.)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Terence P. Speed</w:t>
      </w:r>
      <w:r>
        <w:t xml:space="preserve"> </w:t>
      </w:r>
      <w:r>
        <w:t xml:space="preserve">- statistical genomics and removing unwanted variation (co-developer of RUV, ref [21]). Senior authority on identifiability and control-based validation of contrasts. (Walter and Eliza Hall Institute, Australia; confirm career stage and availability before suggesting.)</w:t>
      </w:r>
    </w:p>
    <w:p>
      <w:pPr>
        <w:pStyle w:val="FirstParagraph"/>
      </w:pPr>
      <w:r>
        <w:t xml:space="preserve">Notes: items 1 to 3 and 5 are the strongest fits for the identifiability/batch-effect core; item 4 best covers the proteogenomic-integration methods; item 6 is a senior statistician whose availability should be confirmed. Provide three to five of these depending on the submission system limit.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000000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00000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00000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00000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00000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00000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000000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000000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000000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000000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00000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00000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00000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00000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0000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00000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00000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00000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000000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000000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00000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Times New Roman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Times New Roman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2026-06-26T12:17:17Z</dcterms:created>
  <dcterms:modified xsi:type="dcterms:W3CDTF">2026-06-26T12:17:17Z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