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84"/>
        <w:spacing w:before="56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</w:rPr>
        <w:t>“一利五率”框架下中国电信经营目标对标分析</w:t>
      </w:r>
    </w:p>
    <w:p>
      <w:pPr>
        <w:pStyle w:val="BodyText"/>
        <w:ind w:left="24" w:firstLine="478"/>
        <w:spacing w:before="209" w:line="359" w:lineRule="auto"/>
        <w:jc w:val="both"/>
        <w:rPr/>
      </w:pPr>
      <w:r>
        <w:rPr>
          <w:spacing w:val="-9"/>
        </w:rPr>
        <w:t>4</w:t>
      </w:r>
      <w:r>
        <w:rPr>
          <w:spacing w:val="-38"/>
        </w:rPr>
        <w:t xml:space="preserve"> </w:t>
      </w:r>
      <w:r>
        <w:rPr>
          <w:spacing w:val="-9"/>
        </w:rPr>
        <w:t>月</w:t>
      </w:r>
      <w:r>
        <w:rPr>
          <w:spacing w:val="-33"/>
        </w:rPr>
        <w:t xml:space="preserve"> </w:t>
      </w:r>
      <w:r>
        <w:rPr>
          <w:spacing w:val="-9"/>
        </w:rPr>
        <w:t>18 日，国资委召开会议，与中央企业负责人签订</w:t>
      </w:r>
      <w:r>
        <w:rPr>
          <w:spacing w:val="-47"/>
        </w:rPr>
        <w:t xml:space="preserve"> </w:t>
      </w:r>
      <w:r>
        <w:rPr>
          <w:spacing w:val="-9"/>
        </w:rPr>
        <w:t>2025</w:t>
      </w:r>
      <w:r>
        <w:rPr>
          <w:spacing w:val="-50"/>
        </w:rPr>
        <w:t xml:space="preserve"> </w:t>
      </w:r>
      <w:r>
        <w:rPr>
          <w:spacing w:val="-9"/>
        </w:rPr>
        <w:t>年度和</w:t>
      </w:r>
      <w:r>
        <w:rPr>
          <w:spacing w:val="-47"/>
        </w:rPr>
        <w:t xml:space="preserve"> </w:t>
      </w:r>
      <w:r>
        <w:rPr>
          <w:spacing w:val="-9"/>
        </w:rPr>
        <w:t>2025-2027</w:t>
      </w:r>
      <w:r>
        <w:rPr>
          <w:spacing w:val="4"/>
        </w:rPr>
        <w:t>年任期经营业绩责任书。会议再次强调，各中央企业要锚</w:t>
      </w:r>
      <w:r>
        <w:rPr>
          <w:spacing w:val="3"/>
        </w:rPr>
        <w:t>定“一增一稳四提升”</w:t>
      </w:r>
      <w:r>
        <w:rPr>
          <w:spacing w:val="-7"/>
        </w:rPr>
        <w:t>目标不放松，奋发进取、真抓实干，</w:t>
      </w:r>
      <w:r>
        <w:rPr>
          <w:spacing w:val="-32"/>
        </w:rPr>
        <w:t xml:space="preserve"> </w:t>
      </w:r>
      <w:r>
        <w:rPr>
          <w:spacing w:val="-7"/>
        </w:rPr>
        <w:t>全力以赴完成好今年各项目标任务。20</w:t>
      </w:r>
      <w:r>
        <w:rPr>
          <w:spacing w:val="-8"/>
        </w:rPr>
        <w:t>24</w:t>
      </w:r>
      <w:r>
        <w:rPr>
          <w:spacing w:val="-50"/>
        </w:rPr>
        <w:t xml:space="preserve"> </w:t>
      </w:r>
      <w:r>
        <w:rPr>
          <w:spacing w:val="-8"/>
        </w:rPr>
        <w:t>年</w:t>
      </w:r>
      <w:r>
        <w:rPr/>
        <w:t xml:space="preserve"> </w:t>
      </w:r>
      <w:r>
        <w:rPr>
          <w:spacing w:val="-2"/>
        </w:rPr>
        <w:t>12</w:t>
      </w:r>
      <w:r>
        <w:rPr>
          <w:spacing w:val="-44"/>
        </w:rPr>
        <w:t xml:space="preserve"> </w:t>
      </w:r>
      <w:r>
        <w:rPr>
          <w:spacing w:val="-2"/>
        </w:rPr>
        <w:t>月，国资委公布了</w:t>
      </w:r>
      <w:r>
        <w:rPr>
          <w:spacing w:val="-48"/>
        </w:rPr>
        <w:t xml:space="preserve"> </w:t>
      </w:r>
      <w:r>
        <w:rPr>
          <w:spacing w:val="-2"/>
        </w:rPr>
        <w:t>2025</w:t>
      </w:r>
      <w:r>
        <w:rPr>
          <w:spacing w:val="-49"/>
        </w:rPr>
        <w:t xml:space="preserve"> </w:t>
      </w:r>
      <w:r>
        <w:rPr>
          <w:spacing w:val="-2"/>
        </w:rPr>
        <w:t>年最新版“一利五率”考核</w:t>
      </w:r>
      <w:r>
        <w:rPr>
          <w:spacing w:val="-3"/>
        </w:rPr>
        <w:t>指标，就提出“一增一稳</w:t>
      </w:r>
      <w:r>
        <w:rPr>
          <w:spacing w:val="-1"/>
        </w:rPr>
        <w:t>四提升”的总要求</w:t>
      </w:r>
      <w:r>
        <w:rPr>
          <w:sz w:val="12"/>
          <w:szCs w:val="12"/>
          <w:spacing w:val="-1"/>
          <w:position w:val="11"/>
        </w:rPr>
        <w:t>1</w:t>
      </w:r>
      <w:r>
        <w:rPr>
          <w:spacing w:val="-1"/>
        </w:rPr>
        <w:t>。</w:t>
      </w:r>
    </w:p>
    <w:p>
      <w:pPr>
        <w:pStyle w:val="BodyText"/>
        <w:ind w:left="24" w:right="233" w:firstLine="462"/>
        <w:spacing w:before="6" w:line="358" w:lineRule="auto"/>
        <w:jc w:val="both"/>
        <w:rPr/>
      </w:pPr>
      <w:r>
        <w:rPr>
          <w:spacing w:val="-3"/>
        </w:rPr>
        <w:t>“一增一稳四提升”是“一利五率”指标体系的目标要求，是</w:t>
      </w:r>
      <w:r>
        <w:rPr>
          <w:b/>
          <w:bCs/>
          <w:spacing w:val="-3"/>
        </w:rPr>
        <w:t>以利润</w:t>
      </w:r>
      <w:r>
        <w:rPr>
          <w:b/>
          <w:bCs/>
          <w:spacing w:val="-4"/>
        </w:rPr>
        <w:t>创造为</w:t>
      </w:r>
      <w:r>
        <w:rPr>
          <w:b/>
          <w:bCs/>
          <w:spacing w:val="-5"/>
        </w:rPr>
        <w:t>牵引（利润总额、净资产收益率</w:t>
      </w:r>
      <w:r>
        <w:rPr>
          <w:b/>
          <w:bCs/>
          <w:spacing w:val="-36"/>
        </w:rPr>
        <w:t>），</w:t>
      </w:r>
      <w:r>
        <w:rPr>
          <w:spacing w:val="-68"/>
        </w:rPr>
        <w:t xml:space="preserve"> </w:t>
      </w:r>
      <w:r>
        <w:rPr>
          <w:b/>
          <w:bCs/>
          <w:spacing w:val="-5"/>
        </w:rPr>
        <w:t>以风险管控为保障（</w:t>
      </w:r>
      <w:r>
        <w:rPr>
          <w:b/>
          <w:bCs/>
          <w:spacing w:val="-6"/>
        </w:rPr>
        <w:t>营业收现率、资产负债</w:t>
      </w:r>
      <w:r>
        <w:rPr>
          <w:b/>
          <w:bCs/>
          <w:spacing w:val="-5"/>
        </w:rPr>
        <w:t>率</w:t>
      </w:r>
      <w:r>
        <w:rPr>
          <w:b/>
          <w:bCs/>
          <w:spacing w:val="-63"/>
        </w:rPr>
        <w:t>），</w:t>
      </w:r>
      <w:r>
        <w:rPr>
          <w:b/>
          <w:bCs/>
          <w:spacing w:val="-5"/>
        </w:rPr>
        <w:t>以科创人才为驱动（全员劳动生产率、研发经费投入强度</w:t>
      </w:r>
      <w:r>
        <w:rPr>
          <w:b/>
          <w:bCs/>
          <w:spacing w:val="-63"/>
        </w:rPr>
        <w:t>）</w:t>
      </w:r>
      <w:r>
        <w:rPr>
          <w:spacing w:val="-63"/>
        </w:rPr>
        <w:t>，</w:t>
      </w:r>
      <w:r>
        <w:rPr>
          <w:spacing w:val="-5"/>
        </w:rPr>
        <w:t>是</w:t>
      </w:r>
      <w:r>
        <w:rPr>
          <w:spacing w:val="-6"/>
        </w:rPr>
        <w:t>国资委引导</w:t>
      </w:r>
      <w:r>
        <w:rPr>
          <w:spacing w:val="-3"/>
        </w:rPr>
        <w:t>中央企业高质量发展的重要指导。基于“一利五率”框架，开展中国电信经营目</w:t>
      </w:r>
      <w:r>
        <w:rPr>
          <w:spacing w:val="-5"/>
        </w:rPr>
        <w:t>标对标</w:t>
      </w:r>
      <w:r>
        <w:rPr>
          <w:sz w:val="12"/>
          <w:szCs w:val="12"/>
          <w:spacing w:val="-5"/>
          <w:position w:val="11"/>
        </w:rPr>
        <w:t>2</w:t>
      </w:r>
      <w:r>
        <w:rPr>
          <w:spacing w:val="-5"/>
        </w:rPr>
        <w:t>分析，进一步突出对标结果的问题导向和目标导向，为企业经营决策提供</w:t>
      </w:r>
      <w:r>
        <w:rPr>
          <w:spacing w:val="-1"/>
        </w:rPr>
        <w:t>更具有针对性的参考。</w:t>
      </w:r>
    </w:p>
    <w:p>
      <w:pPr>
        <w:pStyle w:val="BodyText"/>
        <w:ind w:left="28" w:right="588" w:firstLine="481"/>
        <w:spacing w:before="1" w:line="289" w:lineRule="auto"/>
        <w:outlineLvl w:val="1"/>
        <w:rPr/>
      </w:pPr>
      <w:r>
        <w:rPr>
          <w:b/>
          <w:bCs/>
          <w:spacing w:val="-2"/>
        </w:rPr>
        <w:t>一、现状：中国电信研发经费投入强度领先，中国移动利润创造能力领</w:t>
      </w:r>
      <w:r>
        <w:rPr>
          <w:b/>
          <w:bCs/>
          <w:spacing w:val="-10"/>
        </w:rPr>
        <w:t>先。</w:t>
      </w:r>
    </w:p>
    <w:p>
      <w:pPr>
        <w:pStyle w:val="BodyText"/>
        <w:ind w:left="22" w:right="293" w:firstLine="488"/>
        <w:spacing w:before="184" w:line="358" w:lineRule="auto"/>
        <w:jc w:val="both"/>
        <w:rPr/>
      </w:pPr>
      <w:r>
        <w:rPr>
          <w:spacing w:val="-2"/>
        </w:rPr>
        <w:t>2024</w:t>
      </w:r>
      <w:r>
        <w:rPr>
          <w:spacing w:val="-50"/>
        </w:rPr>
        <w:t xml:space="preserve"> </w:t>
      </w:r>
      <w:r>
        <w:rPr>
          <w:spacing w:val="-2"/>
        </w:rPr>
        <w:t>年，中国电信研发经费投入强度</w:t>
      </w:r>
      <w:r>
        <w:rPr>
          <w:spacing w:val="-47"/>
        </w:rPr>
        <w:t xml:space="preserve"> </w:t>
      </w:r>
      <w:r>
        <w:rPr>
          <w:spacing w:val="-2"/>
        </w:rPr>
        <w:t>2.8%，略高于中国移动和中国联通。</w:t>
      </w:r>
      <w:r>
        <w:rPr>
          <w:spacing w:val="-1"/>
        </w:rPr>
        <w:t>根据国资委研发经费投入强度同比提升的要求，2025</w:t>
      </w:r>
      <w:r>
        <w:rPr>
          <w:spacing w:val="-32"/>
        </w:rPr>
        <w:t xml:space="preserve"> </w:t>
      </w:r>
      <w:r>
        <w:rPr>
          <w:spacing w:val="-1"/>
        </w:rPr>
        <w:t>年研发经费增速仍可高于</w:t>
      </w:r>
      <w:r>
        <w:rPr/>
        <w:t>营业收入增速。利润创造能力中国移动仍具有较强的领先优</w:t>
      </w:r>
      <w:r>
        <w:rPr>
          <w:spacing w:val="-1"/>
        </w:rPr>
        <w:t>势，净资产收益率</w:t>
      </w:r>
      <w:r>
        <w:rPr>
          <w:spacing w:val="-3"/>
        </w:rPr>
        <w:t>达到</w:t>
      </w:r>
      <w:r>
        <w:rPr>
          <w:spacing w:val="-19"/>
        </w:rPr>
        <w:t xml:space="preserve"> </w:t>
      </w:r>
      <w:r>
        <w:rPr>
          <w:spacing w:val="-3"/>
        </w:rPr>
        <w:t>10%，利润份额占比</w:t>
      </w:r>
      <w:r>
        <w:rPr>
          <w:spacing w:val="-45"/>
        </w:rPr>
        <w:t xml:space="preserve"> </w:t>
      </w:r>
      <w:r>
        <w:rPr>
          <w:spacing w:val="-3"/>
        </w:rPr>
        <w:t>70%以上，全员劳动生产率</w:t>
      </w:r>
      <w:r>
        <w:rPr>
          <w:sz w:val="12"/>
          <w:szCs w:val="12"/>
          <w:spacing w:val="-3"/>
          <w:position w:val="11"/>
        </w:rPr>
        <w:t>3</w:t>
      </w:r>
      <w:r>
        <w:rPr>
          <w:spacing w:val="-3"/>
        </w:rPr>
        <w:t>超过百万。</w:t>
      </w:r>
    </w:p>
    <w:p>
      <w:pPr>
        <w:pStyle w:val="BodyText"/>
        <w:ind w:left="21"/>
        <w:spacing w:before="1" w:line="220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表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b/>
          <w:bCs/>
          <w:spacing w:val="-3"/>
        </w:rPr>
        <w:t>1：2024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-3"/>
        </w:rPr>
        <w:t>年三家运营商“一利五率”指标</w:t>
      </w:r>
      <w:r>
        <w:rPr>
          <w:sz w:val="21"/>
          <w:szCs w:val="21"/>
          <w:b/>
          <w:bCs/>
          <w:spacing w:val="-4"/>
        </w:rPr>
        <w:t>比较</w:t>
      </w:r>
    </w:p>
    <w:p>
      <w:pPr>
        <w:spacing w:line="127" w:lineRule="exact"/>
        <w:rPr/>
      </w:pPr>
      <w:r/>
    </w:p>
    <w:tbl>
      <w:tblPr>
        <w:tblStyle w:val="TableNormal"/>
        <w:tblW w:w="808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22"/>
        <w:gridCol w:w="1121"/>
        <w:gridCol w:w="875"/>
        <w:gridCol w:w="991"/>
        <w:gridCol w:w="1132"/>
        <w:gridCol w:w="1701"/>
        <w:gridCol w:w="1140"/>
      </w:tblGrid>
      <w:tr>
        <w:trPr>
          <w:trHeight w:val="1233" w:hRule="atLeast"/>
        </w:trPr>
        <w:tc>
          <w:tcPr>
            <w:tcW w:w="11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1" w:type="dxa"/>
            <w:vAlign w:val="top"/>
          </w:tcPr>
          <w:p>
            <w:pPr>
              <w:pStyle w:val="TableText"/>
              <w:ind w:left="353"/>
              <w:spacing w:before="34" w:line="221" w:lineRule="auto"/>
              <w:rPr/>
            </w:pPr>
            <w:r>
              <w:rPr>
                <w:b/>
                <w:bCs/>
                <w:spacing w:val="-4"/>
              </w:rPr>
              <w:t>利润</w:t>
            </w:r>
          </w:p>
          <w:p>
            <w:pPr>
              <w:pStyle w:val="TableText"/>
              <w:ind w:left="149" w:right="150" w:firstLine="208"/>
              <w:spacing w:before="158" w:line="342" w:lineRule="auto"/>
              <w:rPr/>
            </w:pPr>
            <w:r>
              <w:rPr>
                <w:b/>
                <w:bCs/>
                <w:spacing w:val="-8"/>
              </w:rPr>
              <w:t>总额</w:t>
            </w:r>
            <w:r>
              <w:rPr>
                <w:b/>
                <w:bCs/>
                <w:spacing w:val="-9"/>
              </w:rPr>
              <w:t>（亿元）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132" w:right="119" w:firstLine="106"/>
              <w:spacing w:before="33" w:line="363" w:lineRule="auto"/>
              <w:rPr/>
            </w:pPr>
            <w:r>
              <w:rPr>
                <w:b/>
                <w:bCs/>
                <w:spacing w:val="-10"/>
              </w:rPr>
              <w:t>资产</w:t>
            </w:r>
            <w:r>
              <w:rPr>
                <w:b/>
                <w:bCs/>
                <w:spacing w:val="-7"/>
              </w:rPr>
              <w:t>负债率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89" w:right="177" w:hanging="4"/>
              <w:spacing w:before="33" w:line="363" w:lineRule="auto"/>
              <w:rPr/>
            </w:pPr>
            <w:r>
              <w:rPr>
                <w:b/>
                <w:bCs/>
                <w:spacing w:val="-5"/>
              </w:rPr>
              <w:t>净资产</w:t>
            </w:r>
            <w:r>
              <w:rPr>
                <w:b/>
                <w:bCs/>
                <w:spacing w:val="-7"/>
              </w:rPr>
              <w:t>收益率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52" w:right="140" w:hanging="2"/>
              <w:spacing w:before="34" w:line="363" w:lineRule="auto"/>
              <w:rPr/>
            </w:pPr>
            <w:r>
              <w:rPr>
                <w:b/>
                <w:bCs/>
                <w:spacing w:val="-4"/>
              </w:rPr>
              <w:t>研发经费</w:t>
            </w:r>
            <w:r>
              <w:rPr>
                <w:b/>
                <w:bCs/>
                <w:spacing w:val="-4"/>
              </w:rPr>
              <w:t>投入强度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540" w:right="422" w:hanging="104"/>
              <w:spacing w:before="33" w:line="360" w:lineRule="auto"/>
              <w:rPr/>
            </w:pPr>
            <w:r>
              <w:rPr>
                <w:b/>
                <w:bCs/>
                <w:spacing w:val="-4"/>
              </w:rPr>
              <w:t>全员劳动</w:t>
            </w:r>
            <w:r>
              <w:rPr>
                <w:b/>
                <w:bCs/>
                <w:spacing w:val="-4"/>
              </w:rPr>
              <w:t>生产率</w:t>
            </w:r>
          </w:p>
          <w:p>
            <w:pPr>
              <w:pStyle w:val="TableText"/>
              <w:ind w:left="179"/>
              <w:spacing w:line="221" w:lineRule="auto"/>
              <w:rPr/>
            </w:pPr>
            <w:r>
              <w:rPr>
                <w:b/>
                <w:bCs/>
                <w:spacing w:val="-5"/>
              </w:rPr>
              <w:t>（万元/员工）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65" w:right="251" w:firstLine="104"/>
              <w:spacing w:before="33" w:line="363" w:lineRule="auto"/>
              <w:rPr/>
            </w:pPr>
            <w:r>
              <w:rPr>
                <w:b/>
                <w:bCs/>
                <w:spacing w:val="-9"/>
              </w:rPr>
              <w:t>营业</w:t>
            </w:r>
            <w:r>
              <w:rPr>
                <w:b/>
                <w:bCs/>
                <w:spacing w:val="-7"/>
              </w:rPr>
              <w:t>收现率</w:t>
            </w:r>
          </w:p>
        </w:tc>
      </w:tr>
      <w:tr>
        <w:trPr>
          <w:trHeight w:val="412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135"/>
              <w:spacing w:before="32" w:line="221" w:lineRule="auto"/>
              <w:rPr/>
            </w:pPr>
            <w:r>
              <w:rPr>
                <w:b/>
                <w:bCs/>
                <w:spacing w:val="-7"/>
              </w:rPr>
              <w:t>中国联通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410"/>
              <w:spacing w:before="32" w:line="241" w:lineRule="auto"/>
              <w:rPr/>
            </w:pPr>
            <w:r>
              <w:rPr>
                <w:spacing w:val="-2"/>
              </w:rPr>
              <w:t>251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179"/>
              <w:spacing w:before="32"/>
              <w:rPr/>
            </w:pPr>
            <w:r>
              <w:rPr/>
              <w:t>45.2%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95"/>
              <w:spacing w:before="32"/>
              <w:rPr/>
            </w:pPr>
            <w:r>
              <w:rPr>
                <w:spacing w:val="-2"/>
              </w:rPr>
              <w:t>5.7%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64"/>
              <w:spacing w:before="32"/>
              <w:rPr/>
            </w:pPr>
            <w:r>
              <w:rPr>
                <w:spacing w:val="-1"/>
              </w:rPr>
              <w:t>2.3%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653"/>
              <w:spacing w:before="32"/>
              <w:rPr/>
            </w:pPr>
            <w:r>
              <w:rPr>
                <w:spacing w:val="-3"/>
              </w:rPr>
              <w:t>71.7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73"/>
              <w:spacing w:before="32"/>
              <w:rPr/>
            </w:pPr>
            <w:r>
              <w:rPr>
                <w:spacing w:val="-2"/>
              </w:rPr>
              <w:t>101.1%</w:t>
            </w:r>
          </w:p>
        </w:tc>
      </w:tr>
      <w:tr>
        <w:trPr>
          <w:trHeight w:val="415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135"/>
              <w:spacing w:before="36" w:line="221" w:lineRule="auto"/>
              <w:rPr/>
            </w:pPr>
            <w:r>
              <w:rPr>
                <w:b/>
                <w:bCs/>
                <w:spacing w:val="-7"/>
              </w:rPr>
              <w:t>中国移动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370"/>
              <w:spacing w:before="35" w:line="241" w:lineRule="auto"/>
              <w:rPr/>
            </w:pPr>
            <w:r>
              <w:rPr>
                <w:spacing w:val="-5"/>
              </w:rPr>
              <w:t>1784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184"/>
              <w:spacing w:before="36"/>
              <w:rPr/>
            </w:pPr>
            <w:r>
              <w:rPr>
                <w:spacing w:val="-1"/>
              </w:rPr>
              <w:t>34.3%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54"/>
              <w:spacing w:before="36"/>
              <w:rPr/>
            </w:pPr>
            <w:r>
              <w:rPr>
                <w:spacing w:val="-5"/>
              </w:rPr>
              <w:t>10.4%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64"/>
              <w:spacing w:before="36"/>
              <w:rPr/>
            </w:pPr>
            <w:r>
              <w:rPr>
                <w:spacing w:val="-1"/>
              </w:rPr>
              <w:t>2.7%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610"/>
              <w:spacing w:before="36"/>
              <w:rPr/>
            </w:pPr>
            <w:r>
              <w:rPr>
                <w:spacing w:val="-4"/>
              </w:rPr>
              <w:t>117.4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73"/>
              <w:spacing w:before="36"/>
              <w:rPr/>
            </w:pPr>
            <w:r>
              <w:rPr>
                <w:spacing w:val="-3"/>
              </w:rPr>
              <w:t>103.6%</w:t>
            </w:r>
          </w:p>
        </w:tc>
      </w:tr>
      <w:tr>
        <w:trPr>
          <w:trHeight w:val="416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135"/>
              <w:spacing w:before="33" w:line="221" w:lineRule="auto"/>
              <w:rPr/>
            </w:pPr>
            <w:r>
              <w:rPr>
                <w:b/>
                <w:bCs/>
                <w:spacing w:val="-7"/>
              </w:rPr>
              <w:t>中国电信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407"/>
              <w:spacing w:before="33" w:line="242" w:lineRule="auto"/>
              <w:rPr/>
            </w:pPr>
            <w:r>
              <w:rPr>
                <w:spacing w:val="-2"/>
              </w:rPr>
              <w:t>422</w:t>
            </w:r>
          </w:p>
        </w:tc>
        <w:tc>
          <w:tcPr>
            <w:tcW w:w="875" w:type="dxa"/>
            <w:vAlign w:val="top"/>
          </w:tcPr>
          <w:p>
            <w:pPr>
              <w:pStyle w:val="TableText"/>
              <w:ind w:left="179"/>
              <w:spacing w:before="33"/>
              <w:rPr/>
            </w:pPr>
            <w:r>
              <w:rPr/>
              <w:t>47.3%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96"/>
              <w:spacing w:before="33"/>
              <w:rPr/>
            </w:pPr>
            <w:r>
              <w:rPr>
                <w:spacing w:val="-2"/>
              </w:rPr>
              <w:t>7.3%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364"/>
              <w:spacing w:before="33"/>
              <w:rPr/>
            </w:pPr>
            <w:r>
              <w:rPr>
                <w:spacing w:val="-2"/>
              </w:rPr>
              <w:t>2.8%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649"/>
              <w:spacing w:before="33"/>
              <w:rPr/>
            </w:pPr>
            <w:r>
              <w:rPr>
                <w:spacing w:val="-2"/>
              </w:rPr>
              <w:t>87.8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273"/>
              <w:spacing w:before="33"/>
              <w:rPr/>
            </w:pPr>
            <w:r>
              <w:rPr>
                <w:spacing w:val="-3"/>
              </w:rPr>
              <w:t>102.3%</w:t>
            </w:r>
          </w:p>
        </w:tc>
      </w:tr>
    </w:tbl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510"/>
        <w:spacing w:before="79" w:line="219" w:lineRule="auto"/>
        <w:outlineLvl w:val="2"/>
        <w:rPr/>
      </w:pPr>
      <w:r>
        <w:rPr>
          <w:b/>
          <w:bCs/>
          <w:spacing w:val="-2"/>
        </w:rPr>
        <w:t>二、利润创造能力：中国电信持续向好，与中国移动差距成逐年缩小趋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>
        <w:pict>
          <v:shape id="_x0000_s2" style="position:absolute;margin-left:0.72599pt;margin-top:9.33577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pStyle w:val="BodyText"/>
        <w:ind w:left="26" w:right="328" w:hanging="5"/>
        <w:spacing w:before="60" w:line="244" w:lineRule="auto"/>
        <w:rPr>
          <w:sz w:val="18"/>
          <w:szCs w:val="18"/>
        </w:rPr>
      </w:pPr>
      <w:r>
        <w:rPr>
          <w:rFonts w:ascii="DengXian" w:hAnsi="DengXian" w:eastAsia="DengXian" w:cs="DengXian"/>
          <w:sz w:val="9"/>
          <w:szCs w:val="9"/>
          <w:spacing w:val="-1"/>
          <w:position w:val="9"/>
        </w:rPr>
        <w:t>1    </w:t>
      </w:r>
      <w:r>
        <w:rPr>
          <w:sz w:val="18"/>
          <w:szCs w:val="18"/>
          <w:spacing w:val="-1"/>
        </w:rPr>
        <w:t>利润总额稳定增长，资产负债率保持总体稳定，净资产收益率、研发经费投入强度、全员劳动生产率、</w:t>
      </w:r>
      <w:r>
        <w:rPr>
          <w:sz w:val="18"/>
          <w:szCs w:val="18"/>
          <w:spacing w:val="-2"/>
        </w:rPr>
        <w:t>营业收现率同比提升。</w:t>
      </w:r>
    </w:p>
    <w:p>
      <w:pPr>
        <w:pStyle w:val="BodyText"/>
        <w:ind w:left="19"/>
        <w:spacing w:before="3" w:line="234" w:lineRule="auto"/>
        <w:rPr>
          <w:sz w:val="18"/>
          <w:szCs w:val="18"/>
        </w:rPr>
      </w:pPr>
      <w:r>
        <w:rPr>
          <w:sz w:val="9"/>
          <w:szCs w:val="9"/>
          <w:spacing w:val="-1"/>
          <w:position w:val="8"/>
        </w:rPr>
        <w:t>2  </w:t>
      </w:r>
      <w:r>
        <w:rPr>
          <w:sz w:val="18"/>
          <w:szCs w:val="18"/>
          <w:spacing w:val="-1"/>
        </w:rPr>
        <w:t>本分析数据来自公开年报。</w:t>
      </w:r>
    </w:p>
    <w:p>
      <w:pPr>
        <w:pStyle w:val="BodyText"/>
        <w:ind w:left="26" w:right="301" w:hanging="7"/>
        <w:spacing w:before="4" w:line="238" w:lineRule="auto"/>
        <w:rPr>
          <w:sz w:val="18"/>
          <w:szCs w:val="18"/>
        </w:rPr>
      </w:pPr>
      <w:r>
        <w:rPr>
          <w:sz w:val="9"/>
          <w:szCs w:val="9"/>
          <w:position w:val="9"/>
        </w:rPr>
        <w:t>3  </w:t>
      </w:r>
      <w:r>
        <w:rPr>
          <w:sz w:val="18"/>
          <w:szCs w:val="18"/>
        </w:rPr>
        <w:t>全员劳动生产率=劳动生产总值/本年平均从业人员人数，劳动生产总值=劳动者报酬+资产折旧+生产</w:t>
      </w:r>
      <w:r>
        <w:rPr>
          <w:sz w:val="18"/>
          <w:szCs w:val="18"/>
          <w:spacing w:val="-1"/>
        </w:rPr>
        <w:t>税+</w:t>
      </w:r>
      <w:r>
        <w:rPr>
          <w:sz w:val="18"/>
          <w:szCs w:val="18"/>
          <w:spacing w:val="-1"/>
        </w:rPr>
        <w:t>营业盈余，数据参考相关财报科目计算。</w:t>
      </w:r>
    </w:p>
    <w:p>
      <w:pPr>
        <w:spacing w:line="238" w:lineRule="auto"/>
        <w:sectPr>
          <w:pgSz w:w="11907" w:h="16839"/>
          <w:pgMar w:top="1421" w:right="1564" w:bottom="0" w:left="1785" w:header="0" w:footer="0" w:gutter="0"/>
        </w:sectPr>
        <w:rPr>
          <w:sz w:val="18"/>
          <w:szCs w:val="18"/>
        </w:rPr>
      </w:pPr>
    </w:p>
    <w:p>
      <w:pPr>
        <w:pStyle w:val="BodyText"/>
        <w:ind w:left="29"/>
        <w:spacing w:before="47" w:line="220" w:lineRule="auto"/>
        <w:rPr/>
      </w:pPr>
      <w:r>
        <w:rPr>
          <w:b/>
          <w:bCs/>
          <w:spacing w:val="-11"/>
        </w:rPr>
        <w:t>势。</w:t>
      </w:r>
    </w:p>
    <w:p>
      <w:pPr>
        <w:pStyle w:val="BodyText"/>
        <w:ind w:left="23" w:right="296" w:firstLine="479"/>
        <w:spacing w:before="180" w:line="355" w:lineRule="auto"/>
        <w:jc w:val="both"/>
        <w:rPr/>
      </w:pPr>
      <w:r>
        <w:rPr/>
        <w:t>基于历史原因，中国电信利润创造能力低于中国移动</w:t>
      </w:r>
      <w:r>
        <w:rPr>
          <w:spacing w:val="-1"/>
        </w:rPr>
        <w:t>。但近三年中国电信</w:t>
      </w:r>
      <w:r>
        <w:rPr>
          <w:spacing w:val="-2"/>
        </w:rPr>
        <w:t>呈现了持续向好趋势，利润总额复合增长率</w:t>
      </w:r>
      <w:r>
        <w:rPr>
          <w:spacing w:val="-45"/>
        </w:rPr>
        <w:t xml:space="preserve"> </w:t>
      </w:r>
      <w:r>
        <w:rPr>
          <w:spacing w:val="-2"/>
        </w:rPr>
        <w:t>8.7%，与中国移动差距逐年缩小</w:t>
      </w:r>
      <w:r>
        <w:rPr>
          <w:spacing w:val="-66"/>
        </w:rPr>
        <w:t xml:space="preserve"> </w:t>
      </w:r>
      <w:r>
        <w:rPr>
          <w:spacing w:val="-2"/>
        </w:rPr>
        <w:t>。</w:t>
      </w:r>
      <w:r>
        <w:rPr/>
        <w:t xml:space="preserve"> </w:t>
      </w:r>
      <w:r>
        <w:rPr>
          <w:spacing w:val="-3"/>
        </w:rPr>
        <w:t>2022-2024</w:t>
      </w:r>
      <w:r>
        <w:rPr>
          <w:spacing w:val="-38"/>
        </w:rPr>
        <w:t xml:space="preserve"> </w:t>
      </w:r>
      <w:r>
        <w:rPr>
          <w:spacing w:val="-3"/>
        </w:rPr>
        <w:t>年，中国电信利润份额占比逐年提升，两年提升 1</w:t>
      </w:r>
      <w:r>
        <w:rPr>
          <w:spacing w:val="-51"/>
        </w:rPr>
        <w:t xml:space="preserve"> </w:t>
      </w:r>
      <w:r>
        <w:rPr>
          <w:spacing w:val="-3"/>
        </w:rPr>
        <w:t>个百分点，达到</w:t>
      </w:r>
      <w:r>
        <w:rPr/>
        <w:t xml:space="preserve"> </w:t>
      </w:r>
      <w:r>
        <w:rPr>
          <w:spacing w:val="1"/>
        </w:rPr>
        <w:t>17.2%。中国电信净资产收益率稳步提高，与中国移动的差</w:t>
      </w:r>
      <w:r>
        <w:rPr/>
        <w:t>距，由</w:t>
      </w:r>
      <w:r>
        <w:rPr>
          <w:spacing w:val="-48"/>
        </w:rPr>
        <w:t xml:space="preserve"> </w:t>
      </w:r>
      <w:r>
        <w:rPr/>
        <w:t>2022</w:t>
      </w:r>
      <w:r>
        <w:rPr>
          <w:spacing w:val="-49"/>
        </w:rPr>
        <w:t xml:space="preserve"> </w:t>
      </w:r>
      <w:r>
        <w:rPr/>
        <w:t>年的4</w:t>
      </w:r>
      <w:r>
        <w:rPr>
          <w:spacing w:val="-3"/>
        </w:rPr>
        <w:t>个百分点缩小到</w:t>
      </w:r>
      <w:r>
        <w:rPr>
          <w:spacing w:val="-47"/>
        </w:rPr>
        <w:t xml:space="preserve"> </w:t>
      </w:r>
      <w:r>
        <w:rPr>
          <w:spacing w:val="-3"/>
        </w:rPr>
        <w:t>2024</w:t>
      </w:r>
      <w:r>
        <w:rPr>
          <w:spacing w:val="-50"/>
        </w:rPr>
        <w:t xml:space="preserve"> </w:t>
      </w:r>
      <w:r>
        <w:rPr>
          <w:spacing w:val="-3"/>
        </w:rPr>
        <w:t>年的</w:t>
      </w:r>
      <w:r>
        <w:rPr>
          <w:spacing w:val="-46"/>
        </w:rPr>
        <w:t xml:space="preserve"> </w:t>
      </w:r>
      <w:r>
        <w:rPr>
          <w:spacing w:val="-3"/>
        </w:rPr>
        <w:t>3</w:t>
      </w:r>
      <w:r>
        <w:rPr>
          <w:spacing w:val="-50"/>
        </w:rPr>
        <w:t xml:space="preserve"> </w:t>
      </w:r>
      <w:r>
        <w:rPr>
          <w:spacing w:val="-3"/>
        </w:rPr>
        <w:t>个百分点。根据国资委利润总额稳定增长的要</w:t>
      </w:r>
      <w:r>
        <w:rPr>
          <w:spacing w:val="-4"/>
        </w:rPr>
        <w:t>求，</w:t>
      </w:r>
      <w:r>
        <w:rPr/>
        <w:t xml:space="preserve"> </w:t>
      </w:r>
      <w:r>
        <w:rPr>
          <w:spacing w:val="-2"/>
        </w:rPr>
        <w:t>2025</w:t>
      </w:r>
      <w:r>
        <w:rPr>
          <w:spacing w:val="-45"/>
        </w:rPr>
        <w:t xml:space="preserve"> </w:t>
      </w:r>
      <w:r>
        <w:rPr>
          <w:spacing w:val="-2"/>
        </w:rPr>
        <w:t>年中国电信利润总额增速至少要在</w:t>
      </w:r>
      <w:r>
        <w:rPr>
          <w:spacing w:val="-44"/>
        </w:rPr>
        <w:t xml:space="preserve"> </w:t>
      </w:r>
      <w:r>
        <w:rPr>
          <w:spacing w:val="-2"/>
        </w:rPr>
        <w:t>5%以上</w:t>
      </w:r>
      <w:r>
        <w:rPr>
          <w:sz w:val="12"/>
          <w:szCs w:val="12"/>
          <w:spacing w:val="-2"/>
          <w:position w:val="11"/>
        </w:rPr>
        <w:t>4</w:t>
      </w:r>
      <w:r>
        <w:rPr>
          <w:spacing w:val="-2"/>
        </w:rPr>
        <w:t>，高于两会预期的</w:t>
      </w:r>
      <w:r>
        <w:rPr>
          <w:spacing w:val="-35"/>
        </w:rPr>
        <w:t xml:space="preserve"> </w:t>
      </w:r>
      <w:r>
        <w:rPr>
          <w:spacing w:val="-2"/>
        </w:rPr>
        <w:t>GDP</w:t>
      </w:r>
      <w:r>
        <w:rPr>
          <w:spacing w:val="-49"/>
        </w:rPr>
        <w:t xml:space="preserve"> </w:t>
      </w:r>
      <w:r>
        <w:rPr>
          <w:spacing w:val="-2"/>
        </w:rPr>
        <w:t>增速。</w:t>
      </w:r>
    </w:p>
    <w:p>
      <w:pPr>
        <w:ind w:firstLine="14"/>
        <w:spacing w:line="2839" w:lineRule="exact"/>
        <w:rPr/>
      </w:pPr>
      <w:r>
        <w:rPr>
          <w:position w:val="-56"/>
        </w:rPr>
        <w:drawing>
          <wp:inline distT="0" distB="0" distL="0" distR="0">
            <wp:extent cx="5413247" cy="180289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3247" cy="180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5"/>
        <w:spacing w:before="195" w:line="221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图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b/>
          <w:bCs/>
          <w:spacing w:val="-2"/>
        </w:rPr>
        <w:t>1：三家运营商利润份额比较</w:t>
      </w:r>
      <w:r>
        <w:rPr>
          <w:sz w:val="21"/>
          <w:szCs w:val="21"/>
          <w:spacing w:val="-2"/>
        </w:rPr>
        <w:t xml:space="preserve">                </w:t>
      </w:r>
      <w:r>
        <w:rPr>
          <w:sz w:val="21"/>
          <w:szCs w:val="21"/>
          <w:b/>
          <w:bCs/>
          <w:spacing w:val="-2"/>
        </w:rPr>
        <w:t>图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b/>
          <w:bCs/>
          <w:spacing w:val="-2"/>
        </w:rPr>
        <w:t>2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b/>
          <w:bCs/>
          <w:spacing w:val="-3"/>
        </w:rPr>
        <w:t>三家运营商净资产收益率比较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2" w:right="329" w:firstLine="483"/>
        <w:spacing w:before="78" w:line="289" w:lineRule="auto"/>
        <w:outlineLvl w:val="1"/>
        <w:rPr/>
      </w:pPr>
      <w:r>
        <w:rPr>
          <w:b/>
          <w:bCs/>
          <w:spacing w:val="-2"/>
        </w:rPr>
        <w:t>三、风险管控水平：中国电信应收账款管理略优于行业，但变现能力仍存</w:t>
      </w:r>
      <w:r>
        <w:rPr>
          <w:b/>
          <w:bCs/>
          <w:spacing w:val="-11"/>
        </w:rPr>
        <w:t>挑战。</w:t>
      </w:r>
    </w:p>
    <w:p>
      <w:pPr>
        <w:pStyle w:val="BodyText"/>
        <w:ind w:left="25" w:right="216" w:firstLine="480"/>
        <w:spacing w:before="180" w:line="358" w:lineRule="auto"/>
        <w:jc w:val="both"/>
        <w:rPr/>
      </w:pPr>
      <w:r>
        <w:rPr>
          <w:spacing w:val="-2"/>
        </w:rPr>
        <w:t>2025 年“一利五率</w:t>
      </w:r>
      <w:r>
        <w:rPr>
          <w:spacing w:val="-69"/>
        </w:rPr>
        <w:t xml:space="preserve"> </w:t>
      </w:r>
      <w:r>
        <w:rPr>
          <w:spacing w:val="-2"/>
        </w:rPr>
        <w:t>”经营指标体系中用“营业收现率</w:t>
      </w:r>
      <w:r>
        <w:rPr>
          <w:spacing w:val="-87"/>
        </w:rPr>
        <w:t xml:space="preserve"> </w:t>
      </w:r>
      <w:r>
        <w:rPr>
          <w:spacing w:val="-2"/>
        </w:rPr>
        <w:t>”替换“营业现金比</w:t>
      </w:r>
      <w:r>
        <w:rPr>
          <w:spacing w:val="-4"/>
        </w:rPr>
        <w:t>率</w:t>
      </w:r>
      <w:r>
        <w:rPr>
          <w:spacing w:val="-87"/>
        </w:rPr>
        <w:t xml:space="preserve"> </w:t>
      </w:r>
      <w:r>
        <w:rPr>
          <w:spacing w:val="-4"/>
        </w:rPr>
        <w:t>”，进一步提高了对收入质量变现能力的要求。三家运营商营业收现率呈现持</w:t>
      </w:r>
      <w:r>
        <w:rPr>
          <w:spacing w:val="-1"/>
        </w:rPr>
        <w:t>续小幅下降趋势</w:t>
      </w:r>
      <w:r>
        <w:rPr>
          <w:sz w:val="12"/>
          <w:szCs w:val="12"/>
          <w:spacing w:val="-1"/>
          <w:position w:val="11"/>
        </w:rPr>
        <w:t>5</w:t>
      </w:r>
      <w:r>
        <w:rPr>
          <w:spacing w:val="-1"/>
        </w:rPr>
        <w:t>。这主要受产业数字化业务发展影响，2B 收</w:t>
      </w:r>
      <w:r>
        <w:rPr>
          <w:spacing w:val="-2"/>
        </w:rPr>
        <w:t>入占比提高，账款</w:t>
      </w:r>
      <w:r>
        <w:rPr>
          <w:spacing w:val="-1"/>
        </w:rPr>
        <w:t>回收期增长。运营商落实国资委要求，进一步提升营业收现率面临压</w:t>
      </w:r>
      <w:r>
        <w:rPr>
          <w:spacing w:val="-2"/>
        </w:rPr>
        <w:t>力。</w:t>
      </w:r>
    </w:p>
    <w:p>
      <w:pPr>
        <w:pStyle w:val="BodyText"/>
        <w:ind w:left="21"/>
        <w:spacing w:before="3" w:line="221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表</w:t>
      </w:r>
      <w:r>
        <w:rPr>
          <w:sz w:val="21"/>
          <w:szCs w:val="21"/>
          <w:spacing w:val="-30"/>
        </w:rPr>
        <w:t xml:space="preserve"> </w:t>
      </w:r>
      <w:r>
        <w:rPr>
          <w:sz w:val="21"/>
          <w:szCs w:val="21"/>
          <w:b/>
          <w:bCs/>
          <w:spacing w:val="-3"/>
        </w:rPr>
        <w:t>2：三家运营商变现率相关指标比较</w:t>
      </w:r>
    </w:p>
    <w:p>
      <w:pPr>
        <w:spacing w:line="127" w:lineRule="exact"/>
        <w:rPr/>
      </w:pPr>
      <w:r/>
    </w:p>
    <w:tbl>
      <w:tblPr>
        <w:tblStyle w:val="TableNormal"/>
        <w:tblW w:w="8036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6"/>
        <w:gridCol w:w="1125"/>
        <w:gridCol w:w="1125"/>
        <w:gridCol w:w="1149"/>
        <w:gridCol w:w="1103"/>
        <w:gridCol w:w="1128"/>
        <w:gridCol w:w="1130"/>
      </w:tblGrid>
      <w:tr>
        <w:trPr>
          <w:trHeight w:val="419" w:hRule="atLeast"/>
        </w:trPr>
        <w:tc>
          <w:tcPr>
            <w:tcW w:w="1276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99" w:type="dxa"/>
            <w:vAlign w:val="top"/>
            <w:gridSpan w:val="3"/>
          </w:tcPr>
          <w:p>
            <w:pPr>
              <w:pStyle w:val="TableText"/>
              <w:ind w:left="1395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营业收现率</w:t>
            </w:r>
          </w:p>
        </w:tc>
        <w:tc>
          <w:tcPr>
            <w:tcW w:w="3361" w:type="dxa"/>
            <w:vAlign w:val="top"/>
            <w:gridSpan w:val="3"/>
          </w:tcPr>
          <w:p>
            <w:pPr>
              <w:pStyle w:val="TableText"/>
              <w:ind w:left="1271"/>
              <w:spacing w:before="33" w:line="221" w:lineRule="auto"/>
              <w:rPr/>
            </w:pPr>
            <w:r>
              <w:rPr>
                <w:b/>
                <w:bCs/>
                <w:spacing w:val="-4"/>
              </w:rPr>
              <w:t>营业现金比率</w:t>
            </w:r>
          </w:p>
        </w:tc>
      </w:tr>
      <w:tr>
        <w:trPr>
          <w:trHeight w:val="412" w:hRule="atLeast"/>
        </w:trPr>
        <w:tc>
          <w:tcPr>
            <w:tcW w:w="12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5" w:type="dxa"/>
            <w:vAlign w:val="top"/>
          </w:tcPr>
          <w:p>
            <w:pPr>
              <w:pStyle w:val="TableText"/>
              <w:ind w:left="359"/>
              <w:spacing w:before="30" w:line="241" w:lineRule="auto"/>
              <w:rPr/>
            </w:pPr>
            <w:r>
              <w:rPr>
                <w:spacing w:val="-2"/>
              </w:rPr>
              <w:t>2022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360"/>
              <w:spacing w:before="30" w:line="241" w:lineRule="auto"/>
              <w:rPr/>
            </w:pPr>
            <w:r>
              <w:rPr>
                <w:spacing w:val="-2"/>
              </w:rPr>
              <w:t>2023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373"/>
              <w:spacing w:before="30" w:line="241" w:lineRule="auto"/>
              <w:rPr/>
            </w:pPr>
            <w:r>
              <w:rPr>
                <w:spacing w:val="-2"/>
              </w:rPr>
              <w:t>2024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350"/>
              <w:spacing w:before="30" w:line="241" w:lineRule="auto"/>
              <w:rPr/>
            </w:pPr>
            <w:r>
              <w:rPr>
                <w:spacing w:val="-2"/>
              </w:rPr>
              <w:t>2022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363"/>
              <w:spacing w:before="30" w:line="241" w:lineRule="auto"/>
              <w:rPr/>
            </w:pPr>
            <w:r>
              <w:rPr>
                <w:spacing w:val="-2"/>
              </w:rPr>
              <w:t>2023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363"/>
              <w:spacing w:before="30" w:line="241" w:lineRule="auto"/>
              <w:rPr/>
            </w:pPr>
            <w:r>
              <w:rPr>
                <w:spacing w:val="-2"/>
              </w:rPr>
              <w:t>2024</w:t>
            </w:r>
          </w:p>
        </w:tc>
      </w:tr>
      <w:tr>
        <w:trPr>
          <w:trHeight w:val="411" w:hRule="atLeast"/>
        </w:trPr>
        <w:tc>
          <w:tcPr>
            <w:tcW w:w="1276" w:type="dxa"/>
            <w:vAlign w:val="top"/>
          </w:tcPr>
          <w:p>
            <w:pPr>
              <w:pStyle w:val="TableText"/>
              <w:ind w:left="135"/>
              <w:spacing w:before="31" w:line="221" w:lineRule="auto"/>
              <w:rPr/>
            </w:pPr>
            <w:r>
              <w:rPr>
                <w:b/>
                <w:bCs/>
                <w:spacing w:val="-7"/>
              </w:rPr>
              <w:t>中国联通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267"/>
              <w:spacing w:before="31"/>
              <w:rPr/>
            </w:pPr>
            <w:r>
              <w:rPr>
                <w:spacing w:val="-3"/>
              </w:rPr>
              <w:t>102.6%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267"/>
              <w:spacing w:before="31"/>
              <w:rPr/>
            </w:pPr>
            <w:r>
              <w:rPr>
                <w:spacing w:val="-3"/>
              </w:rPr>
              <w:t>103.7%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80"/>
              <w:spacing w:before="31"/>
              <w:rPr/>
            </w:pPr>
            <w:r>
              <w:rPr>
                <w:spacing w:val="-2"/>
              </w:rPr>
              <w:t>101.1%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297"/>
              <w:spacing w:before="31"/>
              <w:rPr/>
            </w:pPr>
            <w:r>
              <w:rPr>
                <w:spacing w:val="-1"/>
              </w:rPr>
              <w:t>28.7%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310"/>
              <w:spacing w:before="31"/>
              <w:rPr/>
            </w:pPr>
            <w:r>
              <w:rPr>
                <w:spacing w:val="-1"/>
              </w:rPr>
              <w:t>28.0%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310"/>
              <w:spacing w:before="31"/>
              <w:rPr/>
            </w:pPr>
            <w:r>
              <w:rPr>
                <w:spacing w:val="-2"/>
              </w:rPr>
              <w:t>23.4%</w:t>
            </w:r>
          </w:p>
        </w:tc>
      </w:tr>
      <w:tr>
        <w:trPr>
          <w:trHeight w:val="414" w:hRule="atLeast"/>
        </w:trPr>
        <w:tc>
          <w:tcPr>
            <w:tcW w:w="1276" w:type="dxa"/>
            <w:vAlign w:val="top"/>
          </w:tcPr>
          <w:p>
            <w:pPr>
              <w:pStyle w:val="TableText"/>
              <w:ind w:left="135"/>
              <w:spacing w:before="35" w:line="221" w:lineRule="auto"/>
              <w:rPr/>
            </w:pPr>
            <w:r>
              <w:rPr>
                <w:b/>
                <w:bCs/>
                <w:spacing w:val="-7"/>
              </w:rPr>
              <w:t>中国移动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267"/>
              <w:spacing w:before="35"/>
              <w:rPr/>
            </w:pPr>
            <w:r>
              <w:rPr>
                <w:spacing w:val="-3"/>
              </w:rPr>
              <w:t>106.3%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267"/>
              <w:spacing w:before="35"/>
              <w:rPr/>
            </w:pPr>
            <w:r>
              <w:rPr>
                <w:spacing w:val="-2"/>
              </w:rPr>
              <w:t>104.1%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80"/>
              <w:spacing w:before="35"/>
              <w:rPr/>
            </w:pPr>
            <w:r>
              <w:rPr>
                <w:spacing w:val="-3"/>
              </w:rPr>
              <w:t>103.6%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297"/>
              <w:spacing w:before="35"/>
              <w:rPr/>
            </w:pPr>
            <w:r>
              <w:rPr>
                <w:spacing w:val="-1"/>
              </w:rPr>
              <w:t>29.9%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312"/>
              <w:spacing w:before="35"/>
              <w:rPr/>
            </w:pPr>
            <w:r>
              <w:rPr/>
              <w:t>30.1%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312"/>
              <w:spacing w:before="35"/>
              <w:rPr/>
            </w:pPr>
            <w:r>
              <w:rPr>
                <w:spacing w:val="-1"/>
              </w:rPr>
              <w:t>30.3%</w:t>
            </w:r>
          </w:p>
        </w:tc>
      </w:tr>
      <w:tr>
        <w:trPr>
          <w:trHeight w:val="416" w:hRule="atLeast"/>
        </w:trPr>
        <w:tc>
          <w:tcPr>
            <w:tcW w:w="1276" w:type="dxa"/>
            <w:vAlign w:val="top"/>
          </w:tcPr>
          <w:p>
            <w:pPr>
              <w:pStyle w:val="TableText"/>
              <w:ind w:left="135"/>
              <w:spacing w:before="33" w:line="221" w:lineRule="auto"/>
              <w:rPr/>
            </w:pPr>
            <w:r>
              <w:rPr>
                <w:b/>
                <w:bCs/>
                <w:spacing w:val="-7"/>
              </w:rPr>
              <w:t>中国电信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267"/>
              <w:spacing w:before="34"/>
              <w:rPr/>
            </w:pPr>
            <w:r>
              <w:rPr>
                <w:spacing w:val="-3"/>
              </w:rPr>
              <w:t>106.6%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267"/>
              <w:spacing w:before="34"/>
              <w:rPr/>
            </w:pPr>
            <w:r>
              <w:rPr>
                <w:spacing w:val="-3"/>
              </w:rPr>
              <w:t>105.6%</w:t>
            </w:r>
          </w:p>
        </w:tc>
        <w:tc>
          <w:tcPr>
            <w:tcW w:w="1149" w:type="dxa"/>
            <w:vAlign w:val="top"/>
          </w:tcPr>
          <w:p>
            <w:pPr>
              <w:pStyle w:val="TableText"/>
              <w:ind w:left="280"/>
              <w:spacing w:before="34"/>
              <w:rPr/>
            </w:pPr>
            <w:r>
              <w:rPr>
                <w:spacing w:val="-3"/>
              </w:rPr>
              <w:t>102.3%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297"/>
              <w:spacing w:before="34"/>
              <w:rPr/>
            </w:pPr>
            <w:r>
              <w:rPr>
                <w:spacing w:val="-1"/>
              </w:rPr>
              <w:t>28.9%</w:t>
            </w:r>
          </w:p>
        </w:tc>
        <w:tc>
          <w:tcPr>
            <w:tcW w:w="1128" w:type="dxa"/>
            <w:vAlign w:val="top"/>
          </w:tcPr>
          <w:p>
            <w:pPr>
              <w:pStyle w:val="TableText"/>
              <w:ind w:left="310"/>
              <w:spacing w:before="34"/>
              <w:rPr/>
            </w:pPr>
            <w:r>
              <w:rPr>
                <w:spacing w:val="-1"/>
              </w:rPr>
              <w:t>27.3%</w:t>
            </w:r>
          </w:p>
        </w:tc>
        <w:tc>
          <w:tcPr>
            <w:tcW w:w="1130" w:type="dxa"/>
            <w:vAlign w:val="top"/>
          </w:tcPr>
          <w:p>
            <w:pPr>
              <w:pStyle w:val="TableText"/>
              <w:ind w:left="310"/>
              <w:spacing w:before="34"/>
              <w:rPr/>
            </w:pPr>
            <w:r>
              <w:rPr>
                <w:spacing w:val="-1"/>
              </w:rPr>
              <w:t>27.2%</w:t>
            </w:r>
          </w:p>
        </w:tc>
      </w:tr>
    </w:tbl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>
        <w:pict>
          <v:shape id="_x0000_s4" style="position:absolute;margin-left:0.72599pt;margin-top:13.6078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/>
    </w:p>
    <w:p>
      <w:pPr>
        <w:pStyle w:val="BodyText"/>
        <w:ind w:left="38" w:right="240" w:hanging="22"/>
        <w:spacing w:before="59" w:line="245" w:lineRule="auto"/>
        <w:rPr>
          <w:sz w:val="18"/>
          <w:szCs w:val="18"/>
        </w:rPr>
      </w:pPr>
      <w:r>
        <w:rPr>
          <w:rFonts w:ascii="DengXian" w:hAnsi="DengXian" w:eastAsia="DengXian" w:cs="DengXian"/>
          <w:sz w:val="9"/>
          <w:szCs w:val="9"/>
          <w:spacing w:val="-2"/>
          <w:position w:val="9"/>
        </w:rPr>
        <w:t>4    </w:t>
      </w:r>
      <w:r>
        <w:rPr>
          <w:sz w:val="18"/>
          <w:szCs w:val="18"/>
          <w:spacing w:val="-2"/>
        </w:rPr>
        <w:t>2023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2"/>
        </w:rPr>
        <w:t>年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2"/>
        </w:rPr>
        <w:t>1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2"/>
        </w:rPr>
        <w:t>月，中央企业“一利五率</w:t>
      </w:r>
      <w:r>
        <w:rPr>
          <w:sz w:val="18"/>
          <w:szCs w:val="18"/>
          <w:spacing w:val="-66"/>
        </w:rPr>
        <w:t xml:space="preserve"> </w:t>
      </w:r>
      <w:r>
        <w:rPr>
          <w:sz w:val="18"/>
          <w:szCs w:val="18"/>
          <w:spacing w:val="-2"/>
        </w:rPr>
        <w:t>”目标为“一增一稳</w:t>
      </w:r>
      <w:r>
        <w:rPr>
          <w:sz w:val="18"/>
          <w:szCs w:val="18"/>
          <w:spacing w:val="-3"/>
        </w:rPr>
        <w:t>四提升</w:t>
      </w:r>
      <w:r>
        <w:rPr>
          <w:sz w:val="18"/>
          <w:szCs w:val="18"/>
          <w:spacing w:val="-66"/>
        </w:rPr>
        <w:t xml:space="preserve"> </w:t>
      </w:r>
      <w:r>
        <w:rPr>
          <w:sz w:val="18"/>
          <w:szCs w:val="18"/>
          <w:spacing w:val="-3"/>
        </w:rPr>
        <w:t>”，“一增</w:t>
      </w:r>
      <w:r>
        <w:rPr>
          <w:sz w:val="18"/>
          <w:szCs w:val="18"/>
          <w:spacing w:val="-66"/>
        </w:rPr>
        <w:t xml:space="preserve"> </w:t>
      </w:r>
      <w:r>
        <w:rPr>
          <w:sz w:val="18"/>
          <w:szCs w:val="18"/>
          <w:spacing w:val="-3"/>
        </w:rPr>
        <w:t>”即确保利润总额增速高于全</w:t>
      </w:r>
      <w:r>
        <w:rPr>
          <w:sz w:val="18"/>
          <w:szCs w:val="18"/>
          <w:spacing w:val="-6"/>
        </w:rPr>
        <w:t>国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-6"/>
        </w:rPr>
        <w:t>GDP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6"/>
        </w:rPr>
        <w:t>增速。</w:t>
      </w:r>
    </w:p>
    <w:p>
      <w:pPr>
        <w:ind w:left="19"/>
        <w:spacing w:before="1" w:line="238" w:lineRule="auto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9"/>
          <w:szCs w:val="9"/>
          <w:spacing w:val="-1"/>
          <w:position w:val="9"/>
        </w:rPr>
        <w:t>5    </w:t>
      </w:r>
      <w:r>
        <w:rPr>
          <w:rFonts w:ascii="DengXian" w:hAnsi="DengXian" w:eastAsia="DengXian" w:cs="DengXian"/>
          <w:sz w:val="18"/>
          <w:szCs w:val="18"/>
          <w:spacing w:val="-1"/>
        </w:rPr>
        <w:t>营业收现率</w:t>
      </w:r>
      <w:r>
        <w:rPr>
          <w:rFonts w:ascii="DengXian" w:hAnsi="DengXian" w:eastAsia="DengXian" w:cs="DengXian"/>
          <w:sz w:val="18"/>
          <w:szCs w:val="18"/>
          <w:spacing w:val="-25"/>
        </w:rPr>
        <w:t xml:space="preserve"> </w:t>
      </w:r>
      <w:r>
        <w:rPr>
          <w:rFonts w:ascii="DengXian" w:hAnsi="DengXian" w:eastAsia="DengXian" w:cs="DengXian"/>
          <w:sz w:val="18"/>
          <w:szCs w:val="18"/>
          <w:spacing w:val="-1"/>
        </w:rPr>
        <w:t>，运营商超过 100%，考虑受到预付用</w:t>
      </w:r>
      <w:r>
        <w:rPr>
          <w:rFonts w:ascii="DengXian" w:hAnsi="DengXian" w:eastAsia="DengXian" w:cs="DengXian"/>
          <w:sz w:val="18"/>
          <w:szCs w:val="18"/>
          <w:spacing w:val="-2"/>
        </w:rPr>
        <w:t>户收费影响。</w:t>
      </w:r>
    </w:p>
    <w:p>
      <w:pPr>
        <w:spacing w:line="238" w:lineRule="auto"/>
        <w:sectPr>
          <w:pgSz w:w="11907" w:h="16839"/>
          <w:pgMar w:top="1426" w:right="1581" w:bottom="0" w:left="1785" w:header="0" w:footer="0" w:gutter="0"/>
        </w:sectPr>
        <w:rPr>
          <w:rFonts w:ascii="DengXian" w:hAnsi="DengXian" w:eastAsia="DengXian" w:cs="DengXian"/>
          <w:sz w:val="18"/>
          <w:szCs w:val="18"/>
        </w:rPr>
      </w:pPr>
    </w:p>
    <w:p>
      <w:pPr>
        <w:pStyle w:val="BodyText"/>
        <w:ind w:left="23" w:right="12" w:firstLine="495"/>
        <w:spacing w:before="48" w:line="360" w:lineRule="auto"/>
        <w:jc w:val="both"/>
        <w:rPr/>
      </w:pPr>
      <w:r>
        <w:rPr>
          <w:spacing w:val="-4"/>
        </w:rPr>
        <w:t>当前应收账款管理是运营商管控风险的重要挑战。中国电信应收账款占收比</w:t>
      </w:r>
      <w:r>
        <w:rPr>
          <w:spacing w:val="-1"/>
        </w:rPr>
        <w:t>虽然呈现上升趋势，但较中国移动和中国联通增速</w:t>
      </w:r>
      <w:r>
        <w:rPr>
          <w:spacing w:val="-2"/>
        </w:rPr>
        <w:t>放缓。2022-2024</w:t>
      </w:r>
      <w:r>
        <w:rPr>
          <w:spacing w:val="-49"/>
        </w:rPr>
        <w:t xml:space="preserve"> </w:t>
      </w:r>
      <w:r>
        <w:rPr>
          <w:spacing w:val="-2"/>
        </w:rPr>
        <w:t>年，中国电</w:t>
      </w:r>
      <w:r>
        <w:rPr>
          <w:spacing w:val="-1"/>
        </w:rPr>
        <w:t>信、中国移动、中国联通应收账款复合增长</w:t>
      </w:r>
      <w:r>
        <w:rPr>
          <w:spacing w:val="-2"/>
        </w:rPr>
        <w:t>率分别为</w:t>
      </w:r>
      <w:r>
        <w:rPr>
          <w:spacing w:val="-46"/>
        </w:rPr>
        <w:t xml:space="preserve"> </w:t>
      </w:r>
      <w:r>
        <w:rPr>
          <w:spacing w:val="-2"/>
        </w:rPr>
        <w:t>28%、33%、43%。应收账款</w:t>
      </w:r>
      <w:r>
        <w:rPr>
          <w:spacing w:val="-5"/>
        </w:rPr>
        <w:t>不仅影响企业现金流，还将进一步蚕食企业盈利能力。2024</w:t>
      </w:r>
      <w:r>
        <w:rPr>
          <w:spacing w:val="-38"/>
        </w:rPr>
        <w:t xml:space="preserve"> </w:t>
      </w:r>
      <w:r>
        <w:rPr>
          <w:spacing w:val="-5"/>
        </w:rPr>
        <w:t>年，三家运营商冲抵</w:t>
      </w:r>
      <w:r>
        <w:rPr>
          <w:spacing w:val="-4"/>
        </w:rPr>
        <w:t>营业利润的应收账款坏账损失合计达到</w:t>
      </w:r>
      <w:r>
        <w:rPr>
          <w:spacing w:val="-30"/>
        </w:rPr>
        <w:t xml:space="preserve"> </w:t>
      </w:r>
      <w:r>
        <w:rPr>
          <w:spacing w:val="-4"/>
        </w:rPr>
        <w:t>239</w:t>
      </w:r>
      <w:r>
        <w:rPr>
          <w:spacing w:val="-50"/>
        </w:rPr>
        <w:t xml:space="preserve"> </w:t>
      </w:r>
      <w:r>
        <w:rPr>
          <w:spacing w:val="-4"/>
        </w:rPr>
        <w:t>亿元，中国电信、中国移动、中国联</w:t>
      </w:r>
      <w:r>
        <w:rPr>
          <w:spacing w:val="-3"/>
        </w:rPr>
        <w:t>通占比分别为</w:t>
      </w:r>
      <w:r>
        <w:rPr>
          <w:spacing w:val="-16"/>
        </w:rPr>
        <w:t xml:space="preserve"> </w:t>
      </w:r>
      <w:r>
        <w:rPr>
          <w:spacing w:val="-3"/>
        </w:rPr>
        <w:t>15%、56%、29%。</w:t>
      </w:r>
    </w:p>
    <w:p>
      <w:pPr>
        <w:ind w:firstLine="1061"/>
        <w:spacing w:before="57" w:line="4336" w:lineRule="exact"/>
        <w:rPr/>
      </w:pPr>
      <w:r>
        <w:rPr>
          <w:position w:val="-86"/>
        </w:rPr>
        <w:drawing>
          <wp:inline distT="0" distB="0" distL="0" distR="0">
            <wp:extent cx="4197799" cy="275299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7799" cy="275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40"/>
        <w:spacing w:before="284" w:line="221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图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b/>
          <w:bCs/>
          <w:spacing w:val="-4"/>
        </w:rPr>
        <w:t>3：三家运营商应收账款占收比比较</w:t>
      </w:r>
    </w:p>
    <w:p>
      <w:pPr>
        <w:pStyle w:val="BodyText"/>
        <w:ind w:left="22" w:right="25" w:firstLine="481"/>
        <w:spacing w:before="164" w:line="360" w:lineRule="auto"/>
        <w:rPr/>
      </w:pPr>
      <w:r>
        <w:rPr>
          <w:spacing w:val="-2"/>
        </w:rPr>
        <w:t>此外，中国电信资产负债率水平略有提高，但仍低于</w:t>
      </w:r>
      <w:r>
        <w:rPr>
          <w:spacing w:val="-44"/>
        </w:rPr>
        <w:t xml:space="preserve"> </w:t>
      </w:r>
      <w:r>
        <w:rPr>
          <w:spacing w:val="-2"/>
        </w:rPr>
        <w:t>50%，处于</w:t>
      </w:r>
      <w:r>
        <w:rPr>
          <w:spacing w:val="-3"/>
        </w:rPr>
        <w:t>风险可控水</w:t>
      </w:r>
      <w:r>
        <w:rPr>
          <w:spacing w:val="-2"/>
        </w:rPr>
        <w:t>平，符合国资委资产负债率保持总体稳定的要求。</w:t>
      </w:r>
    </w:p>
    <w:p>
      <w:pPr>
        <w:ind w:firstLine="1347"/>
        <w:spacing w:before="179" w:line="3432" w:lineRule="exact"/>
        <w:rPr/>
      </w:pPr>
      <w:r>
        <w:rPr>
          <w:position w:val="-68"/>
        </w:rPr>
        <w:drawing>
          <wp:inline distT="0" distB="0" distL="0" distR="0">
            <wp:extent cx="3848012" cy="217896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8012" cy="21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40"/>
        <w:spacing w:before="267" w:line="221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图</w:t>
      </w:r>
      <w:r>
        <w:rPr>
          <w:sz w:val="21"/>
          <w:szCs w:val="21"/>
          <w:spacing w:val="-35"/>
        </w:rPr>
        <w:t xml:space="preserve"> </w:t>
      </w:r>
      <w:r>
        <w:rPr>
          <w:sz w:val="21"/>
          <w:szCs w:val="21"/>
          <w:b/>
          <w:bCs/>
          <w:spacing w:val="-5"/>
        </w:rPr>
        <w:t>4：三家运营商资产负债率比较</w:t>
      </w:r>
    </w:p>
    <w:p>
      <w:pPr>
        <w:pStyle w:val="BodyText"/>
        <w:ind w:left="22" w:right="125" w:firstLine="505"/>
        <w:spacing w:before="161" w:line="290" w:lineRule="auto"/>
        <w:outlineLvl w:val="1"/>
        <w:rPr/>
      </w:pPr>
      <w:r>
        <w:rPr>
          <w:b/>
          <w:bCs/>
          <w:spacing w:val="-3"/>
        </w:rPr>
        <w:t>四、科创人才驱动：中国电信全员劳产率改善幅度最为显著，科创投入强</w:t>
      </w:r>
      <w:r>
        <w:rPr>
          <w:b/>
          <w:bCs/>
          <w:spacing w:val="-5"/>
        </w:rPr>
        <w:t>度最高。</w:t>
      </w:r>
    </w:p>
    <w:p>
      <w:pPr>
        <w:spacing w:line="290" w:lineRule="auto"/>
        <w:sectPr>
          <w:pgSz w:w="11907" w:h="16839"/>
          <w:pgMar w:top="1426" w:right="1785" w:bottom="0" w:left="1785" w:header="0" w:footer="0" w:gutter="0"/>
        </w:sectPr>
        <w:rPr/>
      </w:pPr>
    </w:p>
    <w:p>
      <w:pPr>
        <w:pStyle w:val="BodyText"/>
        <w:ind w:left="23" w:right="631" w:firstLine="487"/>
        <w:spacing w:before="49" w:line="360" w:lineRule="auto"/>
        <w:jc w:val="both"/>
        <w:rPr/>
      </w:pPr>
      <w:r>
        <w:rPr/>
        <w:t>2023-2024</w:t>
      </w:r>
      <w:r>
        <w:rPr>
          <w:spacing w:val="-49"/>
        </w:rPr>
        <w:t xml:space="preserve"> </w:t>
      </w:r>
      <w:r>
        <w:rPr/>
        <w:t>年，中国电信全员劳动生产率同比增长约4%，达到人</w:t>
      </w:r>
      <w:r>
        <w:rPr>
          <w:spacing w:val="-1"/>
        </w:rPr>
        <w:t>均</w:t>
      </w:r>
      <w:r>
        <w:rPr>
          <w:spacing w:val="-34"/>
        </w:rPr>
        <w:t xml:space="preserve"> </w:t>
      </w:r>
      <w:r>
        <w:rPr>
          <w:spacing w:val="-1"/>
        </w:rPr>
        <w:t>88</w:t>
      </w:r>
      <w:r>
        <w:rPr>
          <w:spacing w:val="-45"/>
        </w:rPr>
        <w:t xml:space="preserve"> </w:t>
      </w:r>
      <w:r>
        <w:rPr>
          <w:spacing w:val="-1"/>
        </w:rPr>
        <w:t>万</w:t>
      </w:r>
      <w:r>
        <w:rPr>
          <w:spacing w:val="-2"/>
        </w:rPr>
        <w:t>元；而中国移动和中国联通全员劳动生产率基本稳定，分别维持在</w:t>
      </w:r>
      <w:r>
        <w:rPr>
          <w:spacing w:val="-14"/>
        </w:rPr>
        <w:t xml:space="preserve"> </w:t>
      </w:r>
      <w:r>
        <w:rPr>
          <w:spacing w:val="-2"/>
        </w:rPr>
        <w:t>117</w:t>
      </w:r>
      <w:r>
        <w:rPr>
          <w:spacing w:val="-45"/>
        </w:rPr>
        <w:t xml:space="preserve"> </w:t>
      </w:r>
      <w:r>
        <w:rPr>
          <w:spacing w:val="-2"/>
        </w:rPr>
        <w:t>万元和</w:t>
      </w:r>
      <w:r>
        <w:rPr>
          <w:spacing w:val="-1"/>
        </w:rPr>
        <w:t>71</w:t>
      </w:r>
      <w:r>
        <w:rPr>
          <w:spacing w:val="-45"/>
        </w:rPr>
        <w:t xml:space="preserve"> </w:t>
      </w:r>
      <w:r>
        <w:rPr>
          <w:spacing w:val="-1"/>
        </w:rPr>
        <w:t>万元左右。目前中国电信全员劳动生产率约为中国移动的</w:t>
      </w:r>
      <w:r>
        <w:rPr>
          <w:spacing w:val="-43"/>
        </w:rPr>
        <w:t xml:space="preserve"> </w:t>
      </w:r>
      <w:r>
        <w:rPr>
          <w:spacing w:val="-1"/>
        </w:rPr>
        <w:t>75%，</w:t>
      </w:r>
      <w:r>
        <w:rPr>
          <w:spacing w:val="-2"/>
        </w:rPr>
        <w:t>约为中国联</w:t>
      </w:r>
      <w:r>
        <w:rPr>
          <w:spacing w:val="-4"/>
        </w:rPr>
        <w:t>通的</w:t>
      </w:r>
      <w:r>
        <w:rPr>
          <w:spacing w:val="-28"/>
        </w:rPr>
        <w:t xml:space="preserve"> </w:t>
      </w:r>
      <w:r>
        <w:rPr>
          <w:spacing w:val="-4"/>
        </w:rPr>
        <w:t>1.2</w:t>
      </w:r>
      <w:r>
        <w:rPr>
          <w:spacing w:val="-50"/>
        </w:rPr>
        <w:t xml:space="preserve"> </w:t>
      </w:r>
      <w:r>
        <w:rPr>
          <w:spacing w:val="-4"/>
        </w:rPr>
        <w:t>倍；与中国移动差距正逐年缩小。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firstLine="1557"/>
        <w:spacing w:line="3679" w:lineRule="exact"/>
        <w:rPr/>
      </w:pPr>
      <w:r>
        <w:rPr>
          <w:position w:val="-73"/>
        </w:rPr>
        <w:drawing>
          <wp:inline distT="0" distB="0" distL="0" distR="0">
            <wp:extent cx="3606203" cy="233648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6203" cy="23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69"/>
        <w:spacing w:before="305" w:line="221" w:lineRule="auto"/>
        <w:outlineLvl w:val="0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图</w:t>
      </w:r>
      <w:r>
        <w:rPr>
          <w:sz w:val="21"/>
          <w:szCs w:val="21"/>
          <w:spacing w:val="-34"/>
        </w:rPr>
        <w:t xml:space="preserve"> </w:t>
      </w:r>
      <w:r>
        <w:rPr>
          <w:sz w:val="21"/>
          <w:szCs w:val="21"/>
          <w:b/>
          <w:bCs/>
          <w:spacing w:val="-4"/>
        </w:rPr>
        <w:t>5：三家运营商全员劳动生产率比较</w:t>
      </w:r>
    </w:p>
    <w:p>
      <w:pPr>
        <w:pStyle w:val="BodyText"/>
        <w:ind w:left="22" w:right="631" w:firstLine="503"/>
        <w:spacing w:before="160" w:line="353" w:lineRule="auto"/>
        <w:jc w:val="both"/>
        <w:rPr/>
      </w:pPr>
      <w:r>
        <w:rPr>
          <w:spacing w:val="-1"/>
        </w:rPr>
        <w:t>中国电信研发经费投入强度和研发人员占比均领先。研发人员占比持续快</w:t>
      </w:r>
      <w:r>
        <w:rPr>
          <w:spacing w:val="-2"/>
        </w:rPr>
        <w:t>速提升，2024</w:t>
      </w:r>
      <w:r>
        <w:rPr>
          <w:spacing w:val="-49"/>
        </w:rPr>
        <w:t xml:space="preserve"> </w:t>
      </w:r>
      <w:r>
        <w:rPr>
          <w:spacing w:val="-2"/>
        </w:rPr>
        <w:t>年达到</w:t>
      </w:r>
      <w:r>
        <w:rPr>
          <w:spacing w:val="-33"/>
        </w:rPr>
        <w:t xml:space="preserve"> </w:t>
      </w:r>
      <w:r>
        <w:rPr>
          <w:spacing w:val="-2"/>
        </w:rPr>
        <w:t>15.6%，高于中国移动近</w:t>
      </w:r>
      <w:r>
        <w:rPr>
          <w:spacing w:val="-36"/>
        </w:rPr>
        <w:t xml:space="preserve"> </w:t>
      </w:r>
      <w:r>
        <w:rPr>
          <w:spacing w:val="-2"/>
        </w:rPr>
        <w:t>3</w:t>
      </w:r>
      <w:r>
        <w:rPr>
          <w:spacing w:val="-50"/>
        </w:rPr>
        <w:t xml:space="preserve"> </w:t>
      </w:r>
      <w:r>
        <w:rPr>
          <w:spacing w:val="-2"/>
        </w:rPr>
        <w:t>个百分点。但从研发</w:t>
      </w:r>
      <w:r>
        <w:rPr>
          <w:spacing w:val="-3"/>
        </w:rPr>
        <w:t>人员规模</w:t>
      </w:r>
      <w:r>
        <w:rPr>
          <w:spacing w:val="-2"/>
        </w:rPr>
        <w:t>看，中国电信、中国移动、中国联通分别为</w:t>
      </w:r>
      <w:r>
        <w:rPr>
          <w:spacing w:val="-51"/>
        </w:rPr>
        <w:t xml:space="preserve"> </w:t>
      </w:r>
      <w:r>
        <w:rPr>
          <w:spacing w:val="-2"/>
        </w:rPr>
        <w:t>4.3</w:t>
      </w:r>
      <w:r>
        <w:rPr>
          <w:spacing w:val="-44"/>
        </w:rPr>
        <w:t xml:space="preserve"> </w:t>
      </w:r>
      <w:r>
        <w:rPr>
          <w:spacing w:val="-2"/>
        </w:rPr>
        <w:t>万、5.9</w:t>
      </w:r>
      <w:r>
        <w:rPr>
          <w:spacing w:val="-45"/>
        </w:rPr>
        <w:t xml:space="preserve"> </w:t>
      </w:r>
      <w:r>
        <w:rPr>
          <w:spacing w:val="-2"/>
        </w:rPr>
        <w:t>万和</w:t>
      </w:r>
      <w:r>
        <w:rPr>
          <w:spacing w:val="-48"/>
        </w:rPr>
        <w:t xml:space="preserve"> </w:t>
      </w:r>
      <w:r>
        <w:rPr>
          <w:spacing w:val="-2"/>
        </w:rPr>
        <w:t>2.4</w:t>
      </w:r>
      <w:r>
        <w:rPr>
          <w:spacing w:val="-44"/>
        </w:rPr>
        <w:t xml:space="preserve"> </w:t>
      </w:r>
      <w:r>
        <w:rPr>
          <w:spacing w:val="-2"/>
        </w:rPr>
        <w:t>万，中</w:t>
      </w:r>
      <w:r>
        <w:rPr>
          <w:spacing w:val="-3"/>
        </w:rPr>
        <w:t>国移</w:t>
      </w:r>
      <w:r>
        <w:rPr>
          <w:spacing w:val="-3"/>
        </w:rPr>
        <w:t>动仍有较强的研发人员规模优势。</w:t>
      </w:r>
    </w:p>
    <w:p>
      <w:pPr>
        <w:ind w:firstLine="14"/>
        <w:spacing w:line="3991" w:lineRule="exact"/>
        <w:rPr/>
      </w:pPr>
      <w:r>
        <w:rPr>
          <w:position w:val="-79"/>
        </w:rPr>
        <w:drawing>
          <wp:inline distT="0" distB="0" distL="0" distR="0">
            <wp:extent cx="5583935" cy="253441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3935" cy="253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5"/>
        <w:spacing w:before="188" w:line="221" w:lineRule="auto"/>
        <w:outlineLvl w:val="3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图</w:t>
      </w:r>
      <w:r>
        <w:rPr>
          <w:sz w:val="21"/>
          <w:szCs w:val="21"/>
          <w:spacing w:val="-29"/>
        </w:rPr>
        <w:t xml:space="preserve"> </w:t>
      </w:r>
      <w:r>
        <w:rPr>
          <w:sz w:val="21"/>
          <w:szCs w:val="21"/>
          <w:b/>
          <w:bCs/>
          <w:spacing w:val="-3"/>
        </w:rPr>
        <w:t>6：三家运营商研发经费投入强度比较</w:t>
      </w:r>
      <w:r>
        <w:rPr>
          <w:sz w:val="21"/>
          <w:szCs w:val="21"/>
          <w:spacing w:val="-3"/>
        </w:rPr>
        <w:t xml:space="preserve">     </w:t>
      </w:r>
      <w:r>
        <w:rPr>
          <w:sz w:val="21"/>
          <w:szCs w:val="21"/>
          <w:b/>
          <w:bCs/>
          <w:spacing w:val="-3"/>
        </w:rPr>
        <w:t>图</w:t>
      </w:r>
      <w:r>
        <w:rPr>
          <w:sz w:val="21"/>
          <w:szCs w:val="21"/>
          <w:spacing w:val="-39"/>
        </w:rPr>
        <w:t xml:space="preserve"> </w:t>
      </w:r>
      <w:r>
        <w:rPr>
          <w:sz w:val="21"/>
          <w:szCs w:val="21"/>
          <w:b/>
          <w:bCs/>
          <w:spacing w:val="-3"/>
        </w:rPr>
        <w:t>7：三家运营商研发人员占比比较</w:t>
      </w:r>
    </w:p>
    <w:p>
      <w:pPr>
        <w:spacing w:line="221" w:lineRule="auto"/>
        <w:sectPr>
          <w:pgSz w:w="11907" w:h="16839"/>
          <w:pgMar w:top="1426" w:right="1312" w:bottom="0" w:left="1785" w:header="0" w:footer="0" w:gutter="0"/>
        </w:sectPr>
        <w:rPr>
          <w:sz w:val="21"/>
          <w:szCs w:val="21"/>
        </w:rPr>
      </w:pPr>
    </w:p>
    <w:p>
      <w:pPr>
        <w:pStyle w:val="BodyText"/>
        <w:ind w:left="7" w:firstLine="511"/>
        <w:spacing w:before="47" w:line="360" w:lineRule="auto"/>
        <w:jc w:val="both"/>
        <w:rPr/>
      </w:pPr>
      <w:r>
        <w:rPr>
          <w:spacing w:val="-4"/>
        </w:rPr>
        <w:t>当前为全面落实国资委“一增一稳四提升”的要求，企业要把握宏观政策利</w:t>
      </w:r>
      <w:r>
        <w:rPr>
          <w:spacing w:val="-9"/>
        </w:rPr>
        <w:t>好形势，深挖“两重”、“两新”等资金保障型重大项目机会，为产业</w:t>
      </w:r>
      <w:r>
        <w:rPr>
          <w:spacing w:val="-10"/>
        </w:rPr>
        <w:t>数字化收入</w:t>
      </w:r>
      <w:r>
        <w:rPr>
          <w:spacing w:val="-3"/>
        </w:rPr>
        <w:t>“背书”，协调收入增长和坏账管控。同时要加速科技创新成果的规模化商用，</w:t>
      </w:r>
      <w:r>
        <w:rPr>
          <w:spacing w:val="-6"/>
        </w:rPr>
        <w:t>在保证研发投入的基础上，提升研发经费的利润创造能力，推动企业“一利五率”</w:t>
      </w:r>
      <w:r>
        <w:rPr>
          <w:spacing w:val="1"/>
        </w:rPr>
        <w:t>指标全面向好。</w:t>
      </w:r>
    </w:p>
    <w:sectPr>
      <w:pgSz w:w="11907" w:h="16839"/>
      <w:pgMar w:top="1426" w:right="1679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2025-05-28T15:31:47Z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2025-11-04T14:24:16</vt:filetime>
  </property>
</Properties>
</file>